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3CC34" w14:textId="2925CD7A" w:rsidR="000D5ED4" w:rsidRPr="007F6332" w:rsidRDefault="000D5ED4" w:rsidP="00536741">
      <w:pPr>
        <w:spacing w:after="120" w:line="240" w:lineRule="auto"/>
        <w:ind w:right="237"/>
        <w:rPr>
          <w:rFonts w:eastAsia="MS Mincho" w:cs="Arial"/>
          <w:color w:val="FF0000"/>
          <w:spacing w:val="-2"/>
          <w:sz w:val="20"/>
          <w:szCs w:val="20"/>
          <w:lang w:eastAsia="en-US"/>
        </w:rPr>
      </w:pPr>
    </w:p>
    <w:p w14:paraId="0BEB5DEE" w14:textId="77777777" w:rsidR="00F365D3" w:rsidRPr="007F6332" w:rsidRDefault="00F365D3" w:rsidP="009352B3">
      <w:pPr>
        <w:spacing w:after="120" w:line="240" w:lineRule="auto"/>
        <w:rPr>
          <w:rFonts w:eastAsia="MS Mincho" w:cs="Arial"/>
          <w:color w:val="C00000"/>
          <w:spacing w:val="-2"/>
          <w:sz w:val="20"/>
          <w:szCs w:val="20"/>
          <w:lang w:eastAsia="en-US"/>
        </w:rPr>
      </w:pPr>
    </w:p>
    <w:p w14:paraId="33702816" w14:textId="00FB95D2" w:rsidR="009A3BB7" w:rsidRPr="006F25C3" w:rsidRDefault="009A3BB7" w:rsidP="009A3BB7">
      <w:pPr>
        <w:pStyle w:val="BodyText1"/>
        <w:rPr>
          <w:rFonts w:cs="Arial"/>
          <w:b/>
          <w:bCs/>
          <w:color w:val="6B2976"/>
          <w:sz w:val="96"/>
          <w:szCs w:val="96"/>
        </w:rPr>
      </w:pPr>
      <w:bookmarkStart w:id="0" w:name="_Hlk145064026"/>
      <w:bookmarkEnd w:id="0"/>
      <w:r w:rsidRPr="006F25C3">
        <w:rPr>
          <w:rFonts w:cs="Arial"/>
          <w:b/>
          <w:bCs/>
          <w:color w:val="6B2976"/>
          <w:sz w:val="96"/>
          <w:szCs w:val="96"/>
        </w:rPr>
        <w:t xml:space="preserve">National Disability Insurance Scheme </w:t>
      </w:r>
    </w:p>
    <w:p w14:paraId="250412CB" w14:textId="77777777" w:rsidR="009A3BB7" w:rsidRPr="006F25C3" w:rsidRDefault="009A3BB7" w:rsidP="009A3BB7">
      <w:pPr>
        <w:pStyle w:val="BodyText1"/>
        <w:rPr>
          <w:rFonts w:cs="Arial"/>
          <w:b/>
          <w:bCs/>
          <w:color w:val="6B2976"/>
          <w:sz w:val="64"/>
          <w:szCs w:val="64"/>
        </w:rPr>
      </w:pPr>
    </w:p>
    <w:p w14:paraId="6A6737CF" w14:textId="350665C9" w:rsidR="009A3BB7" w:rsidRPr="006F25C3" w:rsidRDefault="009A3BB7" w:rsidP="00ED7418">
      <w:pPr>
        <w:pStyle w:val="Heading1New"/>
      </w:pPr>
      <w:bookmarkStart w:id="1" w:name="_Toc152614958"/>
      <w:r w:rsidRPr="006F25C3">
        <w:t>Annual Financial</w:t>
      </w:r>
      <w:r w:rsidR="00A9431D" w:rsidRPr="006F25C3">
        <w:t xml:space="preserve"> </w:t>
      </w:r>
      <w:r w:rsidR="00650B85" w:rsidRPr="006F25C3">
        <w:t>Sustainability</w:t>
      </w:r>
      <w:r w:rsidRPr="006F25C3">
        <w:t xml:space="preserve"> Report</w:t>
      </w:r>
      <w:bookmarkEnd w:id="1"/>
    </w:p>
    <w:p w14:paraId="0B99FF4A" w14:textId="77777777" w:rsidR="009A3BB7" w:rsidRPr="006F25C3" w:rsidRDefault="009A3BB7" w:rsidP="009A3BB7">
      <w:pPr>
        <w:pStyle w:val="BodyText1"/>
        <w:rPr>
          <w:rFonts w:cs="Arial"/>
          <w:b/>
          <w:bCs/>
          <w:color w:val="6B2976"/>
          <w:sz w:val="64"/>
          <w:szCs w:val="64"/>
        </w:rPr>
      </w:pPr>
    </w:p>
    <w:p w14:paraId="0DD6047A" w14:textId="263C0289" w:rsidR="009A3BB7" w:rsidRPr="006F25C3" w:rsidRDefault="009A3BB7" w:rsidP="009A3BB7">
      <w:pPr>
        <w:pStyle w:val="BodyText1"/>
        <w:rPr>
          <w:rFonts w:cs="Arial"/>
          <w:b/>
          <w:bCs/>
          <w:color w:val="6B2976"/>
          <w:sz w:val="52"/>
          <w:szCs w:val="52"/>
        </w:rPr>
      </w:pPr>
      <w:r w:rsidRPr="006F25C3">
        <w:rPr>
          <w:rFonts w:cs="Arial"/>
          <w:b/>
          <w:bCs/>
          <w:color w:val="6B2976"/>
          <w:sz w:val="52"/>
          <w:szCs w:val="52"/>
        </w:rPr>
        <w:t>2022-23</w:t>
      </w:r>
    </w:p>
    <w:p w14:paraId="061DA383" w14:textId="77777777" w:rsidR="009A3BB7" w:rsidRPr="006F25C3" w:rsidRDefault="009A3BB7" w:rsidP="009A3BB7">
      <w:pPr>
        <w:pStyle w:val="BodyText1"/>
        <w:rPr>
          <w:rFonts w:cs="Arial"/>
          <w:b/>
          <w:bCs/>
          <w:color w:val="6B2976"/>
          <w:sz w:val="52"/>
          <w:szCs w:val="52"/>
        </w:rPr>
      </w:pPr>
    </w:p>
    <w:p w14:paraId="0FCE656B" w14:textId="77777777" w:rsidR="009A3BB7" w:rsidRPr="006F25C3" w:rsidRDefault="009A3BB7" w:rsidP="009A3BB7">
      <w:pPr>
        <w:pStyle w:val="BodyText1"/>
        <w:rPr>
          <w:rFonts w:cs="Arial"/>
          <w:b/>
          <w:bCs/>
          <w:color w:val="6B2976"/>
        </w:rPr>
      </w:pPr>
    </w:p>
    <w:p w14:paraId="6714CD37" w14:textId="77777777" w:rsidR="009A3BB7" w:rsidRPr="006F25C3" w:rsidRDefault="009A3BB7" w:rsidP="009A3BB7">
      <w:pPr>
        <w:pStyle w:val="BodyText1"/>
        <w:rPr>
          <w:rFonts w:cs="Arial"/>
          <w:b/>
          <w:bCs/>
          <w:color w:val="6B2976"/>
          <w:sz w:val="22"/>
          <w:szCs w:val="22"/>
        </w:rPr>
      </w:pPr>
      <w:r w:rsidRPr="006F25C3">
        <w:rPr>
          <w:rFonts w:cs="Arial"/>
          <w:b/>
          <w:bCs/>
          <w:color w:val="6B2976"/>
          <w:sz w:val="22"/>
          <w:szCs w:val="22"/>
        </w:rPr>
        <w:t>David Gifford BEc MBA FIAA</w:t>
      </w:r>
    </w:p>
    <w:p w14:paraId="20A0AD2F" w14:textId="3F950022" w:rsidR="009A3BB7" w:rsidRPr="007F6332" w:rsidRDefault="009A3BB7" w:rsidP="009A3BB7">
      <w:pPr>
        <w:pStyle w:val="BodyText1"/>
        <w:rPr>
          <w:rFonts w:cs="Arial"/>
          <w:b/>
          <w:bCs/>
          <w:color w:val="FFFFFF" w:themeColor="background1"/>
          <w:sz w:val="22"/>
          <w:szCs w:val="22"/>
        </w:rPr>
      </w:pPr>
      <w:r w:rsidRPr="006F25C3">
        <w:rPr>
          <w:rFonts w:cs="Arial"/>
          <w:b/>
          <w:bCs/>
          <w:color w:val="6B2976"/>
          <w:sz w:val="22"/>
          <w:szCs w:val="22"/>
        </w:rPr>
        <w:t>Scheme Actuary</w:t>
      </w:r>
      <w:r w:rsidRPr="007F6332">
        <w:rPr>
          <w:rFonts w:cs="Arial"/>
          <w:b/>
          <w:bCs/>
          <w:color w:val="FFFFFF" w:themeColor="background1"/>
          <w:sz w:val="22"/>
          <w:szCs w:val="22"/>
        </w:rPr>
        <w:tab/>
      </w:r>
    </w:p>
    <w:p w14:paraId="391A9160" w14:textId="77777777" w:rsidR="009A3BB7" w:rsidRPr="007F6332" w:rsidRDefault="009A3BB7" w:rsidP="009352B3">
      <w:pPr>
        <w:rPr>
          <w:rFonts w:cs="Arial"/>
        </w:rPr>
      </w:pPr>
    </w:p>
    <w:p w14:paraId="33A0DCA4" w14:textId="77777777" w:rsidR="00961598" w:rsidRPr="007F6332" w:rsidRDefault="00961598" w:rsidP="009352B3">
      <w:pPr>
        <w:rPr>
          <w:rFonts w:cs="Arial"/>
        </w:rPr>
        <w:sectPr w:rsidR="00961598" w:rsidRPr="007F6332" w:rsidSect="00564E2C">
          <w:headerReference w:type="default" r:id="rId11"/>
          <w:footerReference w:type="default" r:id="rId12"/>
          <w:pgSz w:w="11906" w:h="16838"/>
          <w:pgMar w:top="1440" w:right="1440" w:bottom="1276" w:left="1440" w:header="708" w:footer="708" w:gutter="0"/>
          <w:cols w:space="708"/>
          <w:docGrid w:linePitch="360"/>
        </w:sectPr>
      </w:pPr>
    </w:p>
    <w:p w14:paraId="228FEFA0" w14:textId="77777777" w:rsidR="009A3BB7" w:rsidRPr="007F6332" w:rsidRDefault="009A3BB7" w:rsidP="009352B3">
      <w:pPr>
        <w:rPr>
          <w:rFonts w:cs="Arial"/>
        </w:rPr>
      </w:pPr>
    </w:p>
    <w:p w14:paraId="6408E6CD" w14:textId="4B47F507" w:rsidR="009352B3" w:rsidRPr="007F6332" w:rsidRDefault="009352B3" w:rsidP="009352B3">
      <w:pPr>
        <w:rPr>
          <w:rFonts w:cs="Arial"/>
          <w:color w:val="FFFFFF" w:themeColor="background1"/>
          <w:szCs w:val="96"/>
        </w:rPr>
      </w:pPr>
      <w:r w:rsidRPr="007F6332">
        <w:rPr>
          <w:rFonts w:cs="Arial"/>
        </w:rPr>
        <w:br w:type="page"/>
      </w:r>
    </w:p>
    <w:p w14:paraId="448B28B4" w14:textId="78EBBC87" w:rsidR="009352B3" w:rsidRPr="007F6332" w:rsidRDefault="00651027" w:rsidP="009352B3">
      <w:pPr>
        <w:spacing w:before="200" w:after="240"/>
        <w:outlineLvl w:val="1"/>
        <w:rPr>
          <w:rFonts w:eastAsiaTheme="majorEastAsia" w:cs="Arial"/>
          <w:b/>
          <w:bCs/>
          <w:color w:val="6A2875"/>
          <w:sz w:val="44"/>
          <w:szCs w:val="26"/>
        </w:rPr>
      </w:pPr>
      <w:r w:rsidRPr="007F6332">
        <w:rPr>
          <w:rFonts w:eastAsiaTheme="majorEastAsia" w:cs="Arial"/>
          <w:b/>
          <w:bCs/>
          <w:color w:val="6A2875"/>
          <w:sz w:val="44"/>
          <w:szCs w:val="26"/>
        </w:rPr>
        <w:lastRenderedPageBreak/>
        <w:t xml:space="preserve">Table of </w:t>
      </w:r>
      <w:r w:rsidR="00650B85" w:rsidRPr="007F6332">
        <w:rPr>
          <w:rFonts w:eastAsiaTheme="majorEastAsia" w:cs="Arial"/>
          <w:b/>
          <w:bCs/>
          <w:color w:val="6A2875"/>
          <w:sz w:val="44"/>
          <w:szCs w:val="26"/>
        </w:rPr>
        <w:t>Contents</w:t>
      </w:r>
    </w:p>
    <w:p w14:paraId="6281771B" w14:textId="0FE93BA3" w:rsidR="00002509" w:rsidRPr="007F6332" w:rsidRDefault="00572F94">
      <w:pPr>
        <w:pStyle w:val="TOC1"/>
        <w:tabs>
          <w:tab w:val="right" w:leader="dot" w:pos="9016"/>
        </w:tabs>
        <w:rPr>
          <w:rFonts w:ascii="Arial" w:hAnsi="Arial" w:cs="Arial"/>
          <w:b w:val="0"/>
          <w:bCs w:val="0"/>
          <w:noProof/>
          <w:kern w:val="2"/>
          <w:sz w:val="22"/>
          <w:szCs w:val="22"/>
          <w:lang w:val="en-AU" w:eastAsia="en-AU"/>
          <w14:ligatures w14:val="standardContextual"/>
        </w:rPr>
      </w:pPr>
      <w:r w:rsidRPr="007F6332">
        <w:rPr>
          <w:rFonts w:ascii="Arial" w:hAnsi="Arial" w:cs="Arial"/>
        </w:rPr>
        <w:fldChar w:fldCharType="begin"/>
      </w:r>
      <w:r w:rsidRPr="007F6332">
        <w:rPr>
          <w:rFonts w:ascii="Arial" w:hAnsi="Arial" w:cs="Arial"/>
        </w:rPr>
        <w:instrText xml:space="preserve"> TOC \h \z \t "Heading 2,1,Heading 3,2,FSR_Heading3,1" </w:instrText>
      </w:r>
      <w:r w:rsidRPr="007F6332">
        <w:rPr>
          <w:rFonts w:ascii="Arial" w:hAnsi="Arial" w:cs="Arial"/>
        </w:rPr>
        <w:fldChar w:fldCharType="separate"/>
      </w:r>
      <w:hyperlink w:anchor="_Toc152614958" w:history="1">
        <w:r w:rsidR="00002509" w:rsidRPr="007F6332">
          <w:rPr>
            <w:rStyle w:val="Hyperlink"/>
            <w:rFonts w:ascii="Arial" w:hAnsi="Arial" w:cs="Arial"/>
            <w:noProof/>
          </w:rPr>
          <w:t>Annual Financial Sustainability Report</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_Toc152614958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w:t>
        </w:r>
        <w:r w:rsidR="00002509" w:rsidRPr="007F6332">
          <w:rPr>
            <w:rFonts w:ascii="Arial" w:hAnsi="Arial" w:cs="Arial"/>
            <w:noProof/>
            <w:webHidden/>
          </w:rPr>
          <w:fldChar w:fldCharType="end"/>
        </w:r>
      </w:hyperlink>
    </w:p>
    <w:p w14:paraId="1BC339A4" w14:textId="2EA7C440" w:rsidR="00002509" w:rsidRPr="007F6332" w:rsidRDefault="00196ACD">
      <w:pPr>
        <w:pStyle w:val="TOC1"/>
        <w:tabs>
          <w:tab w:val="right" w:leader="dot" w:pos="9016"/>
        </w:tabs>
        <w:rPr>
          <w:rFonts w:ascii="Arial" w:hAnsi="Arial" w:cs="Arial"/>
          <w:b w:val="0"/>
          <w:bCs w:val="0"/>
          <w:noProof/>
          <w:kern w:val="2"/>
          <w:sz w:val="22"/>
          <w:szCs w:val="22"/>
          <w:lang w:val="en-AU" w:eastAsia="en-AU"/>
          <w14:ligatures w14:val="standardContextual"/>
        </w:rPr>
      </w:pPr>
      <w:hyperlink w:anchor="_Toc152614959" w:history="1">
        <w:r w:rsidR="00002509" w:rsidRPr="007F6332">
          <w:rPr>
            <w:rStyle w:val="Hyperlink"/>
            <w:rFonts w:ascii="Arial" w:hAnsi="Arial" w:cs="Arial"/>
            <w:noProof/>
          </w:rPr>
          <w:t>Executive Summary</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_Toc152614959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5</w:t>
        </w:r>
        <w:r w:rsidR="00002509" w:rsidRPr="007F6332">
          <w:rPr>
            <w:rFonts w:ascii="Arial" w:hAnsi="Arial" w:cs="Arial"/>
            <w:noProof/>
            <w:webHidden/>
          </w:rPr>
          <w:fldChar w:fldCharType="end"/>
        </w:r>
      </w:hyperlink>
    </w:p>
    <w:p w14:paraId="2B86F6E3" w14:textId="7CFAA819"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4960" w:history="1">
        <w:r w:rsidR="00002509" w:rsidRPr="007F6332">
          <w:rPr>
            <w:rStyle w:val="Hyperlink"/>
            <w:rFonts w:ascii="Arial" w:hAnsi="Arial" w:cs="Arial"/>
            <w:noProof/>
          </w:rPr>
          <w:t>1.</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Introduction</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_Toc152614960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32</w:t>
        </w:r>
        <w:r w:rsidR="00002509" w:rsidRPr="007F6332">
          <w:rPr>
            <w:rFonts w:ascii="Arial" w:hAnsi="Arial" w:cs="Arial"/>
            <w:noProof/>
            <w:webHidden/>
          </w:rPr>
          <w:fldChar w:fldCharType="end"/>
        </w:r>
      </w:hyperlink>
    </w:p>
    <w:p w14:paraId="73BA1FAE" w14:textId="74C17D3A"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61" w:history="1">
        <w:r w:rsidR="00002509" w:rsidRPr="007F6332">
          <w:rPr>
            <w:rStyle w:val="Hyperlink"/>
            <w:rFonts w:ascii="Arial" w:hAnsi="Arial" w:cs="Arial"/>
            <w:noProof/>
          </w:rPr>
          <w:t>1.1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Purpose of the NDIS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_Toc152614961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32</w:t>
        </w:r>
        <w:r w:rsidR="00002509" w:rsidRPr="007F6332">
          <w:rPr>
            <w:rFonts w:ascii="Arial" w:hAnsi="Arial" w:cs="Arial"/>
            <w:noProof/>
            <w:webHidden/>
          </w:rPr>
          <w:fldChar w:fldCharType="end"/>
        </w:r>
      </w:hyperlink>
    </w:p>
    <w:p w14:paraId="465E3F69" w14:textId="71956B35"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62" w:history="1">
        <w:r w:rsidR="00002509" w:rsidRPr="007F6332">
          <w:rPr>
            <w:rStyle w:val="Hyperlink"/>
            <w:rFonts w:ascii="Arial" w:hAnsi="Arial" w:cs="Arial"/>
            <w:noProof/>
          </w:rPr>
          <w:t>1.2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Definition of financial sustainability</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_Toc152614962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33</w:t>
        </w:r>
        <w:r w:rsidR="00002509" w:rsidRPr="007F6332">
          <w:rPr>
            <w:rFonts w:ascii="Arial" w:hAnsi="Arial" w:cs="Arial"/>
            <w:noProof/>
            <w:webHidden/>
          </w:rPr>
          <w:fldChar w:fldCharType="end"/>
        </w:r>
      </w:hyperlink>
    </w:p>
    <w:p w14:paraId="28B379E2" w14:textId="5EA52349"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63" w:history="1">
        <w:r w:rsidR="00002509" w:rsidRPr="007F6332">
          <w:rPr>
            <w:rStyle w:val="Hyperlink"/>
            <w:rFonts w:ascii="Arial" w:hAnsi="Arial" w:cs="Arial"/>
            <w:noProof/>
          </w:rPr>
          <w:t>1.3</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Context for 2022-23 AFSR</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_Toc152614963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34</w:t>
        </w:r>
        <w:r w:rsidR="00002509" w:rsidRPr="007F6332">
          <w:rPr>
            <w:rFonts w:ascii="Arial" w:hAnsi="Arial" w:cs="Arial"/>
            <w:noProof/>
            <w:webHidden/>
          </w:rPr>
          <w:fldChar w:fldCharType="end"/>
        </w:r>
      </w:hyperlink>
    </w:p>
    <w:p w14:paraId="0857ABAC" w14:textId="52B61288"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64" w:history="1">
        <w:r w:rsidR="00002509" w:rsidRPr="007F6332">
          <w:rPr>
            <w:rStyle w:val="Hyperlink"/>
            <w:rFonts w:ascii="Arial" w:hAnsi="Arial" w:cs="Arial"/>
            <w:noProof/>
          </w:rPr>
          <w:t>1.4</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Reliance and limitations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_Toc152614964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35</w:t>
        </w:r>
        <w:r w:rsidR="00002509" w:rsidRPr="007F6332">
          <w:rPr>
            <w:rFonts w:ascii="Arial" w:hAnsi="Arial" w:cs="Arial"/>
            <w:noProof/>
            <w:webHidden/>
          </w:rPr>
          <w:fldChar w:fldCharType="end"/>
        </w:r>
      </w:hyperlink>
    </w:p>
    <w:p w14:paraId="26618D6C" w14:textId="31482981"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4965" w:history="1">
        <w:r w:rsidR="00002509" w:rsidRPr="007F6332">
          <w:rPr>
            <w:rStyle w:val="Hyperlink"/>
            <w:rFonts w:ascii="Arial" w:hAnsi="Arial" w:cs="Arial"/>
            <w:noProof/>
          </w:rPr>
          <w:t>2.</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Information and data integrity</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_Toc152614965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36</w:t>
        </w:r>
        <w:r w:rsidR="00002509" w:rsidRPr="007F6332">
          <w:rPr>
            <w:rFonts w:ascii="Arial" w:hAnsi="Arial" w:cs="Arial"/>
            <w:noProof/>
            <w:webHidden/>
          </w:rPr>
          <w:fldChar w:fldCharType="end"/>
        </w:r>
      </w:hyperlink>
    </w:p>
    <w:p w14:paraId="077B3AF6" w14:textId="4912EF29"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66" w:history="1">
        <w:r w:rsidR="00002509" w:rsidRPr="007F6332">
          <w:rPr>
            <w:rStyle w:val="Hyperlink"/>
            <w:rFonts w:ascii="Arial" w:hAnsi="Arial" w:cs="Arial"/>
            <w:noProof/>
          </w:rPr>
          <w:t>2.1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Information and data used for analysis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_Toc152614966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36</w:t>
        </w:r>
        <w:r w:rsidR="00002509" w:rsidRPr="007F6332">
          <w:rPr>
            <w:rFonts w:ascii="Arial" w:hAnsi="Arial" w:cs="Arial"/>
            <w:noProof/>
            <w:webHidden/>
          </w:rPr>
          <w:fldChar w:fldCharType="end"/>
        </w:r>
      </w:hyperlink>
    </w:p>
    <w:p w14:paraId="1D9190DD" w14:textId="6EFCC07E"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67" w:history="1">
        <w:r w:rsidR="00002509" w:rsidRPr="007F6332">
          <w:rPr>
            <w:rStyle w:val="Hyperlink"/>
            <w:rFonts w:ascii="Arial" w:hAnsi="Arial" w:cs="Arial"/>
            <w:noProof/>
          </w:rPr>
          <w:t>2.2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Information systems overview</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_Toc152614967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38</w:t>
        </w:r>
        <w:r w:rsidR="00002509" w:rsidRPr="007F6332">
          <w:rPr>
            <w:rFonts w:ascii="Arial" w:hAnsi="Arial" w:cs="Arial"/>
            <w:noProof/>
            <w:webHidden/>
          </w:rPr>
          <w:fldChar w:fldCharType="end"/>
        </w:r>
      </w:hyperlink>
    </w:p>
    <w:p w14:paraId="746F292D" w14:textId="2B4974A5"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4968" w:history="1">
        <w:r w:rsidR="00002509" w:rsidRPr="007F6332">
          <w:rPr>
            <w:rStyle w:val="Hyperlink"/>
            <w:rFonts w:ascii="Arial" w:hAnsi="Arial" w:cs="Arial"/>
            <w:noProof/>
          </w:rPr>
          <w:t>3.</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Modelling approach</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_Toc152614968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40</w:t>
        </w:r>
        <w:r w:rsidR="00002509" w:rsidRPr="007F6332">
          <w:rPr>
            <w:rFonts w:ascii="Arial" w:hAnsi="Arial" w:cs="Arial"/>
            <w:noProof/>
            <w:webHidden/>
          </w:rPr>
          <w:fldChar w:fldCharType="end"/>
        </w:r>
      </w:hyperlink>
    </w:p>
    <w:p w14:paraId="678B9AB5" w14:textId="4AC5F570"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69" w:history="1">
        <w:r w:rsidR="00002509" w:rsidRPr="007F6332">
          <w:rPr>
            <w:rStyle w:val="Hyperlink"/>
            <w:rFonts w:ascii="Arial" w:hAnsi="Arial" w:cs="Arial"/>
            <w:noProof/>
          </w:rPr>
          <w:t>3.1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Participant numbers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_Toc152614969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41</w:t>
        </w:r>
        <w:r w:rsidR="00002509" w:rsidRPr="007F6332">
          <w:rPr>
            <w:rFonts w:ascii="Arial" w:hAnsi="Arial" w:cs="Arial"/>
            <w:noProof/>
            <w:webHidden/>
          </w:rPr>
          <w:fldChar w:fldCharType="end"/>
        </w:r>
      </w:hyperlink>
    </w:p>
    <w:p w14:paraId="71BAF93A" w14:textId="00F48715"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0" w:history="1">
        <w:r w:rsidR="00002509" w:rsidRPr="007F6332">
          <w:rPr>
            <w:rStyle w:val="Hyperlink"/>
            <w:rFonts w:ascii="Arial" w:hAnsi="Arial" w:cs="Arial"/>
            <w:noProof/>
          </w:rPr>
          <w:t>3.2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Scheme Expenses relating to participant supports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_Toc152614970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41</w:t>
        </w:r>
        <w:r w:rsidR="00002509" w:rsidRPr="007F6332">
          <w:rPr>
            <w:rFonts w:ascii="Arial" w:hAnsi="Arial" w:cs="Arial"/>
            <w:noProof/>
            <w:webHidden/>
          </w:rPr>
          <w:fldChar w:fldCharType="end"/>
        </w:r>
      </w:hyperlink>
    </w:p>
    <w:p w14:paraId="2CF8205B" w14:textId="496FBFF7"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1" w:history="1">
        <w:r w:rsidR="00002509" w:rsidRPr="007F6332">
          <w:rPr>
            <w:rStyle w:val="Hyperlink"/>
            <w:rFonts w:ascii="Arial" w:hAnsi="Arial" w:cs="Arial"/>
            <w:noProof/>
          </w:rPr>
          <w:t>3.3</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Projected plan budgets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_Toc152614971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42</w:t>
        </w:r>
        <w:r w:rsidR="00002509" w:rsidRPr="007F6332">
          <w:rPr>
            <w:rFonts w:ascii="Arial" w:hAnsi="Arial" w:cs="Arial"/>
            <w:noProof/>
            <w:webHidden/>
          </w:rPr>
          <w:fldChar w:fldCharType="end"/>
        </w:r>
      </w:hyperlink>
    </w:p>
    <w:p w14:paraId="45FE0751" w14:textId="0EA27DA2"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2" w:history="1">
        <w:r w:rsidR="00002509" w:rsidRPr="007F6332">
          <w:rPr>
            <w:rStyle w:val="Hyperlink"/>
            <w:rFonts w:ascii="Arial" w:hAnsi="Arial" w:cs="Arial"/>
            <w:noProof/>
          </w:rPr>
          <w:t>3.4</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Stochastic Model</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_Toc152614972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42</w:t>
        </w:r>
        <w:r w:rsidR="00002509" w:rsidRPr="007F6332">
          <w:rPr>
            <w:rFonts w:ascii="Arial" w:hAnsi="Arial" w:cs="Arial"/>
            <w:noProof/>
            <w:webHidden/>
          </w:rPr>
          <w:fldChar w:fldCharType="end"/>
        </w:r>
      </w:hyperlink>
    </w:p>
    <w:p w14:paraId="3D6B9A79" w14:textId="2E419F81"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4973" w:history="1">
        <w:r w:rsidR="00002509" w:rsidRPr="007F6332">
          <w:rPr>
            <w:rStyle w:val="Hyperlink"/>
            <w:rFonts w:ascii="Arial" w:hAnsi="Arial" w:cs="Arial"/>
            <w:noProof/>
          </w:rPr>
          <w:t>4.</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Scheme experience</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_Toc152614973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45</w:t>
        </w:r>
        <w:r w:rsidR="00002509" w:rsidRPr="007F6332">
          <w:rPr>
            <w:rFonts w:ascii="Arial" w:hAnsi="Arial" w:cs="Arial"/>
            <w:noProof/>
            <w:webHidden/>
          </w:rPr>
          <w:fldChar w:fldCharType="end"/>
        </w:r>
      </w:hyperlink>
    </w:p>
    <w:p w14:paraId="6411EAF2" w14:textId="1FAF8DEC"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4" w:history="1">
        <w:r w:rsidR="00002509" w:rsidRPr="007F6332">
          <w:rPr>
            <w:rStyle w:val="Hyperlink"/>
            <w:rFonts w:ascii="Arial" w:hAnsi="Arial" w:cs="Arial"/>
            <w:noProof/>
          </w:rPr>
          <w:t>4.1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Participant numbers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_Toc152614974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45</w:t>
        </w:r>
        <w:r w:rsidR="00002509" w:rsidRPr="007F6332">
          <w:rPr>
            <w:rFonts w:ascii="Arial" w:hAnsi="Arial" w:cs="Arial"/>
            <w:noProof/>
            <w:webHidden/>
          </w:rPr>
          <w:fldChar w:fldCharType="end"/>
        </w:r>
      </w:hyperlink>
    </w:p>
    <w:p w14:paraId="1E6F41B3" w14:textId="4DD1A1D9"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5" w:history="1">
        <w:r w:rsidR="00002509" w:rsidRPr="007F6332">
          <w:rPr>
            <w:rStyle w:val="Hyperlink"/>
            <w:rFonts w:ascii="Arial" w:hAnsi="Arial" w:cs="Arial"/>
            <w:noProof/>
          </w:rPr>
          <w:t>4.2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Actual versus expected participant numbers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_Toc152614975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45</w:t>
        </w:r>
        <w:r w:rsidR="00002509" w:rsidRPr="007F6332">
          <w:rPr>
            <w:rFonts w:ascii="Arial" w:hAnsi="Arial" w:cs="Arial"/>
            <w:noProof/>
            <w:webHidden/>
          </w:rPr>
          <w:fldChar w:fldCharType="end"/>
        </w:r>
      </w:hyperlink>
    </w:p>
    <w:p w14:paraId="2D382634" w14:textId="33E1BD75"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6" w:history="1">
        <w:r w:rsidR="00002509" w:rsidRPr="007F6332">
          <w:rPr>
            <w:rStyle w:val="Hyperlink"/>
            <w:rFonts w:ascii="Arial" w:hAnsi="Arial" w:cs="Arial"/>
            <w:noProof/>
          </w:rPr>
          <w:t>4.3</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Participants in Supported Independent Living</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_Toc152614976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56</w:t>
        </w:r>
        <w:r w:rsidR="00002509" w:rsidRPr="007F6332">
          <w:rPr>
            <w:rFonts w:ascii="Arial" w:hAnsi="Arial" w:cs="Arial"/>
            <w:noProof/>
            <w:webHidden/>
          </w:rPr>
          <w:fldChar w:fldCharType="end"/>
        </w:r>
      </w:hyperlink>
    </w:p>
    <w:p w14:paraId="5E1E58E1" w14:textId="5F144509"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7" w:history="1">
        <w:r w:rsidR="00002509" w:rsidRPr="007F6332">
          <w:rPr>
            <w:rStyle w:val="Hyperlink"/>
            <w:rFonts w:ascii="Arial" w:hAnsi="Arial" w:cs="Arial"/>
            <w:noProof/>
          </w:rPr>
          <w:t>4.4</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Total Scheme expense</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_Toc152614977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60</w:t>
        </w:r>
        <w:r w:rsidR="00002509" w:rsidRPr="007F6332">
          <w:rPr>
            <w:rFonts w:ascii="Arial" w:hAnsi="Arial" w:cs="Arial"/>
            <w:noProof/>
            <w:webHidden/>
          </w:rPr>
          <w:fldChar w:fldCharType="end"/>
        </w:r>
      </w:hyperlink>
    </w:p>
    <w:p w14:paraId="4D448E39" w14:textId="27558D6D"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8" w:history="1">
        <w:r w:rsidR="00002509" w:rsidRPr="007F6332">
          <w:rPr>
            <w:rStyle w:val="Hyperlink"/>
            <w:rFonts w:ascii="Arial" w:hAnsi="Arial" w:cs="Arial"/>
            <w:noProof/>
          </w:rPr>
          <w:t>4.5</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Average payments per participant</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_Toc152614978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61</w:t>
        </w:r>
        <w:r w:rsidR="00002509" w:rsidRPr="007F6332">
          <w:rPr>
            <w:rFonts w:ascii="Arial" w:hAnsi="Arial" w:cs="Arial"/>
            <w:noProof/>
            <w:webHidden/>
          </w:rPr>
          <w:fldChar w:fldCharType="end"/>
        </w:r>
      </w:hyperlink>
    </w:p>
    <w:p w14:paraId="5A10FC6B" w14:textId="068C32A9"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79" w:history="1">
        <w:r w:rsidR="00002509" w:rsidRPr="007F6332">
          <w:rPr>
            <w:rStyle w:val="Hyperlink"/>
            <w:rFonts w:ascii="Arial" w:hAnsi="Arial" w:cs="Arial"/>
            <w:noProof/>
          </w:rPr>
          <w:t>4.6</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Growth in average payments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_Toc152614979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66</w:t>
        </w:r>
        <w:r w:rsidR="00002509" w:rsidRPr="007F6332">
          <w:rPr>
            <w:rFonts w:ascii="Arial" w:hAnsi="Arial" w:cs="Arial"/>
            <w:noProof/>
            <w:webHidden/>
          </w:rPr>
          <w:fldChar w:fldCharType="end"/>
        </w:r>
      </w:hyperlink>
    </w:p>
    <w:p w14:paraId="58B07B4C" w14:textId="0D224C3E"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0" w:history="1">
        <w:r w:rsidR="00002509" w:rsidRPr="007F6332">
          <w:rPr>
            <w:rStyle w:val="Hyperlink"/>
            <w:rFonts w:ascii="Arial" w:hAnsi="Arial" w:cs="Arial"/>
            <w:noProof/>
          </w:rPr>
          <w:t>4.7</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Plan budgets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_Toc152614980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67</w:t>
        </w:r>
        <w:r w:rsidR="00002509" w:rsidRPr="007F6332">
          <w:rPr>
            <w:rFonts w:ascii="Arial" w:hAnsi="Arial" w:cs="Arial"/>
            <w:noProof/>
            <w:webHidden/>
          </w:rPr>
          <w:fldChar w:fldCharType="end"/>
        </w:r>
      </w:hyperlink>
    </w:p>
    <w:p w14:paraId="0576F811" w14:textId="0CECF67C"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1" w:history="1">
        <w:r w:rsidR="00002509" w:rsidRPr="007F6332">
          <w:rPr>
            <w:rStyle w:val="Hyperlink"/>
            <w:rFonts w:ascii="Arial" w:hAnsi="Arial" w:cs="Arial"/>
            <w:noProof/>
          </w:rPr>
          <w:t>4.8</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Utilisation</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_Toc152614981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73</w:t>
        </w:r>
        <w:r w:rsidR="00002509" w:rsidRPr="007F6332">
          <w:rPr>
            <w:rFonts w:ascii="Arial" w:hAnsi="Arial" w:cs="Arial"/>
            <w:noProof/>
            <w:webHidden/>
          </w:rPr>
          <w:fldChar w:fldCharType="end"/>
        </w:r>
      </w:hyperlink>
    </w:p>
    <w:p w14:paraId="40175567" w14:textId="3C073248"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4982" w:history="1">
        <w:r w:rsidR="00002509" w:rsidRPr="007F6332">
          <w:rPr>
            <w:rStyle w:val="Hyperlink"/>
            <w:rFonts w:ascii="Arial" w:hAnsi="Arial" w:cs="Arial"/>
            <w:noProof/>
          </w:rPr>
          <w:t>5.</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Projections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_Toc152614982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76</w:t>
        </w:r>
        <w:r w:rsidR="00002509" w:rsidRPr="007F6332">
          <w:rPr>
            <w:rFonts w:ascii="Arial" w:hAnsi="Arial" w:cs="Arial"/>
            <w:noProof/>
            <w:webHidden/>
          </w:rPr>
          <w:fldChar w:fldCharType="end"/>
        </w:r>
      </w:hyperlink>
    </w:p>
    <w:p w14:paraId="5A343738" w14:textId="361DEF34"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3" w:history="1">
        <w:r w:rsidR="00002509" w:rsidRPr="007F6332">
          <w:rPr>
            <w:rStyle w:val="Hyperlink"/>
            <w:rFonts w:ascii="Arial" w:hAnsi="Arial" w:cs="Arial"/>
            <w:noProof/>
          </w:rPr>
          <w:t>5.1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Total Scheme expense projections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_Toc152614983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76</w:t>
        </w:r>
        <w:r w:rsidR="00002509" w:rsidRPr="007F6332">
          <w:rPr>
            <w:rFonts w:ascii="Arial" w:hAnsi="Arial" w:cs="Arial"/>
            <w:noProof/>
            <w:webHidden/>
          </w:rPr>
          <w:fldChar w:fldCharType="end"/>
        </w:r>
      </w:hyperlink>
    </w:p>
    <w:p w14:paraId="20374147" w14:textId="69AF15B5"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4" w:history="1">
        <w:r w:rsidR="00002509" w:rsidRPr="007F6332">
          <w:rPr>
            <w:rStyle w:val="Hyperlink"/>
            <w:rFonts w:ascii="Arial" w:hAnsi="Arial" w:cs="Arial"/>
            <w:noProof/>
          </w:rPr>
          <w:t>5.2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Comparison with previous AFSR</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_Toc152614984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79</w:t>
        </w:r>
        <w:r w:rsidR="00002509" w:rsidRPr="007F6332">
          <w:rPr>
            <w:rFonts w:ascii="Arial" w:hAnsi="Arial" w:cs="Arial"/>
            <w:noProof/>
            <w:webHidden/>
          </w:rPr>
          <w:fldChar w:fldCharType="end"/>
        </w:r>
      </w:hyperlink>
    </w:p>
    <w:p w14:paraId="02D003C8" w14:textId="52D92563"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5" w:history="1">
        <w:r w:rsidR="00002509" w:rsidRPr="007F6332">
          <w:rPr>
            <w:rStyle w:val="Hyperlink"/>
            <w:rFonts w:ascii="Arial" w:eastAsiaTheme="majorEastAsia" w:hAnsi="Arial" w:cs="Arial"/>
            <w:noProof/>
            <w:lang w:val="en-AU" w:eastAsia="en-US"/>
          </w:rPr>
          <w:t>5.3</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Plan Budget projections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_Toc152614985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81</w:t>
        </w:r>
        <w:r w:rsidR="00002509" w:rsidRPr="007F6332">
          <w:rPr>
            <w:rFonts w:ascii="Arial" w:hAnsi="Arial" w:cs="Arial"/>
            <w:noProof/>
            <w:webHidden/>
          </w:rPr>
          <w:fldChar w:fldCharType="end"/>
        </w:r>
      </w:hyperlink>
    </w:p>
    <w:p w14:paraId="012DD1F9" w14:textId="0711DB60"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6" w:history="1">
        <w:r w:rsidR="00002509" w:rsidRPr="007F6332">
          <w:rPr>
            <w:rStyle w:val="Hyperlink"/>
            <w:rFonts w:ascii="Arial" w:hAnsi="Arial" w:cs="Arial"/>
            <w:noProof/>
          </w:rPr>
          <w:t>5.4</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Participant projections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_Toc152614986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85</w:t>
        </w:r>
        <w:r w:rsidR="00002509" w:rsidRPr="007F6332">
          <w:rPr>
            <w:rFonts w:ascii="Arial" w:hAnsi="Arial" w:cs="Arial"/>
            <w:noProof/>
            <w:webHidden/>
          </w:rPr>
          <w:fldChar w:fldCharType="end"/>
        </w:r>
      </w:hyperlink>
    </w:p>
    <w:p w14:paraId="55DCE76B" w14:textId="1A003E56"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7" w:history="1">
        <w:r w:rsidR="00002509" w:rsidRPr="007F6332">
          <w:rPr>
            <w:rStyle w:val="Hyperlink"/>
            <w:rFonts w:ascii="Arial" w:hAnsi="Arial" w:cs="Arial"/>
            <w:noProof/>
          </w:rPr>
          <w:t>5.5</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Participants with SIL supports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_Toc152614987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95</w:t>
        </w:r>
        <w:r w:rsidR="00002509" w:rsidRPr="007F6332">
          <w:rPr>
            <w:rFonts w:ascii="Arial" w:hAnsi="Arial" w:cs="Arial"/>
            <w:noProof/>
            <w:webHidden/>
          </w:rPr>
          <w:fldChar w:fldCharType="end"/>
        </w:r>
      </w:hyperlink>
    </w:p>
    <w:p w14:paraId="16A6D9EC" w14:textId="1A6C47FC"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8" w:history="1">
        <w:r w:rsidR="00002509" w:rsidRPr="007F6332">
          <w:rPr>
            <w:rStyle w:val="Hyperlink"/>
            <w:rFonts w:ascii="Arial" w:hAnsi="Arial" w:cs="Arial"/>
            <w:noProof/>
          </w:rPr>
          <w:t>5.6</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Base average payment assumptions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_Toc152614988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98</w:t>
        </w:r>
        <w:r w:rsidR="00002509" w:rsidRPr="007F6332">
          <w:rPr>
            <w:rFonts w:ascii="Arial" w:hAnsi="Arial" w:cs="Arial"/>
            <w:noProof/>
            <w:webHidden/>
          </w:rPr>
          <w:fldChar w:fldCharType="end"/>
        </w:r>
      </w:hyperlink>
    </w:p>
    <w:p w14:paraId="1A02E23E" w14:textId="21E63894"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89" w:history="1">
        <w:r w:rsidR="00002509" w:rsidRPr="007F6332">
          <w:rPr>
            <w:rStyle w:val="Hyperlink"/>
            <w:rFonts w:ascii="Arial" w:hAnsi="Arial" w:cs="Arial"/>
            <w:noProof/>
          </w:rPr>
          <w:t>5.7</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Inflation and additional growth assumptions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_Toc152614989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102</w:t>
        </w:r>
        <w:r w:rsidR="00002509" w:rsidRPr="007F6332">
          <w:rPr>
            <w:rFonts w:ascii="Arial" w:hAnsi="Arial" w:cs="Arial"/>
            <w:noProof/>
            <w:webHidden/>
          </w:rPr>
          <w:fldChar w:fldCharType="end"/>
        </w:r>
      </w:hyperlink>
    </w:p>
    <w:p w14:paraId="7BAE1E24" w14:textId="048EEB2D"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90" w:history="1">
        <w:r w:rsidR="00002509" w:rsidRPr="007F6332">
          <w:rPr>
            <w:rStyle w:val="Hyperlink"/>
            <w:rFonts w:ascii="Arial" w:hAnsi="Arial" w:cs="Arial"/>
            <w:noProof/>
          </w:rPr>
          <w:t>5.8</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Average payments per participant after inflation</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_Toc152614990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106</w:t>
        </w:r>
        <w:r w:rsidR="00002509" w:rsidRPr="007F6332">
          <w:rPr>
            <w:rFonts w:ascii="Arial" w:hAnsi="Arial" w:cs="Arial"/>
            <w:noProof/>
            <w:webHidden/>
          </w:rPr>
          <w:fldChar w:fldCharType="end"/>
        </w:r>
      </w:hyperlink>
    </w:p>
    <w:p w14:paraId="61C73F11" w14:textId="430DE56D"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91" w:history="1">
        <w:r w:rsidR="00002509" w:rsidRPr="007F6332">
          <w:rPr>
            <w:rStyle w:val="Hyperlink"/>
            <w:rFonts w:ascii="Arial" w:hAnsi="Arial" w:cs="Arial"/>
            <w:noProof/>
          </w:rPr>
          <w:t>5.9</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Lifetime expense for care and support</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_Toc152614991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108</w:t>
        </w:r>
        <w:r w:rsidR="00002509" w:rsidRPr="007F6332">
          <w:rPr>
            <w:rFonts w:ascii="Arial" w:hAnsi="Arial" w:cs="Arial"/>
            <w:noProof/>
            <w:webHidden/>
          </w:rPr>
          <w:fldChar w:fldCharType="end"/>
        </w:r>
      </w:hyperlink>
    </w:p>
    <w:p w14:paraId="33CB4FE9" w14:textId="0AA611A4"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92" w:history="1">
        <w:r w:rsidR="00002509" w:rsidRPr="007F6332">
          <w:rPr>
            <w:rStyle w:val="Hyperlink"/>
            <w:rFonts w:ascii="Arial" w:hAnsi="Arial" w:cs="Arial"/>
            <w:noProof/>
          </w:rPr>
          <w:t>5.10</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Operating expenses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_Toc152614992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110</w:t>
        </w:r>
        <w:r w:rsidR="00002509" w:rsidRPr="007F6332">
          <w:rPr>
            <w:rFonts w:ascii="Arial" w:hAnsi="Arial" w:cs="Arial"/>
            <w:noProof/>
            <w:webHidden/>
          </w:rPr>
          <w:fldChar w:fldCharType="end"/>
        </w:r>
      </w:hyperlink>
    </w:p>
    <w:p w14:paraId="19C5643B" w14:textId="27F1394B"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4993" w:history="1">
        <w:r w:rsidR="00002509" w:rsidRPr="007F6332">
          <w:rPr>
            <w:rStyle w:val="Hyperlink"/>
            <w:rFonts w:ascii="Arial" w:hAnsi="Arial" w:cs="Arial"/>
            <w:noProof/>
          </w:rPr>
          <w:t>6.</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Uncertainty and comparisons to previous projections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_Toc152614993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113</w:t>
        </w:r>
        <w:r w:rsidR="00002509" w:rsidRPr="007F6332">
          <w:rPr>
            <w:rFonts w:ascii="Arial" w:hAnsi="Arial" w:cs="Arial"/>
            <w:noProof/>
            <w:webHidden/>
          </w:rPr>
          <w:fldChar w:fldCharType="end"/>
        </w:r>
      </w:hyperlink>
    </w:p>
    <w:p w14:paraId="44A2E2F5" w14:textId="7BDB7188"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94" w:history="1">
        <w:r w:rsidR="00002509" w:rsidRPr="007F6332">
          <w:rPr>
            <w:rStyle w:val="Hyperlink"/>
            <w:rFonts w:ascii="Arial" w:hAnsi="Arial" w:cs="Arial"/>
            <w:noProof/>
          </w:rPr>
          <w:t>6.1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Scenario analysis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_Toc152614994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113</w:t>
        </w:r>
        <w:r w:rsidR="00002509" w:rsidRPr="007F6332">
          <w:rPr>
            <w:rFonts w:ascii="Arial" w:hAnsi="Arial" w:cs="Arial"/>
            <w:noProof/>
            <w:webHidden/>
          </w:rPr>
          <w:fldChar w:fldCharType="end"/>
        </w:r>
      </w:hyperlink>
    </w:p>
    <w:p w14:paraId="37E99B55" w14:textId="77EDD03F"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95" w:history="1">
        <w:r w:rsidR="00002509" w:rsidRPr="007F6332">
          <w:rPr>
            <w:rStyle w:val="Hyperlink"/>
            <w:rFonts w:ascii="Arial" w:hAnsi="Arial" w:cs="Arial"/>
            <w:noProof/>
          </w:rPr>
          <w:t>6.2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Stochastic modelling</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_Toc152614995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120</w:t>
        </w:r>
        <w:r w:rsidR="00002509" w:rsidRPr="007F6332">
          <w:rPr>
            <w:rFonts w:ascii="Arial" w:hAnsi="Arial" w:cs="Arial"/>
            <w:noProof/>
            <w:webHidden/>
          </w:rPr>
          <w:fldChar w:fldCharType="end"/>
        </w:r>
      </w:hyperlink>
    </w:p>
    <w:p w14:paraId="17F8ECEA" w14:textId="34BE303D"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96" w:history="1">
        <w:r w:rsidR="00002509" w:rsidRPr="007F6332">
          <w:rPr>
            <w:rStyle w:val="Hyperlink"/>
            <w:rFonts w:ascii="Arial" w:hAnsi="Arial" w:cs="Arial"/>
            <w:noProof/>
          </w:rPr>
          <w:t>6.3</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Judgement and materiality of assumptions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_Toc152614996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125</w:t>
        </w:r>
        <w:r w:rsidR="00002509" w:rsidRPr="007F6332">
          <w:rPr>
            <w:rFonts w:ascii="Arial" w:hAnsi="Arial" w:cs="Arial"/>
            <w:noProof/>
            <w:webHidden/>
          </w:rPr>
          <w:fldChar w:fldCharType="end"/>
        </w:r>
      </w:hyperlink>
    </w:p>
    <w:p w14:paraId="43A5891A" w14:textId="545FF743"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97" w:history="1">
        <w:r w:rsidR="00002509" w:rsidRPr="007F6332">
          <w:rPr>
            <w:rStyle w:val="Hyperlink"/>
            <w:rFonts w:ascii="Arial" w:hAnsi="Arial" w:cs="Arial"/>
            <w:noProof/>
          </w:rPr>
          <w:t>6.4</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Historic AFSR projections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_Toc152614997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127</w:t>
        </w:r>
        <w:r w:rsidR="00002509" w:rsidRPr="007F6332">
          <w:rPr>
            <w:rFonts w:ascii="Arial" w:hAnsi="Arial" w:cs="Arial"/>
            <w:noProof/>
            <w:webHidden/>
          </w:rPr>
          <w:fldChar w:fldCharType="end"/>
        </w:r>
      </w:hyperlink>
    </w:p>
    <w:p w14:paraId="408977D9" w14:textId="3CF2D6B9"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4998" w:history="1">
        <w:r w:rsidR="00002509" w:rsidRPr="007F6332">
          <w:rPr>
            <w:rStyle w:val="Hyperlink"/>
            <w:rFonts w:ascii="Arial" w:hAnsi="Arial" w:cs="Arial"/>
            <w:noProof/>
          </w:rPr>
          <w:t>7.</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Participant outcomes and investment effectiveness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_Toc152614998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132</w:t>
        </w:r>
        <w:r w:rsidR="00002509" w:rsidRPr="007F6332">
          <w:rPr>
            <w:rFonts w:ascii="Arial" w:hAnsi="Arial" w:cs="Arial"/>
            <w:noProof/>
            <w:webHidden/>
          </w:rPr>
          <w:fldChar w:fldCharType="end"/>
        </w:r>
      </w:hyperlink>
    </w:p>
    <w:p w14:paraId="74C78BA8" w14:textId="4C6B494E"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4999" w:history="1">
        <w:r w:rsidR="00002509" w:rsidRPr="007F6332">
          <w:rPr>
            <w:rStyle w:val="Hyperlink"/>
            <w:rFonts w:ascii="Arial" w:hAnsi="Arial" w:cs="Arial"/>
            <w:noProof/>
          </w:rPr>
          <w:t>7.1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Outcomes and financial sustainability</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_Toc152614999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132</w:t>
        </w:r>
        <w:r w:rsidR="00002509" w:rsidRPr="007F6332">
          <w:rPr>
            <w:rFonts w:ascii="Arial" w:hAnsi="Arial" w:cs="Arial"/>
            <w:noProof/>
            <w:webHidden/>
          </w:rPr>
          <w:fldChar w:fldCharType="end"/>
        </w:r>
      </w:hyperlink>
    </w:p>
    <w:p w14:paraId="2645A558" w14:textId="42956ECA"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0" w:history="1">
        <w:r w:rsidR="00002509" w:rsidRPr="007F6332">
          <w:rPr>
            <w:rStyle w:val="Hyperlink"/>
            <w:rFonts w:ascii="Arial" w:hAnsi="Arial" w:cs="Arial"/>
            <w:noProof/>
          </w:rPr>
          <w:t>7.2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The outcomes framework questionnaires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_Toc152615000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133</w:t>
        </w:r>
        <w:r w:rsidR="00002509" w:rsidRPr="007F6332">
          <w:rPr>
            <w:rFonts w:ascii="Arial" w:hAnsi="Arial" w:cs="Arial"/>
            <w:noProof/>
            <w:webHidden/>
          </w:rPr>
          <w:fldChar w:fldCharType="end"/>
        </w:r>
      </w:hyperlink>
    </w:p>
    <w:p w14:paraId="58E4D771" w14:textId="0A872D08"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1" w:history="1">
        <w:r w:rsidR="00002509" w:rsidRPr="007F6332">
          <w:rPr>
            <w:rStyle w:val="Hyperlink"/>
            <w:rFonts w:ascii="Arial" w:hAnsi="Arial" w:cs="Arial"/>
            <w:noProof/>
          </w:rPr>
          <w:t>7.3</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Reporting on outcomes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_Toc152615001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136</w:t>
        </w:r>
        <w:r w:rsidR="00002509" w:rsidRPr="007F6332">
          <w:rPr>
            <w:rFonts w:ascii="Arial" w:hAnsi="Arial" w:cs="Arial"/>
            <w:noProof/>
            <w:webHidden/>
          </w:rPr>
          <w:fldChar w:fldCharType="end"/>
        </w:r>
      </w:hyperlink>
    </w:p>
    <w:p w14:paraId="5E29E5E9" w14:textId="2296250D"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2" w:history="1">
        <w:r w:rsidR="00002509" w:rsidRPr="007F6332">
          <w:rPr>
            <w:rStyle w:val="Hyperlink"/>
            <w:rFonts w:ascii="Arial" w:hAnsi="Arial" w:cs="Arial"/>
            <w:noProof/>
          </w:rPr>
          <w:t>7.4</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Participant outcomes – results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_Toc152615002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137</w:t>
        </w:r>
        <w:r w:rsidR="00002509" w:rsidRPr="007F6332">
          <w:rPr>
            <w:rFonts w:ascii="Arial" w:hAnsi="Arial" w:cs="Arial"/>
            <w:noProof/>
            <w:webHidden/>
          </w:rPr>
          <w:fldChar w:fldCharType="end"/>
        </w:r>
      </w:hyperlink>
    </w:p>
    <w:p w14:paraId="08661003" w14:textId="3BE2274C"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3" w:history="1">
        <w:r w:rsidR="00002509" w:rsidRPr="007F6332">
          <w:rPr>
            <w:rStyle w:val="Hyperlink"/>
            <w:rFonts w:ascii="Arial" w:hAnsi="Arial" w:cs="Arial"/>
            <w:noProof/>
          </w:rPr>
          <w:t>7.5</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“Has the NDIS helped?”</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_Toc152615003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142</w:t>
        </w:r>
        <w:r w:rsidR="00002509" w:rsidRPr="007F6332">
          <w:rPr>
            <w:rFonts w:ascii="Arial" w:hAnsi="Arial" w:cs="Arial"/>
            <w:noProof/>
            <w:webHidden/>
          </w:rPr>
          <w:fldChar w:fldCharType="end"/>
        </w:r>
      </w:hyperlink>
    </w:p>
    <w:p w14:paraId="4E80F9F0" w14:textId="2169C909"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4" w:history="1">
        <w:r w:rsidR="00002509" w:rsidRPr="007F6332">
          <w:rPr>
            <w:rStyle w:val="Hyperlink"/>
            <w:rFonts w:ascii="Arial" w:hAnsi="Arial" w:cs="Arial"/>
            <w:noProof/>
          </w:rPr>
          <w:t>7.7</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Results – “Has the NDIS helped?”</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_Toc152615004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150</w:t>
        </w:r>
        <w:r w:rsidR="00002509" w:rsidRPr="007F6332">
          <w:rPr>
            <w:rFonts w:ascii="Arial" w:hAnsi="Arial" w:cs="Arial"/>
            <w:noProof/>
            <w:webHidden/>
          </w:rPr>
          <w:fldChar w:fldCharType="end"/>
        </w:r>
      </w:hyperlink>
    </w:p>
    <w:p w14:paraId="45014487" w14:textId="5567F10D"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5" w:history="1">
        <w:r w:rsidR="00002509" w:rsidRPr="007F6332">
          <w:rPr>
            <w:rStyle w:val="Hyperlink"/>
            <w:rFonts w:ascii="Arial" w:hAnsi="Arial" w:cs="Arial"/>
            <w:noProof/>
          </w:rPr>
          <w:t>7.8</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Investment Effectiveness Analysis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_Toc152615005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152</w:t>
        </w:r>
        <w:r w:rsidR="00002509" w:rsidRPr="007F6332">
          <w:rPr>
            <w:rFonts w:ascii="Arial" w:hAnsi="Arial" w:cs="Arial"/>
            <w:noProof/>
            <w:webHidden/>
          </w:rPr>
          <w:fldChar w:fldCharType="end"/>
        </w:r>
      </w:hyperlink>
    </w:p>
    <w:p w14:paraId="5CAECECD" w14:textId="3FD492A3"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5006" w:history="1">
        <w:r w:rsidR="00002509" w:rsidRPr="007F6332">
          <w:rPr>
            <w:rStyle w:val="Hyperlink"/>
            <w:rFonts w:ascii="Arial" w:hAnsi="Arial" w:cs="Arial"/>
            <w:noProof/>
          </w:rPr>
          <w:t>8.</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Risk management</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_Toc152615006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153</w:t>
        </w:r>
        <w:r w:rsidR="00002509" w:rsidRPr="007F6332">
          <w:rPr>
            <w:rFonts w:ascii="Arial" w:hAnsi="Arial" w:cs="Arial"/>
            <w:noProof/>
            <w:webHidden/>
          </w:rPr>
          <w:fldChar w:fldCharType="end"/>
        </w:r>
      </w:hyperlink>
    </w:p>
    <w:p w14:paraId="39406D8F" w14:textId="78CC3AAC"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7" w:history="1">
        <w:r w:rsidR="00002509" w:rsidRPr="007F6332">
          <w:rPr>
            <w:rStyle w:val="Hyperlink"/>
            <w:rFonts w:ascii="Arial" w:hAnsi="Arial" w:cs="Arial"/>
            <w:noProof/>
            <w:lang w:val="en-AU"/>
          </w:rPr>
          <w:t>8.1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Introduction</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_Toc152615007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153</w:t>
        </w:r>
        <w:r w:rsidR="00002509" w:rsidRPr="007F6332">
          <w:rPr>
            <w:rFonts w:ascii="Arial" w:hAnsi="Arial" w:cs="Arial"/>
            <w:noProof/>
            <w:webHidden/>
          </w:rPr>
          <w:fldChar w:fldCharType="end"/>
        </w:r>
      </w:hyperlink>
    </w:p>
    <w:p w14:paraId="77B7CDAE" w14:textId="1EC12A34"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8" w:history="1">
        <w:r w:rsidR="00002509" w:rsidRPr="007F6332">
          <w:rPr>
            <w:rStyle w:val="Hyperlink"/>
            <w:rFonts w:ascii="Arial" w:hAnsi="Arial" w:cs="Arial"/>
            <w:noProof/>
            <w:lang w:val="en-AU"/>
          </w:rPr>
          <w:t>8.2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lang w:val="en-AU"/>
          </w:rPr>
          <w:t xml:space="preserve">Risk </w:t>
        </w:r>
        <w:r w:rsidR="00002509" w:rsidRPr="007F6332">
          <w:rPr>
            <w:rStyle w:val="Hyperlink"/>
            <w:rFonts w:ascii="Arial" w:hAnsi="Arial" w:cs="Arial"/>
            <w:noProof/>
          </w:rPr>
          <w:t>Management</w:t>
        </w:r>
        <w:r w:rsidR="00002509" w:rsidRPr="007F6332">
          <w:rPr>
            <w:rStyle w:val="Hyperlink"/>
            <w:rFonts w:ascii="Arial" w:hAnsi="Arial" w:cs="Arial"/>
            <w:noProof/>
            <w:lang w:val="en-AU"/>
          </w:rPr>
          <w:t xml:space="preserve"> Arrangements &amp; Responsibilities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_Toc152615008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154</w:t>
        </w:r>
        <w:r w:rsidR="00002509" w:rsidRPr="007F6332">
          <w:rPr>
            <w:rFonts w:ascii="Arial" w:hAnsi="Arial" w:cs="Arial"/>
            <w:noProof/>
            <w:webHidden/>
          </w:rPr>
          <w:fldChar w:fldCharType="end"/>
        </w:r>
      </w:hyperlink>
    </w:p>
    <w:p w14:paraId="615A7808" w14:textId="175F201F"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09" w:history="1">
        <w:r w:rsidR="00002509" w:rsidRPr="007F6332">
          <w:rPr>
            <w:rStyle w:val="Hyperlink"/>
            <w:rFonts w:ascii="Arial" w:hAnsi="Arial" w:cs="Arial"/>
            <w:noProof/>
            <w:lang w:val="en-AU"/>
          </w:rPr>
          <w:t>8.3</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Responsibilities</w:t>
        </w:r>
        <w:r w:rsidR="00002509" w:rsidRPr="007F6332">
          <w:rPr>
            <w:rStyle w:val="Hyperlink"/>
            <w:rFonts w:ascii="Arial" w:hAnsi="Arial" w:cs="Arial"/>
            <w:noProof/>
            <w:lang w:val="en-AU"/>
          </w:rPr>
          <w:t xml:space="preserve"> of the Scheme Actuary</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_Toc152615009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156</w:t>
        </w:r>
        <w:r w:rsidR="00002509" w:rsidRPr="007F6332">
          <w:rPr>
            <w:rFonts w:ascii="Arial" w:hAnsi="Arial" w:cs="Arial"/>
            <w:noProof/>
            <w:webHidden/>
          </w:rPr>
          <w:fldChar w:fldCharType="end"/>
        </w:r>
      </w:hyperlink>
    </w:p>
    <w:p w14:paraId="66BBB36E" w14:textId="77E77B8E"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10" w:history="1">
        <w:r w:rsidR="00002509" w:rsidRPr="007F6332">
          <w:rPr>
            <w:rStyle w:val="Hyperlink"/>
            <w:rFonts w:ascii="Arial" w:hAnsi="Arial" w:cs="Arial"/>
            <w:noProof/>
            <w:lang w:val="en-AU"/>
          </w:rPr>
          <w:t>8.4</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Corporate</w:t>
        </w:r>
        <w:r w:rsidR="00002509" w:rsidRPr="007F6332">
          <w:rPr>
            <w:rStyle w:val="Hyperlink"/>
            <w:rFonts w:ascii="Arial" w:hAnsi="Arial" w:cs="Arial"/>
            <w:noProof/>
            <w:lang w:val="en-AU"/>
          </w:rPr>
          <w:t xml:space="preserve"> Plan Strategic Risks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_Toc152615010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158</w:t>
        </w:r>
        <w:r w:rsidR="00002509" w:rsidRPr="007F6332">
          <w:rPr>
            <w:rFonts w:ascii="Arial" w:hAnsi="Arial" w:cs="Arial"/>
            <w:noProof/>
            <w:webHidden/>
          </w:rPr>
          <w:fldChar w:fldCharType="end"/>
        </w:r>
      </w:hyperlink>
    </w:p>
    <w:p w14:paraId="49DF6BB6" w14:textId="58F1A095"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11" w:history="1">
        <w:r w:rsidR="00002509" w:rsidRPr="007F6332">
          <w:rPr>
            <w:rStyle w:val="Hyperlink"/>
            <w:rFonts w:ascii="Arial" w:hAnsi="Arial" w:cs="Arial"/>
            <w:noProof/>
            <w:lang w:val="en-AU"/>
          </w:rPr>
          <w:t>8.5</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lang w:val="en-AU"/>
          </w:rPr>
          <w:t>Modelling Risks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_Toc152615011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165</w:t>
        </w:r>
        <w:r w:rsidR="00002509" w:rsidRPr="007F6332">
          <w:rPr>
            <w:rFonts w:ascii="Arial" w:hAnsi="Arial" w:cs="Arial"/>
            <w:noProof/>
            <w:webHidden/>
          </w:rPr>
          <w:fldChar w:fldCharType="end"/>
        </w:r>
      </w:hyperlink>
    </w:p>
    <w:p w14:paraId="1B33FC69" w14:textId="4A02034E"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12" w:history="1">
        <w:r w:rsidR="00002509" w:rsidRPr="007F6332">
          <w:rPr>
            <w:rStyle w:val="Hyperlink"/>
            <w:rFonts w:ascii="Arial" w:hAnsi="Arial" w:cs="Arial"/>
            <w:noProof/>
            <w:lang w:val="en-AU"/>
          </w:rPr>
          <w:t>8.6</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Business</w:t>
        </w:r>
        <w:r w:rsidR="00002509" w:rsidRPr="007F6332">
          <w:rPr>
            <w:rStyle w:val="Hyperlink"/>
            <w:rFonts w:ascii="Arial" w:hAnsi="Arial" w:cs="Arial"/>
            <w:noProof/>
            <w:lang w:val="en-AU"/>
          </w:rPr>
          <w:t xml:space="preserve"> continuity and Risk management system</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_Toc152615012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166</w:t>
        </w:r>
        <w:r w:rsidR="00002509" w:rsidRPr="007F6332">
          <w:rPr>
            <w:rFonts w:ascii="Arial" w:hAnsi="Arial" w:cs="Arial"/>
            <w:noProof/>
            <w:webHidden/>
          </w:rPr>
          <w:fldChar w:fldCharType="end"/>
        </w:r>
      </w:hyperlink>
    </w:p>
    <w:p w14:paraId="34671313" w14:textId="6F10CCD1"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13" w:history="1">
        <w:r w:rsidR="00002509" w:rsidRPr="007F6332">
          <w:rPr>
            <w:rStyle w:val="Hyperlink"/>
            <w:rFonts w:ascii="Arial" w:hAnsi="Arial" w:cs="Arial"/>
            <w:noProof/>
            <w:lang w:val="en-AU"/>
          </w:rPr>
          <w:t>8.7</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Assessment</w:t>
        </w:r>
        <w:r w:rsidR="00002509" w:rsidRPr="007F6332">
          <w:rPr>
            <w:rStyle w:val="Hyperlink"/>
            <w:rFonts w:ascii="Arial" w:hAnsi="Arial" w:cs="Arial"/>
            <w:noProof/>
            <w:lang w:val="en-AU"/>
          </w:rPr>
          <w:t xml:space="preserve"> of the Risk Management Framework</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_Toc152615013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166</w:t>
        </w:r>
        <w:r w:rsidR="00002509" w:rsidRPr="007F6332">
          <w:rPr>
            <w:rFonts w:ascii="Arial" w:hAnsi="Arial" w:cs="Arial"/>
            <w:noProof/>
            <w:webHidden/>
          </w:rPr>
          <w:fldChar w:fldCharType="end"/>
        </w:r>
      </w:hyperlink>
    </w:p>
    <w:p w14:paraId="71538BF4" w14:textId="58C58C1E" w:rsidR="00002509" w:rsidRPr="007F6332" w:rsidRDefault="00196ACD">
      <w:pPr>
        <w:pStyle w:val="TOC1"/>
        <w:tabs>
          <w:tab w:val="left" w:pos="440"/>
          <w:tab w:val="right" w:leader="dot" w:pos="9016"/>
        </w:tabs>
        <w:rPr>
          <w:rFonts w:ascii="Arial" w:hAnsi="Arial" w:cs="Arial"/>
          <w:b w:val="0"/>
          <w:bCs w:val="0"/>
          <w:noProof/>
          <w:kern w:val="2"/>
          <w:sz w:val="22"/>
          <w:szCs w:val="22"/>
          <w:lang w:val="en-AU" w:eastAsia="en-AU"/>
          <w14:ligatures w14:val="standardContextual"/>
        </w:rPr>
      </w:pPr>
      <w:hyperlink w:anchor="_Toc152615014" w:history="1">
        <w:r w:rsidR="00002509" w:rsidRPr="007F6332">
          <w:rPr>
            <w:rStyle w:val="Hyperlink"/>
            <w:rFonts w:ascii="Arial" w:hAnsi="Arial" w:cs="Arial"/>
            <w:noProof/>
          </w:rPr>
          <w:t>9.</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Recommendations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_Toc152615014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167</w:t>
        </w:r>
        <w:r w:rsidR="00002509" w:rsidRPr="007F6332">
          <w:rPr>
            <w:rFonts w:ascii="Arial" w:hAnsi="Arial" w:cs="Arial"/>
            <w:noProof/>
            <w:webHidden/>
          </w:rPr>
          <w:fldChar w:fldCharType="end"/>
        </w:r>
      </w:hyperlink>
    </w:p>
    <w:p w14:paraId="2D2CF77E" w14:textId="03CBFF06"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15" w:history="1">
        <w:r w:rsidR="00002509" w:rsidRPr="007F6332">
          <w:rPr>
            <w:rStyle w:val="Hyperlink"/>
            <w:rFonts w:ascii="Arial" w:hAnsi="Arial" w:cs="Arial"/>
            <w:noProof/>
          </w:rPr>
          <w:t>9.1</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Key themes and progress since previous review</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_Toc152615015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168</w:t>
        </w:r>
        <w:r w:rsidR="00002509" w:rsidRPr="007F6332">
          <w:rPr>
            <w:rFonts w:ascii="Arial" w:hAnsi="Arial" w:cs="Arial"/>
            <w:noProof/>
            <w:webHidden/>
          </w:rPr>
          <w:fldChar w:fldCharType="end"/>
        </w:r>
      </w:hyperlink>
    </w:p>
    <w:p w14:paraId="311F6D53" w14:textId="4CB079E4" w:rsidR="00002509" w:rsidRPr="007F6332" w:rsidRDefault="00196ACD" w:rsidP="00F365D3">
      <w:pPr>
        <w:pStyle w:val="TOC2"/>
        <w:rPr>
          <w:rFonts w:ascii="Arial" w:hAnsi="Arial" w:cs="Arial"/>
          <w:noProof/>
          <w:kern w:val="2"/>
          <w:sz w:val="22"/>
          <w:szCs w:val="22"/>
          <w:lang w:val="en-AU" w:eastAsia="en-AU"/>
          <w14:ligatures w14:val="standardContextual"/>
        </w:rPr>
      </w:pPr>
      <w:hyperlink w:anchor="_Toc152615016" w:history="1">
        <w:r w:rsidR="00002509" w:rsidRPr="007F6332">
          <w:rPr>
            <w:rStyle w:val="Hyperlink"/>
            <w:rFonts w:ascii="Arial" w:hAnsi="Arial" w:cs="Arial"/>
            <w:noProof/>
          </w:rPr>
          <w:t>9.2</w:t>
        </w:r>
        <w:r w:rsidR="00002509" w:rsidRPr="007F6332">
          <w:rPr>
            <w:rFonts w:ascii="Arial" w:hAnsi="Arial" w:cs="Arial"/>
            <w:noProof/>
            <w:kern w:val="2"/>
            <w:sz w:val="22"/>
            <w:szCs w:val="22"/>
            <w:lang w:val="en-AU" w:eastAsia="en-AU"/>
            <w14:ligatures w14:val="standardContextual"/>
          </w:rPr>
          <w:tab/>
        </w:r>
        <w:r w:rsidR="00002509" w:rsidRPr="007F6332">
          <w:rPr>
            <w:rStyle w:val="Hyperlink"/>
            <w:rFonts w:ascii="Arial" w:hAnsi="Arial" w:cs="Arial"/>
            <w:noProof/>
          </w:rPr>
          <w:t>Recommendations from this review</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_Toc152615016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171</w:t>
        </w:r>
        <w:r w:rsidR="00002509" w:rsidRPr="007F6332">
          <w:rPr>
            <w:rFonts w:ascii="Arial" w:hAnsi="Arial" w:cs="Arial"/>
            <w:noProof/>
            <w:webHidden/>
          </w:rPr>
          <w:fldChar w:fldCharType="end"/>
        </w:r>
      </w:hyperlink>
    </w:p>
    <w:p w14:paraId="1DB1C6BF" w14:textId="3CD9653E" w:rsidR="00002509" w:rsidRPr="007F6332" w:rsidRDefault="00196ACD">
      <w:pPr>
        <w:pStyle w:val="TOC1"/>
        <w:tabs>
          <w:tab w:val="right" w:leader="dot" w:pos="9016"/>
        </w:tabs>
        <w:rPr>
          <w:rFonts w:ascii="Arial" w:hAnsi="Arial" w:cs="Arial"/>
          <w:b w:val="0"/>
          <w:bCs w:val="0"/>
          <w:noProof/>
          <w:kern w:val="2"/>
          <w:sz w:val="22"/>
          <w:szCs w:val="22"/>
          <w:lang w:val="en-AU" w:eastAsia="en-AU"/>
          <w14:ligatures w14:val="standardContextual"/>
        </w:rPr>
      </w:pPr>
      <w:hyperlink w:anchor="_Toc152615017" w:history="1">
        <w:r w:rsidR="00002509" w:rsidRPr="007F6332">
          <w:rPr>
            <w:rStyle w:val="Hyperlink"/>
            <w:rFonts w:ascii="Arial" w:hAnsi="Arial" w:cs="Arial"/>
            <w:noProof/>
          </w:rPr>
          <w:t>Appendix</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_Toc152615017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181</w:t>
        </w:r>
        <w:r w:rsidR="00002509" w:rsidRPr="007F6332">
          <w:rPr>
            <w:rFonts w:ascii="Arial" w:hAnsi="Arial" w:cs="Arial"/>
            <w:noProof/>
            <w:webHidden/>
          </w:rPr>
          <w:fldChar w:fldCharType="end"/>
        </w:r>
      </w:hyperlink>
    </w:p>
    <w:p w14:paraId="48224CB3" w14:textId="5B04765F"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18" w:history="1">
        <w:r w:rsidR="00002509" w:rsidRPr="007F6332">
          <w:rPr>
            <w:rStyle w:val="Hyperlink"/>
            <w:rFonts w:ascii="Arial" w:hAnsi="Arial" w:cs="Arial"/>
            <w:noProof/>
          </w:rPr>
          <w:t>Appendix A</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Comparison to previous review – detailed tables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_Toc152615018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182</w:t>
        </w:r>
        <w:r w:rsidR="00002509" w:rsidRPr="007F6332">
          <w:rPr>
            <w:rFonts w:ascii="Arial" w:hAnsi="Arial" w:cs="Arial"/>
            <w:noProof/>
            <w:webHidden/>
          </w:rPr>
          <w:fldChar w:fldCharType="end"/>
        </w:r>
      </w:hyperlink>
    </w:p>
    <w:p w14:paraId="66E55B85" w14:textId="47E1CF31"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19" w:history="1">
        <w:r w:rsidR="00002509" w:rsidRPr="007F6332">
          <w:rPr>
            <w:rStyle w:val="Hyperlink"/>
            <w:rFonts w:ascii="Arial" w:hAnsi="Arial" w:cs="Arial"/>
            <w:noProof/>
          </w:rPr>
          <w:t>Appendix B</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Reconciliation to previous review</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_Toc152615019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189</w:t>
        </w:r>
        <w:r w:rsidR="00002509" w:rsidRPr="007F6332">
          <w:rPr>
            <w:rFonts w:ascii="Arial" w:hAnsi="Arial" w:cs="Arial"/>
            <w:noProof/>
            <w:webHidden/>
          </w:rPr>
          <w:fldChar w:fldCharType="end"/>
        </w:r>
      </w:hyperlink>
    </w:p>
    <w:p w14:paraId="07F4FE1F" w14:textId="068C8884"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0" w:history="1">
        <w:r w:rsidR="00002509" w:rsidRPr="007F6332">
          <w:rPr>
            <w:rStyle w:val="Hyperlink"/>
            <w:rFonts w:ascii="Arial" w:hAnsi="Arial" w:cs="Arial"/>
            <w:noProof/>
          </w:rPr>
          <w:t>Appendix C</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State and territory breakdown</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_Toc152615020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191</w:t>
        </w:r>
        <w:r w:rsidR="00002509" w:rsidRPr="007F6332">
          <w:rPr>
            <w:rFonts w:ascii="Arial" w:hAnsi="Arial" w:cs="Arial"/>
            <w:noProof/>
            <w:webHidden/>
          </w:rPr>
          <w:fldChar w:fldCharType="end"/>
        </w:r>
      </w:hyperlink>
    </w:p>
    <w:p w14:paraId="5CC5A7F4" w14:textId="22FC5AE1"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1" w:history="1">
        <w:r w:rsidR="00002509" w:rsidRPr="007F6332">
          <w:rPr>
            <w:rStyle w:val="Hyperlink"/>
            <w:rFonts w:ascii="Arial" w:hAnsi="Arial" w:cs="Arial"/>
            <w:noProof/>
          </w:rPr>
          <w:t>Appendix D</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Scheme experience —participants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_Toc152615021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193</w:t>
        </w:r>
        <w:r w:rsidR="00002509" w:rsidRPr="007F6332">
          <w:rPr>
            <w:rFonts w:ascii="Arial" w:hAnsi="Arial" w:cs="Arial"/>
            <w:noProof/>
            <w:webHidden/>
          </w:rPr>
          <w:fldChar w:fldCharType="end"/>
        </w:r>
      </w:hyperlink>
    </w:p>
    <w:p w14:paraId="25C91A6D" w14:textId="4E14B9DF"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2" w:history="1">
        <w:r w:rsidR="00002509" w:rsidRPr="007F6332">
          <w:rPr>
            <w:rStyle w:val="Hyperlink"/>
            <w:rFonts w:ascii="Arial" w:hAnsi="Arial" w:cs="Arial"/>
            <w:noProof/>
          </w:rPr>
          <w:t>Appendix E</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Scheme experience — payments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_Toc152615022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196</w:t>
        </w:r>
        <w:r w:rsidR="00002509" w:rsidRPr="007F6332">
          <w:rPr>
            <w:rFonts w:ascii="Arial" w:hAnsi="Arial" w:cs="Arial"/>
            <w:noProof/>
            <w:webHidden/>
          </w:rPr>
          <w:fldChar w:fldCharType="end"/>
        </w:r>
      </w:hyperlink>
    </w:p>
    <w:p w14:paraId="2F0798D2" w14:textId="7D5B55EE"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3" w:history="1">
        <w:r w:rsidR="00002509" w:rsidRPr="007F6332">
          <w:rPr>
            <w:rStyle w:val="Hyperlink"/>
            <w:rFonts w:ascii="Arial" w:hAnsi="Arial" w:cs="Arial"/>
            <w:noProof/>
          </w:rPr>
          <w:t>Appendix F</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Scheme experience – plan budgets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_Toc152615023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200</w:t>
        </w:r>
        <w:r w:rsidR="00002509" w:rsidRPr="007F6332">
          <w:rPr>
            <w:rFonts w:ascii="Arial" w:hAnsi="Arial" w:cs="Arial"/>
            <w:noProof/>
            <w:webHidden/>
          </w:rPr>
          <w:fldChar w:fldCharType="end"/>
        </w:r>
      </w:hyperlink>
    </w:p>
    <w:p w14:paraId="517E863B" w14:textId="794A98BA"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4" w:history="1">
        <w:r w:rsidR="00002509" w:rsidRPr="007F6332">
          <w:rPr>
            <w:rStyle w:val="Hyperlink"/>
            <w:rFonts w:ascii="Arial" w:hAnsi="Arial" w:cs="Arial"/>
            <w:noProof/>
          </w:rPr>
          <w:t>Appendix G</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Analysis of Scheme new entrant rates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_Toc152615024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202</w:t>
        </w:r>
        <w:r w:rsidR="00002509" w:rsidRPr="007F6332">
          <w:rPr>
            <w:rFonts w:ascii="Arial" w:hAnsi="Arial" w:cs="Arial"/>
            <w:noProof/>
            <w:webHidden/>
          </w:rPr>
          <w:fldChar w:fldCharType="end"/>
        </w:r>
      </w:hyperlink>
    </w:p>
    <w:p w14:paraId="7DF06C62" w14:textId="3FD2B982"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5" w:history="1">
        <w:r w:rsidR="00002509" w:rsidRPr="007F6332">
          <w:rPr>
            <w:rStyle w:val="Hyperlink"/>
            <w:rFonts w:ascii="Arial" w:hAnsi="Arial" w:cs="Arial"/>
            <w:noProof/>
          </w:rPr>
          <w:t>Appendix H</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 xml:space="preserve"> Review of Scheme mortality</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_Toc152615025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215</w:t>
        </w:r>
        <w:r w:rsidR="00002509" w:rsidRPr="007F6332">
          <w:rPr>
            <w:rFonts w:ascii="Arial" w:hAnsi="Arial" w:cs="Arial"/>
            <w:noProof/>
            <w:webHidden/>
          </w:rPr>
          <w:fldChar w:fldCharType="end"/>
        </w:r>
      </w:hyperlink>
    </w:p>
    <w:p w14:paraId="0B7ADB79" w14:textId="76F6310C"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6" w:history="1">
        <w:r w:rsidR="00002509" w:rsidRPr="007F6332">
          <w:rPr>
            <w:rStyle w:val="Hyperlink"/>
            <w:rFonts w:ascii="Arial" w:hAnsi="Arial" w:cs="Arial"/>
            <w:noProof/>
          </w:rPr>
          <w:t>Appendix I</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 xml:space="preserve"> Participants with SIL supports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_Toc152615026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228</w:t>
        </w:r>
        <w:r w:rsidR="00002509" w:rsidRPr="007F6332">
          <w:rPr>
            <w:rFonts w:ascii="Arial" w:hAnsi="Arial" w:cs="Arial"/>
            <w:noProof/>
            <w:webHidden/>
          </w:rPr>
          <w:fldChar w:fldCharType="end"/>
        </w:r>
      </w:hyperlink>
    </w:p>
    <w:p w14:paraId="03426BC8" w14:textId="56198AF7"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7" w:history="1">
        <w:r w:rsidR="00002509" w:rsidRPr="007F6332">
          <w:rPr>
            <w:rStyle w:val="Hyperlink"/>
            <w:rFonts w:ascii="Arial" w:hAnsi="Arial" w:cs="Arial"/>
            <w:noProof/>
          </w:rPr>
          <w:t>Appendix J</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Average payment assumption setting details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_Toc152615027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241</w:t>
        </w:r>
        <w:r w:rsidR="00002509" w:rsidRPr="007F6332">
          <w:rPr>
            <w:rFonts w:ascii="Arial" w:hAnsi="Arial" w:cs="Arial"/>
            <w:noProof/>
            <w:webHidden/>
          </w:rPr>
          <w:fldChar w:fldCharType="end"/>
        </w:r>
      </w:hyperlink>
    </w:p>
    <w:p w14:paraId="262D7B53" w14:textId="4D148030"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8" w:history="1">
        <w:r w:rsidR="00002509" w:rsidRPr="007F6332">
          <w:rPr>
            <w:rStyle w:val="Hyperlink"/>
            <w:rFonts w:ascii="Arial" w:hAnsi="Arial" w:cs="Arial"/>
            <w:noProof/>
          </w:rPr>
          <w:t>Appendix K</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Projections – Plan budgets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_Toc152615028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246</w:t>
        </w:r>
        <w:r w:rsidR="00002509" w:rsidRPr="007F6332">
          <w:rPr>
            <w:rFonts w:ascii="Arial" w:hAnsi="Arial" w:cs="Arial"/>
            <w:noProof/>
            <w:webHidden/>
          </w:rPr>
          <w:fldChar w:fldCharType="end"/>
        </w:r>
      </w:hyperlink>
    </w:p>
    <w:p w14:paraId="39E0E450" w14:textId="10D0E908"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29" w:history="1">
        <w:r w:rsidR="00002509" w:rsidRPr="007F6332">
          <w:rPr>
            <w:rStyle w:val="Hyperlink"/>
            <w:rFonts w:ascii="Arial" w:hAnsi="Arial" w:cs="Arial"/>
            <w:noProof/>
          </w:rPr>
          <w:t>Appendix L</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Scenario analysis from previous AFSRs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_Toc152615029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247</w:t>
        </w:r>
        <w:r w:rsidR="00002509" w:rsidRPr="007F6332">
          <w:rPr>
            <w:rFonts w:ascii="Arial" w:hAnsi="Arial" w:cs="Arial"/>
            <w:noProof/>
            <w:webHidden/>
          </w:rPr>
          <w:fldChar w:fldCharType="end"/>
        </w:r>
      </w:hyperlink>
    </w:p>
    <w:p w14:paraId="03A3B4A5" w14:textId="46BC9BBF"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30" w:history="1">
        <w:r w:rsidR="00002509" w:rsidRPr="007F6332">
          <w:rPr>
            <w:rStyle w:val="Hyperlink"/>
            <w:rFonts w:ascii="Arial" w:hAnsi="Arial" w:cs="Arial"/>
            <w:noProof/>
          </w:rPr>
          <w:t xml:space="preserve">Appendix M </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Scenario analysis of participant numbers</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_Toc152615030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251</w:t>
        </w:r>
        <w:r w:rsidR="00002509" w:rsidRPr="007F6332">
          <w:rPr>
            <w:rFonts w:ascii="Arial" w:hAnsi="Arial" w:cs="Arial"/>
            <w:noProof/>
            <w:webHidden/>
          </w:rPr>
          <w:fldChar w:fldCharType="end"/>
        </w:r>
      </w:hyperlink>
    </w:p>
    <w:p w14:paraId="3A55E0C7" w14:textId="0FF17B9D" w:rsidR="00002509" w:rsidRPr="007F6332" w:rsidRDefault="00196ACD">
      <w:pPr>
        <w:pStyle w:val="TOC1"/>
        <w:tabs>
          <w:tab w:val="left" w:pos="1320"/>
          <w:tab w:val="right" w:leader="dot" w:pos="9016"/>
        </w:tabs>
        <w:rPr>
          <w:rFonts w:ascii="Arial" w:hAnsi="Arial" w:cs="Arial"/>
          <w:b w:val="0"/>
          <w:bCs w:val="0"/>
          <w:noProof/>
          <w:kern w:val="2"/>
          <w:sz w:val="22"/>
          <w:szCs w:val="22"/>
          <w:lang w:val="en-AU" w:eastAsia="en-AU"/>
          <w14:ligatures w14:val="standardContextual"/>
        </w:rPr>
      </w:pPr>
      <w:hyperlink w:anchor="_Toc152615031" w:history="1">
        <w:r w:rsidR="00002509" w:rsidRPr="007F6332">
          <w:rPr>
            <w:rStyle w:val="Hyperlink"/>
            <w:rFonts w:ascii="Arial" w:hAnsi="Arial" w:cs="Arial"/>
            <w:noProof/>
          </w:rPr>
          <w:t>Appendix N</w:t>
        </w:r>
        <w:r w:rsidR="00002509" w:rsidRPr="007F6332">
          <w:rPr>
            <w:rFonts w:ascii="Arial" w:hAnsi="Arial" w:cs="Arial"/>
            <w:b w:val="0"/>
            <w:bCs w:val="0"/>
            <w:noProof/>
            <w:kern w:val="2"/>
            <w:sz w:val="22"/>
            <w:szCs w:val="22"/>
            <w:lang w:val="en-AU" w:eastAsia="en-AU"/>
            <w14:ligatures w14:val="standardContextual"/>
          </w:rPr>
          <w:tab/>
        </w:r>
        <w:r w:rsidR="00002509" w:rsidRPr="007F6332">
          <w:rPr>
            <w:rStyle w:val="Hyperlink"/>
            <w:rFonts w:ascii="Arial" w:hAnsi="Arial" w:cs="Arial"/>
            <w:noProof/>
          </w:rPr>
          <w:t>Historic average participant payments by SIL type</w:t>
        </w:r>
        <w:r w:rsidR="00002509" w:rsidRPr="007F6332">
          <w:rPr>
            <w:rFonts w:ascii="Arial" w:hAnsi="Arial" w:cs="Arial"/>
            <w:noProof/>
            <w:webHidden/>
          </w:rPr>
          <w:tab/>
        </w:r>
        <w:r w:rsidR="00002509" w:rsidRPr="007F6332">
          <w:rPr>
            <w:rFonts w:ascii="Arial" w:hAnsi="Arial" w:cs="Arial"/>
            <w:noProof/>
            <w:webHidden/>
          </w:rPr>
          <w:fldChar w:fldCharType="begin"/>
        </w:r>
        <w:r w:rsidR="00002509" w:rsidRPr="007F6332">
          <w:rPr>
            <w:rFonts w:ascii="Arial" w:hAnsi="Arial" w:cs="Arial"/>
            <w:noProof/>
            <w:webHidden/>
          </w:rPr>
          <w:instrText xml:space="preserve"> PAGEREF _Toc152615031 \h </w:instrText>
        </w:r>
        <w:r w:rsidR="00002509" w:rsidRPr="007F6332">
          <w:rPr>
            <w:rFonts w:ascii="Arial" w:hAnsi="Arial" w:cs="Arial"/>
            <w:noProof/>
            <w:webHidden/>
          </w:rPr>
        </w:r>
        <w:r w:rsidR="00002509" w:rsidRPr="007F6332">
          <w:rPr>
            <w:rFonts w:ascii="Arial" w:hAnsi="Arial" w:cs="Arial"/>
            <w:noProof/>
            <w:webHidden/>
          </w:rPr>
          <w:fldChar w:fldCharType="separate"/>
        </w:r>
        <w:r w:rsidR="00AE4B14">
          <w:rPr>
            <w:rFonts w:ascii="Arial" w:hAnsi="Arial" w:cs="Arial"/>
            <w:noProof/>
            <w:webHidden/>
          </w:rPr>
          <w:t>254</w:t>
        </w:r>
        <w:r w:rsidR="00002509" w:rsidRPr="007F6332">
          <w:rPr>
            <w:rFonts w:ascii="Arial" w:hAnsi="Arial" w:cs="Arial"/>
            <w:noProof/>
            <w:webHidden/>
          </w:rPr>
          <w:fldChar w:fldCharType="end"/>
        </w:r>
      </w:hyperlink>
    </w:p>
    <w:p w14:paraId="7D93CB40" w14:textId="25BE8CBB" w:rsidR="009352B3" w:rsidRPr="007F6332" w:rsidRDefault="00572F94" w:rsidP="009A3BB7">
      <w:pPr>
        <w:rPr>
          <w:rFonts w:cs="Arial"/>
        </w:rPr>
      </w:pPr>
      <w:r w:rsidRPr="007F6332">
        <w:rPr>
          <w:rFonts w:cs="Arial"/>
          <w:sz w:val="20"/>
          <w:szCs w:val="20"/>
        </w:rPr>
        <w:fldChar w:fldCharType="end"/>
      </w:r>
      <w:r w:rsidR="009352B3" w:rsidRPr="007F6332">
        <w:rPr>
          <w:rFonts w:cs="Arial"/>
        </w:rPr>
        <w:br w:type="page"/>
      </w:r>
    </w:p>
    <w:p w14:paraId="29E95D1F" w14:textId="3E216A72" w:rsidR="009352B3" w:rsidRPr="007F6332" w:rsidRDefault="009352B3" w:rsidP="00AD5D8E">
      <w:pPr>
        <w:pStyle w:val="Heading2"/>
        <w:numPr>
          <w:ilvl w:val="0"/>
          <w:numId w:val="0"/>
        </w:numPr>
        <w:rPr>
          <w:rFonts w:cs="Arial"/>
        </w:rPr>
      </w:pPr>
      <w:bookmarkStart w:id="2" w:name="_Toc146286139"/>
      <w:bookmarkStart w:id="3" w:name="_Toc152614959"/>
      <w:r w:rsidRPr="007F6332">
        <w:rPr>
          <w:rFonts w:cs="Arial"/>
        </w:rPr>
        <w:lastRenderedPageBreak/>
        <w:t xml:space="preserve">Executive </w:t>
      </w:r>
      <w:r w:rsidR="00651027" w:rsidRPr="007F6332">
        <w:rPr>
          <w:rFonts w:cs="Arial"/>
        </w:rPr>
        <w:t>S</w:t>
      </w:r>
      <w:r w:rsidRPr="007F6332">
        <w:rPr>
          <w:rFonts w:cs="Arial"/>
        </w:rPr>
        <w:t>ummary</w:t>
      </w:r>
      <w:bookmarkEnd w:id="2"/>
      <w:bookmarkEnd w:id="3"/>
    </w:p>
    <w:p w14:paraId="01D79668" w14:textId="77777777" w:rsidR="00154D6D" w:rsidRPr="007F6332" w:rsidRDefault="00154D6D" w:rsidP="00154D6D">
      <w:pPr>
        <w:pStyle w:val="FSRnormal"/>
        <w:rPr>
          <w:rFonts w:cs="Arial"/>
        </w:rPr>
      </w:pPr>
      <w:r w:rsidRPr="007F6332">
        <w:rPr>
          <w:rFonts w:cs="Arial"/>
        </w:rPr>
        <w:t xml:space="preserve">An annual financial sustainability report (AFSR) is required under section 180B of the NDIS Act and provides an assessment of the financial sustainability of the National Disability Insurance Scheme (“the Scheme”, or NDIS). The AFSR is </w:t>
      </w:r>
      <w:r w:rsidRPr="007F6332">
        <w:rPr>
          <w:rStyle w:val="FSRnormalChar"/>
          <w:rFonts w:cs="Arial"/>
        </w:rPr>
        <w:t>produced using data at 30 June each</w:t>
      </w:r>
      <w:r w:rsidRPr="007F6332">
        <w:rPr>
          <w:rFonts w:cs="Arial"/>
        </w:rPr>
        <w:t xml:space="preserve"> year and a summary of each year’s AFSR has been included in the NDIA annual report. This 2022-23 AFSR uses data to 30 June 2023 to project future Scheme expenses and these results are referred to as the “June 2023 projections”.</w:t>
      </w:r>
    </w:p>
    <w:p w14:paraId="46B1D305" w14:textId="29AF13E2" w:rsidR="00154D6D" w:rsidRPr="007F6332" w:rsidRDefault="00154D6D" w:rsidP="00154D6D">
      <w:pPr>
        <w:pStyle w:val="FSRnormal"/>
        <w:rPr>
          <w:rFonts w:cs="Arial"/>
        </w:rPr>
      </w:pPr>
      <w:r w:rsidRPr="007F6332">
        <w:rPr>
          <w:rFonts w:cs="Arial"/>
        </w:rPr>
        <w:t>The previous report was the AFSR released on 7 November 2022 (the “2021-22 AFSR”).</w:t>
      </w:r>
      <w:r w:rsidRPr="007F6332">
        <w:rPr>
          <w:rStyle w:val="FootnoteReference"/>
          <w:rFonts w:cs="Arial"/>
        </w:rPr>
        <w:footnoteReference w:id="2"/>
      </w:r>
      <w:r w:rsidRPr="007F6332">
        <w:rPr>
          <w:rFonts w:cs="Arial"/>
        </w:rPr>
        <w:t xml:space="preserve"> It was based on data to 30 June 2022, with commentary about experience to 30 June 2022 (the “previous review”). References to the previous review refer to results contained within that report, referred to as the “June 2022 projections”.</w:t>
      </w:r>
    </w:p>
    <w:p w14:paraId="154E36F9" w14:textId="77777777" w:rsidR="00AD5D8E" w:rsidRPr="007F6332" w:rsidRDefault="00AD5D8E" w:rsidP="00B55A92">
      <w:pPr>
        <w:pStyle w:val="FSRHeading2"/>
        <w:ind w:left="0" w:firstLine="0"/>
        <w:rPr>
          <w:rFonts w:cs="Arial"/>
        </w:rPr>
      </w:pPr>
      <w:r w:rsidRPr="007F6332">
        <w:rPr>
          <w:rFonts w:cs="Arial"/>
        </w:rPr>
        <w:t>Financial sustainability</w:t>
      </w:r>
    </w:p>
    <w:p w14:paraId="40721B39" w14:textId="133997F4" w:rsidR="00154D6D" w:rsidRPr="007F6332" w:rsidRDefault="00154D6D" w:rsidP="00C1755E">
      <w:pPr>
        <w:pStyle w:val="FSRnormal"/>
        <w:rPr>
          <w:rFonts w:cs="Arial"/>
          <w:i/>
          <w:iCs/>
        </w:rPr>
      </w:pPr>
      <w:r w:rsidRPr="007F6332">
        <w:rPr>
          <w:rFonts w:cs="Arial"/>
          <w:i/>
          <w:iCs/>
        </w:rPr>
        <w:t>The NDIS Insurance Principles and Financial Sustainability Manual</w:t>
      </w:r>
      <w:r w:rsidRPr="007F6332">
        <w:rPr>
          <w:rStyle w:val="FootnoteReference"/>
          <w:rFonts w:cs="Arial"/>
          <w:i/>
          <w:iCs/>
        </w:rPr>
        <w:footnoteReference w:id="3"/>
      </w:r>
      <w:r w:rsidRPr="007F6332">
        <w:rPr>
          <w:rFonts w:cs="Arial"/>
          <w:i/>
          <w:iCs/>
        </w:rPr>
        <w:t xml:space="preserve"> outlines the NDIS’ insurance model in detail and defines financial sustainability as the state where:</w:t>
      </w:r>
    </w:p>
    <w:p w14:paraId="748B4081" w14:textId="77777777" w:rsidR="00154D6D" w:rsidRPr="007F6332" w:rsidRDefault="00154D6D" w:rsidP="00C1755E">
      <w:pPr>
        <w:pStyle w:val="FSRlist"/>
        <w:rPr>
          <w:rFonts w:cs="Arial"/>
          <w:i/>
          <w:iCs/>
        </w:rPr>
      </w:pPr>
      <w:r w:rsidRPr="007F6332">
        <w:rPr>
          <w:rFonts w:cs="Arial"/>
          <w:i/>
          <w:iCs/>
        </w:rPr>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4530F3FF" w14:textId="0ED46698" w:rsidR="00154D6D" w:rsidRPr="007F6332" w:rsidRDefault="00154D6D" w:rsidP="00C1755E">
      <w:pPr>
        <w:pStyle w:val="FSRlist"/>
        <w:rPr>
          <w:rFonts w:cs="Arial"/>
          <w:b/>
          <w:i/>
          <w:iCs/>
        </w:rPr>
      </w:pPr>
      <w:r w:rsidRPr="007F6332">
        <w:rPr>
          <w:rFonts w:cs="Arial"/>
          <w:i/>
          <w:iCs/>
        </w:rPr>
        <w:t>Contributors think that the cost is and will continue to be affordable, under control, represents value for money and, therefore, remain willing to contribute.</w:t>
      </w:r>
    </w:p>
    <w:p w14:paraId="65133C6E" w14:textId="77777777" w:rsidR="00154D6D" w:rsidRPr="007F6332" w:rsidRDefault="00154D6D" w:rsidP="00CD33D0">
      <w:pPr>
        <w:pStyle w:val="FSRHeading2"/>
        <w:ind w:left="0" w:firstLine="0"/>
        <w:rPr>
          <w:rFonts w:cs="Arial"/>
        </w:rPr>
      </w:pPr>
      <w:r w:rsidRPr="007F6332">
        <w:rPr>
          <w:rFonts w:cs="Arial"/>
        </w:rPr>
        <w:t>Context for 2022-23 AFSR</w:t>
      </w:r>
    </w:p>
    <w:p w14:paraId="4896F30B" w14:textId="3CBDDC98" w:rsidR="00154D6D" w:rsidRPr="007F6332" w:rsidRDefault="00154D6D" w:rsidP="00154D6D">
      <w:pPr>
        <w:pStyle w:val="FSRnormal"/>
        <w:rPr>
          <w:rFonts w:cs="Arial"/>
        </w:rPr>
      </w:pPr>
      <w:r w:rsidRPr="007F6332">
        <w:rPr>
          <w:rFonts w:cs="Arial"/>
        </w:rPr>
        <w:t xml:space="preserve">Since the previous review, mid-year Scheme projections were undertaken, and are referred to as the “December 2022 projections”. These were used as the basis for the 2023-24 </w:t>
      </w:r>
      <w:r w:rsidR="00D45F29" w:rsidRPr="007F6332">
        <w:rPr>
          <w:rFonts w:cs="Arial"/>
        </w:rPr>
        <w:t>Budget and</w:t>
      </w:r>
      <w:r w:rsidRPr="007F6332">
        <w:rPr>
          <w:rFonts w:cs="Arial"/>
        </w:rPr>
        <w:t xml:space="preserve"> included allowances for the expected impact of the measures announced to lift the NDIA’s capability, capacity, and systems to better support participants (“Budget measures”)</w:t>
      </w:r>
      <w:r w:rsidRPr="007F6332">
        <w:rPr>
          <w:rStyle w:val="FootnoteReference"/>
          <w:rFonts w:cs="Arial"/>
        </w:rPr>
        <w:footnoteReference w:id="4"/>
      </w:r>
      <w:r w:rsidRPr="007F6332">
        <w:rPr>
          <w:rFonts w:cs="Arial"/>
        </w:rPr>
        <w:t>. The 2023-24 Budget differs from the December 2022 projections in 2026-27 and later, as the Budget assumes growth in Scheme expenses from 2025-26 to 2026-27 of 8%, moderating thereafter. The NDIS Financial Sustainability Framework</w:t>
      </w:r>
      <w:r w:rsidRPr="007F6332">
        <w:rPr>
          <w:rStyle w:val="FootnoteReference"/>
          <w:rFonts w:cs="Arial"/>
        </w:rPr>
        <w:footnoteReference w:id="5"/>
      </w:r>
      <w:r w:rsidRPr="007F6332">
        <w:rPr>
          <w:rFonts w:cs="Arial"/>
        </w:rPr>
        <w:t>, which is outside the scope of the 2022-23 AFSR, was agreed by National Cabinet as part of the 2023-24 Budget to achieve this 8% growth target.</w:t>
      </w:r>
    </w:p>
    <w:p w14:paraId="61F6D8F7" w14:textId="3C9A986C" w:rsidR="00154D6D" w:rsidRPr="007F6332" w:rsidRDefault="00154D6D" w:rsidP="00154D6D">
      <w:pPr>
        <w:pStyle w:val="FSRnormal"/>
        <w:rPr>
          <w:rFonts w:cs="Arial"/>
        </w:rPr>
      </w:pPr>
      <w:bookmarkStart w:id="4" w:name="_Hlk150355127"/>
      <w:r w:rsidRPr="007F6332">
        <w:rPr>
          <w:rFonts w:cs="Arial"/>
        </w:rPr>
        <w:lastRenderedPageBreak/>
        <w:t>The Budget measures are aimed to support participant outcomes and the effective and sustainable operation of the Scheme, with the NDIA to implement a program of initiatives (“</w:t>
      </w:r>
      <w:r w:rsidR="002D6881" w:rsidRPr="007F6332">
        <w:rPr>
          <w:rFonts w:cs="Arial"/>
        </w:rPr>
        <w:t>Budget initiatives</w:t>
      </w:r>
      <w:r w:rsidRPr="007F6332">
        <w:rPr>
          <w:rFonts w:cs="Arial"/>
        </w:rPr>
        <w:t>”) designed to: improve early intervention outcomes for children in the Scheme, improve participant planning processes, and</w:t>
      </w:r>
      <w:r w:rsidR="00801BB4" w:rsidRPr="007F6332">
        <w:rPr>
          <w:rFonts w:cs="Arial"/>
        </w:rPr>
        <w:t xml:space="preserve"> improve</w:t>
      </w:r>
      <w:r w:rsidRPr="007F6332">
        <w:rPr>
          <w:rFonts w:cs="Arial"/>
        </w:rPr>
        <w:t xml:space="preserve"> consistency in Home and Living eligibility decisions for participants with complex and high support needs. The NDIA is using a co-design approach to develop the initiatives, working closely with participants, the Independent Advisory Council, Disability Representative and Carer Organisations and the disability sector more broadly. The initiatives are expected to drive moderated numbers of participants with developmental delay, greater participant trust in the NDIS supporting them over time, in turn leading to a moderation of future growth in participant plans, and stabilisation of numbers of participants with Supported Independent Living arrangements. </w:t>
      </w:r>
    </w:p>
    <w:p w14:paraId="55EE721E" w14:textId="25EDABB0" w:rsidR="00154D6D" w:rsidRPr="007F6332" w:rsidRDefault="00154D6D" w:rsidP="00154D6D">
      <w:pPr>
        <w:pStyle w:val="FSRnormal"/>
        <w:rPr>
          <w:rFonts w:cs="Arial"/>
        </w:rPr>
      </w:pPr>
      <w:r w:rsidRPr="007F6332">
        <w:rPr>
          <w:rFonts w:cs="Arial"/>
        </w:rPr>
        <w:t>Separately, the 2023 Intergenerational Report</w:t>
      </w:r>
      <w:r w:rsidRPr="007F6332">
        <w:rPr>
          <w:rStyle w:val="FootnoteReference"/>
          <w:rFonts w:cs="Arial"/>
        </w:rPr>
        <w:footnoteReference w:id="6"/>
      </w:r>
      <w:r w:rsidRPr="007F6332">
        <w:rPr>
          <w:rFonts w:cs="Arial"/>
        </w:rPr>
        <w:t xml:space="preserve"> (IGR) was published in August 2023, which is based on the 2023-24 Budget projections, allowing for the growth target of 8% in 2026-27, moderating thereafter. </w:t>
      </w:r>
    </w:p>
    <w:p w14:paraId="0043D199" w14:textId="3D957C96" w:rsidR="00AD5D8E" w:rsidRPr="007F6332" w:rsidRDefault="00154D6D" w:rsidP="00154D6D">
      <w:pPr>
        <w:pStyle w:val="FSRnormal"/>
        <w:rPr>
          <w:rFonts w:cs="Arial"/>
        </w:rPr>
      </w:pPr>
      <w:r w:rsidRPr="007F6332">
        <w:rPr>
          <w:rFonts w:cs="Arial"/>
        </w:rPr>
        <w:t xml:space="preserve">In October 2022, the Minister for the NDIS announced a review of the Scheme </w:t>
      </w:r>
      <w:r w:rsidR="00801BB4" w:rsidRPr="007F6332">
        <w:rPr>
          <w:rFonts w:cs="Arial"/>
        </w:rPr>
        <w:t xml:space="preserve">(“NDIS Review”) </w:t>
      </w:r>
      <w:r w:rsidRPr="007F6332">
        <w:rPr>
          <w:rFonts w:cs="Arial"/>
        </w:rPr>
        <w:t>to be conducted by an Independent Review Panel. The scope of the</w:t>
      </w:r>
      <w:r w:rsidR="00801BB4" w:rsidRPr="007F6332">
        <w:rPr>
          <w:rFonts w:cs="Arial"/>
        </w:rPr>
        <w:t xml:space="preserve"> NDIS</w:t>
      </w:r>
      <w:r w:rsidRPr="007F6332">
        <w:rPr>
          <w:rFonts w:cs="Arial"/>
        </w:rPr>
        <w:t xml:space="preserve"> </w:t>
      </w:r>
      <w:r w:rsidR="00801BB4" w:rsidRPr="007F6332">
        <w:rPr>
          <w:rFonts w:cs="Arial"/>
        </w:rPr>
        <w:t xml:space="preserve">Review </w:t>
      </w:r>
      <w:r w:rsidRPr="007F6332">
        <w:rPr>
          <w:rFonts w:cs="Arial"/>
        </w:rPr>
        <w:t>includes the design, operations, and sustainability of the NDIS as well as ways to build a more responsive, supportive, and sustainable market and workforce. The Independent Review Panel</w:t>
      </w:r>
      <w:r w:rsidRPr="007F6332">
        <w:rPr>
          <w:rStyle w:val="FootnoteReference"/>
          <w:rFonts w:cs="Arial"/>
        </w:rPr>
        <w:footnoteReference w:id="7"/>
      </w:r>
      <w:r w:rsidRPr="007F6332">
        <w:rPr>
          <w:rFonts w:cs="Arial"/>
        </w:rPr>
        <w:t xml:space="preserve"> provide</w:t>
      </w:r>
      <w:r w:rsidR="00B06458" w:rsidRPr="007F6332">
        <w:rPr>
          <w:rFonts w:cs="Arial"/>
        </w:rPr>
        <w:t>d</w:t>
      </w:r>
      <w:r w:rsidRPr="007F6332">
        <w:rPr>
          <w:rFonts w:cs="Arial"/>
        </w:rPr>
        <w:t xml:space="preserve"> a final report to the Disability Reform Ministers' Meeting in </w:t>
      </w:r>
      <w:r w:rsidR="00B06458" w:rsidRPr="007F6332">
        <w:rPr>
          <w:rFonts w:cs="Arial"/>
        </w:rPr>
        <w:t>November</w:t>
      </w:r>
      <w:r w:rsidRPr="007F6332">
        <w:rPr>
          <w:rFonts w:cs="Arial"/>
        </w:rPr>
        <w:t xml:space="preserve"> 2023. This AFSR, and the projections documented in it, do not allow for the impact of any future changes to the Scheme as a result of the recommendations made by the Independent Review Panel</w:t>
      </w:r>
      <w:r w:rsidR="00AD5D8E" w:rsidRPr="007F6332">
        <w:rPr>
          <w:rFonts w:cs="Arial"/>
        </w:rPr>
        <w:t>.</w:t>
      </w:r>
      <w:r w:rsidR="00582BC9" w:rsidRPr="007F6332">
        <w:rPr>
          <w:rFonts w:cs="Arial"/>
        </w:rPr>
        <w:t xml:space="preserve"> It is noted changes in legislative and policy settings arising from NDIS Review recommendations are anticipated to lead to further moderation in Scheme growth relative to those shown in this report</w:t>
      </w:r>
      <w:r w:rsidR="00B06458" w:rsidRPr="007F6332">
        <w:rPr>
          <w:rFonts w:cs="Arial"/>
        </w:rPr>
        <w:t xml:space="preserve"> from 2026-27 onwards</w:t>
      </w:r>
      <w:r w:rsidR="00582BC9" w:rsidRPr="007F6332">
        <w:rPr>
          <w:rFonts w:cs="Arial"/>
        </w:rPr>
        <w:t>, to achieve the target set by National Cabinet which is consistent with the 2023 IGR.</w:t>
      </w:r>
    </w:p>
    <w:bookmarkEnd w:id="4"/>
    <w:p w14:paraId="4EF13B7A" w14:textId="77777777" w:rsidR="00B55A92" w:rsidRPr="007F6332" w:rsidRDefault="00B55A92" w:rsidP="00CD33D0">
      <w:pPr>
        <w:pStyle w:val="FSRHeading2"/>
        <w:ind w:firstLine="0"/>
        <w:rPr>
          <w:rFonts w:cs="Arial"/>
        </w:rPr>
        <w:sectPr w:rsidR="00B55A92" w:rsidRPr="007F6332" w:rsidSect="00E53368">
          <w:footerReference w:type="default" r:id="rId13"/>
          <w:type w:val="continuous"/>
          <w:pgSz w:w="11906" w:h="16838"/>
          <w:pgMar w:top="1440" w:right="1440" w:bottom="1276" w:left="1440" w:header="708" w:footer="283" w:gutter="0"/>
          <w:pgNumType w:start="1"/>
          <w:cols w:space="708"/>
          <w:docGrid w:linePitch="360"/>
        </w:sectPr>
      </w:pPr>
    </w:p>
    <w:p w14:paraId="4994B3D5" w14:textId="77777777" w:rsidR="00154D6D" w:rsidRPr="007F6332" w:rsidRDefault="00154D6D" w:rsidP="00CD33D0">
      <w:pPr>
        <w:pStyle w:val="FSRHeading2"/>
        <w:ind w:left="0" w:firstLine="0"/>
        <w:rPr>
          <w:rFonts w:cs="Arial"/>
        </w:rPr>
      </w:pPr>
      <w:r w:rsidRPr="007F6332">
        <w:rPr>
          <w:rFonts w:cs="Arial"/>
        </w:rPr>
        <w:lastRenderedPageBreak/>
        <w:t>June 2023 projection of Scheme expenses</w:t>
      </w:r>
    </w:p>
    <w:p w14:paraId="50A0F2F0" w14:textId="6374489B" w:rsidR="00154D6D" w:rsidRPr="007F6332" w:rsidRDefault="00154D6D" w:rsidP="00154D6D">
      <w:pPr>
        <w:pStyle w:val="FSRnormal"/>
        <w:rPr>
          <w:rFonts w:cs="Arial"/>
          <w:lang w:val="en-US"/>
        </w:rPr>
      </w:pPr>
      <w:r w:rsidRPr="007F6332">
        <w:rPr>
          <w:rFonts w:cs="Arial"/>
          <w:lang w:val="en-US"/>
        </w:rPr>
        <w:t>Table 1 shows projected Scheme expenses on an accrual basis are $41.4 billion in 2023-24, increasing to $92.3 billion in 2032-33</w:t>
      </w:r>
      <w:r w:rsidRPr="007F6332">
        <w:rPr>
          <w:rFonts w:cs="Arial"/>
          <w:vertAlign w:val="superscript"/>
          <w:lang w:val="en-US"/>
        </w:rPr>
        <w:footnoteReference w:id="8"/>
      </w:r>
      <w:r w:rsidRPr="007F6332">
        <w:rPr>
          <w:rFonts w:cs="Arial"/>
          <w:lang w:val="en-US"/>
        </w:rPr>
        <w:t xml:space="preserve">. Total projected Scheme expenses are $193.7 billion for the four years to June 2027. The June 2023 projection of Scheme expenses incorporates revisions to assumptions and changes in future expectations since the previous review, and the December 2022 projections. These updated projections allow for the expected impact of the </w:t>
      </w:r>
      <w:r w:rsidR="002D6881" w:rsidRPr="007F6332">
        <w:rPr>
          <w:rFonts w:cs="Arial"/>
          <w:lang w:val="en-US"/>
        </w:rPr>
        <w:t>Budget initiatives</w:t>
      </w:r>
      <w:r w:rsidRPr="007F6332">
        <w:rPr>
          <w:rFonts w:cs="Arial"/>
          <w:lang w:val="en-US"/>
        </w:rPr>
        <w:t>, aimed to improve participant outcomes, and overall effectiveness and sustainability of the Scheme.</w:t>
      </w:r>
    </w:p>
    <w:p w14:paraId="4EFB69CD" w14:textId="2B520CC0" w:rsidR="00831DCB" w:rsidRPr="007F6332" w:rsidRDefault="00831DCB" w:rsidP="00831DCB">
      <w:pPr>
        <w:pStyle w:val="FSRnormal"/>
        <w:rPr>
          <w:rFonts w:cs="Arial"/>
        </w:rPr>
      </w:pPr>
      <w:r w:rsidRPr="007F6332">
        <w:rPr>
          <w:rFonts w:cs="Arial"/>
        </w:rPr>
        <w:t>It is important to recognise that the projected Scheme expenses are shown in nominal terms, i.e., future dollars of estimated Scheme expenses include the effects of inflation over time. This impact of inflation increases over the longer term and is particularly significant for the result in 2032-33. Scheme expenses are estimated to be 1.6% of GDP in 2023-24, increasing to 2.3% in 2032-33. In considering longer-term projections it is recommended users refer to expenses as a percentage of GDP rather than nominal dollar figures as these provide a more meaningful measure of Scheme expenses.</w:t>
      </w:r>
    </w:p>
    <w:p w14:paraId="44CC9540" w14:textId="44B9C433" w:rsidR="00AD5D8E" w:rsidRPr="007F6332" w:rsidRDefault="00857ACB" w:rsidP="00ED7418">
      <w:pPr>
        <w:pStyle w:val="FiguresandTablesHeading4"/>
      </w:pPr>
      <w:bookmarkStart w:id="5" w:name="_Ref112410973"/>
      <w:r w:rsidRPr="007F6332">
        <w:t xml:space="preserve">Table </w:t>
      </w:r>
      <w:r w:rsidRPr="007F6332">
        <w:fldChar w:fldCharType="begin"/>
      </w:r>
      <w:r w:rsidRPr="007F6332">
        <w:instrText xml:space="preserve"> SEQ Table \* ARABIC \s 2 </w:instrText>
      </w:r>
      <w:r w:rsidRPr="007F6332">
        <w:fldChar w:fldCharType="separate"/>
      </w:r>
      <w:r w:rsidR="00D82E58" w:rsidRPr="007F6332">
        <w:rPr>
          <w:noProof/>
        </w:rPr>
        <w:t>1</w:t>
      </w:r>
      <w:r w:rsidRPr="007F6332">
        <w:fldChar w:fldCharType="end"/>
      </w:r>
      <w:bookmarkEnd w:id="5"/>
      <w:r w:rsidRPr="007F6332">
        <w:t>: June 2023 projection of Scheme expenses</w:t>
      </w:r>
      <w:r w:rsidRPr="007F6332">
        <w:rPr>
          <w:rStyle w:val="FootnoteReference"/>
        </w:rPr>
        <w:t xml:space="preserve"> </w:t>
      </w:r>
      <w:r w:rsidR="00AD5D8E" w:rsidRPr="007F6332">
        <w:rPr>
          <w:rStyle w:val="FootnoteReference"/>
        </w:rPr>
        <w:footnoteReference w:id="9"/>
      </w:r>
      <w:r w:rsidR="00AD5D8E" w:rsidRPr="007F6332">
        <w:t xml:space="preserve"> </w:t>
      </w:r>
    </w:p>
    <w:tbl>
      <w:tblPr>
        <w:tblStyle w:val="FSRtable"/>
        <w:tblW w:w="5174" w:type="pct"/>
        <w:tblInd w:w="0" w:type="dxa"/>
        <w:tblLayout w:type="fixed"/>
        <w:tblLook w:val="04A0" w:firstRow="1" w:lastRow="0" w:firstColumn="1" w:lastColumn="0" w:noHBand="0" w:noVBand="1"/>
      </w:tblPr>
      <w:tblGrid>
        <w:gridCol w:w="2872"/>
        <w:gridCol w:w="1078"/>
        <w:gridCol w:w="1078"/>
        <w:gridCol w:w="1078"/>
        <w:gridCol w:w="1078"/>
        <w:gridCol w:w="1078"/>
        <w:gridCol w:w="1078"/>
      </w:tblGrid>
      <w:tr w:rsidR="00D45F29" w:rsidRPr="007F6332" w14:paraId="2C4B4846" w14:textId="77777777" w:rsidTr="00C1755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38" w:type="pct"/>
            <w:noWrap/>
            <w:hideMark/>
          </w:tcPr>
          <w:p w14:paraId="119A6C19" w14:textId="77777777" w:rsidR="00E36192" w:rsidRPr="007F6332" w:rsidRDefault="00E36192" w:rsidP="00ED7418">
            <w:pPr>
              <w:pStyle w:val="FiguresandTablesHeading4"/>
              <w:rPr>
                <w:rFonts w:eastAsia="Times New Roman"/>
                <w:b/>
                <w:bCs/>
                <w:color w:val="FFFFFF"/>
                <w:szCs w:val="22"/>
                <w:lang w:eastAsia="en-AU"/>
              </w:rPr>
            </w:pPr>
            <w:r w:rsidRPr="007F6332">
              <w:rPr>
                <w:rFonts w:eastAsia="Times New Roman"/>
                <w:bCs/>
                <w:color w:val="FFFFFF"/>
                <w:szCs w:val="22"/>
                <w:lang w:eastAsia="en-AU"/>
              </w:rPr>
              <w:t>Scheme Expenses ($m) </w:t>
            </w:r>
          </w:p>
        </w:tc>
        <w:tc>
          <w:tcPr>
            <w:tcW w:w="577" w:type="pct"/>
            <w:noWrap/>
            <w:hideMark/>
          </w:tcPr>
          <w:p w14:paraId="6C31A530" w14:textId="77777777" w:rsidR="00E36192" w:rsidRPr="007F6332" w:rsidRDefault="00E36192" w:rsidP="00ED7418">
            <w:pPr>
              <w:pStyle w:val="FiguresandTablesHeading4"/>
              <w:cnfStyle w:val="100000000000" w:firstRow="1" w:lastRow="0" w:firstColumn="0" w:lastColumn="0" w:oddVBand="0" w:evenVBand="0" w:oddHBand="0" w:evenHBand="0" w:firstRowFirstColumn="0" w:firstRowLastColumn="0" w:lastRowFirstColumn="0" w:lastRowLastColumn="0"/>
              <w:rPr>
                <w:rFonts w:eastAsia="Times New Roman"/>
                <w:b/>
                <w:bCs/>
                <w:color w:val="FFFFFF"/>
                <w:szCs w:val="22"/>
                <w:lang w:eastAsia="en-AU"/>
              </w:rPr>
            </w:pPr>
            <w:r w:rsidRPr="007F6332">
              <w:rPr>
                <w:rFonts w:eastAsia="Times New Roman"/>
                <w:bCs/>
                <w:color w:val="FFFFFF"/>
                <w:szCs w:val="22"/>
                <w:lang w:eastAsia="en-AU"/>
              </w:rPr>
              <w:t>2023-24</w:t>
            </w:r>
          </w:p>
        </w:tc>
        <w:tc>
          <w:tcPr>
            <w:tcW w:w="577" w:type="pct"/>
            <w:noWrap/>
            <w:hideMark/>
          </w:tcPr>
          <w:p w14:paraId="479B25C9" w14:textId="77777777" w:rsidR="00E36192" w:rsidRPr="007F6332" w:rsidRDefault="00E36192" w:rsidP="00ED7418">
            <w:pPr>
              <w:pStyle w:val="FiguresandTablesHeading4"/>
              <w:cnfStyle w:val="100000000000" w:firstRow="1" w:lastRow="0" w:firstColumn="0" w:lastColumn="0" w:oddVBand="0" w:evenVBand="0" w:oddHBand="0" w:evenHBand="0" w:firstRowFirstColumn="0" w:firstRowLastColumn="0" w:lastRowFirstColumn="0" w:lastRowLastColumn="0"/>
              <w:rPr>
                <w:rFonts w:eastAsia="Times New Roman"/>
                <w:b/>
                <w:bCs/>
                <w:color w:val="FFFFFF"/>
                <w:szCs w:val="22"/>
                <w:lang w:eastAsia="en-AU"/>
              </w:rPr>
            </w:pPr>
            <w:r w:rsidRPr="007F6332">
              <w:rPr>
                <w:rFonts w:eastAsia="Times New Roman"/>
                <w:bCs/>
                <w:color w:val="FFFFFF"/>
                <w:szCs w:val="22"/>
                <w:lang w:eastAsia="en-AU"/>
              </w:rPr>
              <w:t>2024-25</w:t>
            </w:r>
          </w:p>
        </w:tc>
        <w:tc>
          <w:tcPr>
            <w:tcW w:w="577" w:type="pct"/>
            <w:noWrap/>
            <w:hideMark/>
          </w:tcPr>
          <w:p w14:paraId="260579E5" w14:textId="77777777" w:rsidR="00E36192" w:rsidRPr="007F6332" w:rsidRDefault="00E36192" w:rsidP="00ED7418">
            <w:pPr>
              <w:pStyle w:val="FiguresandTablesHeading4"/>
              <w:cnfStyle w:val="100000000000" w:firstRow="1" w:lastRow="0" w:firstColumn="0" w:lastColumn="0" w:oddVBand="0" w:evenVBand="0" w:oddHBand="0" w:evenHBand="0" w:firstRowFirstColumn="0" w:firstRowLastColumn="0" w:lastRowFirstColumn="0" w:lastRowLastColumn="0"/>
              <w:rPr>
                <w:rFonts w:eastAsia="Times New Roman"/>
                <w:b/>
                <w:bCs/>
                <w:color w:val="FFFFFF"/>
                <w:szCs w:val="22"/>
                <w:lang w:eastAsia="en-AU"/>
              </w:rPr>
            </w:pPr>
            <w:r w:rsidRPr="007F6332">
              <w:rPr>
                <w:rFonts w:eastAsia="Times New Roman"/>
                <w:bCs/>
                <w:color w:val="FFFFFF"/>
                <w:szCs w:val="22"/>
                <w:lang w:eastAsia="en-AU"/>
              </w:rPr>
              <w:t>2025-26</w:t>
            </w:r>
          </w:p>
        </w:tc>
        <w:tc>
          <w:tcPr>
            <w:tcW w:w="577" w:type="pct"/>
            <w:tcBorders>
              <w:top w:val="single" w:sz="4" w:space="0" w:color="auto"/>
              <w:right w:val="dashed" w:sz="4" w:space="0" w:color="auto"/>
            </w:tcBorders>
            <w:noWrap/>
            <w:hideMark/>
          </w:tcPr>
          <w:p w14:paraId="3B2212EB" w14:textId="77777777" w:rsidR="00E36192" w:rsidRPr="007F6332" w:rsidRDefault="00E36192" w:rsidP="00ED7418">
            <w:pPr>
              <w:pStyle w:val="FiguresandTablesHeading4"/>
              <w:cnfStyle w:val="100000000000" w:firstRow="1" w:lastRow="0" w:firstColumn="0" w:lastColumn="0" w:oddVBand="0" w:evenVBand="0" w:oddHBand="0" w:evenHBand="0" w:firstRowFirstColumn="0" w:firstRowLastColumn="0" w:lastRowFirstColumn="0" w:lastRowLastColumn="0"/>
              <w:rPr>
                <w:rFonts w:eastAsia="Times New Roman"/>
                <w:b/>
                <w:bCs/>
                <w:color w:val="FFFFFF"/>
                <w:szCs w:val="22"/>
                <w:lang w:eastAsia="en-AU"/>
              </w:rPr>
            </w:pPr>
            <w:r w:rsidRPr="007F6332">
              <w:rPr>
                <w:rFonts w:eastAsia="Times New Roman"/>
                <w:bCs/>
                <w:color w:val="FFFFFF"/>
                <w:szCs w:val="22"/>
                <w:lang w:eastAsia="en-AU"/>
              </w:rPr>
              <w:t>2026-27</w:t>
            </w:r>
          </w:p>
        </w:tc>
        <w:tc>
          <w:tcPr>
            <w:tcW w:w="577" w:type="pct"/>
            <w:tcBorders>
              <w:top w:val="nil"/>
              <w:left w:val="dashed" w:sz="4" w:space="0" w:color="auto"/>
              <w:bottom w:val="nil"/>
              <w:right w:val="single" w:sz="4" w:space="0" w:color="auto"/>
            </w:tcBorders>
            <w:noWrap/>
            <w:hideMark/>
          </w:tcPr>
          <w:p w14:paraId="253C9B36" w14:textId="77777777" w:rsidR="00E36192" w:rsidRPr="007F6332" w:rsidRDefault="00E36192" w:rsidP="00ED7418">
            <w:pPr>
              <w:pStyle w:val="FiguresandTablesHeading4"/>
              <w:cnfStyle w:val="100000000000" w:firstRow="1" w:lastRow="0" w:firstColumn="0" w:lastColumn="0" w:oddVBand="0" w:evenVBand="0" w:oddHBand="0" w:evenHBand="0" w:firstRowFirstColumn="0" w:firstRowLastColumn="0" w:lastRowFirstColumn="0" w:lastRowLastColumn="0"/>
              <w:rPr>
                <w:rFonts w:eastAsia="Times New Roman"/>
                <w:b/>
                <w:bCs/>
                <w:color w:val="FFFFFF"/>
                <w:szCs w:val="22"/>
                <w:lang w:eastAsia="en-AU"/>
              </w:rPr>
            </w:pPr>
            <w:r w:rsidRPr="007F6332">
              <w:rPr>
                <w:rFonts w:eastAsia="Times New Roman"/>
                <w:bCs/>
                <w:color w:val="FFFFFF"/>
                <w:szCs w:val="22"/>
                <w:lang w:eastAsia="en-AU"/>
              </w:rPr>
              <w:t>2032-33</w:t>
            </w:r>
          </w:p>
        </w:tc>
        <w:tc>
          <w:tcPr>
            <w:tcW w:w="577" w:type="pct"/>
            <w:tcBorders>
              <w:left w:val="single" w:sz="4" w:space="0" w:color="auto"/>
            </w:tcBorders>
          </w:tcPr>
          <w:p w14:paraId="211B384B" w14:textId="77777777" w:rsidR="00E36192" w:rsidRPr="007F6332" w:rsidRDefault="00E36192" w:rsidP="00ED7418">
            <w:pPr>
              <w:pStyle w:val="FiguresandTablesHeading4"/>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Total 2023-27</w:t>
            </w:r>
          </w:p>
        </w:tc>
      </w:tr>
      <w:tr w:rsidR="00D45F29" w:rsidRPr="007F6332" w14:paraId="7924E4B8" w14:textId="77777777" w:rsidTr="00D45F29">
        <w:trPr>
          <w:trHeight w:val="301"/>
        </w:trPr>
        <w:tc>
          <w:tcPr>
            <w:cnfStyle w:val="001000000000" w:firstRow="0" w:lastRow="0" w:firstColumn="1" w:lastColumn="0" w:oddVBand="0" w:evenVBand="0" w:oddHBand="0" w:evenHBand="0" w:firstRowFirstColumn="0" w:firstRowLastColumn="0" w:lastRowFirstColumn="0" w:lastRowLastColumn="0"/>
            <w:tcW w:w="1538" w:type="pct"/>
            <w:tcBorders>
              <w:bottom w:val="nil"/>
            </w:tcBorders>
            <w:noWrap/>
            <w:hideMark/>
          </w:tcPr>
          <w:p w14:paraId="7A9EE7B2" w14:textId="77777777" w:rsidR="00831DCB" w:rsidRPr="007F6332" w:rsidRDefault="00831DCB" w:rsidP="00831DCB">
            <w:pPr>
              <w:rPr>
                <w:rFonts w:eastAsia="Times New Roman" w:cs="Arial"/>
                <w:color w:val="000000"/>
                <w:szCs w:val="22"/>
                <w:lang w:eastAsia="en-AU"/>
              </w:rPr>
            </w:pPr>
            <w:r w:rsidRPr="007F6332">
              <w:rPr>
                <w:rFonts w:eastAsia="Times New Roman" w:cs="Arial"/>
                <w:color w:val="000000"/>
                <w:szCs w:val="22"/>
                <w:lang w:eastAsia="en-AU"/>
              </w:rPr>
              <w:t>Participants (0-64)</w:t>
            </w:r>
          </w:p>
          <w:p w14:paraId="5F2073A7" w14:textId="5911C9FC" w:rsidR="00E36192" w:rsidRPr="007F6332" w:rsidRDefault="00831DCB" w:rsidP="00831DCB">
            <w:pPr>
              <w:rPr>
                <w:rFonts w:eastAsia="Times New Roman" w:cs="Arial"/>
                <w:color w:val="000000"/>
                <w:szCs w:val="22"/>
                <w:lang w:eastAsia="en-AU"/>
              </w:rPr>
            </w:pPr>
            <w:r w:rsidRPr="007F6332">
              <w:rPr>
                <w:rFonts w:eastAsia="Times New Roman" w:cs="Arial"/>
                <w:b/>
                <w:bCs/>
                <w:color w:val="000000"/>
                <w:szCs w:val="22"/>
                <w:lang w:eastAsia="en-AU"/>
              </w:rPr>
              <w:t>(cash basis)</w:t>
            </w:r>
          </w:p>
        </w:tc>
        <w:tc>
          <w:tcPr>
            <w:tcW w:w="577" w:type="pct"/>
            <w:tcBorders>
              <w:bottom w:val="nil"/>
            </w:tcBorders>
            <w:noWrap/>
          </w:tcPr>
          <w:p w14:paraId="7B01BFC8"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37,229</w:t>
            </w:r>
          </w:p>
        </w:tc>
        <w:tc>
          <w:tcPr>
            <w:tcW w:w="577" w:type="pct"/>
            <w:tcBorders>
              <w:bottom w:val="nil"/>
            </w:tcBorders>
            <w:noWrap/>
          </w:tcPr>
          <w:p w14:paraId="0D274E00"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41,228</w:t>
            </w:r>
          </w:p>
        </w:tc>
        <w:tc>
          <w:tcPr>
            <w:tcW w:w="577" w:type="pct"/>
            <w:tcBorders>
              <w:bottom w:val="nil"/>
            </w:tcBorders>
            <w:noWrap/>
          </w:tcPr>
          <w:p w14:paraId="37E810AB"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44,645</w:t>
            </w:r>
          </w:p>
        </w:tc>
        <w:tc>
          <w:tcPr>
            <w:tcW w:w="577" w:type="pct"/>
            <w:tcBorders>
              <w:bottom w:val="nil"/>
              <w:right w:val="dashed" w:sz="4" w:space="0" w:color="auto"/>
            </w:tcBorders>
            <w:noWrap/>
          </w:tcPr>
          <w:p w14:paraId="5CD45293"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48,026</w:t>
            </w:r>
          </w:p>
        </w:tc>
        <w:tc>
          <w:tcPr>
            <w:tcW w:w="577" w:type="pct"/>
            <w:tcBorders>
              <w:top w:val="nil"/>
              <w:left w:val="dashed" w:sz="4" w:space="0" w:color="auto"/>
              <w:bottom w:val="nil"/>
              <w:right w:val="single" w:sz="4" w:space="0" w:color="auto"/>
            </w:tcBorders>
            <w:noWrap/>
          </w:tcPr>
          <w:p w14:paraId="5870C52A"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77,991</w:t>
            </w:r>
          </w:p>
        </w:tc>
        <w:tc>
          <w:tcPr>
            <w:tcW w:w="577" w:type="pct"/>
            <w:tcBorders>
              <w:left w:val="single" w:sz="4" w:space="0" w:color="auto"/>
              <w:bottom w:val="nil"/>
            </w:tcBorders>
          </w:tcPr>
          <w:p w14:paraId="7948CE72"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szCs w:val="22"/>
              </w:rPr>
              <w:t>171,128</w:t>
            </w:r>
          </w:p>
        </w:tc>
      </w:tr>
      <w:tr w:rsidR="00125F16" w:rsidRPr="007F6332" w14:paraId="6301C934" w14:textId="77777777" w:rsidTr="00D45F2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8" w:type="pct"/>
            <w:tcBorders>
              <w:top w:val="nil"/>
              <w:bottom w:val="nil"/>
            </w:tcBorders>
            <w:shd w:val="clear" w:color="auto" w:fill="A7A9AC"/>
            <w:noWrap/>
            <w:hideMark/>
          </w:tcPr>
          <w:p w14:paraId="2600E5C3" w14:textId="77777777" w:rsidR="00831DCB" w:rsidRPr="007F6332" w:rsidRDefault="00831DCB" w:rsidP="00831DCB">
            <w:pPr>
              <w:rPr>
                <w:rFonts w:eastAsia="Times New Roman" w:cs="Arial"/>
                <w:color w:val="000000"/>
                <w:szCs w:val="22"/>
                <w:lang w:eastAsia="en-AU"/>
              </w:rPr>
            </w:pPr>
            <w:r w:rsidRPr="007F6332">
              <w:rPr>
                <w:rFonts w:eastAsia="Times New Roman" w:cs="Arial"/>
                <w:color w:val="000000"/>
                <w:szCs w:val="22"/>
                <w:lang w:eastAsia="en-AU"/>
              </w:rPr>
              <w:t xml:space="preserve">Participants (65+) </w:t>
            </w:r>
          </w:p>
          <w:p w14:paraId="17676A0C" w14:textId="0B7B43E8" w:rsidR="00E36192" w:rsidRPr="007F6332" w:rsidRDefault="00831DCB" w:rsidP="00831DCB">
            <w:pPr>
              <w:rPr>
                <w:rFonts w:eastAsia="Times New Roman" w:cs="Arial"/>
                <w:color w:val="000000"/>
                <w:szCs w:val="22"/>
                <w:lang w:eastAsia="en-AU"/>
              </w:rPr>
            </w:pPr>
            <w:r w:rsidRPr="007F6332">
              <w:rPr>
                <w:rFonts w:eastAsia="Times New Roman" w:cs="Arial"/>
                <w:b/>
                <w:bCs/>
                <w:color w:val="000000"/>
                <w:szCs w:val="22"/>
                <w:lang w:eastAsia="en-AU"/>
              </w:rPr>
              <w:t>(cash basis)</w:t>
            </w:r>
          </w:p>
        </w:tc>
        <w:tc>
          <w:tcPr>
            <w:tcW w:w="577" w:type="pct"/>
            <w:tcBorders>
              <w:top w:val="nil"/>
              <w:bottom w:val="nil"/>
            </w:tcBorders>
            <w:shd w:val="clear" w:color="auto" w:fill="A7A9AC"/>
            <w:noWrap/>
          </w:tcPr>
          <w:p w14:paraId="755C03EE"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3,685</w:t>
            </w:r>
          </w:p>
        </w:tc>
        <w:tc>
          <w:tcPr>
            <w:tcW w:w="577" w:type="pct"/>
            <w:tcBorders>
              <w:top w:val="nil"/>
              <w:bottom w:val="nil"/>
            </w:tcBorders>
            <w:shd w:val="clear" w:color="auto" w:fill="A7A9AC"/>
            <w:noWrap/>
          </w:tcPr>
          <w:p w14:paraId="660FBCCA"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4,647</w:t>
            </w:r>
          </w:p>
        </w:tc>
        <w:tc>
          <w:tcPr>
            <w:tcW w:w="577" w:type="pct"/>
            <w:tcBorders>
              <w:top w:val="nil"/>
              <w:bottom w:val="nil"/>
            </w:tcBorders>
            <w:shd w:val="clear" w:color="auto" w:fill="A7A9AC"/>
            <w:noWrap/>
          </w:tcPr>
          <w:p w14:paraId="04CA90FD"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5,594</w:t>
            </w:r>
          </w:p>
        </w:tc>
        <w:tc>
          <w:tcPr>
            <w:tcW w:w="577" w:type="pct"/>
            <w:tcBorders>
              <w:top w:val="nil"/>
              <w:bottom w:val="nil"/>
              <w:right w:val="dashed" w:sz="4" w:space="0" w:color="auto"/>
            </w:tcBorders>
            <w:shd w:val="clear" w:color="auto" w:fill="A7A9AC"/>
            <w:noWrap/>
          </w:tcPr>
          <w:p w14:paraId="6A28FA32"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6,583</w:t>
            </w:r>
          </w:p>
        </w:tc>
        <w:tc>
          <w:tcPr>
            <w:tcW w:w="577" w:type="pct"/>
            <w:tcBorders>
              <w:top w:val="nil"/>
              <w:left w:val="dashed" w:sz="4" w:space="0" w:color="auto"/>
              <w:bottom w:val="nil"/>
              <w:right w:val="single" w:sz="4" w:space="0" w:color="auto"/>
            </w:tcBorders>
            <w:shd w:val="clear" w:color="auto" w:fill="A7A9AC"/>
            <w:noWrap/>
          </w:tcPr>
          <w:p w14:paraId="41134A86"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13,331</w:t>
            </w:r>
          </w:p>
        </w:tc>
        <w:tc>
          <w:tcPr>
            <w:tcW w:w="577" w:type="pct"/>
            <w:tcBorders>
              <w:top w:val="nil"/>
              <w:left w:val="single" w:sz="4" w:space="0" w:color="auto"/>
              <w:bottom w:val="nil"/>
            </w:tcBorders>
            <w:shd w:val="clear" w:color="auto" w:fill="A7A9AC"/>
          </w:tcPr>
          <w:p w14:paraId="1C1EC1E9"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20,510</w:t>
            </w:r>
          </w:p>
        </w:tc>
      </w:tr>
      <w:tr w:rsidR="00125F16" w:rsidRPr="007F6332" w14:paraId="5B035CE9" w14:textId="77777777" w:rsidTr="00D45F29">
        <w:trPr>
          <w:trHeight w:val="301"/>
        </w:trPr>
        <w:tc>
          <w:tcPr>
            <w:cnfStyle w:val="001000000000" w:firstRow="0" w:lastRow="0" w:firstColumn="1" w:lastColumn="0" w:oddVBand="0" w:evenVBand="0" w:oddHBand="0" w:evenHBand="0" w:firstRowFirstColumn="0" w:firstRowLastColumn="0" w:lastRowFirstColumn="0" w:lastRowLastColumn="0"/>
            <w:tcW w:w="1538" w:type="pct"/>
            <w:tcBorders>
              <w:top w:val="nil"/>
              <w:bottom w:val="nil"/>
            </w:tcBorders>
            <w:shd w:val="clear" w:color="auto" w:fill="D4C5D7"/>
            <w:noWrap/>
            <w:hideMark/>
          </w:tcPr>
          <w:p w14:paraId="72C8F079" w14:textId="77777777" w:rsidR="00EA1D3B" w:rsidRPr="007F6332" w:rsidRDefault="00831DCB" w:rsidP="00793484">
            <w:pPr>
              <w:rPr>
                <w:rFonts w:eastAsia="Times New Roman" w:cs="Arial"/>
                <w:b/>
                <w:bCs/>
                <w:color w:val="000000"/>
                <w:szCs w:val="22"/>
                <w:lang w:eastAsia="en-AU"/>
              </w:rPr>
            </w:pPr>
            <w:r w:rsidRPr="007F6332">
              <w:rPr>
                <w:rFonts w:eastAsia="Times New Roman" w:cs="Arial"/>
                <w:b/>
                <w:bCs/>
                <w:color w:val="000000"/>
                <w:szCs w:val="22"/>
                <w:lang w:eastAsia="en-AU"/>
              </w:rPr>
              <w:t xml:space="preserve">Total Scheme Expenses </w:t>
            </w:r>
          </w:p>
          <w:p w14:paraId="5690CD9F" w14:textId="7883C928" w:rsidR="00E36192" w:rsidRPr="007F6332" w:rsidRDefault="00831DCB" w:rsidP="00793484">
            <w:pPr>
              <w:rPr>
                <w:rFonts w:eastAsia="Times New Roman" w:cs="Arial"/>
                <w:b/>
                <w:bCs/>
                <w:color w:val="000000"/>
                <w:szCs w:val="22"/>
                <w:lang w:eastAsia="en-AU"/>
              </w:rPr>
            </w:pPr>
            <w:r w:rsidRPr="007F6332">
              <w:rPr>
                <w:rFonts w:eastAsia="Times New Roman" w:cs="Arial"/>
                <w:b/>
                <w:bCs/>
                <w:color w:val="000000"/>
                <w:szCs w:val="22"/>
                <w:lang w:eastAsia="en-AU"/>
              </w:rPr>
              <w:t>(cash basis)</w:t>
            </w:r>
          </w:p>
        </w:tc>
        <w:tc>
          <w:tcPr>
            <w:tcW w:w="577" w:type="pct"/>
            <w:tcBorders>
              <w:top w:val="nil"/>
              <w:bottom w:val="nil"/>
            </w:tcBorders>
            <w:shd w:val="clear" w:color="auto" w:fill="D4C5D7"/>
            <w:noWrap/>
          </w:tcPr>
          <w:p w14:paraId="0C2D1EA9"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40,914</w:t>
            </w:r>
          </w:p>
        </w:tc>
        <w:tc>
          <w:tcPr>
            <w:tcW w:w="577" w:type="pct"/>
            <w:tcBorders>
              <w:top w:val="nil"/>
              <w:bottom w:val="nil"/>
            </w:tcBorders>
            <w:shd w:val="clear" w:color="auto" w:fill="D4C5D7"/>
            <w:noWrap/>
          </w:tcPr>
          <w:p w14:paraId="39FE0154"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45,875</w:t>
            </w:r>
          </w:p>
        </w:tc>
        <w:tc>
          <w:tcPr>
            <w:tcW w:w="577" w:type="pct"/>
            <w:tcBorders>
              <w:top w:val="nil"/>
              <w:bottom w:val="nil"/>
            </w:tcBorders>
            <w:shd w:val="clear" w:color="auto" w:fill="D4C5D7"/>
            <w:noWrap/>
          </w:tcPr>
          <w:p w14:paraId="6085B560"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50,239</w:t>
            </w:r>
          </w:p>
        </w:tc>
        <w:tc>
          <w:tcPr>
            <w:tcW w:w="577" w:type="pct"/>
            <w:tcBorders>
              <w:top w:val="nil"/>
              <w:bottom w:val="nil"/>
              <w:right w:val="dashed" w:sz="4" w:space="0" w:color="auto"/>
            </w:tcBorders>
            <w:shd w:val="clear" w:color="auto" w:fill="D4C5D7"/>
            <w:noWrap/>
          </w:tcPr>
          <w:p w14:paraId="048C171E"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54,609</w:t>
            </w:r>
          </w:p>
        </w:tc>
        <w:tc>
          <w:tcPr>
            <w:tcW w:w="577" w:type="pct"/>
            <w:tcBorders>
              <w:top w:val="nil"/>
              <w:left w:val="dashed" w:sz="4" w:space="0" w:color="auto"/>
              <w:bottom w:val="nil"/>
              <w:right w:val="single" w:sz="4" w:space="0" w:color="auto"/>
            </w:tcBorders>
            <w:shd w:val="clear" w:color="auto" w:fill="D4C5D7"/>
            <w:noWrap/>
          </w:tcPr>
          <w:p w14:paraId="0D5F9B50"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91,322</w:t>
            </w:r>
          </w:p>
        </w:tc>
        <w:tc>
          <w:tcPr>
            <w:tcW w:w="577" w:type="pct"/>
            <w:tcBorders>
              <w:top w:val="nil"/>
              <w:left w:val="single" w:sz="4" w:space="0" w:color="auto"/>
              <w:bottom w:val="nil"/>
            </w:tcBorders>
            <w:shd w:val="clear" w:color="auto" w:fill="D4C5D7"/>
          </w:tcPr>
          <w:p w14:paraId="27D6157E"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2"/>
                <w:lang w:eastAsia="en-AU"/>
              </w:rPr>
            </w:pPr>
            <w:r w:rsidRPr="007F6332">
              <w:rPr>
                <w:rFonts w:cs="Arial"/>
                <w:b/>
                <w:color w:val="000000"/>
                <w:szCs w:val="22"/>
              </w:rPr>
              <w:t>191,638</w:t>
            </w:r>
          </w:p>
        </w:tc>
      </w:tr>
      <w:tr w:rsidR="00D45F29" w:rsidRPr="007F6332" w14:paraId="09E7CC9A" w14:textId="77777777" w:rsidTr="00C1755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8" w:type="pct"/>
            <w:tcBorders>
              <w:top w:val="nil"/>
              <w:bottom w:val="nil"/>
            </w:tcBorders>
            <w:shd w:val="clear" w:color="auto" w:fill="auto"/>
            <w:noWrap/>
            <w:hideMark/>
          </w:tcPr>
          <w:p w14:paraId="2B104431" w14:textId="49319BE5" w:rsidR="00E36192" w:rsidRPr="007F6332" w:rsidRDefault="00831DCB" w:rsidP="00793484">
            <w:pPr>
              <w:rPr>
                <w:rFonts w:eastAsia="Times New Roman" w:cs="Arial"/>
                <w:color w:val="000000"/>
                <w:szCs w:val="22"/>
                <w:lang w:eastAsia="en-AU"/>
              </w:rPr>
            </w:pPr>
            <w:r w:rsidRPr="007F6332">
              <w:rPr>
                <w:rFonts w:eastAsia="Times New Roman" w:cs="Arial"/>
                <w:color w:val="000000"/>
                <w:szCs w:val="22"/>
                <w:lang w:eastAsia="en-AU"/>
              </w:rPr>
              <w:t xml:space="preserve">Participants (0-64) </w:t>
            </w:r>
            <w:r w:rsidRPr="007F6332">
              <w:rPr>
                <w:rFonts w:eastAsia="Times New Roman" w:cs="Arial"/>
                <w:b/>
                <w:bCs/>
                <w:color w:val="000000"/>
                <w:szCs w:val="22"/>
                <w:lang w:eastAsia="en-AU"/>
              </w:rPr>
              <w:t>(accrual basis)</w:t>
            </w:r>
            <w:r w:rsidRPr="007F6332">
              <w:rPr>
                <w:rFonts w:eastAsia="Times New Roman" w:cs="Arial"/>
                <w:color w:val="000000"/>
                <w:szCs w:val="22"/>
                <w:lang w:eastAsia="en-AU"/>
              </w:rPr>
              <w:t> </w:t>
            </w:r>
          </w:p>
        </w:tc>
        <w:tc>
          <w:tcPr>
            <w:tcW w:w="577" w:type="pct"/>
            <w:tcBorders>
              <w:top w:val="nil"/>
              <w:bottom w:val="nil"/>
            </w:tcBorders>
            <w:shd w:val="clear" w:color="auto" w:fill="auto"/>
            <w:noWrap/>
          </w:tcPr>
          <w:p w14:paraId="2A14D4B5"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37,635</w:t>
            </w:r>
          </w:p>
        </w:tc>
        <w:tc>
          <w:tcPr>
            <w:tcW w:w="577" w:type="pct"/>
            <w:tcBorders>
              <w:top w:val="nil"/>
              <w:bottom w:val="nil"/>
            </w:tcBorders>
            <w:shd w:val="clear" w:color="auto" w:fill="auto"/>
            <w:noWrap/>
          </w:tcPr>
          <w:p w14:paraId="7C30F379"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41,678</w:t>
            </w:r>
          </w:p>
        </w:tc>
        <w:tc>
          <w:tcPr>
            <w:tcW w:w="577" w:type="pct"/>
            <w:tcBorders>
              <w:top w:val="nil"/>
              <w:bottom w:val="nil"/>
            </w:tcBorders>
            <w:shd w:val="clear" w:color="auto" w:fill="auto"/>
            <w:noWrap/>
          </w:tcPr>
          <w:p w14:paraId="7CF97359"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45,133</w:t>
            </w:r>
          </w:p>
        </w:tc>
        <w:tc>
          <w:tcPr>
            <w:tcW w:w="577" w:type="pct"/>
            <w:tcBorders>
              <w:top w:val="nil"/>
              <w:bottom w:val="nil"/>
              <w:right w:val="dashed" w:sz="4" w:space="0" w:color="auto"/>
            </w:tcBorders>
            <w:shd w:val="clear" w:color="auto" w:fill="auto"/>
            <w:noWrap/>
          </w:tcPr>
          <w:p w14:paraId="08CB0A0F"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48,553</w:t>
            </w:r>
          </w:p>
        </w:tc>
        <w:tc>
          <w:tcPr>
            <w:tcW w:w="577" w:type="pct"/>
            <w:tcBorders>
              <w:top w:val="nil"/>
              <w:left w:val="dashed" w:sz="4" w:space="0" w:color="auto"/>
              <w:bottom w:val="nil"/>
              <w:right w:val="single" w:sz="4" w:space="0" w:color="auto"/>
            </w:tcBorders>
            <w:shd w:val="clear" w:color="auto" w:fill="auto"/>
            <w:noWrap/>
          </w:tcPr>
          <w:p w14:paraId="704D8423"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78,865</w:t>
            </w:r>
          </w:p>
        </w:tc>
        <w:tc>
          <w:tcPr>
            <w:tcW w:w="577" w:type="pct"/>
            <w:tcBorders>
              <w:top w:val="nil"/>
              <w:left w:val="single" w:sz="4" w:space="0" w:color="auto"/>
              <w:bottom w:val="nil"/>
            </w:tcBorders>
            <w:shd w:val="clear" w:color="auto" w:fill="auto"/>
          </w:tcPr>
          <w:p w14:paraId="68D336BD"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szCs w:val="22"/>
              </w:rPr>
              <w:t>172,999</w:t>
            </w:r>
          </w:p>
        </w:tc>
      </w:tr>
      <w:tr w:rsidR="00125F16" w:rsidRPr="007F6332" w14:paraId="4C564143" w14:textId="77777777" w:rsidTr="00D45F29">
        <w:trPr>
          <w:trHeight w:val="301"/>
        </w:trPr>
        <w:tc>
          <w:tcPr>
            <w:cnfStyle w:val="001000000000" w:firstRow="0" w:lastRow="0" w:firstColumn="1" w:lastColumn="0" w:oddVBand="0" w:evenVBand="0" w:oddHBand="0" w:evenHBand="0" w:firstRowFirstColumn="0" w:firstRowLastColumn="0" w:lastRowFirstColumn="0" w:lastRowLastColumn="0"/>
            <w:tcW w:w="1538" w:type="pct"/>
            <w:tcBorders>
              <w:top w:val="nil"/>
              <w:bottom w:val="nil"/>
            </w:tcBorders>
            <w:shd w:val="clear" w:color="auto" w:fill="A7A9AC"/>
            <w:noWrap/>
            <w:hideMark/>
          </w:tcPr>
          <w:p w14:paraId="4C3C58B5" w14:textId="77777777" w:rsidR="00C1755E" w:rsidRPr="007F6332" w:rsidRDefault="00831DCB" w:rsidP="00793484">
            <w:pPr>
              <w:rPr>
                <w:rFonts w:eastAsia="Times New Roman" w:cs="Arial"/>
                <w:color w:val="000000"/>
                <w:szCs w:val="22"/>
                <w:lang w:eastAsia="en-AU"/>
              </w:rPr>
            </w:pPr>
            <w:r w:rsidRPr="007F6332">
              <w:rPr>
                <w:rFonts w:eastAsia="Times New Roman" w:cs="Arial"/>
                <w:color w:val="000000"/>
                <w:szCs w:val="22"/>
                <w:lang w:eastAsia="en-AU"/>
              </w:rPr>
              <w:t xml:space="preserve">Participants (65+) </w:t>
            </w:r>
          </w:p>
          <w:p w14:paraId="1CA0DE8E" w14:textId="16977A52" w:rsidR="00E36192" w:rsidRPr="007F6332" w:rsidRDefault="00831DCB" w:rsidP="00793484">
            <w:pPr>
              <w:rPr>
                <w:rFonts w:eastAsia="Times New Roman" w:cs="Arial"/>
                <w:color w:val="000000"/>
                <w:szCs w:val="22"/>
                <w:lang w:eastAsia="en-AU"/>
              </w:rPr>
            </w:pPr>
            <w:r w:rsidRPr="007F6332">
              <w:rPr>
                <w:rFonts w:eastAsia="Times New Roman" w:cs="Arial"/>
                <w:b/>
                <w:bCs/>
                <w:color w:val="000000"/>
                <w:szCs w:val="22"/>
                <w:lang w:eastAsia="en-AU"/>
              </w:rPr>
              <w:t>(accrual basis)</w:t>
            </w:r>
            <w:r w:rsidRPr="007F6332">
              <w:rPr>
                <w:rFonts w:eastAsia="Times New Roman" w:cs="Arial"/>
                <w:color w:val="000000"/>
                <w:szCs w:val="22"/>
                <w:lang w:eastAsia="en-AU"/>
              </w:rPr>
              <w:t> </w:t>
            </w:r>
          </w:p>
        </w:tc>
        <w:tc>
          <w:tcPr>
            <w:tcW w:w="577" w:type="pct"/>
            <w:tcBorders>
              <w:top w:val="nil"/>
              <w:bottom w:val="nil"/>
            </w:tcBorders>
            <w:shd w:val="clear" w:color="auto" w:fill="A7A9AC"/>
            <w:noWrap/>
          </w:tcPr>
          <w:p w14:paraId="6286A050"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color w:val="000000"/>
                <w:szCs w:val="22"/>
              </w:rPr>
              <w:t>3,725</w:t>
            </w:r>
          </w:p>
        </w:tc>
        <w:tc>
          <w:tcPr>
            <w:tcW w:w="577" w:type="pct"/>
            <w:tcBorders>
              <w:top w:val="nil"/>
              <w:bottom w:val="nil"/>
            </w:tcBorders>
            <w:shd w:val="clear" w:color="auto" w:fill="A7A9AC"/>
            <w:noWrap/>
          </w:tcPr>
          <w:p w14:paraId="61C0F5C7"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color w:val="000000"/>
                <w:szCs w:val="22"/>
              </w:rPr>
              <w:t>4,698</w:t>
            </w:r>
          </w:p>
        </w:tc>
        <w:tc>
          <w:tcPr>
            <w:tcW w:w="577" w:type="pct"/>
            <w:tcBorders>
              <w:top w:val="nil"/>
              <w:bottom w:val="nil"/>
            </w:tcBorders>
            <w:shd w:val="clear" w:color="auto" w:fill="A7A9AC"/>
            <w:noWrap/>
          </w:tcPr>
          <w:p w14:paraId="42A1AF88"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color w:val="000000"/>
                <w:szCs w:val="22"/>
              </w:rPr>
              <w:t>5,655</w:t>
            </w:r>
          </w:p>
        </w:tc>
        <w:tc>
          <w:tcPr>
            <w:tcW w:w="577" w:type="pct"/>
            <w:tcBorders>
              <w:top w:val="nil"/>
              <w:bottom w:val="nil"/>
              <w:right w:val="dashed" w:sz="4" w:space="0" w:color="auto"/>
            </w:tcBorders>
            <w:shd w:val="clear" w:color="auto" w:fill="A7A9AC"/>
            <w:noWrap/>
          </w:tcPr>
          <w:p w14:paraId="4FD7BEE2"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color w:val="000000"/>
                <w:szCs w:val="22"/>
              </w:rPr>
              <w:t>6,655</w:t>
            </w:r>
          </w:p>
        </w:tc>
        <w:tc>
          <w:tcPr>
            <w:tcW w:w="577" w:type="pct"/>
            <w:tcBorders>
              <w:top w:val="nil"/>
              <w:left w:val="dashed" w:sz="4" w:space="0" w:color="auto"/>
              <w:bottom w:val="nil"/>
              <w:right w:val="single" w:sz="4" w:space="0" w:color="auto"/>
            </w:tcBorders>
            <w:shd w:val="clear" w:color="auto" w:fill="A7A9AC"/>
            <w:noWrap/>
          </w:tcPr>
          <w:p w14:paraId="22C2D313"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color w:val="000000"/>
                <w:szCs w:val="22"/>
              </w:rPr>
              <w:t>13,476</w:t>
            </w:r>
          </w:p>
        </w:tc>
        <w:tc>
          <w:tcPr>
            <w:tcW w:w="577" w:type="pct"/>
            <w:tcBorders>
              <w:top w:val="nil"/>
              <w:left w:val="single" w:sz="4" w:space="0" w:color="auto"/>
              <w:bottom w:val="nil"/>
            </w:tcBorders>
            <w:shd w:val="clear" w:color="auto" w:fill="A7A9AC"/>
          </w:tcPr>
          <w:p w14:paraId="272833C1"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20,732</w:t>
            </w:r>
          </w:p>
        </w:tc>
      </w:tr>
      <w:tr w:rsidR="00125F16" w:rsidRPr="007F6332" w14:paraId="3577016B" w14:textId="77777777" w:rsidTr="00D45F2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8" w:type="pct"/>
            <w:tcBorders>
              <w:top w:val="nil"/>
              <w:bottom w:val="nil"/>
            </w:tcBorders>
            <w:shd w:val="clear" w:color="auto" w:fill="D4C5D7"/>
            <w:noWrap/>
            <w:hideMark/>
          </w:tcPr>
          <w:p w14:paraId="6BD5B6DF" w14:textId="77777777" w:rsidR="00EA1D3B" w:rsidRPr="007F6332" w:rsidRDefault="00831DCB" w:rsidP="00793484">
            <w:pPr>
              <w:rPr>
                <w:rFonts w:eastAsia="Times New Roman" w:cs="Arial"/>
                <w:b/>
                <w:bCs/>
                <w:color w:val="000000"/>
                <w:szCs w:val="22"/>
                <w:lang w:eastAsia="en-AU"/>
              </w:rPr>
            </w:pPr>
            <w:r w:rsidRPr="007F6332">
              <w:rPr>
                <w:rFonts w:eastAsia="Times New Roman" w:cs="Arial"/>
                <w:b/>
                <w:bCs/>
                <w:color w:val="000000"/>
                <w:szCs w:val="22"/>
                <w:lang w:eastAsia="en-AU"/>
              </w:rPr>
              <w:t xml:space="preserve">Total Scheme Expenses </w:t>
            </w:r>
          </w:p>
          <w:p w14:paraId="2412927D" w14:textId="1850B8FE" w:rsidR="00E36192" w:rsidRPr="007F6332" w:rsidRDefault="00831DCB" w:rsidP="00793484">
            <w:pPr>
              <w:rPr>
                <w:rFonts w:eastAsia="Times New Roman" w:cs="Arial"/>
                <w:b/>
                <w:bCs/>
                <w:color w:val="000000"/>
                <w:szCs w:val="22"/>
                <w:lang w:eastAsia="en-AU"/>
              </w:rPr>
            </w:pPr>
            <w:r w:rsidRPr="007F6332">
              <w:rPr>
                <w:rFonts w:eastAsia="Times New Roman" w:cs="Arial"/>
                <w:b/>
                <w:bCs/>
                <w:color w:val="000000"/>
                <w:szCs w:val="22"/>
                <w:lang w:eastAsia="en-AU"/>
              </w:rPr>
              <w:t>(accrual basis)</w:t>
            </w:r>
          </w:p>
        </w:tc>
        <w:tc>
          <w:tcPr>
            <w:tcW w:w="577" w:type="pct"/>
            <w:tcBorders>
              <w:top w:val="nil"/>
              <w:bottom w:val="nil"/>
            </w:tcBorders>
            <w:shd w:val="clear" w:color="auto" w:fill="D4C5D7"/>
            <w:noWrap/>
          </w:tcPr>
          <w:p w14:paraId="778A9581"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41,360</w:t>
            </w:r>
          </w:p>
        </w:tc>
        <w:tc>
          <w:tcPr>
            <w:tcW w:w="577" w:type="pct"/>
            <w:tcBorders>
              <w:top w:val="nil"/>
              <w:bottom w:val="nil"/>
            </w:tcBorders>
            <w:shd w:val="clear" w:color="auto" w:fill="D4C5D7"/>
            <w:noWrap/>
          </w:tcPr>
          <w:p w14:paraId="1A967CBD"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46,376</w:t>
            </w:r>
          </w:p>
        </w:tc>
        <w:tc>
          <w:tcPr>
            <w:tcW w:w="577" w:type="pct"/>
            <w:tcBorders>
              <w:top w:val="nil"/>
              <w:bottom w:val="nil"/>
            </w:tcBorders>
            <w:shd w:val="clear" w:color="auto" w:fill="D4C5D7"/>
            <w:noWrap/>
          </w:tcPr>
          <w:p w14:paraId="1A3C1057"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50,788</w:t>
            </w:r>
          </w:p>
        </w:tc>
        <w:tc>
          <w:tcPr>
            <w:tcW w:w="577" w:type="pct"/>
            <w:tcBorders>
              <w:top w:val="nil"/>
              <w:bottom w:val="nil"/>
              <w:right w:val="dashed" w:sz="4" w:space="0" w:color="auto"/>
            </w:tcBorders>
            <w:shd w:val="clear" w:color="auto" w:fill="D4C5D7"/>
            <w:noWrap/>
          </w:tcPr>
          <w:p w14:paraId="0D4B9D7E"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55,207</w:t>
            </w:r>
          </w:p>
        </w:tc>
        <w:tc>
          <w:tcPr>
            <w:tcW w:w="577" w:type="pct"/>
            <w:tcBorders>
              <w:top w:val="nil"/>
              <w:left w:val="dashed" w:sz="4" w:space="0" w:color="auto"/>
              <w:bottom w:val="nil"/>
              <w:right w:val="single" w:sz="4" w:space="0" w:color="auto"/>
            </w:tcBorders>
            <w:shd w:val="clear" w:color="auto" w:fill="D4C5D7"/>
            <w:noWrap/>
          </w:tcPr>
          <w:p w14:paraId="28E5B3FB"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color w:val="000000"/>
                <w:szCs w:val="22"/>
              </w:rPr>
              <w:t>92,341</w:t>
            </w:r>
          </w:p>
        </w:tc>
        <w:tc>
          <w:tcPr>
            <w:tcW w:w="577" w:type="pct"/>
            <w:tcBorders>
              <w:top w:val="nil"/>
              <w:left w:val="single" w:sz="4" w:space="0" w:color="auto"/>
              <w:bottom w:val="nil"/>
            </w:tcBorders>
            <w:shd w:val="clear" w:color="auto" w:fill="D4C5D7"/>
          </w:tcPr>
          <w:p w14:paraId="0F36696C" w14:textId="77777777" w:rsidR="00E36192" w:rsidRPr="007F6332" w:rsidRDefault="00E36192" w:rsidP="00793484">
            <w:pPr>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color w:val="000000"/>
                <w:szCs w:val="22"/>
              </w:rPr>
              <w:t>193,731</w:t>
            </w:r>
          </w:p>
        </w:tc>
      </w:tr>
      <w:tr w:rsidR="00125F16" w:rsidRPr="007F6332" w14:paraId="434A7A80" w14:textId="77777777" w:rsidTr="00D45F29">
        <w:trPr>
          <w:trHeight w:val="301"/>
        </w:trPr>
        <w:tc>
          <w:tcPr>
            <w:cnfStyle w:val="001000000000" w:firstRow="0" w:lastRow="0" w:firstColumn="1" w:lastColumn="0" w:oddVBand="0" w:evenVBand="0" w:oddHBand="0" w:evenHBand="0" w:firstRowFirstColumn="0" w:firstRowLastColumn="0" w:lastRowFirstColumn="0" w:lastRowLastColumn="0"/>
            <w:tcW w:w="1538" w:type="pct"/>
            <w:tcBorders>
              <w:top w:val="nil"/>
              <w:bottom w:val="single" w:sz="4" w:space="0" w:color="auto"/>
            </w:tcBorders>
            <w:shd w:val="clear" w:color="auto" w:fill="B398B8"/>
            <w:noWrap/>
          </w:tcPr>
          <w:p w14:paraId="50AA39F5" w14:textId="0D4AD10B" w:rsidR="00E36192" w:rsidRPr="007F6332" w:rsidRDefault="00831DCB" w:rsidP="00831DCB">
            <w:pPr>
              <w:rPr>
                <w:rFonts w:eastAsia="Times New Roman" w:cs="Arial"/>
                <w:b/>
                <w:bCs/>
                <w:color w:val="000000"/>
                <w:szCs w:val="22"/>
                <w:lang w:eastAsia="en-AU"/>
              </w:rPr>
            </w:pPr>
            <w:r w:rsidRPr="007F6332">
              <w:rPr>
                <w:rFonts w:eastAsia="Times New Roman" w:cs="Arial"/>
                <w:b/>
                <w:bCs/>
                <w:color w:val="000000"/>
                <w:szCs w:val="22"/>
                <w:lang w:eastAsia="en-AU"/>
              </w:rPr>
              <w:t>Total Scheme Expenses</w:t>
            </w:r>
            <w:r w:rsidR="00E45F0C" w:rsidRPr="007F6332">
              <w:rPr>
                <w:rFonts w:eastAsia="Times New Roman" w:cs="Arial"/>
                <w:b/>
                <w:bCs/>
                <w:color w:val="000000"/>
                <w:szCs w:val="22"/>
                <w:lang w:eastAsia="en-AU"/>
              </w:rPr>
              <w:t xml:space="preserve"> </w:t>
            </w:r>
            <w:r w:rsidRPr="007F6332">
              <w:rPr>
                <w:rFonts w:eastAsia="Times New Roman" w:cs="Arial"/>
                <w:b/>
                <w:bCs/>
                <w:color w:val="000000"/>
                <w:szCs w:val="22"/>
                <w:lang w:eastAsia="en-AU"/>
              </w:rPr>
              <w:t>(% of GDP)</w:t>
            </w:r>
          </w:p>
        </w:tc>
        <w:tc>
          <w:tcPr>
            <w:tcW w:w="577" w:type="pct"/>
            <w:tcBorders>
              <w:top w:val="nil"/>
              <w:bottom w:val="single" w:sz="4" w:space="0" w:color="auto"/>
            </w:tcBorders>
            <w:shd w:val="clear" w:color="auto" w:fill="B398B8"/>
            <w:noWrap/>
          </w:tcPr>
          <w:p w14:paraId="2D7E4120"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cs="Arial"/>
                <w:b/>
                <w:color w:val="000000"/>
                <w:szCs w:val="22"/>
              </w:rPr>
            </w:pPr>
            <w:r w:rsidRPr="007F6332">
              <w:rPr>
                <w:rFonts w:cs="Arial"/>
                <w:b/>
                <w:color w:val="000000"/>
                <w:szCs w:val="22"/>
              </w:rPr>
              <w:t>1.61%</w:t>
            </w:r>
          </w:p>
        </w:tc>
        <w:tc>
          <w:tcPr>
            <w:tcW w:w="577" w:type="pct"/>
            <w:tcBorders>
              <w:top w:val="nil"/>
              <w:bottom w:val="single" w:sz="4" w:space="0" w:color="auto"/>
            </w:tcBorders>
            <w:shd w:val="clear" w:color="auto" w:fill="B398B8"/>
            <w:noWrap/>
          </w:tcPr>
          <w:p w14:paraId="5F952949"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cs="Arial"/>
                <w:b/>
                <w:color w:val="000000"/>
                <w:szCs w:val="22"/>
              </w:rPr>
            </w:pPr>
            <w:r w:rsidRPr="007F6332">
              <w:rPr>
                <w:rFonts w:cs="Arial"/>
                <w:b/>
                <w:color w:val="000000"/>
                <w:szCs w:val="22"/>
              </w:rPr>
              <w:t>1.76%</w:t>
            </w:r>
          </w:p>
        </w:tc>
        <w:tc>
          <w:tcPr>
            <w:tcW w:w="577" w:type="pct"/>
            <w:tcBorders>
              <w:top w:val="nil"/>
              <w:bottom w:val="single" w:sz="4" w:space="0" w:color="auto"/>
            </w:tcBorders>
            <w:shd w:val="clear" w:color="auto" w:fill="B398B8"/>
            <w:noWrap/>
          </w:tcPr>
          <w:p w14:paraId="785DCC5A"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cs="Arial"/>
                <w:b/>
                <w:color w:val="000000"/>
                <w:szCs w:val="22"/>
              </w:rPr>
            </w:pPr>
            <w:r w:rsidRPr="007F6332">
              <w:rPr>
                <w:rFonts w:cs="Arial"/>
                <w:b/>
                <w:color w:val="000000"/>
                <w:szCs w:val="22"/>
              </w:rPr>
              <w:t>1.83%</w:t>
            </w:r>
          </w:p>
        </w:tc>
        <w:tc>
          <w:tcPr>
            <w:tcW w:w="577" w:type="pct"/>
            <w:tcBorders>
              <w:top w:val="nil"/>
              <w:bottom w:val="single" w:sz="4" w:space="0" w:color="auto"/>
              <w:right w:val="dashed" w:sz="4" w:space="0" w:color="auto"/>
            </w:tcBorders>
            <w:shd w:val="clear" w:color="auto" w:fill="B398B8"/>
            <w:noWrap/>
          </w:tcPr>
          <w:p w14:paraId="41759C0B"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cs="Arial"/>
                <w:b/>
                <w:color w:val="000000"/>
                <w:szCs w:val="22"/>
              </w:rPr>
            </w:pPr>
            <w:r w:rsidRPr="007F6332">
              <w:rPr>
                <w:rFonts w:cs="Arial"/>
                <w:b/>
                <w:color w:val="000000"/>
                <w:szCs w:val="22"/>
              </w:rPr>
              <w:t>1.89%</w:t>
            </w:r>
          </w:p>
        </w:tc>
        <w:tc>
          <w:tcPr>
            <w:tcW w:w="577" w:type="pct"/>
            <w:tcBorders>
              <w:top w:val="nil"/>
              <w:left w:val="dashed" w:sz="4" w:space="0" w:color="auto"/>
              <w:bottom w:val="single" w:sz="4" w:space="0" w:color="auto"/>
              <w:right w:val="single" w:sz="4" w:space="0" w:color="auto"/>
            </w:tcBorders>
            <w:shd w:val="clear" w:color="auto" w:fill="B398B8"/>
            <w:noWrap/>
          </w:tcPr>
          <w:p w14:paraId="57F03BDE"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cs="Arial"/>
                <w:b/>
                <w:color w:val="000000"/>
                <w:szCs w:val="22"/>
              </w:rPr>
            </w:pPr>
            <w:r w:rsidRPr="007F6332">
              <w:rPr>
                <w:rFonts w:cs="Arial"/>
                <w:b/>
                <w:color w:val="000000"/>
                <w:szCs w:val="22"/>
              </w:rPr>
              <w:t>2.33%</w:t>
            </w:r>
          </w:p>
        </w:tc>
        <w:tc>
          <w:tcPr>
            <w:tcW w:w="577" w:type="pct"/>
            <w:tcBorders>
              <w:top w:val="nil"/>
              <w:left w:val="single" w:sz="4" w:space="0" w:color="auto"/>
              <w:bottom w:val="single" w:sz="4" w:space="0" w:color="auto"/>
            </w:tcBorders>
            <w:shd w:val="clear" w:color="auto" w:fill="B398B8"/>
          </w:tcPr>
          <w:p w14:paraId="3635A6BD" w14:textId="77777777" w:rsidR="00E36192" w:rsidRPr="007F6332" w:rsidRDefault="00E36192" w:rsidP="00793484">
            <w:pPr>
              <w:cnfStyle w:val="000000000000" w:firstRow="0" w:lastRow="0" w:firstColumn="0" w:lastColumn="0" w:oddVBand="0" w:evenVBand="0" w:oddHBand="0" w:evenHBand="0" w:firstRowFirstColumn="0" w:firstRowLastColumn="0" w:lastRowFirstColumn="0" w:lastRowLastColumn="0"/>
              <w:rPr>
                <w:rFonts w:cs="Arial"/>
                <w:b/>
                <w:color w:val="000000"/>
                <w:szCs w:val="22"/>
              </w:rPr>
            </w:pPr>
            <w:r w:rsidRPr="007F6332">
              <w:rPr>
                <w:rFonts w:cs="Arial"/>
                <w:b/>
                <w:color w:val="000000"/>
                <w:szCs w:val="22"/>
              </w:rPr>
              <w:t>1.77%</w:t>
            </w:r>
          </w:p>
        </w:tc>
      </w:tr>
    </w:tbl>
    <w:p w14:paraId="40D25B86" w14:textId="77777777" w:rsidR="00B55A92" w:rsidRPr="007F6332" w:rsidRDefault="00B55A92" w:rsidP="0036109C">
      <w:pPr>
        <w:spacing w:before="240"/>
        <w:rPr>
          <w:rFonts w:cs="Arial"/>
        </w:rPr>
        <w:sectPr w:rsidR="00B55A92" w:rsidRPr="007F6332" w:rsidSect="00EF3DFC">
          <w:pgSz w:w="11906" w:h="16838"/>
          <w:pgMar w:top="1440" w:right="1440" w:bottom="1276" w:left="1440" w:header="708" w:footer="283" w:gutter="0"/>
          <w:pgNumType w:start="7"/>
          <w:cols w:space="708"/>
          <w:docGrid w:linePitch="360"/>
        </w:sectPr>
      </w:pPr>
    </w:p>
    <w:p w14:paraId="28BB2A9D" w14:textId="2115631E" w:rsidR="00B55A92" w:rsidRPr="007F6332" w:rsidRDefault="00857ACB" w:rsidP="00354C2E">
      <w:pPr>
        <w:spacing w:before="240"/>
        <w:rPr>
          <w:rFonts w:cs="Arial"/>
        </w:rPr>
      </w:pPr>
      <w:r w:rsidRPr="007F6332">
        <w:rPr>
          <w:rFonts w:cs="Arial"/>
        </w:rPr>
        <w:lastRenderedPageBreak/>
        <w:t>Table 2 shows that projected Scheme expenses are approximately $3.1 billion higher in the four years to June 2027 and about $1.8 billion lower in 2032-33, compared to the December 2022 projections. They are $5.6 billion higher in the four years to June 2027 and $4.6 billion lower in 2032-33, compared to the June 2022 projections in the previous review.</w:t>
      </w:r>
    </w:p>
    <w:p w14:paraId="31D3AF33" w14:textId="322C57E4" w:rsidR="00AD5D8E" w:rsidRPr="007F6332" w:rsidRDefault="00AD5D8E" w:rsidP="00ED7418">
      <w:pPr>
        <w:pStyle w:val="FiguresandTablesHeading4"/>
      </w:pPr>
      <w:r w:rsidRPr="007F6332">
        <w:t>Table 2: Comparison with previous projections</w:t>
      </w:r>
    </w:p>
    <w:tbl>
      <w:tblPr>
        <w:tblStyle w:val="FSRtable"/>
        <w:tblW w:w="4896" w:type="pct"/>
        <w:tblInd w:w="5" w:type="dxa"/>
        <w:tblLayout w:type="fixed"/>
        <w:tblLook w:val="04A0" w:firstRow="1" w:lastRow="0" w:firstColumn="1" w:lastColumn="0" w:noHBand="0" w:noVBand="1"/>
      </w:tblPr>
      <w:tblGrid>
        <w:gridCol w:w="2548"/>
        <w:gridCol w:w="1130"/>
        <w:gridCol w:w="1033"/>
        <w:gridCol w:w="1036"/>
        <w:gridCol w:w="1032"/>
        <w:gridCol w:w="1032"/>
        <w:gridCol w:w="1027"/>
      </w:tblGrid>
      <w:tr w:rsidR="00DF263E" w:rsidRPr="007F6332" w14:paraId="61BE9EFF" w14:textId="77777777" w:rsidTr="00E45F0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bottom w:val="nil"/>
            </w:tcBorders>
            <w:vAlign w:val="top"/>
          </w:tcPr>
          <w:p w14:paraId="41AEEF4C" w14:textId="77777777" w:rsidR="00E7089F" w:rsidRPr="007F6332" w:rsidRDefault="00E7089F" w:rsidP="00C71F02">
            <w:pPr>
              <w:rPr>
                <w:rFonts w:eastAsia="Times New Roman"/>
                <w:b w:val="0"/>
                <w:bCs/>
                <w:color w:val="FFFFFF"/>
                <w:szCs w:val="22"/>
                <w:lang w:eastAsia="en-AU"/>
              </w:rPr>
            </w:pPr>
            <w:r w:rsidRPr="007F6332">
              <w:t xml:space="preserve">Scheme Expenses ($m) (accrual basis) </w:t>
            </w:r>
          </w:p>
        </w:tc>
        <w:tc>
          <w:tcPr>
            <w:tcW w:w="639" w:type="pct"/>
            <w:tcBorders>
              <w:top w:val="single" w:sz="4" w:space="0" w:color="auto"/>
              <w:bottom w:val="nil"/>
            </w:tcBorders>
            <w:noWrap/>
          </w:tcPr>
          <w:p w14:paraId="6F1EFF5D" w14:textId="77777777" w:rsidR="00E7089F" w:rsidRPr="007F6332" w:rsidRDefault="00E7089F" w:rsidP="00C1755E">
            <w:pPr>
              <w:ind w:left="-246"/>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2023-24</w:t>
            </w:r>
          </w:p>
        </w:tc>
        <w:tc>
          <w:tcPr>
            <w:tcW w:w="584" w:type="pct"/>
            <w:tcBorders>
              <w:top w:val="single" w:sz="4" w:space="0" w:color="auto"/>
              <w:bottom w:val="nil"/>
            </w:tcBorders>
            <w:noWrap/>
          </w:tcPr>
          <w:p w14:paraId="13377AF0" w14:textId="77777777" w:rsidR="00E7089F" w:rsidRPr="007F6332" w:rsidRDefault="00E7089F" w:rsidP="00C1755E">
            <w:pPr>
              <w:ind w:left="-246"/>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2024-25</w:t>
            </w:r>
          </w:p>
        </w:tc>
        <w:tc>
          <w:tcPr>
            <w:tcW w:w="586" w:type="pct"/>
            <w:tcBorders>
              <w:top w:val="single" w:sz="4" w:space="0" w:color="auto"/>
              <w:bottom w:val="nil"/>
            </w:tcBorders>
            <w:noWrap/>
          </w:tcPr>
          <w:p w14:paraId="52740F3F" w14:textId="77777777" w:rsidR="00E7089F" w:rsidRPr="007F6332" w:rsidRDefault="00E7089F" w:rsidP="00C1755E">
            <w:pPr>
              <w:ind w:left="-246"/>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2025-26</w:t>
            </w:r>
          </w:p>
        </w:tc>
        <w:tc>
          <w:tcPr>
            <w:tcW w:w="584" w:type="pct"/>
            <w:tcBorders>
              <w:top w:val="single" w:sz="4" w:space="0" w:color="auto"/>
              <w:bottom w:val="nil"/>
              <w:right w:val="dotted" w:sz="4" w:space="0" w:color="auto"/>
            </w:tcBorders>
            <w:noWrap/>
          </w:tcPr>
          <w:p w14:paraId="4979B75B" w14:textId="77777777" w:rsidR="00E7089F" w:rsidRPr="007F6332" w:rsidRDefault="00E7089F" w:rsidP="00C1755E">
            <w:pPr>
              <w:ind w:left="-246"/>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2026-27</w:t>
            </w:r>
          </w:p>
        </w:tc>
        <w:tc>
          <w:tcPr>
            <w:tcW w:w="584" w:type="pct"/>
            <w:tcBorders>
              <w:top w:val="single" w:sz="4" w:space="0" w:color="auto"/>
              <w:left w:val="dotted" w:sz="4" w:space="0" w:color="auto"/>
              <w:bottom w:val="nil"/>
              <w:right w:val="single" w:sz="4" w:space="0" w:color="auto"/>
            </w:tcBorders>
            <w:noWrap/>
          </w:tcPr>
          <w:p w14:paraId="5D7C053C" w14:textId="77777777" w:rsidR="00E7089F" w:rsidRPr="007F6332" w:rsidRDefault="00E7089F" w:rsidP="00C1755E">
            <w:pPr>
              <w:ind w:left="-246"/>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2032-33</w:t>
            </w:r>
          </w:p>
        </w:tc>
        <w:tc>
          <w:tcPr>
            <w:tcW w:w="581" w:type="pct"/>
            <w:tcBorders>
              <w:top w:val="single" w:sz="4" w:space="0" w:color="auto"/>
              <w:left w:val="single" w:sz="4" w:space="0" w:color="auto"/>
              <w:bottom w:val="nil"/>
            </w:tcBorders>
          </w:tcPr>
          <w:p w14:paraId="79E1AD34" w14:textId="77777777" w:rsidR="00E7089F" w:rsidRPr="007F6332" w:rsidRDefault="00E7089F" w:rsidP="00C1755E">
            <w:pPr>
              <w:ind w:left="-246"/>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Total 2023-27</w:t>
            </w:r>
          </w:p>
        </w:tc>
      </w:tr>
      <w:tr w:rsidR="00DF263E" w:rsidRPr="007F6332" w14:paraId="6B0BA3C6" w14:textId="77777777" w:rsidTr="00E45F0C">
        <w:trPr>
          <w:trHeight w:val="510"/>
        </w:trPr>
        <w:tc>
          <w:tcPr>
            <w:cnfStyle w:val="001000000000" w:firstRow="0" w:lastRow="0" w:firstColumn="1" w:lastColumn="0" w:oddVBand="0" w:evenVBand="0" w:oddHBand="0" w:evenHBand="0" w:firstRowFirstColumn="0" w:firstRowLastColumn="0" w:lastRowFirstColumn="0" w:lastRowLastColumn="0"/>
            <w:tcW w:w="1441" w:type="pct"/>
            <w:tcBorders>
              <w:top w:val="nil"/>
              <w:bottom w:val="nil"/>
            </w:tcBorders>
            <w:shd w:val="clear" w:color="000000" w:fill="B398B8"/>
            <w:noWrap/>
          </w:tcPr>
          <w:p w14:paraId="695DC0BB" w14:textId="77777777" w:rsidR="00E45F0C" w:rsidRPr="007F6332" w:rsidRDefault="00E7089F" w:rsidP="00E7089F">
            <w:pPr>
              <w:rPr>
                <w:rFonts w:cs="Arial"/>
                <w:b/>
                <w:bCs/>
                <w:color w:val="000000"/>
              </w:rPr>
            </w:pPr>
            <w:r w:rsidRPr="007F6332">
              <w:rPr>
                <w:rFonts w:cs="Arial"/>
                <w:b/>
                <w:bCs/>
                <w:color w:val="000000"/>
              </w:rPr>
              <w:t xml:space="preserve">June 2023 </w:t>
            </w:r>
          </w:p>
          <w:p w14:paraId="6EDFDB05" w14:textId="5BA523DD" w:rsidR="00E7089F" w:rsidRPr="007F6332" w:rsidRDefault="00E7089F" w:rsidP="00E7089F">
            <w:pPr>
              <w:rPr>
                <w:rFonts w:eastAsia="Times New Roman" w:cs="Arial"/>
                <w:b/>
                <w:bCs/>
                <w:color w:val="000000"/>
                <w:szCs w:val="22"/>
                <w:lang w:eastAsia="en-AU"/>
              </w:rPr>
            </w:pPr>
            <w:r w:rsidRPr="007F6332">
              <w:rPr>
                <w:rFonts w:cs="Arial"/>
                <w:b/>
                <w:bCs/>
                <w:color w:val="000000"/>
              </w:rPr>
              <w:t>projections (a)</w:t>
            </w:r>
          </w:p>
        </w:tc>
        <w:tc>
          <w:tcPr>
            <w:tcW w:w="639" w:type="pct"/>
            <w:tcBorders>
              <w:top w:val="nil"/>
              <w:bottom w:val="nil"/>
            </w:tcBorders>
            <w:shd w:val="clear" w:color="000000" w:fill="B398B8"/>
            <w:noWrap/>
          </w:tcPr>
          <w:p w14:paraId="1CE24C2D"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41,360</w:t>
            </w:r>
          </w:p>
        </w:tc>
        <w:tc>
          <w:tcPr>
            <w:tcW w:w="584" w:type="pct"/>
            <w:tcBorders>
              <w:top w:val="nil"/>
              <w:bottom w:val="nil"/>
            </w:tcBorders>
            <w:shd w:val="clear" w:color="000000" w:fill="B398B8"/>
            <w:noWrap/>
          </w:tcPr>
          <w:p w14:paraId="3091097B"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46,376</w:t>
            </w:r>
          </w:p>
        </w:tc>
        <w:tc>
          <w:tcPr>
            <w:tcW w:w="586" w:type="pct"/>
            <w:tcBorders>
              <w:top w:val="nil"/>
              <w:bottom w:val="nil"/>
            </w:tcBorders>
            <w:shd w:val="clear" w:color="000000" w:fill="B398B8"/>
            <w:noWrap/>
          </w:tcPr>
          <w:p w14:paraId="472570D3"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50,788</w:t>
            </w:r>
          </w:p>
        </w:tc>
        <w:tc>
          <w:tcPr>
            <w:tcW w:w="584" w:type="pct"/>
            <w:tcBorders>
              <w:top w:val="nil"/>
              <w:bottom w:val="nil"/>
              <w:right w:val="dashSmallGap" w:sz="4" w:space="0" w:color="auto"/>
            </w:tcBorders>
            <w:shd w:val="clear" w:color="000000" w:fill="B398B8"/>
            <w:noWrap/>
          </w:tcPr>
          <w:p w14:paraId="026630E3"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55,207</w:t>
            </w:r>
          </w:p>
        </w:tc>
        <w:tc>
          <w:tcPr>
            <w:tcW w:w="584" w:type="pct"/>
            <w:tcBorders>
              <w:top w:val="nil"/>
              <w:left w:val="dashSmallGap" w:sz="4" w:space="0" w:color="auto"/>
              <w:bottom w:val="nil"/>
              <w:right w:val="single" w:sz="4" w:space="0" w:color="auto"/>
            </w:tcBorders>
            <w:shd w:val="clear" w:color="000000" w:fill="B398B8"/>
            <w:noWrap/>
          </w:tcPr>
          <w:p w14:paraId="256E2CF6"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92,341</w:t>
            </w:r>
          </w:p>
        </w:tc>
        <w:tc>
          <w:tcPr>
            <w:tcW w:w="581" w:type="pct"/>
            <w:tcBorders>
              <w:top w:val="nil"/>
              <w:left w:val="single" w:sz="4" w:space="0" w:color="auto"/>
              <w:bottom w:val="nil"/>
            </w:tcBorders>
            <w:shd w:val="clear" w:color="000000" w:fill="B398B8"/>
          </w:tcPr>
          <w:p w14:paraId="0EBFB190"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193,731</w:t>
            </w:r>
          </w:p>
        </w:tc>
      </w:tr>
      <w:tr w:rsidR="00DF263E" w:rsidRPr="007F6332" w14:paraId="34D7AF36" w14:textId="77777777" w:rsidTr="00E45F0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41" w:type="pct"/>
            <w:tcBorders>
              <w:top w:val="nil"/>
              <w:bottom w:val="nil"/>
              <w:right w:val="nil"/>
            </w:tcBorders>
            <w:shd w:val="clear" w:color="auto" w:fill="auto"/>
            <w:noWrap/>
          </w:tcPr>
          <w:p w14:paraId="4C6F6D27" w14:textId="77777777" w:rsidR="00E45F0C" w:rsidRPr="007F6332" w:rsidRDefault="00E7089F" w:rsidP="00E45F0C">
            <w:pPr>
              <w:ind w:right="-251"/>
              <w:rPr>
                <w:rFonts w:cs="Arial"/>
                <w:b/>
                <w:bCs/>
                <w:color w:val="000000"/>
              </w:rPr>
            </w:pPr>
            <w:r w:rsidRPr="007F6332">
              <w:rPr>
                <w:rFonts w:cs="Arial"/>
                <w:b/>
                <w:bCs/>
                <w:color w:val="000000"/>
              </w:rPr>
              <w:t xml:space="preserve">December 2022 </w:t>
            </w:r>
          </w:p>
          <w:p w14:paraId="3896C131" w14:textId="65D23606" w:rsidR="00E7089F" w:rsidRPr="007F6332" w:rsidRDefault="00E7089F" w:rsidP="00C1755E">
            <w:pPr>
              <w:ind w:right="-251"/>
              <w:rPr>
                <w:rFonts w:eastAsia="Times New Roman" w:cs="Arial"/>
                <w:b/>
                <w:bCs/>
                <w:color w:val="000000"/>
                <w:szCs w:val="22"/>
                <w:lang w:eastAsia="en-AU"/>
              </w:rPr>
            </w:pPr>
            <w:r w:rsidRPr="007F6332">
              <w:rPr>
                <w:rFonts w:cs="Arial"/>
                <w:b/>
                <w:bCs/>
                <w:color w:val="000000"/>
              </w:rPr>
              <w:t>projections (b)</w:t>
            </w:r>
          </w:p>
        </w:tc>
        <w:tc>
          <w:tcPr>
            <w:tcW w:w="639" w:type="pct"/>
            <w:tcBorders>
              <w:top w:val="nil"/>
              <w:left w:val="nil"/>
              <w:bottom w:val="nil"/>
              <w:right w:val="nil"/>
            </w:tcBorders>
            <w:shd w:val="clear" w:color="auto" w:fill="auto"/>
            <w:noWrap/>
          </w:tcPr>
          <w:p w14:paraId="0A7E3BC3" w14:textId="77777777" w:rsidR="00E7089F" w:rsidRPr="007F6332" w:rsidRDefault="00E7089F" w:rsidP="00C1755E">
            <w:pPr>
              <w:ind w:left="37"/>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bCs/>
                <w:color w:val="000000"/>
                <w:szCs w:val="22"/>
              </w:rPr>
              <w:t>39,977</w:t>
            </w:r>
          </w:p>
        </w:tc>
        <w:tc>
          <w:tcPr>
            <w:tcW w:w="584" w:type="pct"/>
            <w:tcBorders>
              <w:top w:val="nil"/>
              <w:left w:val="nil"/>
              <w:bottom w:val="nil"/>
              <w:right w:val="nil"/>
            </w:tcBorders>
            <w:shd w:val="clear" w:color="auto" w:fill="auto"/>
            <w:noWrap/>
          </w:tcPr>
          <w:p w14:paraId="27C75BD8"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bCs/>
                <w:color w:val="000000"/>
                <w:szCs w:val="22"/>
              </w:rPr>
              <w:t>45,315</w:t>
            </w:r>
          </w:p>
        </w:tc>
        <w:tc>
          <w:tcPr>
            <w:tcW w:w="586" w:type="pct"/>
            <w:tcBorders>
              <w:top w:val="nil"/>
              <w:left w:val="nil"/>
              <w:bottom w:val="nil"/>
              <w:right w:val="nil"/>
            </w:tcBorders>
            <w:shd w:val="clear" w:color="auto" w:fill="auto"/>
            <w:noWrap/>
          </w:tcPr>
          <w:p w14:paraId="261B2332"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bCs/>
                <w:color w:val="000000"/>
                <w:szCs w:val="22"/>
              </w:rPr>
              <w:t>50,348</w:t>
            </w:r>
          </w:p>
        </w:tc>
        <w:tc>
          <w:tcPr>
            <w:tcW w:w="584" w:type="pct"/>
            <w:tcBorders>
              <w:top w:val="nil"/>
              <w:left w:val="nil"/>
              <w:bottom w:val="nil"/>
              <w:right w:val="dashSmallGap" w:sz="4" w:space="0" w:color="auto"/>
            </w:tcBorders>
            <w:shd w:val="clear" w:color="auto" w:fill="auto"/>
            <w:noWrap/>
          </w:tcPr>
          <w:p w14:paraId="7A21F1B4"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bCs/>
                <w:color w:val="000000"/>
                <w:szCs w:val="22"/>
              </w:rPr>
              <w:t>55,007</w:t>
            </w:r>
          </w:p>
        </w:tc>
        <w:tc>
          <w:tcPr>
            <w:tcW w:w="584" w:type="pct"/>
            <w:tcBorders>
              <w:top w:val="nil"/>
              <w:left w:val="dashSmallGap" w:sz="4" w:space="0" w:color="auto"/>
              <w:bottom w:val="nil"/>
              <w:right w:val="single" w:sz="4" w:space="0" w:color="auto"/>
            </w:tcBorders>
            <w:shd w:val="clear" w:color="auto" w:fill="auto"/>
            <w:noWrap/>
          </w:tcPr>
          <w:p w14:paraId="03427D9B"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bCs/>
                <w:color w:val="000000"/>
                <w:szCs w:val="22"/>
              </w:rPr>
              <w:t>94,172</w:t>
            </w:r>
          </w:p>
        </w:tc>
        <w:tc>
          <w:tcPr>
            <w:tcW w:w="581" w:type="pct"/>
            <w:tcBorders>
              <w:top w:val="nil"/>
              <w:left w:val="single" w:sz="4" w:space="0" w:color="auto"/>
              <w:bottom w:val="nil"/>
            </w:tcBorders>
            <w:shd w:val="clear" w:color="auto" w:fill="auto"/>
          </w:tcPr>
          <w:p w14:paraId="28D9567D"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bCs/>
                <w:color w:val="000000"/>
                <w:szCs w:val="22"/>
              </w:rPr>
              <w:t>190,648</w:t>
            </w:r>
          </w:p>
        </w:tc>
      </w:tr>
      <w:tr w:rsidR="00DF263E" w:rsidRPr="007F6332" w14:paraId="3C1AE9A7" w14:textId="77777777" w:rsidTr="00E45F0C">
        <w:trPr>
          <w:trHeight w:val="511"/>
        </w:trPr>
        <w:tc>
          <w:tcPr>
            <w:cnfStyle w:val="001000000000" w:firstRow="0" w:lastRow="0" w:firstColumn="1" w:lastColumn="0" w:oddVBand="0" w:evenVBand="0" w:oddHBand="0" w:evenHBand="0" w:firstRowFirstColumn="0" w:firstRowLastColumn="0" w:lastRowFirstColumn="0" w:lastRowLastColumn="0"/>
            <w:tcW w:w="1441" w:type="pct"/>
            <w:tcBorders>
              <w:top w:val="nil"/>
              <w:bottom w:val="nil"/>
            </w:tcBorders>
            <w:shd w:val="clear" w:color="000000" w:fill="B398B8"/>
            <w:noWrap/>
          </w:tcPr>
          <w:p w14:paraId="43D6579B" w14:textId="77777777" w:rsidR="00E45F0C" w:rsidRPr="007F6332" w:rsidRDefault="00E7089F" w:rsidP="00E45F0C">
            <w:pPr>
              <w:rPr>
                <w:rFonts w:cs="Arial"/>
                <w:b/>
                <w:bCs/>
                <w:color w:val="000000"/>
              </w:rPr>
            </w:pPr>
            <w:r w:rsidRPr="007F6332">
              <w:rPr>
                <w:rFonts w:cs="Arial"/>
                <w:b/>
                <w:bCs/>
                <w:color w:val="000000"/>
              </w:rPr>
              <w:t xml:space="preserve">June 2022 </w:t>
            </w:r>
          </w:p>
          <w:p w14:paraId="58252D03" w14:textId="65FA0673" w:rsidR="00E7089F" w:rsidRPr="007F6332" w:rsidRDefault="00E7089F" w:rsidP="00E45F0C">
            <w:pPr>
              <w:rPr>
                <w:rFonts w:eastAsia="Times New Roman" w:cs="Arial"/>
                <w:b/>
                <w:bCs/>
                <w:color w:val="000000"/>
                <w:szCs w:val="22"/>
                <w:lang w:eastAsia="en-AU"/>
              </w:rPr>
            </w:pPr>
            <w:r w:rsidRPr="007F6332">
              <w:rPr>
                <w:rFonts w:cs="Arial"/>
                <w:b/>
                <w:bCs/>
                <w:color w:val="000000"/>
              </w:rPr>
              <w:t>projections (c)</w:t>
            </w:r>
          </w:p>
        </w:tc>
        <w:tc>
          <w:tcPr>
            <w:tcW w:w="639" w:type="pct"/>
            <w:tcBorders>
              <w:top w:val="nil"/>
              <w:bottom w:val="nil"/>
            </w:tcBorders>
            <w:shd w:val="clear" w:color="000000" w:fill="B398B8"/>
            <w:noWrap/>
          </w:tcPr>
          <w:p w14:paraId="253CA6C1"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38,133</w:t>
            </w:r>
          </w:p>
        </w:tc>
        <w:tc>
          <w:tcPr>
            <w:tcW w:w="584" w:type="pct"/>
            <w:tcBorders>
              <w:top w:val="nil"/>
              <w:bottom w:val="nil"/>
            </w:tcBorders>
            <w:shd w:val="clear" w:color="000000" w:fill="B398B8"/>
            <w:noWrap/>
          </w:tcPr>
          <w:p w14:paraId="22D60BB6"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44,116</w:t>
            </w:r>
          </w:p>
        </w:tc>
        <w:tc>
          <w:tcPr>
            <w:tcW w:w="586" w:type="pct"/>
            <w:tcBorders>
              <w:top w:val="nil"/>
              <w:bottom w:val="nil"/>
            </w:tcBorders>
            <w:shd w:val="clear" w:color="000000" w:fill="B398B8"/>
            <w:noWrap/>
          </w:tcPr>
          <w:p w14:paraId="088C178B"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50,344</w:t>
            </w:r>
          </w:p>
        </w:tc>
        <w:tc>
          <w:tcPr>
            <w:tcW w:w="584" w:type="pct"/>
            <w:tcBorders>
              <w:top w:val="nil"/>
              <w:bottom w:val="nil"/>
              <w:right w:val="dashSmallGap" w:sz="4" w:space="0" w:color="auto"/>
            </w:tcBorders>
            <w:shd w:val="clear" w:color="000000" w:fill="B398B8"/>
            <w:noWrap/>
          </w:tcPr>
          <w:p w14:paraId="016FDB7C"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55,510</w:t>
            </w:r>
          </w:p>
        </w:tc>
        <w:tc>
          <w:tcPr>
            <w:tcW w:w="584" w:type="pct"/>
            <w:tcBorders>
              <w:top w:val="nil"/>
              <w:left w:val="dashSmallGap" w:sz="4" w:space="0" w:color="auto"/>
              <w:bottom w:val="nil"/>
              <w:right w:val="single" w:sz="4" w:space="0" w:color="auto"/>
            </w:tcBorders>
            <w:shd w:val="clear" w:color="000000" w:fill="B398B8"/>
            <w:noWrap/>
          </w:tcPr>
          <w:p w14:paraId="3B43C910"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color w:val="000000"/>
                <w:szCs w:val="22"/>
              </w:rPr>
              <w:t>96,966</w:t>
            </w:r>
          </w:p>
        </w:tc>
        <w:tc>
          <w:tcPr>
            <w:tcW w:w="581" w:type="pct"/>
            <w:tcBorders>
              <w:top w:val="nil"/>
              <w:left w:val="single" w:sz="4" w:space="0" w:color="auto"/>
              <w:bottom w:val="nil"/>
            </w:tcBorders>
            <w:shd w:val="clear" w:color="000000" w:fill="B398B8"/>
          </w:tcPr>
          <w:p w14:paraId="32853A50"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188,103</w:t>
            </w:r>
          </w:p>
        </w:tc>
      </w:tr>
      <w:tr w:rsidR="00DF263E" w:rsidRPr="007F6332" w14:paraId="2878363E" w14:textId="77777777" w:rsidTr="00E45F0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41" w:type="pct"/>
            <w:tcBorders>
              <w:top w:val="nil"/>
              <w:bottom w:val="nil"/>
              <w:right w:val="nil"/>
            </w:tcBorders>
            <w:shd w:val="clear" w:color="auto" w:fill="auto"/>
            <w:noWrap/>
          </w:tcPr>
          <w:p w14:paraId="6F82764B" w14:textId="77777777" w:rsidR="00E7089F" w:rsidRPr="007F6332" w:rsidRDefault="00E7089F" w:rsidP="00C71F02">
            <w:pPr>
              <w:rPr>
                <w:rFonts w:eastAsia="Times New Roman" w:cs="Arial"/>
                <w:color w:val="000000"/>
                <w:szCs w:val="22"/>
                <w:lang w:eastAsia="en-AU"/>
              </w:rPr>
            </w:pPr>
            <w:r w:rsidRPr="007F6332">
              <w:rPr>
                <w:rFonts w:cs="Arial"/>
                <w:color w:val="000000"/>
              </w:rPr>
              <w:t>Difference ($) (a – b)</w:t>
            </w:r>
          </w:p>
        </w:tc>
        <w:tc>
          <w:tcPr>
            <w:tcW w:w="639" w:type="pct"/>
            <w:tcBorders>
              <w:top w:val="nil"/>
              <w:left w:val="nil"/>
              <w:bottom w:val="nil"/>
              <w:right w:val="nil"/>
            </w:tcBorders>
            <w:shd w:val="clear" w:color="auto" w:fill="auto"/>
            <w:noWrap/>
          </w:tcPr>
          <w:p w14:paraId="7B011826"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1,383</w:t>
            </w:r>
          </w:p>
        </w:tc>
        <w:tc>
          <w:tcPr>
            <w:tcW w:w="584" w:type="pct"/>
            <w:tcBorders>
              <w:top w:val="nil"/>
              <w:left w:val="nil"/>
              <w:bottom w:val="nil"/>
              <w:right w:val="nil"/>
            </w:tcBorders>
            <w:shd w:val="clear" w:color="auto" w:fill="auto"/>
            <w:noWrap/>
          </w:tcPr>
          <w:p w14:paraId="74086236"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1,060</w:t>
            </w:r>
          </w:p>
        </w:tc>
        <w:tc>
          <w:tcPr>
            <w:tcW w:w="586" w:type="pct"/>
            <w:tcBorders>
              <w:top w:val="nil"/>
              <w:left w:val="nil"/>
              <w:bottom w:val="nil"/>
              <w:right w:val="nil"/>
            </w:tcBorders>
            <w:shd w:val="clear" w:color="auto" w:fill="auto"/>
            <w:noWrap/>
          </w:tcPr>
          <w:p w14:paraId="00ACADED"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440</w:t>
            </w:r>
          </w:p>
        </w:tc>
        <w:tc>
          <w:tcPr>
            <w:tcW w:w="584" w:type="pct"/>
            <w:tcBorders>
              <w:top w:val="nil"/>
              <w:left w:val="nil"/>
              <w:bottom w:val="nil"/>
              <w:right w:val="dashSmallGap" w:sz="4" w:space="0" w:color="auto"/>
            </w:tcBorders>
            <w:shd w:val="clear" w:color="auto" w:fill="auto"/>
            <w:noWrap/>
          </w:tcPr>
          <w:p w14:paraId="7B991DC2"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200</w:t>
            </w:r>
          </w:p>
        </w:tc>
        <w:tc>
          <w:tcPr>
            <w:tcW w:w="584" w:type="pct"/>
            <w:tcBorders>
              <w:top w:val="nil"/>
              <w:left w:val="dashSmallGap" w:sz="4" w:space="0" w:color="auto"/>
              <w:bottom w:val="nil"/>
              <w:right w:val="single" w:sz="4" w:space="0" w:color="auto"/>
            </w:tcBorders>
            <w:shd w:val="clear" w:color="auto" w:fill="auto"/>
            <w:noWrap/>
          </w:tcPr>
          <w:p w14:paraId="3C179251"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color w:val="000000"/>
                <w:szCs w:val="22"/>
              </w:rPr>
              <w:t>-1,831</w:t>
            </w:r>
          </w:p>
        </w:tc>
        <w:tc>
          <w:tcPr>
            <w:tcW w:w="581" w:type="pct"/>
            <w:tcBorders>
              <w:top w:val="nil"/>
              <w:left w:val="single" w:sz="4" w:space="0" w:color="auto"/>
              <w:bottom w:val="nil"/>
            </w:tcBorders>
            <w:shd w:val="clear" w:color="auto" w:fill="auto"/>
          </w:tcPr>
          <w:p w14:paraId="6F54EF96"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3,083</w:t>
            </w:r>
          </w:p>
        </w:tc>
      </w:tr>
      <w:tr w:rsidR="00DF263E" w:rsidRPr="007F6332" w14:paraId="40AE347F" w14:textId="77777777" w:rsidTr="00E45F0C">
        <w:trPr>
          <w:trHeight w:val="397"/>
        </w:trPr>
        <w:tc>
          <w:tcPr>
            <w:cnfStyle w:val="001000000000" w:firstRow="0" w:lastRow="0" w:firstColumn="1" w:lastColumn="0" w:oddVBand="0" w:evenVBand="0" w:oddHBand="0" w:evenHBand="0" w:firstRowFirstColumn="0" w:firstRowLastColumn="0" w:lastRowFirstColumn="0" w:lastRowLastColumn="0"/>
            <w:tcW w:w="1441" w:type="pct"/>
            <w:tcBorders>
              <w:top w:val="nil"/>
              <w:bottom w:val="nil"/>
              <w:right w:val="nil"/>
            </w:tcBorders>
            <w:shd w:val="clear" w:color="000000" w:fill="A7A9AC"/>
            <w:noWrap/>
          </w:tcPr>
          <w:p w14:paraId="26C5BFF7" w14:textId="77777777" w:rsidR="00E7089F" w:rsidRPr="007F6332" w:rsidRDefault="00E7089F" w:rsidP="00C71F02">
            <w:pPr>
              <w:rPr>
                <w:rFonts w:eastAsia="DengXian" w:cs="Arial"/>
                <w:color w:val="000000"/>
                <w:szCs w:val="22"/>
                <w:lang w:eastAsia="en-AU"/>
              </w:rPr>
            </w:pPr>
            <w:r w:rsidRPr="007F6332">
              <w:rPr>
                <w:rFonts w:cs="Arial"/>
                <w:color w:val="000000"/>
              </w:rPr>
              <w:t>Difference (%) (a/b -1)</w:t>
            </w:r>
          </w:p>
        </w:tc>
        <w:tc>
          <w:tcPr>
            <w:tcW w:w="639" w:type="pct"/>
            <w:tcBorders>
              <w:top w:val="nil"/>
              <w:left w:val="nil"/>
              <w:bottom w:val="nil"/>
              <w:right w:val="nil"/>
            </w:tcBorders>
            <w:shd w:val="clear" w:color="000000" w:fill="A7A9AC"/>
            <w:noWrap/>
          </w:tcPr>
          <w:p w14:paraId="0B623F99"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DengXian" w:cs="Arial"/>
                <w:color w:val="000000"/>
                <w:szCs w:val="22"/>
              </w:rPr>
            </w:pPr>
            <w:r w:rsidRPr="007F6332">
              <w:rPr>
                <w:rFonts w:cs="Arial"/>
                <w:color w:val="000000"/>
                <w:szCs w:val="22"/>
              </w:rPr>
              <w:t>3%</w:t>
            </w:r>
          </w:p>
        </w:tc>
        <w:tc>
          <w:tcPr>
            <w:tcW w:w="584" w:type="pct"/>
            <w:tcBorders>
              <w:top w:val="nil"/>
              <w:left w:val="nil"/>
              <w:bottom w:val="nil"/>
              <w:right w:val="nil"/>
            </w:tcBorders>
            <w:shd w:val="clear" w:color="000000" w:fill="A7A9AC"/>
            <w:noWrap/>
          </w:tcPr>
          <w:p w14:paraId="532E9464"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DengXian" w:cs="Arial"/>
                <w:color w:val="000000"/>
                <w:szCs w:val="22"/>
              </w:rPr>
            </w:pPr>
            <w:r w:rsidRPr="007F6332">
              <w:rPr>
                <w:rFonts w:cs="Arial"/>
                <w:color w:val="000000"/>
                <w:szCs w:val="22"/>
              </w:rPr>
              <w:t>2%</w:t>
            </w:r>
          </w:p>
        </w:tc>
        <w:tc>
          <w:tcPr>
            <w:tcW w:w="586" w:type="pct"/>
            <w:tcBorders>
              <w:top w:val="nil"/>
              <w:left w:val="nil"/>
              <w:bottom w:val="nil"/>
              <w:right w:val="nil"/>
            </w:tcBorders>
            <w:shd w:val="clear" w:color="000000" w:fill="A7A9AC"/>
            <w:noWrap/>
          </w:tcPr>
          <w:p w14:paraId="3CFFA8EE"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DengXian" w:cs="Arial"/>
                <w:color w:val="000000"/>
                <w:szCs w:val="22"/>
              </w:rPr>
            </w:pPr>
            <w:r w:rsidRPr="007F6332">
              <w:rPr>
                <w:rFonts w:cs="Arial"/>
                <w:color w:val="000000"/>
                <w:szCs w:val="22"/>
              </w:rPr>
              <w:t>1%</w:t>
            </w:r>
          </w:p>
        </w:tc>
        <w:tc>
          <w:tcPr>
            <w:tcW w:w="584" w:type="pct"/>
            <w:tcBorders>
              <w:top w:val="nil"/>
              <w:left w:val="nil"/>
              <w:bottom w:val="nil"/>
              <w:right w:val="dashSmallGap" w:sz="4" w:space="0" w:color="auto"/>
            </w:tcBorders>
            <w:shd w:val="clear" w:color="000000" w:fill="A7A9AC"/>
            <w:noWrap/>
          </w:tcPr>
          <w:p w14:paraId="37007BD1"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DengXian" w:cs="Arial"/>
                <w:color w:val="000000"/>
                <w:szCs w:val="22"/>
              </w:rPr>
            </w:pPr>
            <w:r w:rsidRPr="007F6332">
              <w:rPr>
                <w:rFonts w:cs="Arial"/>
                <w:color w:val="000000"/>
                <w:szCs w:val="22"/>
              </w:rPr>
              <w:t>0%</w:t>
            </w:r>
          </w:p>
        </w:tc>
        <w:tc>
          <w:tcPr>
            <w:tcW w:w="584" w:type="pct"/>
            <w:tcBorders>
              <w:top w:val="nil"/>
              <w:left w:val="dashSmallGap" w:sz="4" w:space="0" w:color="auto"/>
              <w:bottom w:val="nil"/>
              <w:right w:val="single" w:sz="4" w:space="0" w:color="auto"/>
            </w:tcBorders>
            <w:shd w:val="clear" w:color="000000" w:fill="A7A9AC"/>
            <w:noWrap/>
          </w:tcPr>
          <w:p w14:paraId="289AD419"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DengXian" w:cs="Arial"/>
                <w:color w:val="000000"/>
                <w:szCs w:val="22"/>
              </w:rPr>
            </w:pPr>
            <w:r w:rsidRPr="007F6332">
              <w:rPr>
                <w:rFonts w:cs="Arial"/>
                <w:color w:val="000000"/>
                <w:szCs w:val="22"/>
              </w:rPr>
              <w:t>-2%</w:t>
            </w:r>
          </w:p>
        </w:tc>
        <w:tc>
          <w:tcPr>
            <w:tcW w:w="581" w:type="pct"/>
            <w:tcBorders>
              <w:top w:val="nil"/>
              <w:left w:val="single" w:sz="4" w:space="0" w:color="auto"/>
              <w:bottom w:val="nil"/>
            </w:tcBorders>
            <w:shd w:val="clear" w:color="000000" w:fill="A7A9AC"/>
          </w:tcPr>
          <w:p w14:paraId="56C78E62"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eastAsia="DengXian" w:cs="Arial"/>
                <w:color w:val="000000"/>
                <w:szCs w:val="22"/>
              </w:rPr>
            </w:pPr>
            <w:r w:rsidRPr="007F6332">
              <w:rPr>
                <w:rFonts w:cs="Arial"/>
                <w:color w:val="000000"/>
                <w:szCs w:val="22"/>
              </w:rPr>
              <w:t>2%</w:t>
            </w:r>
          </w:p>
        </w:tc>
      </w:tr>
      <w:tr w:rsidR="00DF263E" w:rsidRPr="007F6332" w14:paraId="7C2C9056" w14:textId="77777777" w:rsidTr="00E45F0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41" w:type="pct"/>
            <w:tcBorders>
              <w:top w:val="nil"/>
              <w:bottom w:val="nil"/>
              <w:right w:val="nil"/>
            </w:tcBorders>
            <w:shd w:val="clear" w:color="auto" w:fill="auto"/>
            <w:noWrap/>
          </w:tcPr>
          <w:p w14:paraId="7620BF61" w14:textId="77777777" w:rsidR="00E7089F" w:rsidRPr="007F6332" w:rsidRDefault="00E7089F" w:rsidP="00C71F02">
            <w:pPr>
              <w:rPr>
                <w:rFonts w:eastAsia="DengXian" w:cs="Arial"/>
                <w:color w:val="000000"/>
                <w:szCs w:val="22"/>
                <w:lang w:eastAsia="en-AU"/>
              </w:rPr>
            </w:pPr>
            <w:r w:rsidRPr="007F6332">
              <w:rPr>
                <w:rFonts w:cs="Arial"/>
                <w:color w:val="000000"/>
              </w:rPr>
              <w:t>Difference ($) (a – c)</w:t>
            </w:r>
          </w:p>
        </w:tc>
        <w:tc>
          <w:tcPr>
            <w:tcW w:w="639" w:type="pct"/>
            <w:tcBorders>
              <w:top w:val="nil"/>
              <w:left w:val="nil"/>
              <w:bottom w:val="nil"/>
              <w:right w:val="nil"/>
            </w:tcBorders>
            <w:shd w:val="clear" w:color="auto" w:fill="auto"/>
            <w:noWrap/>
          </w:tcPr>
          <w:p w14:paraId="615AE4DF"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3,227</w:t>
            </w:r>
          </w:p>
        </w:tc>
        <w:tc>
          <w:tcPr>
            <w:tcW w:w="584" w:type="pct"/>
            <w:tcBorders>
              <w:top w:val="nil"/>
              <w:left w:val="nil"/>
              <w:bottom w:val="nil"/>
              <w:right w:val="nil"/>
            </w:tcBorders>
            <w:shd w:val="clear" w:color="auto" w:fill="auto"/>
            <w:noWrap/>
          </w:tcPr>
          <w:p w14:paraId="770B29EE"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2,260</w:t>
            </w:r>
          </w:p>
        </w:tc>
        <w:tc>
          <w:tcPr>
            <w:tcW w:w="586" w:type="pct"/>
            <w:tcBorders>
              <w:top w:val="nil"/>
              <w:left w:val="nil"/>
              <w:bottom w:val="nil"/>
              <w:right w:val="nil"/>
            </w:tcBorders>
            <w:shd w:val="clear" w:color="auto" w:fill="auto"/>
            <w:noWrap/>
          </w:tcPr>
          <w:p w14:paraId="02549763"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444</w:t>
            </w:r>
          </w:p>
        </w:tc>
        <w:tc>
          <w:tcPr>
            <w:tcW w:w="584" w:type="pct"/>
            <w:tcBorders>
              <w:top w:val="nil"/>
              <w:left w:val="nil"/>
              <w:bottom w:val="nil"/>
              <w:right w:val="dashSmallGap" w:sz="4" w:space="0" w:color="auto"/>
            </w:tcBorders>
            <w:shd w:val="clear" w:color="auto" w:fill="auto"/>
            <w:noWrap/>
          </w:tcPr>
          <w:p w14:paraId="02405143"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-303</w:t>
            </w:r>
          </w:p>
        </w:tc>
        <w:tc>
          <w:tcPr>
            <w:tcW w:w="584" w:type="pct"/>
            <w:tcBorders>
              <w:top w:val="nil"/>
              <w:left w:val="dashSmallGap" w:sz="4" w:space="0" w:color="auto"/>
              <w:bottom w:val="nil"/>
              <w:right w:val="single" w:sz="4" w:space="0" w:color="auto"/>
            </w:tcBorders>
            <w:shd w:val="clear" w:color="auto" w:fill="auto"/>
            <w:noWrap/>
          </w:tcPr>
          <w:p w14:paraId="787A35D4"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-4,625</w:t>
            </w:r>
          </w:p>
        </w:tc>
        <w:tc>
          <w:tcPr>
            <w:tcW w:w="581" w:type="pct"/>
            <w:tcBorders>
              <w:top w:val="nil"/>
              <w:left w:val="single" w:sz="4" w:space="0" w:color="auto"/>
              <w:bottom w:val="nil"/>
            </w:tcBorders>
            <w:shd w:val="clear" w:color="auto" w:fill="auto"/>
          </w:tcPr>
          <w:p w14:paraId="03700997" w14:textId="77777777" w:rsidR="00E7089F" w:rsidRPr="007F6332" w:rsidRDefault="00E7089F" w:rsidP="00C1755E">
            <w:pPr>
              <w:ind w:left="-246"/>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5,628</w:t>
            </w:r>
          </w:p>
        </w:tc>
      </w:tr>
      <w:tr w:rsidR="00DF263E" w:rsidRPr="007F6332" w14:paraId="50A8AFBD" w14:textId="77777777" w:rsidTr="00E45F0C">
        <w:trPr>
          <w:trHeight w:val="397"/>
        </w:trPr>
        <w:tc>
          <w:tcPr>
            <w:cnfStyle w:val="001000000000" w:firstRow="0" w:lastRow="0" w:firstColumn="1" w:lastColumn="0" w:oddVBand="0" w:evenVBand="0" w:oddHBand="0" w:evenHBand="0" w:firstRowFirstColumn="0" w:firstRowLastColumn="0" w:lastRowFirstColumn="0" w:lastRowLastColumn="0"/>
            <w:tcW w:w="1441" w:type="pct"/>
            <w:tcBorders>
              <w:top w:val="nil"/>
              <w:bottom w:val="single" w:sz="4" w:space="0" w:color="auto"/>
            </w:tcBorders>
            <w:shd w:val="clear" w:color="000000" w:fill="A7A9AC"/>
            <w:noWrap/>
          </w:tcPr>
          <w:p w14:paraId="54AA3312" w14:textId="77777777" w:rsidR="00E7089F" w:rsidRPr="007F6332" w:rsidRDefault="00E7089F" w:rsidP="00C71F02">
            <w:pPr>
              <w:rPr>
                <w:rFonts w:eastAsia="DengXian" w:cs="Arial"/>
                <w:color w:val="000000"/>
                <w:szCs w:val="22"/>
                <w:lang w:eastAsia="en-AU"/>
              </w:rPr>
            </w:pPr>
            <w:r w:rsidRPr="007F6332">
              <w:rPr>
                <w:rFonts w:cs="Arial"/>
                <w:color w:val="000000"/>
              </w:rPr>
              <w:t>Difference (%) (a/c -1)</w:t>
            </w:r>
          </w:p>
        </w:tc>
        <w:tc>
          <w:tcPr>
            <w:tcW w:w="639" w:type="pct"/>
            <w:tcBorders>
              <w:top w:val="nil"/>
              <w:bottom w:val="single" w:sz="4" w:space="0" w:color="auto"/>
            </w:tcBorders>
            <w:shd w:val="clear" w:color="000000" w:fill="A7A9AC"/>
            <w:noWrap/>
          </w:tcPr>
          <w:p w14:paraId="20760EE2"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8%</w:t>
            </w:r>
          </w:p>
        </w:tc>
        <w:tc>
          <w:tcPr>
            <w:tcW w:w="584" w:type="pct"/>
            <w:tcBorders>
              <w:top w:val="nil"/>
              <w:bottom w:val="single" w:sz="4" w:space="0" w:color="auto"/>
            </w:tcBorders>
            <w:shd w:val="clear" w:color="000000" w:fill="A7A9AC"/>
            <w:noWrap/>
          </w:tcPr>
          <w:p w14:paraId="6C25C9AB"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w:t>
            </w:r>
          </w:p>
        </w:tc>
        <w:tc>
          <w:tcPr>
            <w:tcW w:w="586" w:type="pct"/>
            <w:tcBorders>
              <w:top w:val="nil"/>
              <w:bottom w:val="single" w:sz="4" w:space="0" w:color="auto"/>
            </w:tcBorders>
            <w:shd w:val="clear" w:color="000000" w:fill="A7A9AC"/>
            <w:noWrap/>
          </w:tcPr>
          <w:p w14:paraId="00B68F99"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w:t>
            </w:r>
          </w:p>
        </w:tc>
        <w:tc>
          <w:tcPr>
            <w:tcW w:w="584" w:type="pct"/>
            <w:tcBorders>
              <w:top w:val="nil"/>
              <w:bottom w:val="single" w:sz="4" w:space="0" w:color="auto"/>
              <w:right w:val="dashSmallGap" w:sz="4" w:space="0" w:color="auto"/>
            </w:tcBorders>
            <w:shd w:val="clear" w:color="000000" w:fill="A7A9AC"/>
            <w:noWrap/>
          </w:tcPr>
          <w:p w14:paraId="76AF9867"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w:t>
            </w:r>
          </w:p>
        </w:tc>
        <w:tc>
          <w:tcPr>
            <w:tcW w:w="584" w:type="pct"/>
            <w:tcBorders>
              <w:top w:val="nil"/>
              <w:left w:val="dashSmallGap" w:sz="4" w:space="0" w:color="auto"/>
              <w:bottom w:val="single" w:sz="4" w:space="0" w:color="auto"/>
              <w:right w:val="single" w:sz="4" w:space="0" w:color="auto"/>
            </w:tcBorders>
            <w:shd w:val="clear" w:color="000000" w:fill="A7A9AC"/>
            <w:noWrap/>
          </w:tcPr>
          <w:p w14:paraId="49768D9F"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w:t>
            </w:r>
          </w:p>
        </w:tc>
        <w:tc>
          <w:tcPr>
            <w:tcW w:w="581" w:type="pct"/>
            <w:tcBorders>
              <w:top w:val="nil"/>
              <w:left w:val="single" w:sz="4" w:space="0" w:color="auto"/>
              <w:bottom w:val="single" w:sz="4" w:space="0" w:color="auto"/>
            </w:tcBorders>
            <w:shd w:val="clear" w:color="000000" w:fill="A7A9AC"/>
          </w:tcPr>
          <w:p w14:paraId="6423E8D9" w14:textId="77777777" w:rsidR="00E7089F" w:rsidRPr="007F6332" w:rsidRDefault="00E7089F" w:rsidP="00C1755E">
            <w:pPr>
              <w:ind w:left="-246"/>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w:t>
            </w:r>
          </w:p>
        </w:tc>
      </w:tr>
    </w:tbl>
    <w:p w14:paraId="36B8D8A1" w14:textId="09267332" w:rsidR="001A122F" w:rsidRPr="007F6332" w:rsidRDefault="001A122F" w:rsidP="001A122F">
      <w:pPr>
        <w:pStyle w:val="FSRnormal"/>
        <w:rPr>
          <w:rFonts w:cs="Arial"/>
        </w:rPr>
      </w:pPr>
      <w:r w:rsidRPr="007F6332">
        <w:rPr>
          <w:rFonts w:cs="Arial"/>
        </w:rPr>
        <w:t xml:space="preserve">Table 3 shows the changes in the projected Scheme expenses since the previous review, due to external factors, experience and </w:t>
      </w:r>
      <w:r w:rsidR="00E7089F" w:rsidRPr="007F6332">
        <w:rPr>
          <w:rFonts w:cs="Arial"/>
        </w:rPr>
        <w:t xml:space="preserve">updated </w:t>
      </w:r>
      <w:r w:rsidRPr="007F6332">
        <w:rPr>
          <w:rFonts w:cs="Arial"/>
        </w:rPr>
        <w:t>assumptions.</w:t>
      </w:r>
    </w:p>
    <w:p w14:paraId="6C5B5F71" w14:textId="77777777" w:rsidR="001A122F" w:rsidRPr="007F6332" w:rsidRDefault="001A122F" w:rsidP="001A122F">
      <w:pPr>
        <w:pStyle w:val="FSRnormal"/>
        <w:rPr>
          <w:rFonts w:cs="Arial"/>
        </w:rPr>
      </w:pPr>
      <w:r w:rsidRPr="007F6332">
        <w:rPr>
          <w:rFonts w:cs="Arial"/>
        </w:rPr>
        <w:t xml:space="preserve">After allowing for factors influenced by forces external to the Agency, including immigration policy, pricing and normal inflation updates, revised Scheme expenses for the four years to June 2027 are projected to be $190.8 billion, or $2.7 billion (1.4%) higher compared to the previous review. </w:t>
      </w:r>
    </w:p>
    <w:p w14:paraId="086972C8" w14:textId="77777777" w:rsidR="001A122F" w:rsidRPr="007F6332" w:rsidRDefault="001A122F" w:rsidP="001A122F">
      <w:pPr>
        <w:pStyle w:val="FSRnormal"/>
        <w:rPr>
          <w:rFonts w:cs="Arial"/>
        </w:rPr>
      </w:pPr>
      <w:r w:rsidRPr="007F6332">
        <w:rPr>
          <w:rFonts w:cs="Arial"/>
        </w:rPr>
        <w:t xml:space="preserve">Updates for actual experience and other assumption changes since the previous review, has increased projected Scheme expenses by a further $2.9 billion (1.6%) for the four years to 30 June 2027, with a reduction of $7.8 billion (8.0%) in financial year 2032-33. Actual experience for the 12 months to 30 June 2023, accounts for $2.4 billion of the total $2.9 billion increase in projected Scheme expenses for the four years to 30 June 2027, with assumption changes accounting for the remaining $0.5 billion. </w:t>
      </w:r>
    </w:p>
    <w:p w14:paraId="50651887" w14:textId="77777777" w:rsidR="001A122F" w:rsidRPr="007F6332" w:rsidRDefault="001A122F" w:rsidP="001A122F">
      <w:pPr>
        <w:pStyle w:val="FSRnormal"/>
        <w:rPr>
          <w:rFonts w:cs="Arial"/>
        </w:rPr>
      </w:pPr>
      <w:r w:rsidRPr="007F6332">
        <w:rPr>
          <w:rFonts w:cs="Arial"/>
        </w:rPr>
        <w:t>The moderation of assumptions in the medium to longer-term, in particular relating to participants entering the Scheme, participants transitioning to complex and/or higher support needs and growth in participant plans, is a reflection of the expected impact of maturing of the Scheme in the medium to longer-term, with continued improvements in operational processes and effectiveness.</w:t>
      </w:r>
    </w:p>
    <w:p w14:paraId="469CB3FF" w14:textId="77777777" w:rsidR="00CB7921" w:rsidRPr="007F6332" w:rsidRDefault="00CB7921" w:rsidP="001A122F">
      <w:pPr>
        <w:pStyle w:val="FSRnormal"/>
        <w:rPr>
          <w:rFonts w:cs="Arial"/>
        </w:rPr>
        <w:sectPr w:rsidR="00CB7921" w:rsidRPr="007F6332" w:rsidSect="00CE7E91">
          <w:pgSz w:w="11906" w:h="16838"/>
          <w:pgMar w:top="1440" w:right="1440" w:bottom="1276" w:left="1440" w:header="708" w:footer="850" w:gutter="0"/>
          <w:cols w:space="708"/>
          <w:docGrid w:linePitch="360"/>
        </w:sectPr>
      </w:pPr>
    </w:p>
    <w:p w14:paraId="499037C1" w14:textId="77777777" w:rsidR="001A122F" w:rsidRPr="007F6332" w:rsidRDefault="001A122F" w:rsidP="00ED7418">
      <w:pPr>
        <w:pStyle w:val="FiguresandTablesHeading4"/>
        <w:rPr>
          <w:rStyle w:val="Strong"/>
          <w:b/>
          <w:bCs w:val="0"/>
        </w:rPr>
      </w:pPr>
      <w:r w:rsidRPr="007F6332">
        <w:rPr>
          <w:rStyle w:val="Heading7Char"/>
          <w:rFonts w:cs="Arial"/>
          <w:b/>
          <w:iCs/>
        </w:rPr>
        <w:lastRenderedPageBreak/>
        <w:t>Table 3: Movements in projected</w:t>
      </w:r>
      <w:r w:rsidRPr="007F6332">
        <w:rPr>
          <w:rStyle w:val="Strong"/>
          <w:b/>
          <w:bCs w:val="0"/>
        </w:rPr>
        <w:t xml:space="preserve"> Scheme expenses since previous review</w:t>
      </w:r>
    </w:p>
    <w:tbl>
      <w:tblPr>
        <w:tblStyle w:val="FSRtable"/>
        <w:tblW w:w="8931" w:type="dxa"/>
        <w:tblInd w:w="0" w:type="dxa"/>
        <w:tblLayout w:type="fixed"/>
        <w:tblLook w:val="04A0" w:firstRow="1" w:lastRow="0" w:firstColumn="1" w:lastColumn="0" w:noHBand="0" w:noVBand="1"/>
      </w:tblPr>
      <w:tblGrid>
        <w:gridCol w:w="2835"/>
        <w:gridCol w:w="1016"/>
        <w:gridCol w:w="1016"/>
        <w:gridCol w:w="1016"/>
        <w:gridCol w:w="1016"/>
        <w:gridCol w:w="1016"/>
        <w:gridCol w:w="1016"/>
      </w:tblGrid>
      <w:tr w:rsidR="00E7089F" w:rsidRPr="007F6332" w14:paraId="58C9CD92" w14:textId="77777777" w:rsidTr="00C1755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right w:val="nil"/>
            </w:tcBorders>
          </w:tcPr>
          <w:p w14:paraId="2F61E277" w14:textId="77777777" w:rsidR="00E7089F" w:rsidRPr="007F6332" w:rsidRDefault="00E7089F" w:rsidP="00E4412E">
            <w:pPr>
              <w:rPr>
                <w:rFonts w:eastAsia="Times New Roman"/>
                <w:szCs w:val="21"/>
                <w:lang w:val="en-AU" w:eastAsia="en-AU"/>
              </w:rPr>
            </w:pPr>
            <w:r w:rsidRPr="007F6332">
              <w:rPr>
                <w:rFonts w:eastAsia="Times New Roman"/>
                <w:szCs w:val="21"/>
                <w:lang w:val="en-AU" w:eastAsia="en-AU"/>
              </w:rPr>
              <w:t>Scheme Expenses ($m)</w:t>
            </w:r>
          </w:p>
          <w:p w14:paraId="5939C579" w14:textId="77777777" w:rsidR="00E7089F" w:rsidRPr="007F6332" w:rsidRDefault="00E7089F" w:rsidP="00E4412E">
            <w:pPr>
              <w:rPr>
                <w:rFonts w:eastAsia="Times New Roman"/>
                <w:szCs w:val="21"/>
                <w:lang w:val="en-AU" w:eastAsia="en-AU"/>
              </w:rPr>
            </w:pPr>
            <w:r w:rsidRPr="007F6332">
              <w:rPr>
                <w:rFonts w:eastAsia="Times New Roman"/>
                <w:szCs w:val="21"/>
                <w:lang w:val="en-AU" w:eastAsia="en-AU"/>
              </w:rPr>
              <w:t>(accrual basis)</w:t>
            </w:r>
          </w:p>
        </w:tc>
        <w:tc>
          <w:tcPr>
            <w:tcW w:w="0" w:type="dxa"/>
            <w:tcBorders>
              <w:top w:val="nil"/>
              <w:left w:val="nil"/>
              <w:bottom w:val="nil"/>
              <w:right w:val="nil"/>
            </w:tcBorders>
          </w:tcPr>
          <w:p w14:paraId="18598F6C" w14:textId="77777777" w:rsidR="00E7089F" w:rsidRPr="007F6332" w:rsidRDefault="00E7089F" w:rsidP="00E4412E">
            <w:pPr>
              <w:ind w:left="-21"/>
              <w:cnfStyle w:val="100000000000" w:firstRow="1" w:lastRow="0" w:firstColumn="0" w:lastColumn="0" w:oddVBand="0" w:evenVBand="0" w:oddHBand="0" w:evenHBand="0" w:firstRowFirstColumn="0" w:firstRowLastColumn="0" w:lastRowFirstColumn="0" w:lastRowLastColumn="0"/>
              <w:rPr>
                <w:rFonts w:eastAsia="Times New Roman"/>
                <w:szCs w:val="21"/>
                <w:lang w:val="en-AU" w:eastAsia="en-AU"/>
              </w:rPr>
            </w:pPr>
            <w:r w:rsidRPr="007F6332">
              <w:rPr>
                <w:rFonts w:eastAsia="Times New Roman"/>
                <w:szCs w:val="21"/>
                <w:lang w:val="en-AU" w:eastAsia="en-AU"/>
              </w:rPr>
              <w:t>2023-24</w:t>
            </w:r>
          </w:p>
        </w:tc>
        <w:tc>
          <w:tcPr>
            <w:tcW w:w="0" w:type="dxa"/>
            <w:tcBorders>
              <w:top w:val="nil"/>
              <w:left w:val="nil"/>
              <w:bottom w:val="nil"/>
              <w:right w:val="nil"/>
            </w:tcBorders>
          </w:tcPr>
          <w:p w14:paraId="3EDFDB41" w14:textId="77777777" w:rsidR="00E7089F" w:rsidRPr="007F6332" w:rsidRDefault="00E7089F" w:rsidP="00E4412E">
            <w:pPr>
              <w:ind w:left="-21"/>
              <w:cnfStyle w:val="100000000000" w:firstRow="1" w:lastRow="0" w:firstColumn="0" w:lastColumn="0" w:oddVBand="0" w:evenVBand="0" w:oddHBand="0" w:evenHBand="0" w:firstRowFirstColumn="0" w:firstRowLastColumn="0" w:lastRowFirstColumn="0" w:lastRowLastColumn="0"/>
              <w:rPr>
                <w:rFonts w:eastAsia="Times New Roman"/>
                <w:szCs w:val="21"/>
                <w:lang w:val="en-AU" w:eastAsia="en-AU"/>
              </w:rPr>
            </w:pPr>
            <w:r w:rsidRPr="007F6332">
              <w:rPr>
                <w:rFonts w:eastAsia="Times New Roman"/>
                <w:szCs w:val="21"/>
                <w:lang w:val="en-AU" w:eastAsia="en-AU"/>
              </w:rPr>
              <w:t>2024-25</w:t>
            </w:r>
          </w:p>
        </w:tc>
        <w:tc>
          <w:tcPr>
            <w:tcW w:w="0" w:type="dxa"/>
            <w:tcBorders>
              <w:top w:val="nil"/>
              <w:left w:val="nil"/>
              <w:bottom w:val="nil"/>
              <w:right w:val="nil"/>
            </w:tcBorders>
          </w:tcPr>
          <w:p w14:paraId="2CEB2F38" w14:textId="77777777" w:rsidR="00E7089F" w:rsidRPr="007F6332" w:rsidRDefault="00E7089F" w:rsidP="00E4412E">
            <w:pPr>
              <w:ind w:left="-21"/>
              <w:cnfStyle w:val="100000000000" w:firstRow="1" w:lastRow="0" w:firstColumn="0" w:lastColumn="0" w:oddVBand="0" w:evenVBand="0" w:oddHBand="0" w:evenHBand="0" w:firstRowFirstColumn="0" w:firstRowLastColumn="0" w:lastRowFirstColumn="0" w:lastRowLastColumn="0"/>
              <w:rPr>
                <w:rFonts w:eastAsia="Times New Roman"/>
                <w:szCs w:val="21"/>
                <w:lang w:val="en-AU" w:eastAsia="en-AU"/>
              </w:rPr>
            </w:pPr>
            <w:r w:rsidRPr="007F6332">
              <w:rPr>
                <w:rFonts w:eastAsia="Times New Roman"/>
                <w:szCs w:val="21"/>
                <w:lang w:val="en-AU" w:eastAsia="en-AU"/>
              </w:rPr>
              <w:t>2025-26</w:t>
            </w:r>
          </w:p>
        </w:tc>
        <w:tc>
          <w:tcPr>
            <w:tcW w:w="0" w:type="dxa"/>
            <w:tcBorders>
              <w:top w:val="nil"/>
              <w:left w:val="nil"/>
              <w:bottom w:val="nil"/>
              <w:right w:val="nil"/>
            </w:tcBorders>
          </w:tcPr>
          <w:p w14:paraId="557F52AE" w14:textId="77777777" w:rsidR="00E7089F" w:rsidRPr="007F6332" w:rsidRDefault="00E7089F" w:rsidP="00E4412E">
            <w:pPr>
              <w:ind w:left="-21"/>
              <w:cnfStyle w:val="100000000000" w:firstRow="1" w:lastRow="0" w:firstColumn="0" w:lastColumn="0" w:oddVBand="0" w:evenVBand="0" w:oddHBand="0" w:evenHBand="0" w:firstRowFirstColumn="0" w:firstRowLastColumn="0" w:lastRowFirstColumn="0" w:lastRowLastColumn="0"/>
              <w:rPr>
                <w:rFonts w:eastAsia="Times New Roman"/>
                <w:szCs w:val="21"/>
                <w:lang w:val="en-AU" w:eastAsia="en-AU"/>
              </w:rPr>
            </w:pPr>
            <w:r w:rsidRPr="007F6332">
              <w:rPr>
                <w:rFonts w:eastAsia="Times New Roman"/>
                <w:szCs w:val="21"/>
                <w:lang w:val="en-AU" w:eastAsia="en-AU"/>
              </w:rPr>
              <w:t>2026-27</w:t>
            </w:r>
          </w:p>
        </w:tc>
        <w:tc>
          <w:tcPr>
            <w:tcW w:w="0" w:type="dxa"/>
            <w:tcBorders>
              <w:top w:val="nil"/>
              <w:left w:val="nil"/>
              <w:bottom w:val="nil"/>
              <w:right w:val="nil"/>
            </w:tcBorders>
          </w:tcPr>
          <w:p w14:paraId="1093C72A" w14:textId="77777777" w:rsidR="00E7089F" w:rsidRPr="007F6332" w:rsidRDefault="00E7089F" w:rsidP="00E4412E">
            <w:pPr>
              <w:ind w:left="-21"/>
              <w:cnfStyle w:val="100000000000" w:firstRow="1" w:lastRow="0" w:firstColumn="0" w:lastColumn="0" w:oddVBand="0" w:evenVBand="0" w:oddHBand="0" w:evenHBand="0" w:firstRowFirstColumn="0" w:firstRowLastColumn="0" w:lastRowFirstColumn="0" w:lastRowLastColumn="0"/>
              <w:rPr>
                <w:rFonts w:eastAsia="Times New Roman"/>
                <w:szCs w:val="21"/>
                <w:lang w:val="en-AU" w:eastAsia="en-AU"/>
              </w:rPr>
            </w:pPr>
            <w:r w:rsidRPr="007F6332">
              <w:rPr>
                <w:rFonts w:eastAsia="Times New Roman"/>
                <w:szCs w:val="21"/>
                <w:lang w:val="en-AU" w:eastAsia="en-AU"/>
              </w:rPr>
              <w:t>2032-33</w:t>
            </w:r>
          </w:p>
        </w:tc>
        <w:tc>
          <w:tcPr>
            <w:tcW w:w="0" w:type="dxa"/>
            <w:tcBorders>
              <w:top w:val="nil"/>
              <w:left w:val="nil"/>
              <w:bottom w:val="nil"/>
            </w:tcBorders>
          </w:tcPr>
          <w:p w14:paraId="104C4398" w14:textId="77777777" w:rsidR="00E7089F" w:rsidRPr="007F6332" w:rsidRDefault="00E7089F" w:rsidP="00E4412E">
            <w:pPr>
              <w:ind w:left="-21"/>
              <w:cnfStyle w:val="100000000000" w:firstRow="1" w:lastRow="0" w:firstColumn="0" w:lastColumn="0" w:oddVBand="0" w:evenVBand="0" w:oddHBand="0" w:evenHBand="0" w:firstRowFirstColumn="0" w:firstRowLastColumn="0" w:lastRowFirstColumn="0" w:lastRowLastColumn="0"/>
              <w:rPr>
                <w:rFonts w:eastAsia="Times New Roman"/>
                <w:szCs w:val="21"/>
                <w:lang w:val="en-AU" w:eastAsia="en-AU"/>
              </w:rPr>
            </w:pPr>
            <w:r w:rsidRPr="007F6332">
              <w:rPr>
                <w:rFonts w:eastAsia="Times New Roman"/>
                <w:szCs w:val="21"/>
                <w:lang w:val="en-AU" w:eastAsia="en-AU"/>
              </w:rPr>
              <w:t>Total 2023-27</w:t>
            </w:r>
          </w:p>
        </w:tc>
      </w:tr>
      <w:tr w:rsidR="00E7089F" w:rsidRPr="007F6332" w14:paraId="46D8363B" w14:textId="77777777" w:rsidTr="00C1755E">
        <w:trPr>
          <w:trHeight w:val="51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shd w:val="clear" w:color="auto" w:fill="B398B8"/>
          </w:tcPr>
          <w:p w14:paraId="50E05273" w14:textId="77777777" w:rsidR="00E7089F" w:rsidRPr="007F6332" w:rsidRDefault="00E7089F" w:rsidP="00E4412E">
            <w:pPr>
              <w:spacing w:line="240" w:lineRule="auto"/>
              <w:rPr>
                <w:rFonts w:eastAsia="Times New Roman" w:cs="Arial"/>
                <w:b/>
                <w:bCs/>
                <w:color w:val="000000"/>
                <w:szCs w:val="21"/>
                <w:lang w:val="en-AU" w:eastAsia="en-AU"/>
              </w:rPr>
            </w:pPr>
            <w:r w:rsidRPr="007F6332">
              <w:rPr>
                <w:rFonts w:eastAsia="Times New Roman" w:cs="Arial"/>
                <w:b/>
                <w:bCs/>
                <w:color w:val="000000"/>
                <w:szCs w:val="21"/>
                <w:lang w:val="en-AU" w:eastAsia="en-AU"/>
              </w:rPr>
              <w:t>June 2022 projections</w:t>
            </w:r>
          </w:p>
        </w:tc>
        <w:tc>
          <w:tcPr>
            <w:tcW w:w="0" w:type="dxa"/>
            <w:tcBorders>
              <w:top w:val="nil"/>
              <w:bottom w:val="nil"/>
            </w:tcBorders>
            <w:shd w:val="clear" w:color="auto" w:fill="B398B8"/>
          </w:tcPr>
          <w:p w14:paraId="48C7DBA5"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38,133</w:t>
            </w:r>
          </w:p>
        </w:tc>
        <w:tc>
          <w:tcPr>
            <w:tcW w:w="0" w:type="dxa"/>
            <w:tcBorders>
              <w:top w:val="nil"/>
              <w:bottom w:val="nil"/>
            </w:tcBorders>
            <w:shd w:val="clear" w:color="auto" w:fill="B398B8"/>
          </w:tcPr>
          <w:p w14:paraId="364228ED"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44,116</w:t>
            </w:r>
          </w:p>
        </w:tc>
        <w:tc>
          <w:tcPr>
            <w:tcW w:w="0" w:type="dxa"/>
            <w:tcBorders>
              <w:top w:val="nil"/>
              <w:bottom w:val="nil"/>
            </w:tcBorders>
            <w:shd w:val="clear" w:color="auto" w:fill="B398B8"/>
          </w:tcPr>
          <w:p w14:paraId="2328D9BA"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50,344</w:t>
            </w:r>
          </w:p>
        </w:tc>
        <w:tc>
          <w:tcPr>
            <w:tcW w:w="0" w:type="dxa"/>
            <w:tcBorders>
              <w:top w:val="nil"/>
              <w:bottom w:val="nil"/>
              <w:right w:val="dashSmallGap" w:sz="4" w:space="0" w:color="auto"/>
            </w:tcBorders>
            <w:shd w:val="clear" w:color="auto" w:fill="B398B8"/>
          </w:tcPr>
          <w:p w14:paraId="71356EF0"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55,510</w:t>
            </w:r>
          </w:p>
        </w:tc>
        <w:tc>
          <w:tcPr>
            <w:tcW w:w="0" w:type="dxa"/>
            <w:tcBorders>
              <w:top w:val="nil"/>
              <w:left w:val="dashSmallGap" w:sz="4" w:space="0" w:color="auto"/>
              <w:bottom w:val="nil"/>
              <w:right w:val="single" w:sz="4" w:space="0" w:color="auto"/>
            </w:tcBorders>
            <w:shd w:val="clear" w:color="auto" w:fill="B398B8"/>
          </w:tcPr>
          <w:p w14:paraId="29EDDA23"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96,966</w:t>
            </w:r>
          </w:p>
        </w:tc>
        <w:tc>
          <w:tcPr>
            <w:tcW w:w="0" w:type="dxa"/>
            <w:tcBorders>
              <w:top w:val="nil"/>
              <w:left w:val="single" w:sz="4" w:space="0" w:color="auto"/>
              <w:bottom w:val="nil"/>
            </w:tcBorders>
            <w:shd w:val="clear" w:color="auto" w:fill="B398B8"/>
          </w:tcPr>
          <w:p w14:paraId="24D62863"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188,103</w:t>
            </w:r>
          </w:p>
        </w:tc>
      </w:tr>
      <w:tr w:rsidR="00E7089F" w:rsidRPr="007F6332" w14:paraId="441AD33A" w14:textId="77777777" w:rsidTr="00C1755E">
        <w:trPr>
          <w:cnfStyle w:val="000000010000" w:firstRow="0" w:lastRow="0" w:firstColumn="0" w:lastColumn="0" w:oddVBand="0" w:evenVBand="0" w:oddHBand="0" w:evenHBand="1"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shd w:val="clear" w:color="auto" w:fill="A6A6A6" w:themeFill="background1" w:themeFillShade="A6"/>
          </w:tcPr>
          <w:p w14:paraId="6FA54E39" w14:textId="77777777" w:rsidR="00E7089F" w:rsidRPr="007F6332" w:rsidRDefault="00E7089F" w:rsidP="00E4412E">
            <w:pPr>
              <w:spacing w:line="240" w:lineRule="auto"/>
              <w:rPr>
                <w:rFonts w:eastAsia="Times New Roman" w:cs="Arial"/>
                <w:color w:val="000000"/>
                <w:szCs w:val="21"/>
                <w:lang w:val="en-AU" w:eastAsia="en-AU"/>
              </w:rPr>
            </w:pPr>
            <w:r w:rsidRPr="007F6332">
              <w:rPr>
                <w:rFonts w:eastAsia="Times New Roman" w:cs="Arial"/>
                <w:color w:val="000000"/>
                <w:szCs w:val="21"/>
                <w:lang w:val="en-AU" w:eastAsia="en-AU"/>
              </w:rPr>
              <w:t>Immigration changes</w:t>
            </w:r>
          </w:p>
        </w:tc>
        <w:tc>
          <w:tcPr>
            <w:tcW w:w="0" w:type="dxa"/>
            <w:tcBorders>
              <w:top w:val="nil"/>
              <w:bottom w:val="nil"/>
            </w:tcBorders>
            <w:shd w:val="clear" w:color="auto" w:fill="A6A6A6" w:themeFill="background1" w:themeFillShade="A6"/>
          </w:tcPr>
          <w:p w14:paraId="33B6C3EA"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15</w:t>
            </w:r>
          </w:p>
        </w:tc>
        <w:tc>
          <w:tcPr>
            <w:tcW w:w="0" w:type="dxa"/>
            <w:tcBorders>
              <w:top w:val="nil"/>
              <w:bottom w:val="nil"/>
            </w:tcBorders>
            <w:shd w:val="clear" w:color="auto" w:fill="A6A6A6" w:themeFill="background1" w:themeFillShade="A6"/>
          </w:tcPr>
          <w:p w14:paraId="0586AE5F"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69</w:t>
            </w:r>
          </w:p>
        </w:tc>
        <w:tc>
          <w:tcPr>
            <w:tcW w:w="0" w:type="dxa"/>
            <w:tcBorders>
              <w:top w:val="nil"/>
              <w:bottom w:val="nil"/>
            </w:tcBorders>
            <w:shd w:val="clear" w:color="auto" w:fill="A6A6A6" w:themeFill="background1" w:themeFillShade="A6"/>
          </w:tcPr>
          <w:p w14:paraId="1ADC1522"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147</w:t>
            </w:r>
          </w:p>
        </w:tc>
        <w:tc>
          <w:tcPr>
            <w:tcW w:w="0" w:type="dxa"/>
            <w:tcBorders>
              <w:top w:val="nil"/>
              <w:bottom w:val="nil"/>
              <w:right w:val="dashSmallGap" w:sz="4" w:space="0" w:color="auto"/>
            </w:tcBorders>
            <w:shd w:val="clear" w:color="auto" w:fill="A6A6A6" w:themeFill="background1" w:themeFillShade="A6"/>
          </w:tcPr>
          <w:p w14:paraId="082369AF"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212</w:t>
            </w:r>
          </w:p>
        </w:tc>
        <w:tc>
          <w:tcPr>
            <w:tcW w:w="0" w:type="dxa"/>
            <w:tcBorders>
              <w:top w:val="nil"/>
              <w:left w:val="dashSmallGap" w:sz="4" w:space="0" w:color="auto"/>
              <w:bottom w:val="nil"/>
              <w:right w:val="single" w:sz="4" w:space="0" w:color="auto"/>
            </w:tcBorders>
            <w:shd w:val="clear" w:color="auto" w:fill="A6A6A6" w:themeFill="background1" w:themeFillShade="A6"/>
          </w:tcPr>
          <w:p w14:paraId="519A181E"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618</w:t>
            </w:r>
          </w:p>
        </w:tc>
        <w:tc>
          <w:tcPr>
            <w:tcW w:w="0" w:type="dxa"/>
            <w:tcBorders>
              <w:top w:val="nil"/>
              <w:left w:val="single" w:sz="4" w:space="0" w:color="auto"/>
              <w:bottom w:val="nil"/>
            </w:tcBorders>
            <w:shd w:val="clear" w:color="auto" w:fill="A6A6A6" w:themeFill="background1" w:themeFillShade="A6"/>
          </w:tcPr>
          <w:p w14:paraId="1F9C23EC"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445</w:t>
            </w:r>
          </w:p>
        </w:tc>
      </w:tr>
      <w:tr w:rsidR="00E7089F" w:rsidRPr="007F6332" w14:paraId="7FA8DEBF" w14:textId="77777777" w:rsidTr="00CB7921">
        <w:trPr>
          <w:trHeight w:val="227"/>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shd w:val="clear" w:color="auto" w:fill="auto"/>
          </w:tcPr>
          <w:p w14:paraId="54261E47" w14:textId="77777777" w:rsidR="00E7089F" w:rsidRPr="007F6332" w:rsidRDefault="00E7089F" w:rsidP="00E4412E">
            <w:pPr>
              <w:spacing w:line="240" w:lineRule="auto"/>
              <w:rPr>
                <w:rFonts w:eastAsia="Times New Roman" w:cs="Arial"/>
                <w:color w:val="000000" w:themeColor="text1"/>
                <w:szCs w:val="21"/>
                <w:lang w:val="en-AU" w:eastAsia="en-AU"/>
              </w:rPr>
            </w:pPr>
            <w:r w:rsidRPr="007F6332">
              <w:rPr>
                <w:rFonts w:eastAsia="Times New Roman" w:cs="Arial"/>
                <w:color w:val="000000" w:themeColor="text1"/>
                <w:szCs w:val="21"/>
                <w:lang w:val="en-AU" w:eastAsia="en-AU"/>
              </w:rPr>
              <w:t>Pricing and normal inflation</w:t>
            </w:r>
          </w:p>
        </w:tc>
        <w:tc>
          <w:tcPr>
            <w:tcW w:w="1016" w:type="dxa"/>
            <w:tcBorders>
              <w:top w:val="nil"/>
              <w:bottom w:val="nil"/>
            </w:tcBorders>
            <w:shd w:val="clear" w:color="auto" w:fill="auto"/>
          </w:tcPr>
          <w:p w14:paraId="55646B33"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1"/>
                <w:lang w:val="en-AU" w:eastAsia="en-AU"/>
              </w:rPr>
            </w:pPr>
            <w:r w:rsidRPr="007F6332">
              <w:rPr>
                <w:rFonts w:eastAsia="Times New Roman" w:cs="Arial"/>
                <w:color w:val="000000" w:themeColor="text1"/>
                <w:szCs w:val="21"/>
                <w:lang w:val="en-AU" w:eastAsia="en-AU"/>
              </w:rPr>
              <w:t>607</w:t>
            </w:r>
          </w:p>
        </w:tc>
        <w:tc>
          <w:tcPr>
            <w:tcW w:w="1016" w:type="dxa"/>
            <w:tcBorders>
              <w:top w:val="nil"/>
              <w:bottom w:val="nil"/>
            </w:tcBorders>
            <w:shd w:val="clear" w:color="auto" w:fill="auto"/>
          </w:tcPr>
          <w:p w14:paraId="08716277"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1"/>
                <w:lang w:val="en-AU" w:eastAsia="en-AU"/>
              </w:rPr>
            </w:pPr>
            <w:r w:rsidRPr="007F6332">
              <w:rPr>
                <w:rFonts w:eastAsia="Times New Roman" w:cs="Arial"/>
                <w:color w:val="000000" w:themeColor="text1"/>
                <w:szCs w:val="21"/>
                <w:lang w:val="en-AU" w:eastAsia="en-AU"/>
              </w:rPr>
              <w:t>394</w:t>
            </w:r>
          </w:p>
        </w:tc>
        <w:tc>
          <w:tcPr>
            <w:tcW w:w="1016" w:type="dxa"/>
            <w:tcBorders>
              <w:top w:val="nil"/>
              <w:bottom w:val="nil"/>
            </w:tcBorders>
            <w:shd w:val="clear" w:color="auto" w:fill="auto"/>
          </w:tcPr>
          <w:p w14:paraId="00DB2808"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1"/>
                <w:lang w:val="en-AU" w:eastAsia="en-AU"/>
              </w:rPr>
            </w:pPr>
            <w:r w:rsidRPr="007F6332">
              <w:rPr>
                <w:rFonts w:eastAsia="Times New Roman" w:cs="Arial"/>
                <w:color w:val="000000" w:themeColor="text1"/>
                <w:szCs w:val="21"/>
                <w:lang w:val="en-AU" w:eastAsia="en-AU"/>
              </w:rPr>
              <w:t>542</w:t>
            </w:r>
          </w:p>
        </w:tc>
        <w:tc>
          <w:tcPr>
            <w:tcW w:w="1016" w:type="dxa"/>
            <w:tcBorders>
              <w:top w:val="nil"/>
              <w:bottom w:val="nil"/>
              <w:right w:val="dashSmallGap" w:sz="4" w:space="0" w:color="auto"/>
            </w:tcBorders>
            <w:shd w:val="clear" w:color="auto" w:fill="auto"/>
          </w:tcPr>
          <w:p w14:paraId="729B623E"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1"/>
                <w:lang w:val="en-AU" w:eastAsia="en-AU"/>
              </w:rPr>
            </w:pPr>
            <w:r w:rsidRPr="007F6332">
              <w:rPr>
                <w:rFonts w:eastAsia="Times New Roman" w:cs="Arial"/>
                <w:color w:val="000000" w:themeColor="text1"/>
                <w:szCs w:val="21"/>
                <w:lang w:val="en-AU" w:eastAsia="en-AU"/>
              </w:rPr>
              <w:t>709</w:t>
            </w:r>
          </w:p>
        </w:tc>
        <w:tc>
          <w:tcPr>
            <w:tcW w:w="1016" w:type="dxa"/>
            <w:tcBorders>
              <w:top w:val="nil"/>
              <w:left w:val="dashSmallGap" w:sz="4" w:space="0" w:color="auto"/>
              <w:bottom w:val="nil"/>
              <w:right w:val="single" w:sz="4" w:space="0" w:color="auto"/>
            </w:tcBorders>
            <w:shd w:val="clear" w:color="auto" w:fill="auto"/>
          </w:tcPr>
          <w:p w14:paraId="4E14CC3A"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1"/>
                <w:lang w:val="en-AU" w:eastAsia="en-AU"/>
              </w:rPr>
            </w:pPr>
            <w:r w:rsidRPr="007F6332">
              <w:rPr>
                <w:rFonts w:eastAsia="Times New Roman" w:cs="Arial"/>
                <w:color w:val="000000" w:themeColor="text1"/>
                <w:szCs w:val="21"/>
                <w:lang w:val="en-AU" w:eastAsia="en-AU"/>
              </w:rPr>
              <w:t>2,530</w:t>
            </w:r>
          </w:p>
        </w:tc>
        <w:tc>
          <w:tcPr>
            <w:tcW w:w="1016" w:type="dxa"/>
            <w:tcBorders>
              <w:top w:val="nil"/>
              <w:left w:val="single" w:sz="4" w:space="0" w:color="auto"/>
              <w:bottom w:val="nil"/>
            </w:tcBorders>
            <w:shd w:val="clear" w:color="auto" w:fill="auto"/>
          </w:tcPr>
          <w:p w14:paraId="0EEB9B13"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1"/>
                <w:lang w:val="en-AU" w:eastAsia="en-AU"/>
              </w:rPr>
            </w:pPr>
            <w:r w:rsidRPr="007F6332">
              <w:rPr>
                <w:rFonts w:eastAsia="Times New Roman" w:cs="Arial"/>
                <w:color w:val="000000" w:themeColor="text1"/>
                <w:szCs w:val="21"/>
                <w:lang w:val="en-AU" w:eastAsia="en-AU"/>
              </w:rPr>
              <w:t>2,251</w:t>
            </w:r>
          </w:p>
        </w:tc>
      </w:tr>
      <w:tr w:rsidR="00E7089F" w:rsidRPr="007F6332" w14:paraId="7778B97B" w14:textId="77777777" w:rsidTr="00C1755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shd w:val="clear" w:color="auto" w:fill="B398B8"/>
          </w:tcPr>
          <w:p w14:paraId="0C764418" w14:textId="77777777" w:rsidR="00E7089F" w:rsidRPr="007F6332" w:rsidRDefault="00E7089F" w:rsidP="00E4412E">
            <w:pPr>
              <w:spacing w:line="240" w:lineRule="auto"/>
              <w:rPr>
                <w:rFonts w:eastAsia="Times New Roman" w:cs="Arial"/>
                <w:color w:val="000000"/>
                <w:szCs w:val="21"/>
                <w:lang w:val="en-AU" w:eastAsia="en-AU"/>
              </w:rPr>
            </w:pPr>
            <w:r w:rsidRPr="007F6332">
              <w:rPr>
                <w:rFonts w:eastAsia="Times New Roman" w:cs="Arial"/>
                <w:b/>
                <w:bCs/>
                <w:color w:val="000000"/>
                <w:szCs w:val="21"/>
                <w:lang w:val="en-AU" w:eastAsia="en-AU"/>
              </w:rPr>
              <w:t xml:space="preserve">Projections updated for external factors </w:t>
            </w:r>
          </w:p>
        </w:tc>
        <w:tc>
          <w:tcPr>
            <w:tcW w:w="0" w:type="dxa"/>
            <w:tcBorders>
              <w:top w:val="nil"/>
              <w:bottom w:val="nil"/>
            </w:tcBorders>
            <w:shd w:val="clear" w:color="auto" w:fill="B398B8"/>
          </w:tcPr>
          <w:p w14:paraId="301F0631"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1"/>
                <w:lang w:val="en-AU" w:eastAsia="en-AU"/>
              </w:rPr>
            </w:pPr>
            <w:r w:rsidRPr="007F6332">
              <w:rPr>
                <w:rFonts w:eastAsia="Times New Roman" w:cs="Arial"/>
                <w:b/>
                <w:color w:val="000000"/>
                <w:szCs w:val="21"/>
                <w:lang w:val="en-AU" w:eastAsia="en-AU"/>
              </w:rPr>
              <w:t>38,755</w:t>
            </w:r>
          </w:p>
        </w:tc>
        <w:tc>
          <w:tcPr>
            <w:tcW w:w="0" w:type="dxa"/>
            <w:tcBorders>
              <w:top w:val="nil"/>
              <w:bottom w:val="nil"/>
            </w:tcBorders>
            <w:shd w:val="clear" w:color="auto" w:fill="B398B8"/>
          </w:tcPr>
          <w:p w14:paraId="313D457E"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1"/>
                <w:lang w:val="en-AU" w:eastAsia="en-AU"/>
              </w:rPr>
            </w:pPr>
            <w:r w:rsidRPr="007F6332">
              <w:rPr>
                <w:rFonts w:eastAsia="Times New Roman" w:cs="Arial"/>
                <w:b/>
                <w:color w:val="000000"/>
                <w:szCs w:val="21"/>
                <w:lang w:val="en-AU" w:eastAsia="en-AU"/>
              </w:rPr>
              <w:t>44,579</w:t>
            </w:r>
          </w:p>
        </w:tc>
        <w:tc>
          <w:tcPr>
            <w:tcW w:w="0" w:type="dxa"/>
            <w:tcBorders>
              <w:top w:val="nil"/>
              <w:bottom w:val="nil"/>
            </w:tcBorders>
            <w:shd w:val="clear" w:color="auto" w:fill="B398B8"/>
          </w:tcPr>
          <w:p w14:paraId="169FB563"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1"/>
                <w:lang w:val="en-AU" w:eastAsia="en-AU"/>
              </w:rPr>
            </w:pPr>
            <w:r w:rsidRPr="007F6332">
              <w:rPr>
                <w:rFonts w:eastAsia="Times New Roman" w:cs="Arial"/>
                <w:b/>
                <w:color w:val="000000"/>
                <w:szCs w:val="21"/>
                <w:lang w:val="en-AU" w:eastAsia="en-AU"/>
              </w:rPr>
              <w:t>51,033</w:t>
            </w:r>
          </w:p>
        </w:tc>
        <w:tc>
          <w:tcPr>
            <w:tcW w:w="0" w:type="dxa"/>
            <w:tcBorders>
              <w:top w:val="nil"/>
              <w:bottom w:val="nil"/>
              <w:right w:val="dashSmallGap" w:sz="4" w:space="0" w:color="auto"/>
            </w:tcBorders>
            <w:shd w:val="clear" w:color="auto" w:fill="B398B8"/>
          </w:tcPr>
          <w:p w14:paraId="07FE5CCD"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1"/>
                <w:lang w:val="en-AU" w:eastAsia="en-AU"/>
              </w:rPr>
            </w:pPr>
            <w:r w:rsidRPr="007F6332">
              <w:rPr>
                <w:rFonts w:eastAsia="Times New Roman" w:cs="Arial"/>
                <w:b/>
                <w:color w:val="000000"/>
                <w:szCs w:val="21"/>
                <w:lang w:val="en-AU" w:eastAsia="en-AU"/>
              </w:rPr>
              <w:t>56,431</w:t>
            </w:r>
          </w:p>
        </w:tc>
        <w:tc>
          <w:tcPr>
            <w:tcW w:w="0" w:type="dxa"/>
            <w:tcBorders>
              <w:top w:val="nil"/>
              <w:left w:val="dashSmallGap" w:sz="4" w:space="0" w:color="auto"/>
              <w:bottom w:val="nil"/>
              <w:right w:val="single" w:sz="4" w:space="0" w:color="auto"/>
            </w:tcBorders>
            <w:shd w:val="clear" w:color="auto" w:fill="B398B8"/>
          </w:tcPr>
          <w:p w14:paraId="443AE30A"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1"/>
                <w:lang w:val="en-AU" w:eastAsia="en-AU"/>
              </w:rPr>
            </w:pPr>
            <w:r w:rsidRPr="007F6332">
              <w:rPr>
                <w:rFonts w:eastAsia="Times New Roman" w:cs="Arial"/>
                <w:b/>
                <w:color w:val="000000"/>
                <w:szCs w:val="21"/>
                <w:lang w:val="en-AU" w:eastAsia="en-AU"/>
              </w:rPr>
              <w:t>100,113</w:t>
            </w:r>
          </w:p>
        </w:tc>
        <w:tc>
          <w:tcPr>
            <w:tcW w:w="0" w:type="dxa"/>
            <w:tcBorders>
              <w:top w:val="nil"/>
              <w:left w:val="single" w:sz="4" w:space="0" w:color="auto"/>
              <w:bottom w:val="nil"/>
            </w:tcBorders>
            <w:shd w:val="clear" w:color="auto" w:fill="B398B8"/>
          </w:tcPr>
          <w:p w14:paraId="2224C3D0" w14:textId="77777777" w:rsidR="00E7089F" w:rsidRPr="007F6332" w:rsidRDefault="00E7089F" w:rsidP="00E4412E">
            <w:pPr>
              <w:spacing w:line="240" w:lineRule="auto"/>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190,799</w:t>
            </w:r>
          </w:p>
        </w:tc>
      </w:tr>
      <w:tr w:rsidR="00DF263E" w:rsidRPr="007F6332" w14:paraId="131F3E53" w14:textId="77777777" w:rsidTr="009D1122">
        <w:trPr>
          <w:trHeight w:val="227"/>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right w:val="nil"/>
            </w:tcBorders>
            <w:shd w:val="clear" w:color="auto" w:fill="A6A6A6" w:themeFill="background1" w:themeFillShade="A6"/>
          </w:tcPr>
          <w:p w14:paraId="6D70A95A" w14:textId="77777777" w:rsidR="00E7089F" w:rsidRPr="007F6332" w:rsidRDefault="00E7089F" w:rsidP="00C1755E">
            <w:pPr>
              <w:spacing w:line="240" w:lineRule="auto"/>
              <w:ind w:left="28"/>
              <w:rPr>
                <w:rFonts w:eastAsia="Times New Roman" w:cs="Arial"/>
                <w:color w:val="000000"/>
                <w:szCs w:val="21"/>
                <w:lang w:val="en-AU" w:eastAsia="en-AU"/>
              </w:rPr>
            </w:pPr>
            <w:r w:rsidRPr="007F6332">
              <w:rPr>
                <w:rFonts w:eastAsia="Times New Roman" w:cs="Arial"/>
                <w:color w:val="000000"/>
                <w:szCs w:val="21"/>
                <w:lang w:val="en-AU" w:eastAsia="en-AU"/>
              </w:rPr>
              <w:t xml:space="preserve">Updates for experience </w:t>
            </w:r>
          </w:p>
        </w:tc>
        <w:tc>
          <w:tcPr>
            <w:tcW w:w="0" w:type="dxa"/>
            <w:tcBorders>
              <w:top w:val="nil"/>
              <w:left w:val="nil"/>
              <w:bottom w:val="nil"/>
              <w:right w:val="nil"/>
            </w:tcBorders>
            <w:shd w:val="clear" w:color="auto" w:fill="A6A6A6" w:themeFill="background1" w:themeFillShade="A6"/>
          </w:tcPr>
          <w:p w14:paraId="161DE3B3"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696</w:t>
            </w:r>
          </w:p>
        </w:tc>
        <w:tc>
          <w:tcPr>
            <w:tcW w:w="0" w:type="dxa"/>
            <w:tcBorders>
              <w:top w:val="nil"/>
              <w:left w:val="nil"/>
              <w:bottom w:val="nil"/>
              <w:right w:val="nil"/>
            </w:tcBorders>
            <w:shd w:val="clear" w:color="auto" w:fill="A6A6A6" w:themeFill="background1" w:themeFillShade="A6"/>
          </w:tcPr>
          <w:p w14:paraId="13B50333"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526</w:t>
            </w:r>
          </w:p>
        </w:tc>
        <w:tc>
          <w:tcPr>
            <w:tcW w:w="0" w:type="dxa"/>
            <w:tcBorders>
              <w:top w:val="nil"/>
              <w:left w:val="nil"/>
              <w:bottom w:val="nil"/>
              <w:right w:val="nil"/>
            </w:tcBorders>
            <w:shd w:val="clear" w:color="auto" w:fill="A6A6A6" w:themeFill="background1" w:themeFillShade="A6"/>
          </w:tcPr>
          <w:p w14:paraId="224885B5"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574</w:t>
            </w:r>
          </w:p>
        </w:tc>
        <w:tc>
          <w:tcPr>
            <w:tcW w:w="0" w:type="dxa"/>
            <w:tcBorders>
              <w:top w:val="nil"/>
              <w:left w:val="nil"/>
              <w:bottom w:val="nil"/>
              <w:right w:val="dashSmallGap" w:sz="4" w:space="0" w:color="auto"/>
            </w:tcBorders>
            <w:shd w:val="clear" w:color="auto" w:fill="A6A6A6" w:themeFill="background1" w:themeFillShade="A6"/>
          </w:tcPr>
          <w:p w14:paraId="533E43D9"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571</w:t>
            </w:r>
          </w:p>
        </w:tc>
        <w:tc>
          <w:tcPr>
            <w:tcW w:w="0" w:type="dxa"/>
            <w:tcBorders>
              <w:top w:val="nil"/>
              <w:left w:val="dashSmallGap" w:sz="4" w:space="0" w:color="auto"/>
              <w:bottom w:val="nil"/>
              <w:right w:val="single" w:sz="4" w:space="0" w:color="auto"/>
            </w:tcBorders>
            <w:shd w:val="clear" w:color="auto" w:fill="A6A6A6" w:themeFill="background1" w:themeFillShade="A6"/>
          </w:tcPr>
          <w:p w14:paraId="16BDC688"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721</w:t>
            </w:r>
          </w:p>
        </w:tc>
        <w:tc>
          <w:tcPr>
            <w:tcW w:w="0" w:type="dxa"/>
            <w:tcBorders>
              <w:top w:val="nil"/>
              <w:left w:val="single" w:sz="4" w:space="0" w:color="auto"/>
              <w:bottom w:val="nil"/>
            </w:tcBorders>
            <w:shd w:val="clear" w:color="auto" w:fill="A6A6A6" w:themeFill="background1" w:themeFillShade="A6"/>
          </w:tcPr>
          <w:p w14:paraId="09761C10"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2,368</w:t>
            </w:r>
          </w:p>
        </w:tc>
      </w:tr>
      <w:tr w:rsidR="00DF263E" w:rsidRPr="007F6332" w14:paraId="0A264CC5" w14:textId="77777777" w:rsidTr="00E45F0C">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right w:val="nil"/>
            </w:tcBorders>
            <w:shd w:val="clear" w:color="auto" w:fill="auto"/>
          </w:tcPr>
          <w:p w14:paraId="30A6A595" w14:textId="77777777" w:rsidR="00E7089F" w:rsidRPr="007F6332" w:rsidRDefault="00E7089F" w:rsidP="00C1755E">
            <w:pPr>
              <w:spacing w:line="240" w:lineRule="auto"/>
              <w:ind w:left="28"/>
              <w:rPr>
                <w:rFonts w:eastAsia="Times New Roman" w:cs="Arial"/>
                <w:color w:val="000000"/>
                <w:szCs w:val="21"/>
                <w:lang w:val="en-AU" w:eastAsia="en-AU"/>
              </w:rPr>
            </w:pPr>
            <w:r w:rsidRPr="007F6332">
              <w:rPr>
                <w:rFonts w:eastAsia="Times New Roman" w:cs="Arial"/>
                <w:color w:val="000000"/>
                <w:szCs w:val="21"/>
                <w:lang w:val="en-AU" w:eastAsia="en-AU"/>
              </w:rPr>
              <w:t>Updates for assumption changes</w:t>
            </w:r>
          </w:p>
        </w:tc>
        <w:tc>
          <w:tcPr>
            <w:tcW w:w="0" w:type="dxa"/>
            <w:tcBorders>
              <w:top w:val="nil"/>
              <w:left w:val="nil"/>
              <w:bottom w:val="nil"/>
              <w:right w:val="nil"/>
            </w:tcBorders>
            <w:shd w:val="clear" w:color="auto" w:fill="auto"/>
          </w:tcPr>
          <w:p w14:paraId="042B1E26"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1,908</w:t>
            </w:r>
          </w:p>
        </w:tc>
        <w:tc>
          <w:tcPr>
            <w:tcW w:w="0" w:type="dxa"/>
            <w:tcBorders>
              <w:top w:val="nil"/>
              <w:left w:val="nil"/>
              <w:bottom w:val="nil"/>
              <w:right w:val="nil"/>
            </w:tcBorders>
            <w:shd w:val="clear" w:color="auto" w:fill="auto"/>
          </w:tcPr>
          <w:p w14:paraId="05304331"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1,270</w:t>
            </w:r>
          </w:p>
        </w:tc>
        <w:tc>
          <w:tcPr>
            <w:tcW w:w="0" w:type="dxa"/>
            <w:tcBorders>
              <w:top w:val="nil"/>
              <w:left w:val="nil"/>
              <w:bottom w:val="nil"/>
              <w:right w:val="nil"/>
            </w:tcBorders>
            <w:shd w:val="clear" w:color="auto" w:fill="auto"/>
          </w:tcPr>
          <w:p w14:paraId="278E68CC"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-819</w:t>
            </w:r>
          </w:p>
        </w:tc>
        <w:tc>
          <w:tcPr>
            <w:tcW w:w="0" w:type="dxa"/>
            <w:tcBorders>
              <w:top w:val="nil"/>
              <w:left w:val="nil"/>
              <w:bottom w:val="nil"/>
              <w:right w:val="dashSmallGap" w:sz="4" w:space="0" w:color="auto"/>
            </w:tcBorders>
            <w:shd w:val="clear" w:color="auto" w:fill="auto"/>
          </w:tcPr>
          <w:p w14:paraId="1D572437"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-1,795</w:t>
            </w:r>
          </w:p>
        </w:tc>
        <w:tc>
          <w:tcPr>
            <w:tcW w:w="0" w:type="dxa"/>
            <w:tcBorders>
              <w:top w:val="nil"/>
              <w:left w:val="dashSmallGap" w:sz="4" w:space="0" w:color="auto"/>
              <w:bottom w:val="nil"/>
              <w:right w:val="single" w:sz="4" w:space="0" w:color="auto"/>
            </w:tcBorders>
            <w:shd w:val="clear" w:color="auto" w:fill="auto"/>
          </w:tcPr>
          <w:p w14:paraId="33151E1C"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-8,494</w:t>
            </w:r>
          </w:p>
        </w:tc>
        <w:tc>
          <w:tcPr>
            <w:tcW w:w="0" w:type="dxa"/>
            <w:tcBorders>
              <w:top w:val="nil"/>
              <w:left w:val="single" w:sz="4" w:space="0" w:color="auto"/>
              <w:bottom w:val="nil"/>
            </w:tcBorders>
            <w:shd w:val="clear" w:color="auto" w:fill="auto"/>
          </w:tcPr>
          <w:p w14:paraId="4C30E0A1"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val="en-AU" w:eastAsia="en-AU"/>
              </w:rPr>
            </w:pPr>
            <w:r w:rsidRPr="007F6332">
              <w:rPr>
                <w:rFonts w:eastAsia="Times New Roman" w:cs="Arial"/>
                <w:color w:val="000000"/>
                <w:szCs w:val="21"/>
                <w:lang w:val="en-AU" w:eastAsia="en-AU"/>
              </w:rPr>
              <w:t>565</w:t>
            </w:r>
          </w:p>
        </w:tc>
      </w:tr>
      <w:tr w:rsidR="00E7089F" w:rsidRPr="007F6332" w14:paraId="742F439B" w14:textId="77777777" w:rsidTr="00E4412E">
        <w:trPr>
          <w:trHeight w:val="227"/>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shd w:val="clear" w:color="auto" w:fill="A6A6A6" w:themeFill="background1" w:themeFillShade="A6"/>
          </w:tcPr>
          <w:p w14:paraId="7A5BD198" w14:textId="77777777" w:rsidR="00E7089F" w:rsidRPr="007F6332" w:rsidRDefault="00E7089F" w:rsidP="00E4412E">
            <w:pPr>
              <w:spacing w:line="240" w:lineRule="auto"/>
              <w:rPr>
                <w:rFonts w:eastAsia="Times New Roman" w:cs="Arial"/>
                <w:color w:val="000000"/>
                <w:szCs w:val="21"/>
                <w:lang w:val="en-AU" w:eastAsia="en-AU"/>
              </w:rPr>
            </w:pPr>
            <w:r w:rsidRPr="007F6332">
              <w:rPr>
                <w:rFonts w:eastAsia="Times New Roman" w:cs="Arial"/>
                <w:b/>
                <w:bCs/>
                <w:color w:val="000000"/>
                <w:szCs w:val="21"/>
                <w:lang w:val="en-AU" w:eastAsia="en-AU"/>
              </w:rPr>
              <w:t>Total movement for experience and assumptions changes</w:t>
            </w:r>
          </w:p>
        </w:tc>
        <w:tc>
          <w:tcPr>
            <w:tcW w:w="1016" w:type="dxa"/>
            <w:tcBorders>
              <w:top w:val="nil"/>
              <w:bottom w:val="nil"/>
            </w:tcBorders>
            <w:shd w:val="clear" w:color="auto" w:fill="A6A6A6" w:themeFill="background1" w:themeFillShade="A6"/>
          </w:tcPr>
          <w:p w14:paraId="2F849E9E"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b/>
                <w:bCs/>
                <w:color w:val="000000"/>
                <w:szCs w:val="21"/>
                <w:lang w:val="en-AU" w:eastAsia="en-AU"/>
              </w:rPr>
              <w:t>2,605</w:t>
            </w:r>
          </w:p>
        </w:tc>
        <w:tc>
          <w:tcPr>
            <w:tcW w:w="1016" w:type="dxa"/>
            <w:tcBorders>
              <w:top w:val="nil"/>
              <w:bottom w:val="nil"/>
            </w:tcBorders>
            <w:shd w:val="clear" w:color="auto" w:fill="A6A6A6" w:themeFill="background1" w:themeFillShade="A6"/>
          </w:tcPr>
          <w:p w14:paraId="0DC5EA8B"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b/>
                <w:bCs/>
                <w:color w:val="000000"/>
                <w:szCs w:val="21"/>
                <w:lang w:val="en-AU" w:eastAsia="en-AU"/>
              </w:rPr>
              <w:t>1,797</w:t>
            </w:r>
          </w:p>
        </w:tc>
        <w:tc>
          <w:tcPr>
            <w:tcW w:w="1016" w:type="dxa"/>
            <w:tcBorders>
              <w:top w:val="nil"/>
              <w:bottom w:val="nil"/>
            </w:tcBorders>
            <w:shd w:val="clear" w:color="auto" w:fill="A6A6A6" w:themeFill="background1" w:themeFillShade="A6"/>
          </w:tcPr>
          <w:p w14:paraId="7CC3937C"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b/>
                <w:bCs/>
                <w:color w:val="000000"/>
                <w:szCs w:val="21"/>
                <w:lang w:val="en-AU" w:eastAsia="en-AU"/>
              </w:rPr>
              <w:t>-245</w:t>
            </w:r>
          </w:p>
        </w:tc>
        <w:tc>
          <w:tcPr>
            <w:tcW w:w="1016" w:type="dxa"/>
            <w:tcBorders>
              <w:top w:val="nil"/>
              <w:bottom w:val="nil"/>
              <w:right w:val="dashSmallGap" w:sz="4" w:space="0" w:color="auto"/>
            </w:tcBorders>
            <w:shd w:val="clear" w:color="auto" w:fill="A6A6A6" w:themeFill="background1" w:themeFillShade="A6"/>
          </w:tcPr>
          <w:p w14:paraId="75FDF6B4"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b/>
                <w:bCs/>
                <w:color w:val="000000"/>
                <w:szCs w:val="21"/>
                <w:lang w:val="en-AU" w:eastAsia="en-AU"/>
              </w:rPr>
              <w:t>-1,224</w:t>
            </w:r>
          </w:p>
        </w:tc>
        <w:tc>
          <w:tcPr>
            <w:tcW w:w="1016" w:type="dxa"/>
            <w:tcBorders>
              <w:top w:val="nil"/>
              <w:left w:val="dashSmallGap" w:sz="4" w:space="0" w:color="auto"/>
              <w:bottom w:val="nil"/>
              <w:right w:val="single" w:sz="4" w:space="0" w:color="auto"/>
            </w:tcBorders>
            <w:shd w:val="clear" w:color="auto" w:fill="A6A6A6" w:themeFill="background1" w:themeFillShade="A6"/>
          </w:tcPr>
          <w:p w14:paraId="2AEE3E92"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b/>
                <w:bCs/>
                <w:color w:val="000000"/>
                <w:szCs w:val="21"/>
                <w:lang w:val="en-AU" w:eastAsia="en-AU"/>
              </w:rPr>
              <w:t>-7,773</w:t>
            </w:r>
          </w:p>
        </w:tc>
        <w:tc>
          <w:tcPr>
            <w:tcW w:w="1016" w:type="dxa"/>
            <w:tcBorders>
              <w:top w:val="nil"/>
              <w:left w:val="single" w:sz="4" w:space="0" w:color="auto"/>
              <w:bottom w:val="nil"/>
            </w:tcBorders>
            <w:shd w:val="clear" w:color="auto" w:fill="A6A6A6" w:themeFill="background1" w:themeFillShade="A6"/>
          </w:tcPr>
          <w:p w14:paraId="10E31F2A" w14:textId="77777777" w:rsidR="00E7089F" w:rsidRPr="007F6332" w:rsidRDefault="00E7089F" w:rsidP="00E4412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val="en-AU" w:eastAsia="en-AU"/>
              </w:rPr>
            </w:pPr>
            <w:r w:rsidRPr="007F6332">
              <w:rPr>
                <w:rFonts w:eastAsia="Times New Roman" w:cs="Arial"/>
                <w:b/>
                <w:bCs/>
                <w:color w:val="000000"/>
                <w:szCs w:val="21"/>
                <w:lang w:val="en-AU" w:eastAsia="en-AU"/>
              </w:rPr>
              <w:t>2,932</w:t>
            </w:r>
          </w:p>
        </w:tc>
      </w:tr>
      <w:tr w:rsidR="00DF263E" w:rsidRPr="007F6332" w14:paraId="66FE9B7F" w14:textId="77777777" w:rsidTr="00E45F0C">
        <w:trPr>
          <w:cnfStyle w:val="000000010000" w:firstRow="0" w:lastRow="0" w:firstColumn="0" w:lastColumn="0" w:oddVBand="0" w:evenVBand="0" w:oddHBand="0" w:evenHBand="1"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0" w:type="dxa"/>
            <w:tcBorders>
              <w:top w:val="nil"/>
              <w:bottom w:val="single" w:sz="4" w:space="0" w:color="auto"/>
            </w:tcBorders>
            <w:shd w:val="clear" w:color="auto" w:fill="B398B8"/>
          </w:tcPr>
          <w:p w14:paraId="544177BC" w14:textId="77777777" w:rsidR="00E7089F" w:rsidRPr="007F6332" w:rsidRDefault="00E7089F" w:rsidP="00E4412E">
            <w:pPr>
              <w:rPr>
                <w:rFonts w:eastAsia="Times New Roman" w:cs="Arial"/>
                <w:color w:val="000000"/>
                <w:szCs w:val="21"/>
                <w:lang w:val="en-AU" w:eastAsia="en-AU"/>
              </w:rPr>
            </w:pPr>
            <w:r w:rsidRPr="007F6332">
              <w:rPr>
                <w:rFonts w:eastAsia="Times New Roman" w:cs="Arial"/>
                <w:b/>
                <w:bCs/>
                <w:color w:val="000000"/>
                <w:szCs w:val="21"/>
                <w:lang w:val="en-AU" w:eastAsia="en-AU"/>
              </w:rPr>
              <w:t>June 2023 projections</w:t>
            </w:r>
          </w:p>
        </w:tc>
        <w:tc>
          <w:tcPr>
            <w:tcW w:w="0" w:type="dxa"/>
            <w:tcBorders>
              <w:top w:val="nil"/>
              <w:bottom w:val="single" w:sz="4" w:space="0" w:color="auto"/>
            </w:tcBorders>
            <w:shd w:val="clear" w:color="auto" w:fill="B398B8"/>
          </w:tcPr>
          <w:p w14:paraId="6E9B4CD2"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41,360</w:t>
            </w:r>
          </w:p>
        </w:tc>
        <w:tc>
          <w:tcPr>
            <w:tcW w:w="0" w:type="dxa"/>
            <w:tcBorders>
              <w:top w:val="nil"/>
              <w:bottom w:val="single" w:sz="4" w:space="0" w:color="auto"/>
            </w:tcBorders>
            <w:shd w:val="clear" w:color="auto" w:fill="B398B8"/>
          </w:tcPr>
          <w:p w14:paraId="56DF1936"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46,376</w:t>
            </w:r>
          </w:p>
        </w:tc>
        <w:tc>
          <w:tcPr>
            <w:tcW w:w="0" w:type="dxa"/>
            <w:tcBorders>
              <w:top w:val="nil"/>
              <w:bottom w:val="single" w:sz="4" w:space="0" w:color="auto"/>
            </w:tcBorders>
            <w:shd w:val="clear" w:color="auto" w:fill="B398B8"/>
          </w:tcPr>
          <w:p w14:paraId="47D70F73"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50,788</w:t>
            </w:r>
          </w:p>
        </w:tc>
        <w:tc>
          <w:tcPr>
            <w:tcW w:w="0" w:type="dxa"/>
            <w:tcBorders>
              <w:top w:val="nil"/>
              <w:bottom w:val="single" w:sz="4" w:space="0" w:color="auto"/>
              <w:right w:val="dashSmallGap" w:sz="4" w:space="0" w:color="auto"/>
            </w:tcBorders>
            <w:shd w:val="clear" w:color="auto" w:fill="B398B8"/>
          </w:tcPr>
          <w:p w14:paraId="207878A9"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55,207</w:t>
            </w:r>
          </w:p>
        </w:tc>
        <w:tc>
          <w:tcPr>
            <w:tcW w:w="0" w:type="dxa"/>
            <w:tcBorders>
              <w:top w:val="nil"/>
              <w:left w:val="dashSmallGap" w:sz="4" w:space="0" w:color="auto"/>
              <w:bottom w:val="single" w:sz="4" w:space="0" w:color="auto"/>
              <w:right w:val="single" w:sz="4" w:space="0" w:color="auto"/>
            </w:tcBorders>
            <w:shd w:val="clear" w:color="auto" w:fill="B398B8"/>
          </w:tcPr>
          <w:p w14:paraId="48B9A29E"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92,341</w:t>
            </w:r>
          </w:p>
        </w:tc>
        <w:tc>
          <w:tcPr>
            <w:tcW w:w="0" w:type="dxa"/>
            <w:tcBorders>
              <w:top w:val="nil"/>
              <w:left w:val="single" w:sz="4" w:space="0" w:color="auto"/>
              <w:bottom w:val="single" w:sz="4" w:space="0" w:color="auto"/>
            </w:tcBorders>
            <w:shd w:val="clear" w:color="auto" w:fill="B398B8"/>
          </w:tcPr>
          <w:p w14:paraId="14A05C38"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1"/>
                <w:lang w:val="en-AU" w:eastAsia="en-AU"/>
              </w:rPr>
            </w:pPr>
            <w:r w:rsidRPr="007F6332">
              <w:rPr>
                <w:rFonts w:eastAsia="Times New Roman" w:cs="Arial"/>
                <w:b/>
                <w:bCs/>
                <w:color w:val="000000"/>
                <w:szCs w:val="21"/>
                <w:lang w:val="en-AU" w:eastAsia="en-AU"/>
              </w:rPr>
              <w:t>193,731</w:t>
            </w:r>
          </w:p>
        </w:tc>
      </w:tr>
    </w:tbl>
    <w:p w14:paraId="585B3D13" w14:textId="77777777" w:rsidR="001A122F" w:rsidRPr="007F6332" w:rsidRDefault="001A122F" w:rsidP="00354C2E">
      <w:pPr>
        <w:pStyle w:val="FSRlist"/>
        <w:numPr>
          <w:ilvl w:val="0"/>
          <w:numId w:val="0"/>
        </w:numPr>
        <w:spacing w:before="240"/>
        <w:rPr>
          <w:rFonts w:cs="Arial"/>
        </w:rPr>
      </w:pPr>
      <w:r w:rsidRPr="007F6332">
        <w:rPr>
          <w:rFonts w:cs="Arial"/>
        </w:rPr>
        <w:t>Table 4 shows the movement in Scheme expenses, from the previous to this review, compared with the December 2022 projections.</w:t>
      </w:r>
    </w:p>
    <w:p w14:paraId="3F42DAFE" w14:textId="77777777" w:rsidR="001A122F" w:rsidRPr="007F6332" w:rsidRDefault="001A122F" w:rsidP="001A122F">
      <w:pPr>
        <w:pStyle w:val="FSRlist"/>
        <w:numPr>
          <w:ilvl w:val="0"/>
          <w:numId w:val="0"/>
        </w:numPr>
        <w:rPr>
          <w:rFonts w:cs="Arial"/>
        </w:rPr>
      </w:pPr>
      <w:r w:rsidRPr="007F6332">
        <w:rPr>
          <w:rFonts w:cs="Arial"/>
        </w:rPr>
        <w:t xml:space="preserve">The June 2023 projections are $3.1 billion higher than the December 2022 projections in the four years to June 2027 due to the higher-than-expected price increases in 2023 (reflecting the Fair Work Commission’s decision on the National Minimum Wage), and increases to normal inflation assumptions. </w:t>
      </w:r>
    </w:p>
    <w:p w14:paraId="0A9E4C2F" w14:textId="04B22065" w:rsidR="00AD5D8E" w:rsidRPr="007F6332" w:rsidRDefault="00AD5D8E" w:rsidP="00ED7418">
      <w:pPr>
        <w:pStyle w:val="FiguresandTablesHeading4"/>
      </w:pPr>
      <w:r w:rsidRPr="007F6332">
        <w:t xml:space="preserve">Table 4: Movement in </w:t>
      </w:r>
      <w:r w:rsidR="00E7089F" w:rsidRPr="007F6332">
        <w:t>projected</w:t>
      </w:r>
      <w:r w:rsidRPr="007F6332">
        <w:t xml:space="preserve"> Scheme expense</w:t>
      </w:r>
      <w:r w:rsidR="00E7089F" w:rsidRPr="007F6332">
        <w:t xml:space="preserve">s </w:t>
      </w:r>
      <w:r w:rsidRPr="007F6332">
        <w:t>compared with December 2022 projections</w:t>
      </w:r>
    </w:p>
    <w:tbl>
      <w:tblPr>
        <w:tblStyle w:val="FSRtable1"/>
        <w:tblW w:w="8951" w:type="dxa"/>
        <w:tblInd w:w="0" w:type="dxa"/>
        <w:tblLayout w:type="fixed"/>
        <w:tblLook w:val="04A0" w:firstRow="1" w:lastRow="0" w:firstColumn="1" w:lastColumn="0" w:noHBand="0" w:noVBand="1"/>
      </w:tblPr>
      <w:tblGrid>
        <w:gridCol w:w="2829"/>
        <w:gridCol w:w="1020"/>
        <w:gridCol w:w="1020"/>
        <w:gridCol w:w="1021"/>
        <w:gridCol w:w="1020"/>
        <w:gridCol w:w="1020"/>
        <w:gridCol w:w="1021"/>
      </w:tblGrid>
      <w:tr w:rsidR="00D45F29" w:rsidRPr="007F6332" w14:paraId="7531A8B4" w14:textId="77777777" w:rsidTr="003B49B4">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29" w:type="dxa"/>
            <w:tcBorders>
              <w:bottom w:val="nil"/>
            </w:tcBorders>
            <w:hideMark/>
          </w:tcPr>
          <w:p w14:paraId="3634B007" w14:textId="77777777" w:rsidR="00E7089F" w:rsidRPr="007F6332" w:rsidRDefault="00E7089F" w:rsidP="00E4412E">
            <w:pPr>
              <w:rPr>
                <w:rFonts w:eastAsia="Times New Roman"/>
                <w:b w:val="0"/>
                <w:bCs/>
                <w:color w:val="FFFFFF"/>
                <w:szCs w:val="22"/>
                <w:lang w:eastAsia="en-AU"/>
              </w:rPr>
            </w:pPr>
            <w:r w:rsidRPr="007F6332">
              <w:rPr>
                <w:rFonts w:eastAsia="Times New Roman"/>
                <w:bCs/>
                <w:color w:val="FFFFFF"/>
                <w:szCs w:val="22"/>
                <w:lang w:eastAsia="en-AU"/>
              </w:rPr>
              <w:t xml:space="preserve">Scheme expenses ($m) (accrual basis) </w:t>
            </w:r>
          </w:p>
        </w:tc>
        <w:tc>
          <w:tcPr>
            <w:tcW w:w="1020" w:type="dxa"/>
            <w:tcBorders>
              <w:bottom w:val="nil"/>
            </w:tcBorders>
            <w:noWrap/>
            <w:hideMark/>
          </w:tcPr>
          <w:p w14:paraId="1E51BF88" w14:textId="77777777" w:rsidR="00E7089F" w:rsidRPr="007F6332" w:rsidRDefault="00E7089F" w:rsidP="00E4412E">
            <w:pPr>
              <w:ind w:left="-21"/>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2023-24</w:t>
            </w:r>
          </w:p>
        </w:tc>
        <w:tc>
          <w:tcPr>
            <w:tcW w:w="1020" w:type="dxa"/>
            <w:tcBorders>
              <w:bottom w:val="nil"/>
            </w:tcBorders>
            <w:noWrap/>
            <w:hideMark/>
          </w:tcPr>
          <w:p w14:paraId="412D86B8" w14:textId="77777777" w:rsidR="00E7089F" w:rsidRPr="007F6332" w:rsidRDefault="00E7089F" w:rsidP="00C1755E">
            <w:pPr>
              <w:ind w:left="-252"/>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2024-25</w:t>
            </w:r>
          </w:p>
        </w:tc>
        <w:tc>
          <w:tcPr>
            <w:tcW w:w="1021" w:type="dxa"/>
            <w:tcBorders>
              <w:bottom w:val="nil"/>
            </w:tcBorders>
            <w:noWrap/>
            <w:hideMark/>
          </w:tcPr>
          <w:p w14:paraId="0A96112C" w14:textId="77777777" w:rsidR="00E7089F" w:rsidRPr="007F6332" w:rsidRDefault="00E7089F" w:rsidP="00C1755E">
            <w:pPr>
              <w:ind w:left="-97" w:right="26"/>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2025-26</w:t>
            </w:r>
          </w:p>
        </w:tc>
        <w:tc>
          <w:tcPr>
            <w:tcW w:w="1020" w:type="dxa"/>
            <w:tcBorders>
              <w:bottom w:val="nil"/>
              <w:right w:val="dashSmallGap" w:sz="4" w:space="0" w:color="auto"/>
            </w:tcBorders>
            <w:noWrap/>
            <w:hideMark/>
          </w:tcPr>
          <w:p w14:paraId="3A1D6DAC" w14:textId="77777777" w:rsidR="00E7089F" w:rsidRPr="007F6332" w:rsidRDefault="00E7089F" w:rsidP="00C1755E">
            <w:pPr>
              <w:ind w:left="-104" w:right="-108"/>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2026-27</w:t>
            </w:r>
          </w:p>
        </w:tc>
        <w:tc>
          <w:tcPr>
            <w:tcW w:w="1020" w:type="dxa"/>
            <w:tcBorders>
              <w:top w:val="nil"/>
              <w:left w:val="dashSmallGap" w:sz="4" w:space="0" w:color="auto"/>
              <w:bottom w:val="nil"/>
              <w:right w:val="single" w:sz="4" w:space="0" w:color="auto"/>
            </w:tcBorders>
          </w:tcPr>
          <w:p w14:paraId="16052B2A" w14:textId="77777777" w:rsidR="00E7089F" w:rsidRPr="007F6332" w:rsidRDefault="00E7089F" w:rsidP="00DF263E">
            <w:pPr>
              <w:ind w:left="-100" w:right="-148"/>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2032-33 </w:t>
            </w:r>
          </w:p>
        </w:tc>
        <w:tc>
          <w:tcPr>
            <w:tcW w:w="1021" w:type="dxa"/>
            <w:tcBorders>
              <w:left w:val="single" w:sz="4" w:space="0" w:color="auto"/>
              <w:bottom w:val="nil"/>
            </w:tcBorders>
            <w:hideMark/>
          </w:tcPr>
          <w:p w14:paraId="5F55AF44" w14:textId="77777777" w:rsidR="00E7089F" w:rsidRPr="007F6332" w:rsidRDefault="00E7089F" w:rsidP="00E4412E">
            <w:pPr>
              <w:ind w:left="-21" w:right="-148"/>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Total 2023-27</w:t>
            </w:r>
          </w:p>
        </w:tc>
      </w:tr>
      <w:tr w:rsidR="00D45F29" w:rsidRPr="007F6332" w14:paraId="4FE74F9C" w14:textId="77777777" w:rsidTr="003B49B4">
        <w:trPr>
          <w:trHeight w:val="473"/>
        </w:trPr>
        <w:tc>
          <w:tcPr>
            <w:cnfStyle w:val="001000000000" w:firstRow="0" w:lastRow="0" w:firstColumn="1" w:lastColumn="0" w:oddVBand="0" w:evenVBand="0" w:oddHBand="0" w:evenHBand="0" w:firstRowFirstColumn="0" w:firstRowLastColumn="0" w:lastRowFirstColumn="0" w:lastRowLastColumn="0"/>
            <w:tcW w:w="2829" w:type="dxa"/>
            <w:tcBorders>
              <w:top w:val="nil"/>
              <w:bottom w:val="nil"/>
            </w:tcBorders>
            <w:shd w:val="clear" w:color="auto" w:fill="B398B8"/>
          </w:tcPr>
          <w:p w14:paraId="0D21FBE7" w14:textId="77777777" w:rsidR="00E7089F" w:rsidRPr="007F6332" w:rsidRDefault="00E7089F" w:rsidP="00E4412E">
            <w:pPr>
              <w:rPr>
                <w:rFonts w:eastAsia="Times New Roman" w:cs="Arial"/>
                <w:b/>
                <w:bCs/>
                <w:color w:val="000000"/>
                <w:szCs w:val="22"/>
                <w:lang w:eastAsia="en-AU"/>
              </w:rPr>
            </w:pPr>
            <w:r w:rsidRPr="007F6332">
              <w:rPr>
                <w:rFonts w:eastAsia="Times New Roman" w:cs="Arial"/>
                <w:b/>
                <w:bCs/>
                <w:color w:val="000000"/>
                <w:szCs w:val="22"/>
                <w:lang w:eastAsia="en-AU"/>
              </w:rPr>
              <w:t xml:space="preserve">June 2022 projections </w:t>
            </w:r>
          </w:p>
        </w:tc>
        <w:tc>
          <w:tcPr>
            <w:tcW w:w="1020" w:type="dxa"/>
            <w:tcBorders>
              <w:top w:val="nil"/>
              <w:bottom w:val="nil"/>
            </w:tcBorders>
            <w:shd w:val="clear" w:color="auto" w:fill="B398B8"/>
            <w:noWrap/>
          </w:tcPr>
          <w:p w14:paraId="6BC97FCB"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38,133</w:t>
            </w:r>
          </w:p>
        </w:tc>
        <w:tc>
          <w:tcPr>
            <w:tcW w:w="1020" w:type="dxa"/>
            <w:tcBorders>
              <w:top w:val="nil"/>
              <w:bottom w:val="nil"/>
            </w:tcBorders>
            <w:shd w:val="clear" w:color="auto" w:fill="B398B8"/>
            <w:noWrap/>
          </w:tcPr>
          <w:p w14:paraId="2C387566"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44,116</w:t>
            </w:r>
          </w:p>
        </w:tc>
        <w:tc>
          <w:tcPr>
            <w:tcW w:w="1021" w:type="dxa"/>
            <w:tcBorders>
              <w:top w:val="nil"/>
              <w:bottom w:val="nil"/>
            </w:tcBorders>
            <w:shd w:val="clear" w:color="auto" w:fill="B398B8"/>
            <w:noWrap/>
          </w:tcPr>
          <w:p w14:paraId="0CFC9E34" w14:textId="77777777" w:rsidR="00E7089F" w:rsidRPr="007F6332" w:rsidRDefault="00E7089F" w:rsidP="00C1755E">
            <w:pPr>
              <w:ind w:left="-21" w:right="2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50,344</w:t>
            </w:r>
          </w:p>
        </w:tc>
        <w:tc>
          <w:tcPr>
            <w:tcW w:w="1020" w:type="dxa"/>
            <w:tcBorders>
              <w:top w:val="nil"/>
              <w:bottom w:val="nil"/>
              <w:right w:val="dashSmallGap" w:sz="4" w:space="0" w:color="auto"/>
            </w:tcBorders>
            <w:shd w:val="clear" w:color="auto" w:fill="B398B8"/>
            <w:noWrap/>
          </w:tcPr>
          <w:p w14:paraId="524DE3B1" w14:textId="77777777" w:rsidR="00E7089F" w:rsidRPr="007F6332" w:rsidRDefault="00E7089F" w:rsidP="00C1755E">
            <w:pPr>
              <w:ind w:left="-21" w:right="2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55,510</w:t>
            </w:r>
          </w:p>
        </w:tc>
        <w:tc>
          <w:tcPr>
            <w:tcW w:w="1020" w:type="dxa"/>
            <w:tcBorders>
              <w:top w:val="nil"/>
              <w:left w:val="dashSmallGap" w:sz="4" w:space="0" w:color="auto"/>
              <w:bottom w:val="nil"/>
              <w:right w:val="single" w:sz="4" w:space="0" w:color="auto"/>
            </w:tcBorders>
            <w:shd w:val="clear" w:color="auto" w:fill="B398B8"/>
          </w:tcPr>
          <w:p w14:paraId="1124DCFD" w14:textId="77777777" w:rsidR="00E7089F" w:rsidRPr="007F6332" w:rsidRDefault="00E7089F" w:rsidP="00314B0B">
            <w:pPr>
              <w:ind w:left="-10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96,966</w:t>
            </w:r>
          </w:p>
        </w:tc>
        <w:tc>
          <w:tcPr>
            <w:tcW w:w="1021" w:type="dxa"/>
            <w:tcBorders>
              <w:top w:val="nil"/>
              <w:left w:val="single" w:sz="4" w:space="0" w:color="auto"/>
              <w:bottom w:val="nil"/>
            </w:tcBorders>
            <w:shd w:val="clear" w:color="auto" w:fill="B398B8"/>
            <w:noWrap/>
          </w:tcPr>
          <w:p w14:paraId="4E3E87A9"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188,103</w:t>
            </w:r>
          </w:p>
        </w:tc>
      </w:tr>
      <w:tr w:rsidR="00D45F29" w:rsidRPr="007F6332" w14:paraId="106215FE" w14:textId="77777777" w:rsidTr="003B49B4">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829" w:type="dxa"/>
            <w:tcBorders>
              <w:top w:val="nil"/>
              <w:bottom w:val="nil"/>
            </w:tcBorders>
            <w:shd w:val="clear" w:color="auto" w:fill="A7A9AC"/>
          </w:tcPr>
          <w:p w14:paraId="77E5FF1E" w14:textId="77777777" w:rsidR="00E7089F" w:rsidRPr="007F6332" w:rsidRDefault="00E7089F" w:rsidP="00E4412E">
            <w:pPr>
              <w:rPr>
                <w:rFonts w:eastAsia="Times New Roman" w:cs="Arial"/>
                <w:color w:val="000000"/>
                <w:szCs w:val="22"/>
                <w:lang w:eastAsia="en-AU"/>
              </w:rPr>
            </w:pPr>
            <w:r w:rsidRPr="007F6332">
              <w:rPr>
                <w:rFonts w:eastAsia="Times New Roman" w:cs="Arial"/>
                <w:color w:val="000000"/>
                <w:szCs w:val="22"/>
                <w:lang w:eastAsia="en-AU"/>
              </w:rPr>
              <w:t>Impact of Immigration</w:t>
            </w:r>
          </w:p>
        </w:tc>
        <w:tc>
          <w:tcPr>
            <w:tcW w:w="1020" w:type="dxa"/>
            <w:tcBorders>
              <w:top w:val="nil"/>
              <w:bottom w:val="nil"/>
            </w:tcBorders>
            <w:shd w:val="clear" w:color="auto" w:fill="A7A9AC"/>
            <w:noWrap/>
          </w:tcPr>
          <w:p w14:paraId="4D790DDF"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15</w:t>
            </w:r>
          </w:p>
        </w:tc>
        <w:tc>
          <w:tcPr>
            <w:tcW w:w="1020" w:type="dxa"/>
            <w:tcBorders>
              <w:top w:val="nil"/>
              <w:bottom w:val="nil"/>
            </w:tcBorders>
            <w:shd w:val="clear" w:color="auto" w:fill="A7A9AC"/>
            <w:noWrap/>
          </w:tcPr>
          <w:p w14:paraId="3815F41C"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69</w:t>
            </w:r>
          </w:p>
        </w:tc>
        <w:tc>
          <w:tcPr>
            <w:tcW w:w="1021" w:type="dxa"/>
            <w:tcBorders>
              <w:top w:val="nil"/>
              <w:bottom w:val="nil"/>
            </w:tcBorders>
            <w:shd w:val="clear" w:color="auto" w:fill="A7A9AC"/>
            <w:noWrap/>
          </w:tcPr>
          <w:p w14:paraId="3D42B6AE" w14:textId="77777777" w:rsidR="00E7089F" w:rsidRPr="007F6332" w:rsidRDefault="00E7089F" w:rsidP="00C1755E">
            <w:pPr>
              <w:ind w:left="-21" w:right="2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147</w:t>
            </w:r>
          </w:p>
        </w:tc>
        <w:tc>
          <w:tcPr>
            <w:tcW w:w="1020" w:type="dxa"/>
            <w:tcBorders>
              <w:top w:val="nil"/>
              <w:bottom w:val="nil"/>
              <w:right w:val="dashSmallGap" w:sz="4" w:space="0" w:color="auto"/>
            </w:tcBorders>
            <w:shd w:val="clear" w:color="auto" w:fill="A7A9AC"/>
            <w:noWrap/>
          </w:tcPr>
          <w:p w14:paraId="43670940" w14:textId="77777777" w:rsidR="00E7089F" w:rsidRPr="007F6332" w:rsidRDefault="00E7089F" w:rsidP="00C1755E">
            <w:pPr>
              <w:ind w:left="-21" w:right="2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212</w:t>
            </w:r>
          </w:p>
        </w:tc>
        <w:tc>
          <w:tcPr>
            <w:tcW w:w="1020" w:type="dxa"/>
            <w:tcBorders>
              <w:top w:val="nil"/>
              <w:left w:val="dashSmallGap" w:sz="4" w:space="0" w:color="auto"/>
              <w:bottom w:val="nil"/>
              <w:right w:val="single" w:sz="4" w:space="0" w:color="auto"/>
            </w:tcBorders>
            <w:shd w:val="clear" w:color="auto" w:fill="A7A9AC"/>
          </w:tcPr>
          <w:p w14:paraId="62DAC67F"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618</w:t>
            </w:r>
          </w:p>
        </w:tc>
        <w:tc>
          <w:tcPr>
            <w:tcW w:w="1021" w:type="dxa"/>
            <w:tcBorders>
              <w:top w:val="nil"/>
              <w:left w:val="single" w:sz="4" w:space="0" w:color="auto"/>
              <w:bottom w:val="nil"/>
            </w:tcBorders>
            <w:shd w:val="clear" w:color="auto" w:fill="A7A9AC"/>
            <w:noWrap/>
          </w:tcPr>
          <w:p w14:paraId="7DFDE5B4"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445</w:t>
            </w:r>
          </w:p>
        </w:tc>
      </w:tr>
      <w:tr w:rsidR="003B49B4" w:rsidRPr="007F6332" w14:paraId="2165CB23" w14:textId="77777777" w:rsidTr="003B49B4">
        <w:trPr>
          <w:trHeight w:val="227"/>
        </w:trPr>
        <w:tc>
          <w:tcPr>
            <w:cnfStyle w:val="001000000000" w:firstRow="0" w:lastRow="0" w:firstColumn="1" w:lastColumn="0" w:oddVBand="0" w:evenVBand="0" w:oddHBand="0" w:evenHBand="0" w:firstRowFirstColumn="0" w:firstRowLastColumn="0" w:lastRowFirstColumn="0" w:lastRowLastColumn="0"/>
            <w:tcW w:w="2829" w:type="dxa"/>
            <w:tcBorders>
              <w:top w:val="nil"/>
              <w:bottom w:val="nil"/>
            </w:tcBorders>
          </w:tcPr>
          <w:p w14:paraId="1DF25E75" w14:textId="77777777" w:rsidR="00E7089F" w:rsidRPr="007F6332" w:rsidRDefault="00E7089F" w:rsidP="00C1755E">
            <w:pPr>
              <w:spacing w:line="240" w:lineRule="auto"/>
              <w:rPr>
                <w:rFonts w:eastAsia="Times New Roman" w:cs="Arial"/>
                <w:color w:val="000000"/>
                <w:szCs w:val="22"/>
                <w:lang w:eastAsia="en-AU"/>
              </w:rPr>
            </w:pPr>
            <w:r w:rsidRPr="007F6332">
              <w:rPr>
                <w:rFonts w:eastAsia="Times New Roman" w:cs="Arial"/>
                <w:color w:val="000000"/>
                <w:szCs w:val="22"/>
                <w:lang w:eastAsia="en-AU"/>
              </w:rPr>
              <w:t>Impact of price changes and normal inflation</w:t>
            </w:r>
          </w:p>
        </w:tc>
        <w:tc>
          <w:tcPr>
            <w:tcW w:w="1020" w:type="dxa"/>
            <w:tcBorders>
              <w:top w:val="nil"/>
              <w:bottom w:val="nil"/>
            </w:tcBorders>
            <w:noWrap/>
          </w:tcPr>
          <w:p w14:paraId="761E7648"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-176</w:t>
            </w:r>
          </w:p>
        </w:tc>
        <w:tc>
          <w:tcPr>
            <w:tcW w:w="1020" w:type="dxa"/>
            <w:tcBorders>
              <w:top w:val="nil"/>
              <w:bottom w:val="nil"/>
            </w:tcBorders>
            <w:noWrap/>
          </w:tcPr>
          <w:p w14:paraId="09ACA8D0"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-208</w:t>
            </w:r>
          </w:p>
        </w:tc>
        <w:tc>
          <w:tcPr>
            <w:tcW w:w="1021" w:type="dxa"/>
            <w:tcBorders>
              <w:top w:val="nil"/>
              <w:bottom w:val="nil"/>
            </w:tcBorders>
            <w:noWrap/>
          </w:tcPr>
          <w:p w14:paraId="3FD4E265" w14:textId="77777777" w:rsidR="00E7089F" w:rsidRPr="007F6332" w:rsidRDefault="00E7089F" w:rsidP="00C1755E">
            <w:pPr>
              <w:ind w:left="-21" w:right="26"/>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-239</w:t>
            </w:r>
          </w:p>
        </w:tc>
        <w:tc>
          <w:tcPr>
            <w:tcW w:w="1020" w:type="dxa"/>
            <w:tcBorders>
              <w:top w:val="nil"/>
              <w:bottom w:val="nil"/>
              <w:right w:val="dashSmallGap" w:sz="4" w:space="0" w:color="auto"/>
            </w:tcBorders>
            <w:noWrap/>
          </w:tcPr>
          <w:p w14:paraId="64FE0452" w14:textId="77777777" w:rsidR="00E7089F" w:rsidRPr="007F6332" w:rsidRDefault="00E7089F" w:rsidP="00C1755E">
            <w:pPr>
              <w:ind w:left="-21" w:right="26"/>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-263</w:t>
            </w:r>
          </w:p>
        </w:tc>
        <w:tc>
          <w:tcPr>
            <w:tcW w:w="1020" w:type="dxa"/>
            <w:tcBorders>
              <w:top w:val="nil"/>
              <w:left w:val="dashSmallGap" w:sz="4" w:space="0" w:color="auto"/>
              <w:bottom w:val="nil"/>
              <w:right w:val="single" w:sz="4" w:space="0" w:color="auto"/>
            </w:tcBorders>
          </w:tcPr>
          <w:p w14:paraId="7FF8B080"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-428</w:t>
            </w:r>
          </w:p>
        </w:tc>
        <w:tc>
          <w:tcPr>
            <w:tcW w:w="1021" w:type="dxa"/>
            <w:tcBorders>
              <w:top w:val="nil"/>
              <w:left w:val="single" w:sz="4" w:space="0" w:color="auto"/>
              <w:bottom w:val="nil"/>
            </w:tcBorders>
            <w:noWrap/>
          </w:tcPr>
          <w:p w14:paraId="0298223A"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-885</w:t>
            </w:r>
          </w:p>
        </w:tc>
      </w:tr>
      <w:tr w:rsidR="00D45F29" w:rsidRPr="007F6332" w14:paraId="17F3CF4C" w14:textId="77777777" w:rsidTr="003B49B4">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29" w:type="dxa"/>
            <w:tcBorders>
              <w:top w:val="nil"/>
              <w:bottom w:val="nil"/>
            </w:tcBorders>
            <w:shd w:val="clear" w:color="auto" w:fill="A7A9AC"/>
          </w:tcPr>
          <w:p w14:paraId="592EBCCE" w14:textId="77777777" w:rsidR="00E7089F" w:rsidRPr="007F6332" w:rsidRDefault="00E7089F" w:rsidP="00E4412E">
            <w:pPr>
              <w:rPr>
                <w:rFonts w:eastAsia="Times New Roman" w:cs="Arial"/>
                <w:b/>
                <w:bCs/>
                <w:color w:val="000000"/>
                <w:szCs w:val="22"/>
                <w:lang w:eastAsia="en-AU"/>
              </w:rPr>
            </w:pPr>
            <w:r w:rsidRPr="007F6332">
              <w:rPr>
                <w:rFonts w:eastAsia="Times New Roman" w:cs="Arial"/>
                <w:color w:val="000000"/>
                <w:szCs w:val="22"/>
                <w:lang w:eastAsia="en-AU"/>
              </w:rPr>
              <w:t>Other experience and assumption changes</w:t>
            </w:r>
          </w:p>
        </w:tc>
        <w:tc>
          <w:tcPr>
            <w:tcW w:w="1020" w:type="dxa"/>
            <w:tcBorders>
              <w:top w:val="nil"/>
              <w:bottom w:val="nil"/>
            </w:tcBorders>
            <w:shd w:val="clear" w:color="auto" w:fill="A7A9AC"/>
            <w:noWrap/>
          </w:tcPr>
          <w:p w14:paraId="710E196D"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2,004</w:t>
            </w:r>
          </w:p>
        </w:tc>
        <w:tc>
          <w:tcPr>
            <w:tcW w:w="1020" w:type="dxa"/>
            <w:tcBorders>
              <w:top w:val="nil"/>
              <w:bottom w:val="nil"/>
            </w:tcBorders>
            <w:shd w:val="clear" w:color="auto" w:fill="A7A9AC"/>
            <w:noWrap/>
          </w:tcPr>
          <w:p w14:paraId="44F26EB2"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1,338</w:t>
            </w:r>
          </w:p>
        </w:tc>
        <w:tc>
          <w:tcPr>
            <w:tcW w:w="1021" w:type="dxa"/>
            <w:tcBorders>
              <w:top w:val="nil"/>
              <w:bottom w:val="nil"/>
            </w:tcBorders>
            <w:shd w:val="clear" w:color="auto" w:fill="A7A9AC"/>
            <w:noWrap/>
          </w:tcPr>
          <w:p w14:paraId="238D857F" w14:textId="77777777" w:rsidR="00E7089F" w:rsidRPr="007F6332" w:rsidRDefault="00E7089F" w:rsidP="00C1755E">
            <w:pPr>
              <w:ind w:left="-21" w:right="2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95</w:t>
            </w:r>
          </w:p>
        </w:tc>
        <w:tc>
          <w:tcPr>
            <w:tcW w:w="1020" w:type="dxa"/>
            <w:tcBorders>
              <w:top w:val="nil"/>
              <w:bottom w:val="nil"/>
              <w:right w:val="dashSmallGap" w:sz="4" w:space="0" w:color="auto"/>
            </w:tcBorders>
            <w:shd w:val="clear" w:color="auto" w:fill="A7A9AC"/>
            <w:noWrap/>
          </w:tcPr>
          <w:p w14:paraId="07472305" w14:textId="77777777" w:rsidR="00E7089F" w:rsidRPr="007F6332" w:rsidRDefault="00E7089F" w:rsidP="00C1755E">
            <w:pPr>
              <w:ind w:left="-21" w:right="2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-452</w:t>
            </w:r>
          </w:p>
        </w:tc>
        <w:tc>
          <w:tcPr>
            <w:tcW w:w="1020" w:type="dxa"/>
            <w:tcBorders>
              <w:top w:val="nil"/>
              <w:left w:val="dashSmallGap" w:sz="4" w:space="0" w:color="auto"/>
              <w:bottom w:val="nil"/>
              <w:right w:val="single" w:sz="4" w:space="0" w:color="auto"/>
            </w:tcBorders>
            <w:shd w:val="clear" w:color="auto" w:fill="A7A9AC"/>
          </w:tcPr>
          <w:p w14:paraId="4F172E0A"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-2,983</w:t>
            </w:r>
          </w:p>
        </w:tc>
        <w:tc>
          <w:tcPr>
            <w:tcW w:w="1021" w:type="dxa"/>
            <w:tcBorders>
              <w:top w:val="nil"/>
              <w:left w:val="single" w:sz="4" w:space="0" w:color="auto"/>
              <w:bottom w:val="nil"/>
            </w:tcBorders>
            <w:shd w:val="clear" w:color="auto" w:fill="A7A9AC"/>
            <w:noWrap/>
          </w:tcPr>
          <w:p w14:paraId="474E0A74"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2,986</w:t>
            </w:r>
          </w:p>
        </w:tc>
      </w:tr>
      <w:tr w:rsidR="00D45F29" w:rsidRPr="007F6332" w14:paraId="6284E3B3" w14:textId="77777777" w:rsidTr="003B49B4">
        <w:trPr>
          <w:trHeight w:val="227"/>
        </w:trPr>
        <w:tc>
          <w:tcPr>
            <w:cnfStyle w:val="001000000000" w:firstRow="0" w:lastRow="0" w:firstColumn="1" w:lastColumn="0" w:oddVBand="0" w:evenVBand="0" w:oddHBand="0" w:evenHBand="0" w:firstRowFirstColumn="0" w:firstRowLastColumn="0" w:lastRowFirstColumn="0" w:lastRowLastColumn="0"/>
            <w:tcW w:w="2829" w:type="dxa"/>
            <w:tcBorders>
              <w:top w:val="nil"/>
              <w:bottom w:val="nil"/>
            </w:tcBorders>
            <w:shd w:val="clear" w:color="auto" w:fill="B398B8"/>
            <w:hideMark/>
          </w:tcPr>
          <w:p w14:paraId="7F645133" w14:textId="77777777" w:rsidR="00E7089F" w:rsidRPr="007F6332" w:rsidRDefault="00E7089F" w:rsidP="00E4412E">
            <w:pPr>
              <w:rPr>
                <w:rFonts w:eastAsia="Times New Roman" w:cs="Arial"/>
                <w:b/>
                <w:bCs/>
                <w:color w:val="000000"/>
                <w:szCs w:val="22"/>
                <w:lang w:eastAsia="en-AU"/>
              </w:rPr>
            </w:pPr>
            <w:r w:rsidRPr="007F6332">
              <w:rPr>
                <w:rFonts w:eastAsia="Times New Roman" w:cs="Arial"/>
                <w:b/>
                <w:bCs/>
                <w:color w:val="000000"/>
                <w:szCs w:val="22"/>
                <w:lang w:eastAsia="en-AU"/>
              </w:rPr>
              <w:t>December 2022 projections</w:t>
            </w:r>
            <w:r w:rsidRPr="007F6332">
              <w:rPr>
                <w:rStyle w:val="FootnoteReference"/>
                <w:rFonts w:eastAsia="Times New Roman" w:cs="Arial"/>
                <w:b/>
                <w:bCs/>
                <w:color w:val="000000"/>
                <w:szCs w:val="22"/>
                <w:lang w:eastAsia="en-AU"/>
              </w:rPr>
              <w:footnoteReference w:id="10"/>
            </w:r>
            <w:r w:rsidRPr="007F6332">
              <w:rPr>
                <w:rFonts w:eastAsia="Times New Roman" w:cs="Arial"/>
                <w:b/>
                <w:bCs/>
                <w:color w:val="000000"/>
                <w:szCs w:val="22"/>
                <w:lang w:eastAsia="en-AU"/>
              </w:rPr>
              <w:t xml:space="preserve"> </w:t>
            </w:r>
          </w:p>
        </w:tc>
        <w:tc>
          <w:tcPr>
            <w:tcW w:w="1020" w:type="dxa"/>
            <w:tcBorders>
              <w:top w:val="nil"/>
              <w:bottom w:val="nil"/>
            </w:tcBorders>
            <w:shd w:val="clear" w:color="auto" w:fill="B398B8"/>
            <w:noWrap/>
            <w:hideMark/>
          </w:tcPr>
          <w:p w14:paraId="468C1361"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39,977</w:t>
            </w:r>
          </w:p>
        </w:tc>
        <w:tc>
          <w:tcPr>
            <w:tcW w:w="1020" w:type="dxa"/>
            <w:tcBorders>
              <w:top w:val="nil"/>
              <w:bottom w:val="nil"/>
            </w:tcBorders>
            <w:shd w:val="clear" w:color="auto" w:fill="B398B8"/>
            <w:noWrap/>
            <w:hideMark/>
          </w:tcPr>
          <w:p w14:paraId="06D041D7"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45,315</w:t>
            </w:r>
          </w:p>
        </w:tc>
        <w:tc>
          <w:tcPr>
            <w:tcW w:w="1021" w:type="dxa"/>
            <w:tcBorders>
              <w:top w:val="nil"/>
              <w:bottom w:val="nil"/>
            </w:tcBorders>
            <w:shd w:val="clear" w:color="auto" w:fill="B398B8"/>
            <w:noWrap/>
            <w:hideMark/>
          </w:tcPr>
          <w:p w14:paraId="7E7A8129" w14:textId="77777777" w:rsidR="00E7089F" w:rsidRPr="007F6332" w:rsidRDefault="00E7089F" w:rsidP="00C1755E">
            <w:pPr>
              <w:ind w:left="-21" w:right="2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50,348</w:t>
            </w:r>
          </w:p>
        </w:tc>
        <w:tc>
          <w:tcPr>
            <w:tcW w:w="1020" w:type="dxa"/>
            <w:tcBorders>
              <w:top w:val="nil"/>
              <w:bottom w:val="nil"/>
              <w:right w:val="dashSmallGap" w:sz="4" w:space="0" w:color="auto"/>
            </w:tcBorders>
            <w:shd w:val="clear" w:color="auto" w:fill="B398B8"/>
            <w:noWrap/>
            <w:hideMark/>
          </w:tcPr>
          <w:p w14:paraId="3CB9FA9B" w14:textId="77777777" w:rsidR="00E7089F" w:rsidRPr="007F6332" w:rsidRDefault="00E7089F" w:rsidP="00C1755E">
            <w:pPr>
              <w:ind w:left="-21" w:right="26"/>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55,007</w:t>
            </w:r>
          </w:p>
        </w:tc>
        <w:tc>
          <w:tcPr>
            <w:tcW w:w="1020" w:type="dxa"/>
            <w:tcBorders>
              <w:top w:val="nil"/>
              <w:left w:val="dashSmallGap" w:sz="4" w:space="0" w:color="auto"/>
              <w:bottom w:val="nil"/>
              <w:right w:val="single" w:sz="4" w:space="0" w:color="auto"/>
            </w:tcBorders>
            <w:shd w:val="clear" w:color="auto" w:fill="B398B8"/>
          </w:tcPr>
          <w:p w14:paraId="45CFD7C3" w14:textId="77777777" w:rsidR="00E7089F" w:rsidRPr="007F6332" w:rsidRDefault="00E7089F" w:rsidP="00314B0B">
            <w:pPr>
              <w:ind w:left="-10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94,172</w:t>
            </w:r>
          </w:p>
        </w:tc>
        <w:tc>
          <w:tcPr>
            <w:tcW w:w="1021" w:type="dxa"/>
            <w:tcBorders>
              <w:top w:val="nil"/>
              <w:left w:val="single" w:sz="4" w:space="0" w:color="auto"/>
              <w:bottom w:val="nil"/>
            </w:tcBorders>
            <w:shd w:val="clear" w:color="auto" w:fill="B398B8"/>
            <w:noWrap/>
            <w:hideMark/>
          </w:tcPr>
          <w:p w14:paraId="51952A4E" w14:textId="77777777" w:rsidR="00E7089F" w:rsidRPr="007F6332" w:rsidRDefault="00E7089F" w:rsidP="00E4412E">
            <w:pPr>
              <w:ind w:left="-21"/>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190,648</w:t>
            </w:r>
          </w:p>
        </w:tc>
      </w:tr>
      <w:tr w:rsidR="00D45F29" w:rsidRPr="007F6332" w14:paraId="31FEBB56" w14:textId="77777777" w:rsidTr="003B49B4">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29" w:type="dxa"/>
            <w:tcBorders>
              <w:top w:val="nil"/>
              <w:bottom w:val="nil"/>
            </w:tcBorders>
            <w:shd w:val="clear" w:color="auto" w:fill="A7A9AC"/>
            <w:hideMark/>
          </w:tcPr>
          <w:p w14:paraId="1F20436A" w14:textId="77777777" w:rsidR="00E7089F" w:rsidRPr="007F6332" w:rsidRDefault="00E7089F" w:rsidP="00E4412E">
            <w:pPr>
              <w:rPr>
                <w:rFonts w:eastAsia="Times New Roman" w:cs="Arial"/>
                <w:color w:val="000000"/>
                <w:szCs w:val="22"/>
                <w:lang w:eastAsia="en-AU"/>
              </w:rPr>
            </w:pPr>
            <w:r w:rsidRPr="007F6332">
              <w:rPr>
                <w:rFonts w:eastAsia="Times New Roman" w:cs="Arial"/>
                <w:color w:val="000000"/>
                <w:szCs w:val="22"/>
                <w:lang w:eastAsia="en-AU"/>
              </w:rPr>
              <w:t>Impact of price changes and normal inflation</w:t>
            </w:r>
          </w:p>
        </w:tc>
        <w:tc>
          <w:tcPr>
            <w:tcW w:w="1020" w:type="dxa"/>
            <w:tcBorders>
              <w:top w:val="nil"/>
              <w:bottom w:val="nil"/>
            </w:tcBorders>
            <w:shd w:val="clear" w:color="auto" w:fill="A7A9AC"/>
            <w:noWrap/>
          </w:tcPr>
          <w:p w14:paraId="33C6F6E0"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783</w:t>
            </w:r>
          </w:p>
        </w:tc>
        <w:tc>
          <w:tcPr>
            <w:tcW w:w="1020" w:type="dxa"/>
            <w:tcBorders>
              <w:top w:val="nil"/>
              <w:bottom w:val="nil"/>
            </w:tcBorders>
            <w:shd w:val="clear" w:color="auto" w:fill="A7A9AC"/>
            <w:noWrap/>
          </w:tcPr>
          <w:p w14:paraId="72F9C025"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601</w:t>
            </w:r>
          </w:p>
        </w:tc>
        <w:tc>
          <w:tcPr>
            <w:tcW w:w="1021" w:type="dxa"/>
            <w:tcBorders>
              <w:top w:val="nil"/>
              <w:bottom w:val="nil"/>
            </w:tcBorders>
            <w:shd w:val="clear" w:color="auto" w:fill="A7A9AC"/>
            <w:noWrap/>
          </w:tcPr>
          <w:p w14:paraId="724D444C" w14:textId="77777777" w:rsidR="00E7089F" w:rsidRPr="007F6332" w:rsidRDefault="00E7089F" w:rsidP="00C1755E">
            <w:pPr>
              <w:ind w:left="-21" w:right="2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781</w:t>
            </w:r>
          </w:p>
        </w:tc>
        <w:tc>
          <w:tcPr>
            <w:tcW w:w="1020" w:type="dxa"/>
            <w:tcBorders>
              <w:top w:val="nil"/>
              <w:bottom w:val="nil"/>
              <w:right w:val="dashSmallGap" w:sz="4" w:space="0" w:color="auto"/>
            </w:tcBorders>
            <w:shd w:val="clear" w:color="auto" w:fill="A7A9AC"/>
            <w:noWrap/>
          </w:tcPr>
          <w:p w14:paraId="1942175D" w14:textId="77777777" w:rsidR="00E7089F" w:rsidRPr="007F6332" w:rsidRDefault="00E7089F" w:rsidP="00C1755E">
            <w:pPr>
              <w:ind w:left="-21" w:right="26"/>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972</w:t>
            </w:r>
          </w:p>
        </w:tc>
        <w:tc>
          <w:tcPr>
            <w:tcW w:w="1020" w:type="dxa"/>
            <w:tcBorders>
              <w:top w:val="nil"/>
              <w:left w:val="dashSmallGap" w:sz="4" w:space="0" w:color="auto"/>
              <w:bottom w:val="nil"/>
              <w:right w:val="single" w:sz="4" w:space="0" w:color="auto"/>
            </w:tcBorders>
            <w:shd w:val="clear" w:color="auto" w:fill="A7A9AC"/>
          </w:tcPr>
          <w:p w14:paraId="17871917"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2,958</w:t>
            </w:r>
          </w:p>
        </w:tc>
        <w:tc>
          <w:tcPr>
            <w:tcW w:w="1021" w:type="dxa"/>
            <w:tcBorders>
              <w:top w:val="nil"/>
              <w:left w:val="single" w:sz="4" w:space="0" w:color="auto"/>
              <w:bottom w:val="nil"/>
            </w:tcBorders>
            <w:shd w:val="clear" w:color="auto" w:fill="A7A9AC"/>
            <w:noWrap/>
          </w:tcPr>
          <w:p w14:paraId="34DA33B7"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3,137</w:t>
            </w:r>
          </w:p>
        </w:tc>
      </w:tr>
      <w:tr w:rsidR="003B49B4" w:rsidRPr="007F6332" w14:paraId="54F1A584" w14:textId="77777777" w:rsidTr="003B49B4">
        <w:trPr>
          <w:trHeight w:val="227"/>
        </w:trPr>
        <w:tc>
          <w:tcPr>
            <w:cnfStyle w:val="001000000000" w:firstRow="0" w:lastRow="0" w:firstColumn="1" w:lastColumn="0" w:oddVBand="0" w:evenVBand="0" w:oddHBand="0" w:evenHBand="0" w:firstRowFirstColumn="0" w:firstRowLastColumn="0" w:lastRowFirstColumn="0" w:lastRowLastColumn="0"/>
            <w:tcW w:w="2829" w:type="dxa"/>
            <w:tcBorders>
              <w:top w:val="nil"/>
              <w:bottom w:val="nil"/>
            </w:tcBorders>
            <w:hideMark/>
          </w:tcPr>
          <w:p w14:paraId="1465B381" w14:textId="77777777" w:rsidR="00E7089F" w:rsidRPr="007F6332" w:rsidRDefault="00E7089F" w:rsidP="00C1755E">
            <w:pPr>
              <w:spacing w:line="240" w:lineRule="auto"/>
              <w:rPr>
                <w:rFonts w:eastAsia="Times New Roman" w:cs="Arial"/>
                <w:color w:val="000000"/>
                <w:szCs w:val="22"/>
                <w:lang w:eastAsia="en-AU"/>
              </w:rPr>
            </w:pPr>
            <w:r w:rsidRPr="007F6332">
              <w:rPr>
                <w:rFonts w:eastAsia="Times New Roman" w:cs="Arial"/>
                <w:color w:val="000000"/>
                <w:szCs w:val="22"/>
                <w:lang w:eastAsia="en-AU"/>
              </w:rPr>
              <w:t>Other updates for experience and assumption changes</w:t>
            </w:r>
          </w:p>
        </w:tc>
        <w:tc>
          <w:tcPr>
            <w:tcW w:w="1020" w:type="dxa"/>
            <w:tcBorders>
              <w:top w:val="nil"/>
              <w:bottom w:val="nil"/>
            </w:tcBorders>
            <w:noWrap/>
          </w:tcPr>
          <w:p w14:paraId="1CA40680" w14:textId="77777777" w:rsidR="00E7089F" w:rsidRPr="007F6332" w:rsidRDefault="00E7089F" w:rsidP="00C1755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600</w:t>
            </w:r>
          </w:p>
        </w:tc>
        <w:tc>
          <w:tcPr>
            <w:tcW w:w="1020" w:type="dxa"/>
            <w:tcBorders>
              <w:top w:val="nil"/>
              <w:bottom w:val="nil"/>
            </w:tcBorders>
            <w:noWrap/>
          </w:tcPr>
          <w:p w14:paraId="5B9A1D89" w14:textId="77777777" w:rsidR="00E7089F" w:rsidRPr="007F6332" w:rsidRDefault="00E7089F" w:rsidP="00C1755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459</w:t>
            </w:r>
          </w:p>
        </w:tc>
        <w:tc>
          <w:tcPr>
            <w:tcW w:w="1021" w:type="dxa"/>
            <w:tcBorders>
              <w:top w:val="nil"/>
              <w:bottom w:val="nil"/>
            </w:tcBorders>
            <w:noWrap/>
          </w:tcPr>
          <w:p w14:paraId="426C0416" w14:textId="77777777" w:rsidR="00E7089F" w:rsidRPr="007F6332" w:rsidRDefault="00E7089F" w:rsidP="00C1755E">
            <w:pPr>
              <w:spacing w:line="240" w:lineRule="auto"/>
              <w:ind w:left="-21" w:right="26"/>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-340</w:t>
            </w:r>
          </w:p>
        </w:tc>
        <w:tc>
          <w:tcPr>
            <w:tcW w:w="1020" w:type="dxa"/>
            <w:tcBorders>
              <w:top w:val="nil"/>
              <w:bottom w:val="nil"/>
              <w:right w:val="dashSmallGap" w:sz="4" w:space="0" w:color="auto"/>
            </w:tcBorders>
            <w:noWrap/>
          </w:tcPr>
          <w:p w14:paraId="44E5885F" w14:textId="77777777" w:rsidR="00E7089F" w:rsidRPr="007F6332" w:rsidRDefault="00E7089F" w:rsidP="00C1755E">
            <w:pPr>
              <w:spacing w:line="240" w:lineRule="auto"/>
              <w:ind w:left="-21" w:right="26"/>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-772</w:t>
            </w:r>
          </w:p>
        </w:tc>
        <w:tc>
          <w:tcPr>
            <w:tcW w:w="1020" w:type="dxa"/>
            <w:tcBorders>
              <w:top w:val="nil"/>
              <w:left w:val="dashSmallGap" w:sz="4" w:space="0" w:color="auto"/>
              <w:bottom w:val="nil"/>
              <w:right w:val="single" w:sz="4" w:space="0" w:color="auto"/>
            </w:tcBorders>
          </w:tcPr>
          <w:p w14:paraId="34AD902F" w14:textId="77777777" w:rsidR="00E7089F" w:rsidRPr="007F6332" w:rsidRDefault="00E7089F" w:rsidP="00C1755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-4,789</w:t>
            </w:r>
          </w:p>
        </w:tc>
        <w:tc>
          <w:tcPr>
            <w:tcW w:w="1021" w:type="dxa"/>
            <w:tcBorders>
              <w:top w:val="nil"/>
              <w:left w:val="single" w:sz="4" w:space="0" w:color="auto"/>
              <w:bottom w:val="nil"/>
            </w:tcBorders>
            <w:noWrap/>
          </w:tcPr>
          <w:p w14:paraId="01813597" w14:textId="77777777" w:rsidR="00E7089F" w:rsidRPr="007F6332" w:rsidRDefault="00E7089F" w:rsidP="00C1755E">
            <w:pPr>
              <w:spacing w:line="240" w:lineRule="auto"/>
              <w:ind w:left="-21"/>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-53</w:t>
            </w:r>
          </w:p>
        </w:tc>
      </w:tr>
      <w:tr w:rsidR="00D45F29" w:rsidRPr="007F6332" w14:paraId="62FAD8CE" w14:textId="77777777" w:rsidTr="003B49B4">
        <w:trPr>
          <w:cnfStyle w:val="000000010000" w:firstRow="0" w:lastRow="0" w:firstColumn="0" w:lastColumn="0" w:oddVBand="0" w:evenVBand="0" w:oddHBand="0" w:evenHBand="1"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829" w:type="dxa"/>
            <w:tcBorders>
              <w:top w:val="nil"/>
              <w:bottom w:val="single" w:sz="4" w:space="0" w:color="auto"/>
            </w:tcBorders>
            <w:shd w:val="clear" w:color="auto" w:fill="B398B8"/>
            <w:hideMark/>
          </w:tcPr>
          <w:p w14:paraId="5567939E" w14:textId="77777777" w:rsidR="00E7089F" w:rsidRPr="007F6332" w:rsidRDefault="00E7089F" w:rsidP="00E4412E">
            <w:pPr>
              <w:rPr>
                <w:rFonts w:eastAsia="Times New Roman" w:cs="Arial"/>
                <w:b/>
                <w:bCs/>
                <w:color w:val="000000"/>
                <w:szCs w:val="22"/>
                <w:lang w:eastAsia="en-AU"/>
              </w:rPr>
            </w:pPr>
            <w:r w:rsidRPr="007F6332">
              <w:rPr>
                <w:rFonts w:eastAsia="Times New Roman" w:cs="Arial"/>
                <w:b/>
                <w:bCs/>
                <w:color w:val="000000"/>
                <w:szCs w:val="22"/>
                <w:lang w:eastAsia="en-AU"/>
              </w:rPr>
              <w:t>June 2023 projections</w:t>
            </w:r>
          </w:p>
        </w:tc>
        <w:tc>
          <w:tcPr>
            <w:tcW w:w="1020" w:type="dxa"/>
            <w:tcBorders>
              <w:top w:val="nil"/>
              <w:bottom w:val="single" w:sz="4" w:space="0" w:color="auto"/>
            </w:tcBorders>
            <w:shd w:val="clear" w:color="auto" w:fill="B398B8"/>
            <w:noWrap/>
            <w:hideMark/>
          </w:tcPr>
          <w:p w14:paraId="0196F177"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41,360</w:t>
            </w:r>
          </w:p>
        </w:tc>
        <w:tc>
          <w:tcPr>
            <w:tcW w:w="1020" w:type="dxa"/>
            <w:tcBorders>
              <w:top w:val="nil"/>
              <w:bottom w:val="single" w:sz="4" w:space="0" w:color="auto"/>
            </w:tcBorders>
            <w:shd w:val="clear" w:color="auto" w:fill="B398B8"/>
            <w:noWrap/>
            <w:hideMark/>
          </w:tcPr>
          <w:p w14:paraId="16BA0646"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46,376</w:t>
            </w:r>
          </w:p>
        </w:tc>
        <w:tc>
          <w:tcPr>
            <w:tcW w:w="1021" w:type="dxa"/>
            <w:tcBorders>
              <w:top w:val="nil"/>
              <w:bottom w:val="single" w:sz="4" w:space="0" w:color="auto"/>
            </w:tcBorders>
            <w:shd w:val="clear" w:color="auto" w:fill="B398B8"/>
            <w:noWrap/>
            <w:hideMark/>
          </w:tcPr>
          <w:p w14:paraId="798F6D11" w14:textId="77777777" w:rsidR="00E7089F" w:rsidRPr="007F6332" w:rsidRDefault="00E7089F" w:rsidP="00C1755E">
            <w:pPr>
              <w:ind w:left="-21" w:right="26"/>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50,788</w:t>
            </w:r>
          </w:p>
        </w:tc>
        <w:tc>
          <w:tcPr>
            <w:tcW w:w="1020" w:type="dxa"/>
            <w:tcBorders>
              <w:top w:val="nil"/>
              <w:bottom w:val="single" w:sz="4" w:space="0" w:color="auto"/>
              <w:right w:val="dashSmallGap" w:sz="4" w:space="0" w:color="auto"/>
            </w:tcBorders>
            <w:shd w:val="clear" w:color="auto" w:fill="B398B8"/>
            <w:noWrap/>
            <w:hideMark/>
          </w:tcPr>
          <w:p w14:paraId="0E580F04" w14:textId="77777777" w:rsidR="00E7089F" w:rsidRPr="007F6332" w:rsidRDefault="00E7089F" w:rsidP="00C1755E">
            <w:pPr>
              <w:ind w:left="-236" w:right="26"/>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55,207</w:t>
            </w:r>
          </w:p>
        </w:tc>
        <w:tc>
          <w:tcPr>
            <w:tcW w:w="1020" w:type="dxa"/>
            <w:tcBorders>
              <w:top w:val="nil"/>
              <w:left w:val="dashSmallGap" w:sz="4" w:space="0" w:color="auto"/>
              <w:bottom w:val="single" w:sz="4" w:space="0" w:color="auto"/>
              <w:right w:val="single" w:sz="4" w:space="0" w:color="auto"/>
            </w:tcBorders>
            <w:shd w:val="clear" w:color="auto" w:fill="B398B8"/>
          </w:tcPr>
          <w:p w14:paraId="6344C2A0" w14:textId="77777777" w:rsidR="00E7089F" w:rsidRPr="007F6332" w:rsidRDefault="00E7089F" w:rsidP="00C1755E">
            <w:pPr>
              <w:ind w:left="-10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92,341</w:t>
            </w:r>
          </w:p>
        </w:tc>
        <w:tc>
          <w:tcPr>
            <w:tcW w:w="1021" w:type="dxa"/>
            <w:tcBorders>
              <w:top w:val="nil"/>
              <w:left w:val="single" w:sz="4" w:space="0" w:color="auto"/>
              <w:bottom w:val="single" w:sz="4" w:space="0" w:color="auto"/>
            </w:tcBorders>
            <w:shd w:val="clear" w:color="auto" w:fill="B398B8"/>
            <w:noWrap/>
            <w:hideMark/>
          </w:tcPr>
          <w:p w14:paraId="5FEB5A7A" w14:textId="77777777" w:rsidR="00E7089F" w:rsidRPr="007F6332" w:rsidRDefault="00E7089F" w:rsidP="00E4412E">
            <w:pPr>
              <w:ind w:left="-2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193,731</w:t>
            </w:r>
          </w:p>
        </w:tc>
      </w:tr>
    </w:tbl>
    <w:p w14:paraId="0841FB91" w14:textId="77777777" w:rsidR="00AD5D8E" w:rsidRPr="007F6332" w:rsidRDefault="00AD5D8E" w:rsidP="00CD33D0">
      <w:pPr>
        <w:pStyle w:val="FSRHeading2"/>
        <w:ind w:left="0" w:firstLine="0"/>
        <w:rPr>
          <w:rFonts w:cs="Arial"/>
        </w:rPr>
      </w:pPr>
      <w:r w:rsidRPr="007F6332">
        <w:rPr>
          <w:rFonts w:cs="Arial"/>
        </w:rPr>
        <w:lastRenderedPageBreak/>
        <w:t>Information and data used for analysis</w:t>
      </w:r>
    </w:p>
    <w:p w14:paraId="665C9AD4" w14:textId="1B09BBC2" w:rsidR="00AD5D8E" w:rsidRPr="007F6332" w:rsidRDefault="00AD5D8E" w:rsidP="00AD5D8E">
      <w:pPr>
        <w:pStyle w:val="FSRnormal"/>
        <w:rPr>
          <w:rFonts w:cs="Arial"/>
        </w:rPr>
      </w:pPr>
      <w:r w:rsidRPr="007F6332">
        <w:rPr>
          <w:rFonts w:cs="Arial"/>
        </w:rPr>
        <w:t xml:space="preserve">Table 5 summarises the sources of data used for the actuarial analyses underpinning this </w:t>
      </w:r>
      <w:r w:rsidR="001A122F" w:rsidRPr="007F6332">
        <w:rPr>
          <w:rFonts w:cs="Arial"/>
        </w:rPr>
        <w:t>AFSR</w:t>
      </w:r>
      <w:r w:rsidRPr="007F6332">
        <w:rPr>
          <w:rFonts w:cs="Arial"/>
        </w:rPr>
        <w:t>, which relies upon the Agency’s case management system, finance system and data warehouse, as well as external sources. The analysis in this report is based on data at 30 June 2023, unless stated otherwise.</w:t>
      </w:r>
    </w:p>
    <w:p w14:paraId="0131D94D" w14:textId="40664685" w:rsidR="00E7089F" w:rsidRPr="007F6332" w:rsidRDefault="00E7089F" w:rsidP="00E7089F">
      <w:pPr>
        <w:pStyle w:val="FSRnormal"/>
        <w:rPr>
          <w:rFonts w:cs="Arial"/>
        </w:rPr>
      </w:pPr>
      <w:r w:rsidRPr="007F6332">
        <w:rPr>
          <w:rFonts w:cs="Arial"/>
        </w:rPr>
        <w:t>The main update to data sources for this year is in relation to the roll-out of PACE, a new Client Relationship Management (CRM) system, which captures details about participant</w:t>
      </w:r>
      <w:r w:rsidR="00C17366" w:rsidRPr="007F6332">
        <w:rPr>
          <w:rFonts w:cs="Arial"/>
        </w:rPr>
        <w:t>s and participants’</w:t>
      </w:r>
      <w:r w:rsidRPr="007F6332">
        <w:rPr>
          <w:rFonts w:cs="Arial"/>
        </w:rPr>
        <w:t xml:space="preserve"> plans. PACE </w:t>
      </w:r>
      <w:r w:rsidR="00C17366" w:rsidRPr="007F6332">
        <w:rPr>
          <w:rFonts w:cs="Arial"/>
        </w:rPr>
        <w:t xml:space="preserve">has been </w:t>
      </w:r>
      <w:r w:rsidRPr="007F6332">
        <w:rPr>
          <w:rFonts w:cs="Arial"/>
        </w:rPr>
        <w:t>piloted in Tasmania since November 2022, with an expected national roll-out by the end of 2023. The transition to the new CRM system for Tasmania participants had no material impact to Scheme experience analyses for the 12 months ending 30 June 2023, or the June 2023 Scheme projections.</w:t>
      </w:r>
    </w:p>
    <w:p w14:paraId="01292327" w14:textId="77777777" w:rsidR="00092FF7" w:rsidRPr="007F6332" w:rsidRDefault="00E7089F" w:rsidP="00B23E63">
      <w:pPr>
        <w:pStyle w:val="FSRnormal"/>
        <w:rPr>
          <w:rFonts w:cs="Arial"/>
        </w:rPr>
      </w:pPr>
      <w:r w:rsidRPr="007F6332">
        <w:rPr>
          <w:rFonts w:cs="Arial"/>
        </w:rPr>
        <w:t>Where data is used to conduct actuarial analyses, (which in turn provides an evidence base for setting of assumptions), it is important to acknowledge any limitations associated with the data that could give rise to uncertainty in the results. One particular area identified in this AFSR relat</w:t>
      </w:r>
      <w:r w:rsidR="002F3CA7" w:rsidRPr="007F6332">
        <w:rPr>
          <w:rFonts w:cs="Arial"/>
        </w:rPr>
        <w:t>es</w:t>
      </w:r>
      <w:r w:rsidRPr="007F6332">
        <w:rPr>
          <w:rFonts w:cs="Arial"/>
        </w:rPr>
        <w:t xml:space="preserve"> to participants with Supported Independent Living (SIL) arrangements</w:t>
      </w:r>
      <w:r w:rsidR="00F718E9" w:rsidRPr="007F6332">
        <w:rPr>
          <w:rFonts w:cs="Arial"/>
        </w:rPr>
        <w:t>,</w:t>
      </w:r>
      <w:r w:rsidR="002F3CA7" w:rsidRPr="007F6332">
        <w:rPr>
          <w:rFonts w:cs="Arial"/>
        </w:rPr>
        <w:t xml:space="preserve"> where</w:t>
      </w:r>
      <w:r w:rsidRPr="007F6332">
        <w:rPr>
          <w:rFonts w:cs="Arial"/>
        </w:rPr>
        <w:t xml:space="preserve"> there is no single flag of SIL usage available to </w:t>
      </w:r>
      <w:r w:rsidR="00C17366" w:rsidRPr="007F6332">
        <w:rPr>
          <w:rFonts w:cs="Arial"/>
        </w:rPr>
        <w:t xml:space="preserve">accurately </w:t>
      </w:r>
      <w:r w:rsidRPr="007F6332">
        <w:rPr>
          <w:rFonts w:cs="Arial"/>
        </w:rPr>
        <w:t>identify participants with SIL supports.</w:t>
      </w:r>
    </w:p>
    <w:p w14:paraId="7046EBBF" w14:textId="50E655B0" w:rsidR="00CB7921" w:rsidRPr="007F6332" w:rsidRDefault="002F3CA7" w:rsidP="00B23E63">
      <w:pPr>
        <w:pStyle w:val="FSRnormal"/>
        <w:rPr>
          <w:rFonts w:cs="Arial"/>
        </w:rPr>
        <w:sectPr w:rsidR="00CB7921" w:rsidRPr="007F6332" w:rsidSect="00E53368">
          <w:pgSz w:w="11906" w:h="16838"/>
          <w:pgMar w:top="1440" w:right="1440" w:bottom="1276" w:left="1440" w:header="708" w:footer="510" w:gutter="0"/>
          <w:cols w:space="708"/>
          <w:docGrid w:linePitch="360"/>
        </w:sectPr>
      </w:pPr>
      <w:r w:rsidRPr="007F6332">
        <w:rPr>
          <w:rFonts w:cs="Arial"/>
        </w:rPr>
        <w:t>A combination of participants</w:t>
      </w:r>
      <w:r w:rsidR="00801BB4" w:rsidRPr="007F6332">
        <w:rPr>
          <w:rFonts w:cs="Arial"/>
        </w:rPr>
        <w:t>’</w:t>
      </w:r>
      <w:r w:rsidRPr="007F6332">
        <w:rPr>
          <w:rFonts w:cs="Arial"/>
        </w:rPr>
        <w:t xml:space="preserve"> prior access to SIL supports, and their recent payments experience, is used to estimate numbers of participants with SIL supports. Imperfections exist with this solution, introducing systemic variability in the number of participants with SIL arrangements in a given month, and the analyses used to inform the transition of participants to SIL arrangements. Despite this variability, the numbers of participants with SIL and associated experience analyses, used to inform setting of assumptions for Scheme projections are robust.</w:t>
      </w:r>
    </w:p>
    <w:p w14:paraId="17A1FC03" w14:textId="739059BF" w:rsidR="00AD5D8E" w:rsidRPr="007F6332" w:rsidRDefault="00AD5D8E" w:rsidP="00D93505">
      <w:pPr>
        <w:pStyle w:val="FiguresandTablesHeading4"/>
      </w:pPr>
      <w:r w:rsidRPr="007F6332">
        <w:lastRenderedPageBreak/>
        <w:t>Table 5: Summary of data utilised for actuarial analysis</w:t>
      </w:r>
    </w:p>
    <w:tbl>
      <w:tblPr>
        <w:tblStyle w:val="FSRtable1"/>
        <w:tblW w:w="9072" w:type="dxa"/>
        <w:jc w:val="center"/>
        <w:tblInd w:w="0" w:type="dxa"/>
        <w:tblLook w:val="04A0" w:firstRow="1" w:lastRow="0" w:firstColumn="1" w:lastColumn="0" w:noHBand="0" w:noVBand="1"/>
      </w:tblPr>
      <w:tblGrid>
        <w:gridCol w:w="2835"/>
        <w:gridCol w:w="6237"/>
      </w:tblGrid>
      <w:tr w:rsidR="00AD5D8E" w:rsidRPr="007F6332" w14:paraId="5B31AE38" w14:textId="77777777" w:rsidTr="00E84B5A">
        <w:trPr>
          <w:cnfStyle w:val="100000000000" w:firstRow="1" w:lastRow="0" w:firstColumn="0" w:lastColumn="0" w:oddVBand="0" w:evenVBand="0" w:oddHBand="0" w:evenHBand="0" w:firstRowFirstColumn="0" w:firstRowLastColumn="0" w:lastRowFirstColumn="0" w:lastRowLastColumn="0"/>
          <w:trHeight w:val="547"/>
          <w:tblHeader/>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3C4DCC44" w14:textId="77777777" w:rsidR="00AD5D8E" w:rsidRPr="007F6332" w:rsidRDefault="00AD5D8E" w:rsidP="001157EC">
            <w:pPr>
              <w:spacing w:before="40" w:after="40"/>
              <w:ind w:left="40"/>
              <w:rPr>
                <w:b w:val="0"/>
                <w:bCs/>
                <w:sz w:val="18"/>
                <w:szCs w:val="18"/>
              </w:rPr>
            </w:pPr>
            <w:r w:rsidRPr="007F6332">
              <w:rPr>
                <w:sz w:val="18"/>
                <w:szCs w:val="18"/>
              </w:rPr>
              <w:t>Data</w:t>
            </w:r>
          </w:p>
        </w:tc>
        <w:tc>
          <w:tcPr>
            <w:tcW w:w="0" w:type="dxa"/>
            <w:hideMark/>
          </w:tcPr>
          <w:p w14:paraId="0FA229FE" w14:textId="77777777" w:rsidR="00AD5D8E" w:rsidRPr="007F6332" w:rsidRDefault="00AD5D8E" w:rsidP="001157EC">
            <w:pPr>
              <w:spacing w:before="40" w:after="40"/>
              <w:ind w:left="40"/>
              <w:jc w:val="center"/>
              <w:cnfStyle w:val="100000000000" w:firstRow="1" w:lastRow="0" w:firstColumn="0" w:lastColumn="0" w:oddVBand="0" w:evenVBand="0" w:oddHBand="0" w:evenHBand="0" w:firstRowFirstColumn="0" w:firstRowLastColumn="0" w:lastRowFirstColumn="0" w:lastRowLastColumn="0"/>
              <w:rPr>
                <w:b w:val="0"/>
                <w:bCs/>
                <w:sz w:val="18"/>
                <w:szCs w:val="18"/>
              </w:rPr>
            </w:pPr>
            <w:r w:rsidRPr="007F6332">
              <w:rPr>
                <w:sz w:val="18"/>
                <w:szCs w:val="18"/>
              </w:rPr>
              <w:t>Description</w:t>
            </w:r>
          </w:p>
        </w:tc>
      </w:tr>
      <w:tr w:rsidR="00AD5D8E" w:rsidRPr="007F6332" w14:paraId="31734E46" w14:textId="77777777" w:rsidTr="00DB2F6C">
        <w:trPr>
          <w:jc w:val="center"/>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hideMark/>
          </w:tcPr>
          <w:p w14:paraId="1BF575FC" w14:textId="77777777" w:rsidR="00AD5D8E" w:rsidRPr="007F6332" w:rsidRDefault="00AD5D8E" w:rsidP="00875C1F">
            <w:pPr>
              <w:ind w:left="37"/>
              <w:rPr>
                <w:rFonts w:cs="Arial"/>
                <w:b/>
                <w:bCs/>
                <w:sz w:val="18"/>
                <w:szCs w:val="18"/>
              </w:rPr>
            </w:pPr>
            <w:r w:rsidRPr="007F6332">
              <w:rPr>
                <w:rFonts w:cs="Arial"/>
                <w:b/>
                <w:bCs/>
                <w:sz w:val="18"/>
                <w:szCs w:val="18"/>
              </w:rPr>
              <w:t>Access requests to the NDIS</w:t>
            </w:r>
          </w:p>
        </w:tc>
        <w:tc>
          <w:tcPr>
            <w:tcW w:w="6237" w:type="dxa"/>
            <w:tcBorders>
              <w:bottom w:val="nil"/>
            </w:tcBorders>
            <w:hideMark/>
          </w:tcPr>
          <w:p w14:paraId="32BBFDA5" w14:textId="77777777" w:rsidR="00AD5D8E" w:rsidRPr="007F6332" w:rsidRDefault="00AD5D8E" w:rsidP="00CE7E91">
            <w:pPr>
              <w:pStyle w:val="ListParagraph"/>
              <w:numPr>
                <w:ilvl w:val="0"/>
                <w:numId w:val="19"/>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Demographic information (age, gender, disability, geographic location, living arrangements and other participant profile information)</w:t>
            </w:r>
          </w:p>
          <w:p w14:paraId="70FE6626" w14:textId="77777777" w:rsidR="00AD5D8E" w:rsidRPr="007F6332" w:rsidRDefault="00AD5D8E" w:rsidP="00CE7E91">
            <w:pPr>
              <w:pStyle w:val="ListParagraph"/>
              <w:numPr>
                <w:ilvl w:val="0"/>
                <w:numId w:val="19"/>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Contact details</w:t>
            </w:r>
          </w:p>
          <w:p w14:paraId="6AA1BD62" w14:textId="77777777" w:rsidR="00AD5D8E" w:rsidRPr="007F6332" w:rsidRDefault="00AD5D8E" w:rsidP="00CE7E91">
            <w:pPr>
              <w:pStyle w:val="ListParagraph"/>
              <w:numPr>
                <w:ilvl w:val="0"/>
                <w:numId w:val="19"/>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Access request date</w:t>
            </w:r>
          </w:p>
          <w:p w14:paraId="59EB42EC" w14:textId="77777777" w:rsidR="00AD5D8E" w:rsidRPr="007F6332" w:rsidRDefault="00AD5D8E" w:rsidP="00CE7E91">
            <w:pPr>
              <w:pStyle w:val="ListParagraph"/>
              <w:numPr>
                <w:ilvl w:val="0"/>
                <w:numId w:val="19"/>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Outcome of request (for example: eligible, ineligible)</w:t>
            </w:r>
          </w:p>
        </w:tc>
      </w:tr>
      <w:tr w:rsidR="00AD5D8E" w:rsidRPr="007F6332" w14:paraId="723024CB" w14:textId="77777777" w:rsidTr="00DB2F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shd w:val="clear" w:color="auto" w:fill="A7A9AC"/>
          </w:tcPr>
          <w:p w14:paraId="2F8E948B" w14:textId="77777777" w:rsidR="00AD5D8E" w:rsidRPr="007F6332" w:rsidRDefault="00AD5D8E" w:rsidP="00875C1F">
            <w:pPr>
              <w:ind w:left="37"/>
              <w:rPr>
                <w:rFonts w:cs="Arial"/>
                <w:b/>
                <w:bCs/>
                <w:color w:val="000000"/>
                <w:sz w:val="18"/>
                <w:szCs w:val="18"/>
              </w:rPr>
            </w:pPr>
            <w:r w:rsidRPr="007F6332">
              <w:rPr>
                <w:rFonts w:cs="Arial"/>
                <w:b/>
                <w:bCs/>
                <w:color w:val="000000"/>
                <w:sz w:val="18"/>
                <w:szCs w:val="18"/>
              </w:rPr>
              <w:t>Payments to service providers</w:t>
            </w:r>
          </w:p>
        </w:tc>
        <w:tc>
          <w:tcPr>
            <w:tcW w:w="6237" w:type="dxa"/>
            <w:tcBorders>
              <w:top w:val="nil"/>
              <w:bottom w:val="nil"/>
            </w:tcBorders>
            <w:shd w:val="clear" w:color="auto" w:fill="A7A9AC"/>
          </w:tcPr>
          <w:p w14:paraId="0BE56C6B" w14:textId="77777777" w:rsidR="00AD5D8E" w:rsidRPr="007F6332" w:rsidRDefault="00AD5D8E" w:rsidP="00CE7E91">
            <w:pPr>
              <w:pStyle w:val="ListParagraph"/>
              <w:numPr>
                <w:ilvl w:val="0"/>
                <w:numId w:val="20"/>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Service provider submitting the claim for payment</w:t>
            </w:r>
          </w:p>
          <w:p w14:paraId="7B7D0921" w14:textId="77777777" w:rsidR="00AD5D8E" w:rsidRPr="007F6332" w:rsidRDefault="00AD5D8E" w:rsidP="00CE7E91">
            <w:pPr>
              <w:pStyle w:val="ListParagraph"/>
              <w:numPr>
                <w:ilvl w:val="0"/>
                <w:numId w:val="20"/>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Participant for whom the support was provided</w:t>
            </w:r>
          </w:p>
          <w:p w14:paraId="06D4230A" w14:textId="77777777" w:rsidR="00AD5D8E" w:rsidRPr="007F6332" w:rsidRDefault="00AD5D8E" w:rsidP="00CE7E91">
            <w:pPr>
              <w:pStyle w:val="ListParagraph"/>
              <w:numPr>
                <w:ilvl w:val="0"/>
                <w:numId w:val="20"/>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The support item and cost of support provided</w:t>
            </w:r>
          </w:p>
          <w:p w14:paraId="1350E76A" w14:textId="77777777" w:rsidR="00AD5D8E" w:rsidRPr="007F6332" w:rsidRDefault="00AD5D8E" w:rsidP="00CE7E91">
            <w:pPr>
              <w:pStyle w:val="ListParagraph"/>
              <w:numPr>
                <w:ilvl w:val="0"/>
                <w:numId w:val="20"/>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Dates of when the support was provided</w:t>
            </w:r>
          </w:p>
          <w:p w14:paraId="21CA8A80" w14:textId="77777777" w:rsidR="00AD5D8E" w:rsidRPr="007F6332" w:rsidRDefault="00AD5D8E" w:rsidP="00CE7E91">
            <w:pPr>
              <w:pStyle w:val="ListParagraph"/>
              <w:numPr>
                <w:ilvl w:val="0"/>
                <w:numId w:val="20"/>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eastAsia="Yu Mincho" w:cs="Arial"/>
                <w:color w:val="000000"/>
                <w:sz w:val="18"/>
                <w:szCs w:val="18"/>
              </w:rPr>
              <w:t>Method of plan management used</w:t>
            </w:r>
          </w:p>
        </w:tc>
      </w:tr>
      <w:tr w:rsidR="00AD5D8E" w:rsidRPr="007F6332" w14:paraId="10AE233F" w14:textId="77777777" w:rsidTr="00DB2F6C">
        <w:trPr>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3C0066D9" w14:textId="77777777" w:rsidR="00AD5D8E" w:rsidRPr="007F6332" w:rsidRDefault="00AD5D8E" w:rsidP="00875C1F">
            <w:pPr>
              <w:ind w:left="37"/>
              <w:rPr>
                <w:rFonts w:cs="Arial"/>
                <w:b/>
                <w:bCs/>
                <w:sz w:val="18"/>
                <w:szCs w:val="18"/>
              </w:rPr>
            </w:pPr>
            <w:r w:rsidRPr="007F6332">
              <w:rPr>
                <w:rFonts w:cs="Arial"/>
                <w:b/>
                <w:bCs/>
                <w:sz w:val="18"/>
                <w:szCs w:val="18"/>
              </w:rPr>
              <w:t>Payments to participants</w:t>
            </w:r>
          </w:p>
        </w:tc>
        <w:tc>
          <w:tcPr>
            <w:tcW w:w="6237" w:type="dxa"/>
            <w:tcBorders>
              <w:top w:val="nil"/>
              <w:bottom w:val="nil"/>
            </w:tcBorders>
          </w:tcPr>
          <w:p w14:paraId="76766A45" w14:textId="77777777" w:rsidR="00AD5D8E" w:rsidRPr="007F6332" w:rsidRDefault="00AD5D8E" w:rsidP="00CE7E91">
            <w:pPr>
              <w:pStyle w:val="ListParagraph"/>
              <w:numPr>
                <w:ilvl w:val="0"/>
                <w:numId w:val="21"/>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Participant submitting the claim for payment</w:t>
            </w:r>
          </w:p>
          <w:p w14:paraId="37D7D84C" w14:textId="77777777" w:rsidR="00AD5D8E" w:rsidRPr="007F6332" w:rsidRDefault="00AD5D8E" w:rsidP="00CE7E91">
            <w:pPr>
              <w:pStyle w:val="ListParagraph"/>
              <w:numPr>
                <w:ilvl w:val="0"/>
                <w:numId w:val="21"/>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The support category provided</w:t>
            </w:r>
          </w:p>
          <w:p w14:paraId="6E919F91" w14:textId="19B53FF8" w:rsidR="00AD5D8E" w:rsidRPr="007F6332" w:rsidRDefault="00AD5D8E" w:rsidP="00CE7E91">
            <w:pPr>
              <w:pStyle w:val="ListParagraph"/>
              <w:numPr>
                <w:ilvl w:val="0"/>
                <w:numId w:val="21"/>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Total amount spen</w:t>
            </w:r>
            <w:r w:rsidR="00612A70" w:rsidRPr="007F6332">
              <w:rPr>
                <w:rFonts w:cs="Arial"/>
                <w:sz w:val="18"/>
                <w:szCs w:val="18"/>
              </w:rPr>
              <w:t>t</w:t>
            </w:r>
            <w:r w:rsidRPr="007F6332">
              <w:rPr>
                <w:rFonts w:cs="Arial"/>
                <w:sz w:val="18"/>
                <w:szCs w:val="18"/>
              </w:rPr>
              <w:t xml:space="preserve"> </w:t>
            </w:r>
            <w:r w:rsidR="00612A70" w:rsidRPr="007F6332">
              <w:rPr>
                <w:rFonts w:cs="Arial"/>
                <w:sz w:val="18"/>
                <w:szCs w:val="18"/>
              </w:rPr>
              <w:t xml:space="preserve">by </w:t>
            </w:r>
            <w:r w:rsidRPr="007F6332">
              <w:rPr>
                <w:rFonts w:cs="Arial"/>
                <w:sz w:val="18"/>
                <w:szCs w:val="18"/>
              </w:rPr>
              <w:t>support category</w:t>
            </w:r>
          </w:p>
          <w:p w14:paraId="63A37436" w14:textId="77777777" w:rsidR="00AD5D8E" w:rsidRPr="007F6332" w:rsidRDefault="00AD5D8E" w:rsidP="00CE7E91">
            <w:pPr>
              <w:pStyle w:val="ListParagraph"/>
              <w:numPr>
                <w:ilvl w:val="0"/>
                <w:numId w:val="21"/>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Period of reimbursement</w:t>
            </w:r>
          </w:p>
        </w:tc>
      </w:tr>
      <w:tr w:rsidR="00AD5D8E" w:rsidRPr="007F6332" w14:paraId="1A67C577" w14:textId="77777777" w:rsidTr="00DB2F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shd w:val="clear" w:color="auto" w:fill="A7A9AC"/>
            <w:hideMark/>
          </w:tcPr>
          <w:p w14:paraId="038AE362" w14:textId="77777777" w:rsidR="00AD5D8E" w:rsidRPr="007F6332" w:rsidRDefault="00AD5D8E" w:rsidP="00875C1F">
            <w:pPr>
              <w:ind w:left="37"/>
              <w:rPr>
                <w:rFonts w:cs="Arial"/>
                <w:b/>
                <w:bCs/>
                <w:color w:val="000000"/>
                <w:sz w:val="18"/>
                <w:szCs w:val="18"/>
              </w:rPr>
            </w:pPr>
            <w:r w:rsidRPr="007F6332">
              <w:rPr>
                <w:rFonts w:cs="Arial"/>
                <w:b/>
                <w:bCs/>
                <w:color w:val="000000"/>
                <w:sz w:val="18"/>
                <w:szCs w:val="18"/>
              </w:rPr>
              <w:t>NDIS participant plans</w:t>
            </w:r>
          </w:p>
        </w:tc>
        <w:tc>
          <w:tcPr>
            <w:tcW w:w="6237" w:type="dxa"/>
            <w:tcBorders>
              <w:top w:val="nil"/>
              <w:bottom w:val="nil"/>
            </w:tcBorders>
            <w:shd w:val="clear" w:color="auto" w:fill="A7A9AC"/>
            <w:hideMark/>
          </w:tcPr>
          <w:p w14:paraId="0241E2A0" w14:textId="77777777" w:rsidR="00AD5D8E" w:rsidRPr="007F6332" w:rsidRDefault="00AD5D8E" w:rsidP="00CE7E91">
            <w:pPr>
              <w:pStyle w:val="ListParagraph"/>
              <w:numPr>
                <w:ilvl w:val="0"/>
                <w:numId w:val="22"/>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Plan approval date</w:t>
            </w:r>
          </w:p>
          <w:p w14:paraId="349FB432" w14:textId="77777777" w:rsidR="00AD5D8E" w:rsidRPr="007F6332" w:rsidRDefault="00AD5D8E" w:rsidP="00CE7E91">
            <w:pPr>
              <w:pStyle w:val="ListParagraph"/>
              <w:numPr>
                <w:ilvl w:val="0"/>
                <w:numId w:val="22"/>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Length of plan</w:t>
            </w:r>
          </w:p>
          <w:p w14:paraId="6DD0B21D" w14:textId="77777777" w:rsidR="00AD5D8E" w:rsidRPr="007F6332" w:rsidRDefault="00AD5D8E" w:rsidP="00CE7E91">
            <w:pPr>
              <w:pStyle w:val="ListParagraph"/>
              <w:numPr>
                <w:ilvl w:val="0"/>
                <w:numId w:val="22"/>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All plan budgets included in the plan</w:t>
            </w:r>
          </w:p>
          <w:p w14:paraId="7A4DEC1B" w14:textId="78E7AFA2" w:rsidR="000259A6" w:rsidRPr="007F6332" w:rsidRDefault="00AD5D8E" w:rsidP="00CE7E91">
            <w:pPr>
              <w:pStyle w:val="ListParagraph"/>
              <w:numPr>
                <w:ilvl w:val="0"/>
                <w:numId w:val="22"/>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Level of function</w:t>
            </w:r>
          </w:p>
        </w:tc>
      </w:tr>
      <w:tr w:rsidR="00AD5D8E" w:rsidRPr="007F6332" w14:paraId="6B133EA7" w14:textId="77777777" w:rsidTr="00DB2F6C">
        <w:trPr>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1A0F313D" w14:textId="77777777" w:rsidR="00AD5D8E" w:rsidRPr="007F6332" w:rsidRDefault="00AD5D8E" w:rsidP="00875C1F">
            <w:pPr>
              <w:ind w:left="37"/>
              <w:rPr>
                <w:rFonts w:cs="Arial"/>
                <w:b/>
                <w:bCs/>
                <w:sz w:val="18"/>
                <w:szCs w:val="18"/>
              </w:rPr>
            </w:pPr>
            <w:r w:rsidRPr="007F6332">
              <w:rPr>
                <w:rFonts w:cs="Arial"/>
                <w:b/>
                <w:bCs/>
                <w:sz w:val="18"/>
                <w:szCs w:val="18"/>
              </w:rPr>
              <w:t>In-kind supports data</w:t>
            </w:r>
          </w:p>
        </w:tc>
        <w:tc>
          <w:tcPr>
            <w:tcW w:w="6237" w:type="dxa"/>
            <w:tcBorders>
              <w:top w:val="nil"/>
              <w:bottom w:val="nil"/>
            </w:tcBorders>
          </w:tcPr>
          <w:p w14:paraId="53E09DD1" w14:textId="77777777" w:rsidR="00AD5D8E" w:rsidRPr="007F6332" w:rsidRDefault="00AD5D8E" w:rsidP="00CE7E91">
            <w:pPr>
              <w:pStyle w:val="ListParagraph"/>
              <w:numPr>
                <w:ilvl w:val="0"/>
                <w:numId w:val="19"/>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Unit record in-kind support details from State/Territory programs including details on support type, level and duration of coverage.</w:t>
            </w:r>
          </w:p>
        </w:tc>
      </w:tr>
      <w:tr w:rsidR="00AD5D8E" w:rsidRPr="007F6332" w14:paraId="4FB17DEF" w14:textId="77777777" w:rsidTr="00DB2F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shd w:val="clear" w:color="auto" w:fill="A7A9AC"/>
          </w:tcPr>
          <w:p w14:paraId="5C5783CD" w14:textId="77777777" w:rsidR="00AD5D8E" w:rsidRPr="007F6332" w:rsidRDefault="00AD5D8E" w:rsidP="00875C1F">
            <w:pPr>
              <w:ind w:left="37"/>
              <w:rPr>
                <w:rFonts w:cs="Arial"/>
                <w:b/>
                <w:bCs/>
                <w:color w:val="000000"/>
                <w:sz w:val="18"/>
                <w:szCs w:val="18"/>
              </w:rPr>
            </w:pPr>
            <w:r w:rsidRPr="007F6332">
              <w:rPr>
                <w:rFonts w:cs="Arial"/>
                <w:b/>
                <w:bCs/>
                <w:color w:val="000000"/>
                <w:sz w:val="18"/>
                <w:szCs w:val="18"/>
              </w:rPr>
              <w:t>Data on outcomes</w:t>
            </w:r>
          </w:p>
        </w:tc>
        <w:tc>
          <w:tcPr>
            <w:tcW w:w="6237" w:type="dxa"/>
            <w:tcBorders>
              <w:top w:val="nil"/>
              <w:bottom w:val="nil"/>
            </w:tcBorders>
            <w:shd w:val="clear" w:color="auto" w:fill="A7A9AC"/>
          </w:tcPr>
          <w:p w14:paraId="2468487C" w14:textId="77777777" w:rsidR="00AD5D8E" w:rsidRPr="007F6332" w:rsidRDefault="00AD5D8E" w:rsidP="00CE7E91">
            <w:pPr>
              <w:pStyle w:val="ListParagraph"/>
              <w:numPr>
                <w:ilvl w:val="0"/>
                <w:numId w:val="19"/>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Information collected from surveys of participants and their families and carers about how they are doing in different areas of their lives and how they are progressing over their time in the NDIS.</w:t>
            </w:r>
          </w:p>
        </w:tc>
      </w:tr>
      <w:tr w:rsidR="00AD5D8E" w:rsidRPr="007F6332" w14:paraId="595B3283" w14:textId="77777777" w:rsidTr="00DB2F6C">
        <w:trPr>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67391F33" w14:textId="77777777" w:rsidR="00AD5D8E" w:rsidRPr="007F6332" w:rsidRDefault="00AD5D8E" w:rsidP="00875C1F">
            <w:pPr>
              <w:ind w:left="37"/>
              <w:rPr>
                <w:rFonts w:cs="Arial"/>
                <w:b/>
                <w:bCs/>
                <w:sz w:val="18"/>
                <w:szCs w:val="18"/>
              </w:rPr>
            </w:pPr>
            <w:r w:rsidRPr="007F6332">
              <w:rPr>
                <w:rFonts w:cs="Arial"/>
                <w:b/>
                <w:bCs/>
                <w:sz w:val="18"/>
                <w:szCs w:val="18"/>
              </w:rPr>
              <w:t>Financial information</w:t>
            </w:r>
          </w:p>
        </w:tc>
        <w:tc>
          <w:tcPr>
            <w:tcW w:w="6237" w:type="dxa"/>
            <w:tcBorders>
              <w:top w:val="nil"/>
              <w:bottom w:val="nil"/>
            </w:tcBorders>
          </w:tcPr>
          <w:p w14:paraId="156EDE84" w14:textId="3B2BB9A4" w:rsidR="00AD5D8E" w:rsidRPr="007F6332" w:rsidRDefault="00AD5D8E" w:rsidP="00CE7E91">
            <w:pPr>
              <w:pStyle w:val="ListParagraph"/>
              <w:numPr>
                <w:ilvl w:val="0"/>
                <w:numId w:val="19"/>
              </w:numPr>
              <w:spacing w:line="240" w:lineRule="auto"/>
              <w:ind w:hanging="36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Data from the SAP</w:t>
            </w:r>
            <w:r w:rsidR="00AD59AC" w:rsidRPr="007F6332">
              <w:rPr>
                <w:rStyle w:val="FootnoteReference"/>
                <w:rFonts w:cs="Arial"/>
                <w:sz w:val="18"/>
                <w:szCs w:val="18"/>
              </w:rPr>
              <w:footnoteReference w:id="11"/>
            </w:r>
            <w:r w:rsidRPr="007F6332">
              <w:rPr>
                <w:rFonts w:cs="Arial"/>
                <w:sz w:val="18"/>
                <w:szCs w:val="18"/>
              </w:rPr>
              <w:t xml:space="preserve"> CRM systems were reconciled with financial information in SAP.</w:t>
            </w:r>
          </w:p>
        </w:tc>
      </w:tr>
      <w:tr w:rsidR="00AD5D8E" w:rsidRPr="007F6332" w14:paraId="6CB440FA" w14:textId="77777777" w:rsidTr="00DB2F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shd w:val="clear" w:color="auto" w:fill="A7A9AC"/>
          </w:tcPr>
          <w:p w14:paraId="1AADAD26" w14:textId="77777777" w:rsidR="00AD5D8E" w:rsidRPr="007F6332" w:rsidRDefault="00AD5D8E" w:rsidP="00875C1F">
            <w:pPr>
              <w:ind w:left="37"/>
              <w:rPr>
                <w:rFonts w:cs="Arial"/>
                <w:b/>
                <w:bCs/>
                <w:color w:val="000000"/>
                <w:sz w:val="18"/>
                <w:szCs w:val="18"/>
              </w:rPr>
            </w:pPr>
            <w:r w:rsidRPr="007F6332">
              <w:rPr>
                <w:rFonts w:cs="Arial"/>
                <w:b/>
                <w:bCs/>
                <w:color w:val="000000"/>
                <w:sz w:val="18"/>
                <w:szCs w:val="18"/>
              </w:rPr>
              <w:t>ABS Survey of Disability, Ageing and Carers</w:t>
            </w:r>
          </w:p>
        </w:tc>
        <w:tc>
          <w:tcPr>
            <w:tcW w:w="6237" w:type="dxa"/>
            <w:tcBorders>
              <w:top w:val="nil"/>
              <w:bottom w:val="nil"/>
            </w:tcBorders>
            <w:shd w:val="clear" w:color="auto" w:fill="A7A9AC"/>
          </w:tcPr>
          <w:p w14:paraId="13D85151" w14:textId="7547173E" w:rsidR="00AD5D8E" w:rsidRPr="007F6332" w:rsidRDefault="00AD5D8E" w:rsidP="00CE7E91">
            <w:pPr>
              <w:pStyle w:val="ListParagraph"/>
              <w:numPr>
                <w:ilvl w:val="0"/>
                <w:numId w:val="18"/>
              </w:numPr>
              <w:spacing w:line="240" w:lineRule="auto"/>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Prevalence of disability in Australia, including demographic and</w:t>
            </w:r>
            <w:r w:rsidR="00053C04" w:rsidRPr="007F6332">
              <w:rPr>
                <w:rFonts w:cs="Arial"/>
                <w:color w:val="000000"/>
                <w:sz w:val="18"/>
                <w:szCs w:val="18"/>
              </w:rPr>
              <w:t xml:space="preserve"> </w:t>
            </w:r>
            <w:r w:rsidRPr="007F6332">
              <w:rPr>
                <w:rFonts w:cs="Arial"/>
                <w:color w:val="000000"/>
                <w:sz w:val="18"/>
                <w:szCs w:val="18"/>
              </w:rPr>
              <w:t>socioeconomic profile of people with disabilities.</w:t>
            </w:r>
          </w:p>
        </w:tc>
      </w:tr>
      <w:tr w:rsidR="00AD5D8E" w:rsidRPr="007F6332" w14:paraId="6AF749C9" w14:textId="77777777" w:rsidTr="00DB2F6C">
        <w:trPr>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5A2DABA2" w14:textId="77777777" w:rsidR="00AD5D8E" w:rsidRPr="007F6332" w:rsidRDefault="00AD5D8E" w:rsidP="00875C1F">
            <w:pPr>
              <w:ind w:left="37"/>
              <w:rPr>
                <w:rFonts w:cs="Arial"/>
                <w:b/>
                <w:bCs/>
                <w:sz w:val="18"/>
                <w:szCs w:val="18"/>
              </w:rPr>
            </w:pPr>
            <w:r w:rsidRPr="007F6332">
              <w:rPr>
                <w:rFonts w:cs="Arial"/>
                <w:b/>
                <w:bCs/>
                <w:sz w:val="18"/>
                <w:szCs w:val="18"/>
              </w:rPr>
              <w:t>Economic information</w:t>
            </w:r>
          </w:p>
        </w:tc>
        <w:tc>
          <w:tcPr>
            <w:tcW w:w="6237" w:type="dxa"/>
            <w:tcBorders>
              <w:top w:val="nil"/>
              <w:bottom w:val="nil"/>
            </w:tcBorders>
          </w:tcPr>
          <w:p w14:paraId="251E4696" w14:textId="5844B0ED" w:rsidR="00AD5D8E" w:rsidRPr="007F6332" w:rsidRDefault="00AD5D8E" w:rsidP="00CE7E91">
            <w:pPr>
              <w:pStyle w:val="ListParagraph"/>
              <w:numPr>
                <w:ilvl w:val="0"/>
                <w:numId w:val="18"/>
              </w:numPr>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Government economic forecasts for GDP</w:t>
            </w:r>
          </w:p>
          <w:p w14:paraId="1586AF14" w14:textId="77777777" w:rsidR="00AD5D8E" w:rsidRPr="007F6332" w:rsidRDefault="00AD5D8E" w:rsidP="00CE7E91">
            <w:pPr>
              <w:pStyle w:val="ListParagraph"/>
              <w:numPr>
                <w:ilvl w:val="0"/>
                <w:numId w:val="18"/>
              </w:numPr>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F6332">
              <w:rPr>
                <w:rFonts w:cs="Arial"/>
                <w:sz w:val="18"/>
                <w:szCs w:val="18"/>
              </w:rPr>
              <w:t>Inflation indicators</w:t>
            </w:r>
          </w:p>
        </w:tc>
      </w:tr>
      <w:tr w:rsidR="00AD5D8E" w:rsidRPr="007F6332" w14:paraId="110D01D8" w14:textId="77777777" w:rsidTr="00DB2F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single" w:sz="4" w:space="0" w:color="auto"/>
            </w:tcBorders>
            <w:shd w:val="clear" w:color="auto" w:fill="A7A9AC"/>
          </w:tcPr>
          <w:p w14:paraId="2BD694B7" w14:textId="77777777" w:rsidR="00AD5D8E" w:rsidRPr="007F6332" w:rsidRDefault="00AD5D8E" w:rsidP="00875C1F">
            <w:pPr>
              <w:ind w:left="37"/>
              <w:rPr>
                <w:rFonts w:eastAsia="Yu Mincho" w:cs="Arial"/>
                <w:b/>
                <w:bCs/>
                <w:color w:val="000000"/>
                <w:sz w:val="18"/>
                <w:szCs w:val="18"/>
              </w:rPr>
            </w:pPr>
            <w:r w:rsidRPr="007F6332">
              <w:rPr>
                <w:rFonts w:eastAsia="Yu Mincho" w:cs="Arial"/>
                <w:b/>
                <w:bCs/>
                <w:color w:val="000000"/>
                <w:sz w:val="18"/>
                <w:szCs w:val="18"/>
              </w:rPr>
              <w:t>Demographic information</w:t>
            </w:r>
          </w:p>
        </w:tc>
        <w:tc>
          <w:tcPr>
            <w:tcW w:w="6237" w:type="dxa"/>
            <w:tcBorders>
              <w:top w:val="nil"/>
              <w:bottom w:val="single" w:sz="4" w:space="0" w:color="auto"/>
            </w:tcBorders>
            <w:shd w:val="clear" w:color="auto" w:fill="A7A9AC"/>
          </w:tcPr>
          <w:p w14:paraId="6213EB26" w14:textId="77777777" w:rsidR="00AD5D8E" w:rsidRPr="007F6332" w:rsidRDefault="00AD5D8E" w:rsidP="00CE7E91">
            <w:pPr>
              <w:pStyle w:val="ListParagraph"/>
              <w:numPr>
                <w:ilvl w:val="0"/>
                <w:numId w:val="19"/>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Australian Life Tables 2018-2020 – published in November 2021</w:t>
            </w:r>
          </w:p>
          <w:p w14:paraId="3130F343" w14:textId="77777777" w:rsidR="00AD5D8E" w:rsidRPr="007F6332" w:rsidRDefault="00AD5D8E" w:rsidP="00CE7E91">
            <w:pPr>
              <w:pStyle w:val="ListParagraph"/>
              <w:numPr>
                <w:ilvl w:val="0"/>
                <w:numId w:val="19"/>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Budget 2023-24: population projections, Australia, 2022-23 to 2033-34 from the Centre for Population Projections</w:t>
            </w:r>
          </w:p>
          <w:p w14:paraId="3DF11EBE" w14:textId="700EDD42" w:rsidR="00AD5D8E" w:rsidRPr="007F6332" w:rsidRDefault="00AD5D8E" w:rsidP="00CE7E91">
            <w:pPr>
              <w:pStyle w:val="ListParagraph"/>
              <w:numPr>
                <w:ilvl w:val="0"/>
                <w:numId w:val="19"/>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Population forecasts beyond 203</w:t>
            </w:r>
            <w:r w:rsidR="00612A70" w:rsidRPr="007F6332">
              <w:rPr>
                <w:rFonts w:cs="Arial"/>
                <w:color w:val="000000"/>
                <w:sz w:val="18"/>
                <w:szCs w:val="18"/>
              </w:rPr>
              <w:t>3-3</w:t>
            </w:r>
            <w:r w:rsidRPr="007F6332">
              <w:rPr>
                <w:rFonts w:cs="Arial"/>
                <w:color w:val="000000"/>
                <w:sz w:val="18"/>
                <w:szCs w:val="18"/>
              </w:rPr>
              <w:t>4 - 2023 Intergenerational Report</w:t>
            </w:r>
          </w:p>
          <w:p w14:paraId="0DEA75CA" w14:textId="2FD65EC4" w:rsidR="00CB7921" w:rsidRPr="007F6332" w:rsidRDefault="00AD5D8E" w:rsidP="00CE7E91">
            <w:pPr>
              <w:pStyle w:val="ListParagraph"/>
              <w:numPr>
                <w:ilvl w:val="0"/>
                <w:numId w:val="19"/>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Estimated Resident Population</w:t>
            </w:r>
            <w:r w:rsidR="00612A70" w:rsidRPr="007F6332">
              <w:rPr>
                <w:rFonts w:cs="Arial"/>
                <w:color w:val="000000"/>
                <w:sz w:val="18"/>
                <w:szCs w:val="18"/>
              </w:rPr>
              <w:t xml:space="preserve"> data up to 30 June 2022</w:t>
            </w:r>
            <w:r w:rsidRPr="007F6332">
              <w:rPr>
                <w:rFonts w:cs="Arial"/>
                <w:color w:val="000000"/>
                <w:sz w:val="18"/>
                <w:szCs w:val="18"/>
              </w:rPr>
              <w:t xml:space="preserve"> – published by</w:t>
            </w:r>
            <w:r w:rsidR="00612A70" w:rsidRPr="007F6332">
              <w:rPr>
                <w:rFonts w:cs="Arial"/>
                <w:color w:val="000000"/>
                <w:sz w:val="18"/>
                <w:szCs w:val="18"/>
              </w:rPr>
              <w:t xml:space="preserve"> the Australian Bureau of Statistics</w:t>
            </w:r>
            <w:r w:rsidR="00801BB4" w:rsidRPr="007F6332">
              <w:rPr>
                <w:rFonts w:cs="Arial"/>
                <w:color w:val="000000"/>
                <w:sz w:val="18"/>
                <w:szCs w:val="18"/>
              </w:rPr>
              <w:t xml:space="preserve"> (ABS)</w:t>
            </w:r>
            <w:r w:rsidR="00612A70" w:rsidRPr="007F6332">
              <w:rPr>
                <w:rFonts w:cs="Arial"/>
                <w:color w:val="000000"/>
                <w:sz w:val="18"/>
                <w:szCs w:val="18"/>
              </w:rPr>
              <w:t>,</w:t>
            </w:r>
            <w:r w:rsidRPr="007F6332">
              <w:rPr>
                <w:rFonts w:cs="Arial"/>
                <w:color w:val="000000"/>
                <w:sz w:val="18"/>
                <w:szCs w:val="18"/>
              </w:rPr>
              <w:t xml:space="preserve"> and information on immigration changes</w:t>
            </w:r>
            <w:r w:rsidRPr="007F6332">
              <w:rPr>
                <w:rFonts w:cs="Arial"/>
                <w:color w:val="000000"/>
                <w:sz w:val="18"/>
                <w:szCs w:val="18"/>
                <w:vertAlign w:val="superscript"/>
              </w:rPr>
              <w:footnoteReference w:id="12"/>
            </w:r>
            <w:r w:rsidRPr="007F6332">
              <w:rPr>
                <w:rFonts w:cs="Arial"/>
                <w:color w:val="000000"/>
                <w:sz w:val="18"/>
                <w:szCs w:val="18"/>
              </w:rPr>
              <w:t xml:space="preserve"> from</w:t>
            </w:r>
            <w:r w:rsidR="00612A70" w:rsidRPr="007F6332">
              <w:rPr>
                <w:rFonts w:cs="Arial"/>
                <w:color w:val="000000"/>
                <w:sz w:val="18"/>
                <w:szCs w:val="18"/>
              </w:rPr>
              <w:t xml:space="preserve"> the Department of</w:t>
            </w:r>
            <w:r w:rsidRPr="007F6332">
              <w:rPr>
                <w:rFonts w:cs="Arial"/>
                <w:color w:val="000000"/>
                <w:sz w:val="18"/>
                <w:szCs w:val="18"/>
              </w:rPr>
              <w:t xml:space="preserve"> Home Affairs</w:t>
            </w:r>
          </w:p>
          <w:p w14:paraId="20B9C025" w14:textId="482138FF" w:rsidR="00AD5D8E" w:rsidRPr="007F6332" w:rsidRDefault="001157EC" w:rsidP="00CE7E91">
            <w:pPr>
              <w:pStyle w:val="ListParagraph"/>
              <w:numPr>
                <w:ilvl w:val="0"/>
                <w:numId w:val="19"/>
              </w:numPr>
              <w:spacing w:line="240" w:lineRule="auto"/>
              <w:ind w:hanging="360"/>
              <w:jc w:val="left"/>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7F6332">
              <w:rPr>
                <w:rFonts w:cs="Arial"/>
                <w:color w:val="000000"/>
                <w:sz w:val="18"/>
                <w:szCs w:val="18"/>
              </w:rPr>
              <w:t>N</w:t>
            </w:r>
            <w:r w:rsidR="00612A70" w:rsidRPr="007F6332">
              <w:rPr>
                <w:rFonts w:cs="Arial"/>
                <w:color w:val="000000"/>
                <w:sz w:val="18"/>
                <w:szCs w:val="18"/>
              </w:rPr>
              <w:t xml:space="preserve">ew </w:t>
            </w:r>
            <w:r w:rsidRPr="007F6332">
              <w:rPr>
                <w:rFonts w:cs="Arial"/>
                <w:color w:val="000000"/>
                <w:sz w:val="18"/>
                <w:szCs w:val="18"/>
              </w:rPr>
              <w:t>Z</w:t>
            </w:r>
            <w:r w:rsidR="00612A70" w:rsidRPr="007F6332">
              <w:rPr>
                <w:rFonts w:cs="Arial"/>
                <w:color w:val="000000"/>
                <w:sz w:val="18"/>
                <w:szCs w:val="18"/>
              </w:rPr>
              <w:t>ealand</w:t>
            </w:r>
            <w:r w:rsidRPr="007F6332">
              <w:rPr>
                <w:rFonts w:cs="Arial"/>
                <w:color w:val="000000"/>
                <w:sz w:val="18"/>
                <w:szCs w:val="18"/>
              </w:rPr>
              <w:t xml:space="preserve"> residents in Australia projections</w:t>
            </w:r>
            <w:r w:rsidRPr="007F6332">
              <w:rPr>
                <w:rStyle w:val="FootnoteReference"/>
                <w:rFonts w:cs="Arial"/>
                <w:color w:val="000000"/>
                <w:sz w:val="18"/>
                <w:szCs w:val="18"/>
              </w:rPr>
              <w:footnoteReference w:id="13"/>
            </w:r>
            <w:r w:rsidR="00612A70" w:rsidRPr="007F6332">
              <w:rPr>
                <w:rFonts w:cs="Arial"/>
                <w:color w:val="000000"/>
                <w:sz w:val="18"/>
                <w:szCs w:val="18"/>
              </w:rPr>
              <w:t xml:space="preserve"> </w:t>
            </w:r>
            <w:r w:rsidRPr="007F6332">
              <w:rPr>
                <w:rFonts w:cs="Arial"/>
                <w:color w:val="000000"/>
                <w:sz w:val="18"/>
                <w:szCs w:val="18"/>
              </w:rPr>
              <w:t>provided by the Department of Social Services as part of 2023-24 Federal Budget.</w:t>
            </w:r>
          </w:p>
        </w:tc>
      </w:tr>
    </w:tbl>
    <w:p w14:paraId="3B0C6A00" w14:textId="77777777" w:rsidR="00AD5D8E" w:rsidRPr="007F6332" w:rsidRDefault="00AD5D8E" w:rsidP="00AD5D8E">
      <w:pPr>
        <w:pStyle w:val="FSRlist"/>
        <w:numPr>
          <w:ilvl w:val="0"/>
          <w:numId w:val="0"/>
        </w:numPr>
        <w:rPr>
          <w:rFonts w:cs="Arial"/>
        </w:rPr>
        <w:sectPr w:rsidR="00AD5D8E" w:rsidRPr="007F6332" w:rsidSect="00CE7E91">
          <w:pgSz w:w="11906" w:h="16838"/>
          <w:pgMar w:top="1440" w:right="1440" w:bottom="1276" w:left="1440" w:header="708" w:footer="850" w:gutter="0"/>
          <w:cols w:space="708"/>
          <w:docGrid w:linePitch="360"/>
        </w:sectPr>
      </w:pPr>
    </w:p>
    <w:p w14:paraId="664B541F" w14:textId="77777777" w:rsidR="00AD5D8E" w:rsidRPr="007F6332" w:rsidRDefault="00AD5D8E" w:rsidP="00CD33D0">
      <w:pPr>
        <w:pStyle w:val="FSRHeading2"/>
        <w:ind w:left="0" w:firstLine="0"/>
        <w:rPr>
          <w:rFonts w:cs="Arial"/>
        </w:rPr>
      </w:pPr>
      <w:r w:rsidRPr="007F6332">
        <w:rPr>
          <w:rFonts w:cs="Arial"/>
        </w:rPr>
        <w:lastRenderedPageBreak/>
        <w:t>Projection models</w:t>
      </w:r>
    </w:p>
    <w:p w14:paraId="7B0E9EBA" w14:textId="52F69D84" w:rsidR="004236EE" w:rsidRPr="007F6332" w:rsidRDefault="004236EE" w:rsidP="004236EE">
      <w:pPr>
        <w:pStyle w:val="FSRnormal"/>
        <w:rPr>
          <w:rFonts w:cs="Arial"/>
        </w:rPr>
      </w:pPr>
      <w:r w:rsidRPr="007F6332">
        <w:rPr>
          <w:rFonts w:cs="Arial"/>
        </w:rPr>
        <w:t xml:space="preserve">An </w:t>
      </w:r>
      <w:r w:rsidR="003C4038" w:rsidRPr="007F6332">
        <w:rPr>
          <w:rFonts w:cs="Arial"/>
        </w:rPr>
        <w:t>experience-based</w:t>
      </w:r>
      <w:r w:rsidRPr="007F6332">
        <w:rPr>
          <w:rFonts w:cs="Arial"/>
        </w:rPr>
        <w:t xml:space="preserve"> projection model, based on average payments per participant, continues to be used to project total Scheme expenses. Observed experience of the Scheme is used to determine assumptions about future expected experience, with different assumptions having varying degrees of certainty (refer Section 6). A plan budgets model project</w:t>
      </w:r>
      <w:r w:rsidR="00612A70" w:rsidRPr="007F6332">
        <w:rPr>
          <w:rFonts w:cs="Arial"/>
        </w:rPr>
        <w:t>ing</w:t>
      </w:r>
      <w:r w:rsidRPr="007F6332">
        <w:rPr>
          <w:rFonts w:cs="Arial"/>
        </w:rPr>
        <w:t xml:space="preserve"> average</w:t>
      </w:r>
      <w:r w:rsidR="00612A70" w:rsidRPr="007F6332">
        <w:rPr>
          <w:rFonts w:cs="Arial"/>
        </w:rPr>
        <w:t xml:space="preserve"> plan budgets per participant</w:t>
      </w:r>
      <w:r w:rsidRPr="007F6332">
        <w:rPr>
          <w:rFonts w:cs="Arial"/>
        </w:rPr>
        <w:t xml:space="preserve"> and total plan budgets for the Scheme, </w:t>
      </w:r>
      <w:r w:rsidR="00612A70" w:rsidRPr="007F6332">
        <w:rPr>
          <w:rFonts w:cs="Arial"/>
        </w:rPr>
        <w:t xml:space="preserve">is </w:t>
      </w:r>
      <w:r w:rsidRPr="007F6332">
        <w:rPr>
          <w:rFonts w:cs="Arial"/>
        </w:rPr>
        <w:t>used to determine the implied utilisation</w:t>
      </w:r>
      <w:r w:rsidR="00801BB4" w:rsidRPr="007F6332">
        <w:rPr>
          <w:rFonts w:cs="Arial"/>
        </w:rPr>
        <w:t>. The implied utilisation is</w:t>
      </w:r>
      <w:r w:rsidR="00612A70" w:rsidRPr="007F6332">
        <w:rPr>
          <w:rFonts w:cs="Arial"/>
        </w:rPr>
        <w:t xml:space="preserve"> the </w:t>
      </w:r>
      <w:r w:rsidRPr="007F6332">
        <w:rPr>
          <w:rFonts w:cs="Arial"/>
        </w:rPr>
        <w:t xml:space="preserve">proportion of </w:t>
      </w:r>
      <w:r w:rsidR="00612A70" w:rsidRPr="007F6332">
        <w:rPr>
          <w:rFonts w:cs="Arial"/>
        </w:rPr>
        <w:t xml:space="preserve">total </w:t>
      </w:r>
      <w:r w:rsidRPr="007F6332">
        <w:rPr>
          <w:rFonts w:cs="Arial"/>
        </w:rPr>
        <w:t>plan budgets used</w:t>
      </w:r>
      <w:r w:rsidR="00612A70" w:rsidRPr="007F6332">
        <w:rPr>
          <w:rFonts w:cs="Arial"/>
        </w:rPr>
        <w:t xml:space="preserve">, expressing </w:t>
      </w:r>
      <w:r w:rsidRPr="007F6332">
        <w:rPr>
          <w:rFonts w:cs="Arial"/>
        </w:rPr>
        <w:t>total projected Scheme expenses from the payments model</w:t>
      </w:r>
      <w:r w:rsidR="00EF0C2E" w:rsidRPr="007F6332">
        <w:rPr>
          <w:rFonts w:cs="Arial"/>
        </w:rPr>
        <w:t xml:space="preserve"> as a percentage of total plan budgets</w:t>
      </w:r>
      <w:r w:rsidRPr="007F6332">
        <w:rPr>
          <w:rFonts w:cs="Arial"/>
        </w:rPr>
        <w:t xml:space="preserve">. </w:t>
      </w:r>
    </w:p>
    <w:p w14:paraId="23E1C8F2" w14:textId="18DAB1BD" w:rsidR="00AD5D8E" w:rsidRPr="007F6332" w:rsidRDefault="00AD5D8E" w:rsidP="00AD5D8E">
      <w:pPr>
        <w:pStyle w:val="FSRnormal"/>
        <w:rPr>
          <w:rFonts w:cs="Arial"/>
        </w:rPr>
      </w:pPr>
      <w:r w:rsidRPr="007F6332">
        <w:rPr>
          <w:rFonts w:cs="Arial"/>
        </w:rPr>
        <w:t>As with previous AFSRs, the projection of total Scheme expenses reported in the 2022-23 AFSR is based on projecting average payments made for supports for 2,052 participant cohorts</w:t>
      </w:r>
      <w:r w:rsidRPr="007F6332">
        <w:rPr>
          <w:rStyle w:val="FootnoteReference"/>
          <w:rFonts w:cs="Arial"/>
        </w:rPr>
        <w:footnoteReference w:id="14"/>
      </w:r>
      <w:r w:rsidRPr="007F6332">
        <w:rPr>
          <w:rFonts w:cs="Arial"/>
        </w:rPr>
        <w:t xml:space="preserve">. Total projected Scheme expenses are based on the average payments for each cohort, multiplied by projected participant numbers, and summed across all cohorts to arrive at total projected Scheme expenses. The projected total </w:t>
      </w:r>
      <w:r w:rsidR="00612A70" w:rsidRPr="007F6332">
        <w:rPr>
          <w:rFonts w:cs="Arial"/>
        </w:rPr>
        <w:t xml:space="preserve">plan budgets </w:t>
      </w:r>
      <w:r w:rsidRPr="007F6332">
        <w:rPr>
          <w:rFonts w:cs="Arial"/>
        </w:rPr>
        <w:t>for the Scheme are similarly calculated, based on projecting average plan budget amounts for each of the same participant cohorts, and summing across all cohorts.</w:t>
      </w:r>
    </w:p>
    <w:p w14:paraId="27E6BA11" w14:textId="2DB50EAC" w:rsidR="00AD5D8E" w:rsidRPr="007F6332" w:rsidRDefault="00AD5D8E" w:rsidP="00AD5D8E">
      <w:pPr>
        <w:pStyle w:val="FSRnormal"/>
        <w:rPr>
          <w:rFonts w:cs="Arial"/>
        </w:rPr>
      </w:pPr>
      <w:r w:rsidRPr="007F6332">
        <w:rPr>
          <w:rFonts w:cs="Arial"/>
        </w:rPr>
        <w:t xml:space="preserve">Since last year, enhancements were made to the projection models to reflect the ongoing maturing of the Scheme, as well as developments in Scheme experience and refinements to operational processes. There </w:t>
      </w:r>
      <w:r w:rsidR="00664440" w:rsidRPr="007F6332">
        <w:rPr>
          <w:rFonts w:cs="Arial"/>
        </w:rPr>
        <w:t>was</w:t>
      </w:r>
      <w:r w:rsidRPr="007F6332">
        <w:rPr>
          <w:rFonts w:cs="Arial"/>
        </w:rPr>
        <w:t xml:space="preserve"> a refinement of the modelling of participants with Supported Independent Living (SIL) arrangements. Further, the projection models were completely replicated using two independent statistical programming languages</w:t>
      </w:r>
      <w:r w:rsidR="00612A70" w:rsidRPr="007F6332">
        <w:rPr>
          <w:rFonts w:cs="Arial"/>
        </w:rPr>
        <w:t>: not only acting as an independent validation of projection results, but also to improve modelling capabilities, including the ability to project Scheme expenses beyond 11 years</w:t>
      </w:r>
      <w:r w:rsidRPr="007F6332">
        <w:rPr>
          <w:rFonts w:cs="Arial"/>
        </w:rPr>
        <w:t>.</w:t>
      </w:r>
    </w:p>
    <w:p w14:paraId="597CE2F5" w14:textId="66566DF4" w:rsidR="00AD5D8E" w:rsidRPr="007F6332" w:rsidRDefault="00AA2198" w:rsidP="00AD5D8E">
      <w:pPr>
        <w:pStyle w:val="FSRnormal"/>
        <w:rPr>
          <w:rFonts w:cs="Arial"/>
        </w:rPr>
      </w:pPr>
      <w:r w:rsidRPr="007F6332">
        <w:rPr>
          <w:rFonts w:cs="Arial"/>
        </w:rPr>
        <w:t>U</w:t>
      </w:r>
      <w:r w:rsidR="00AD5D8E" w:rsidRPr="007F6332">
        <w:rPr>
          <w:rFonts w:cs="Arial"/>
        </w:rPr>
        <w:t>ncertainty</w:t>
      </w:r>
      <w:r w:rsidRPr="007F6332">
        <w:rPr>
          <w:rFonts w:cs="Arial"/>
        </w:rPr>
        <w:t xml:space="preserve"> exists</w:t>
      </w:r>
      <w:r w:rsidR="00AD5D8E" w:rsidRPr="007F6332">
        <w:rPr>
          <w:rFonts w:cs="Arial"/>
        </w:rPr>
        <w:t xml:space="preserve"> in any projection, and the level of uncertainty generally increases in the longer term. As the Scheme matures, and becomes more complex in nature, the expected trajectory of Scheme experience and projected expenses can change materially, resulting from the decisions and actions of the Government and Agency and the Australian and global economic climate. Two approaches continue to be used to illustrate the drivers of uncertainty and the estimated impacts those have on the projection results:</w:t>
      </w:r>
    </w:p>
    <w:p w14:paraId="271BC778" w14:textId="5F250652" w:rsidR="00AD5D8E" w:rsidRPr="007F6332" w:rsidRDefault="00AD5D8E" w:rsidP="00AD5D8E">
      <w:pPr>
        <w:pStyle w:val="FSRlist"/>
        <w:rPr>
          <w:rFonts w:cs="Arial"/>
        </w:rPr>
      </w:pPr>
      <w:r w:rsidRPr="007F6332">
        <w:rPr>
          <w:rFonts w:cs="Arial"/>
        </w:rPr>
        <w:t>Testing the sensitivity of projected Scheme expenses to changes in specific key assumptions via construction of a number of scenarios</w:t>
      </w:r>
      <w:r w:rsidR="00612A70" w:rsidRPr="007F6332">
        <w:rPr>
          <w:rFonts w:cs="Arial"/>
        </w:rPr>
        <w:t>, included in Section 6.1</w:t>
      </w:r>
      <w:r w:rsidRPr="007F6332">
        <w:rPr>
          <w:rFonts w:cs="Arial"/>
        </w:rPr>
        <w:t>.</w:t>
      </w:r>
    </w:p>
    <w:p w14:paraId="6FC000BC" w14:textId="77777777" w:rsidR="00AD5D8E" w:rsidRPr="007F6332" w:rsidRDefault="00AD5D8E" w:rsidP="00AD5D8E">
      <w:pPr>
        <w:pStyle w:val="FSRlist"/>
        <w:rPr>
          <w:rFonts w:cs="Arial"/>
        </w:rPr>
      </w:pPr>
      <w:r w:rsidRPr="007F6332">
        <w:rPr>
          <w:rFonts w:cs="Arial"/>
        </w:rPr>
        <w:t>Projecting Scheme expenses using a stochastic model</w:t>
      </w:r>
      <w:r w:rsidRPr="007F6332">
        <w:rPr>
          <w:rStyle w:val="FootnoteReference"/>
          <w:rFonts w:cs="Arial"/>
        </w:rPr>
        <w:footnoteReference w:id="15"/>
      </w:r>
      <w:r w:rsidRPr="007F6332">
        <w:rPr>
          <w:rFonts w:cs="Arial"/>
        </w:rPr>
        <w:t xml:space="preserve"> providing a quantification of the interaction between material risks facing the Scheme and the variability in </w:t>
      </w:r>
      <w:r w:rsidRPr="007F6332">
        <w:rPr>
          <w:rFonts w:cs="Arial"/>
        </w:rPr>
        <w:lastRenderedPageBreak/>
        <w:t xml:space="preserve">these risk factors. The approach and results of this model are included in Section 6.2. </w:t>
      </w:r>
    </w:p>
    <w:p w14:paraId="33E92AB4" w14:textId="41721F42" w:rsidR="00AD5D8E" w:rsidRPr="007F6332" w:rsidRDefault="00AD5D8E" w:rsidP="00CD33D0">
      <w:pPr>
        <w:pStyle w:val="FSRHeading2"/>
        <w:ind w:left="0" w:firstLine="0"/>
        <w:rPr>
          <w:rFonts w:cs="Arial"/>
        </w:rPr>
      </w:pPr>
      <w:r w:rsidRPr="007F6332">
        <w:rPr>
          <w:rFonts w:cs="Arial"/>
        </w:rPr>
        <w:t>Number of participants</w:t>
      </w:r>
    </w:p>
    <w:p w14:paraId="1317FF5B" w14:textId="6EAA08B8" w:rsidR="00AD5D8E" w:rsidRPr="007F6332" w:rsidRDefault="00AD5D8E" w:rsidP="00AD5D8E">
      <w:pPr>
        <w:pStyle w:val="FSRlist"/>
        <w:numPr>
          <w:ilvl w:val="0"/>
          <w:numId w:val="0"/>
        </w:numPr>
        <w:rPr>
          <w:rFonts w:cs="Arial"/>
        </w:rPr>
      </w:pPr>
      <w:r w:rsidRPr="007F6332">
        <w:rPr>
          <w:rFonts w:cs="Arial"/>
        </w:rPr>
        <w:t>Figure 1 shows the number of actual participants in the Scheme each year, and the projected number of future participants at this review (2022-23 AFSR) compared to those from the previous review (2021-22 AFSR). At 30 June 2027 it is estimated there will be 792,200 participants in the Scheme, increasing to 1,030,337 by 30 June 2033. This is 0.6% more participants at 30 June 2027 and 3.1% fewer by 30 June 2033, compared to the previous review.</w:t>
      </w:r>
    </w:p>
    <w:p w14:paraId="1AABEFDF" w14:textId="16F4DDAE" w:rsidR="00AD5D8E" w:rsidRPr="007F6332" w:rsidRDefault="005D1CCB" w:rsidP="00D93505">
      <w:pPr>
        <w:pStyle w:val="FiguresandTablesHeading4"/>
      </w:pPr>
      <w:r w:rsidRPr="007F6332">
        <w:t>Fig</w:t>
      </w:r>
      <w:r w:rsidR="00AD5D8E" w:rsidRPr="007F6332">
        <w:t>ure 1: Comparison of participant numbers to previous review</w:t>
      </w:r>
      <w:r w:rsidR="00BB3543" w:rsidRPr="007F6332">
        <w:t xml:space="preserve"> at 30 June</w:t>
      </w:r>
    </w:p>
    <w:p w14:paraId="4416731F" w14:textId="24674A6E" w:rsidR="00B709E5" w:rsidRPr="007F6332" w:rsidRDefault="00BB3543" w:rsidP="00C1755E">
      <w:pPr>
        <w:rPr>
          <w:rFonts w:cs="Arial"/>
        </w:rPr>
      </w:pPr>
      <w:r w:rsidRPr="007F6332">
        <w:rPr>
          <w:rFonts w:cs="Arial"/>
          <w:noProof/>
        </w:rPr>
        <w:drawing>
          <wp:inline distT="0" distB="0" distL="0" distR="0" wp14:anchorId="60FC4343" wp14:editId="1823D7BD">
            <wp:extent cx="5918250" cy="2786743"/>
            <wp:effectExtent l="0" t="0" r="6350" b="0"/>
            <wp:docPr id="294434503" name="Picture 4" descr="Figure 1: Comparison of participant numbers to previous review&#10;The figure shows number of actual participants in the Scheme at 30 June 2018 through to 30 June 2023 and a comparison between the June 2022 projections and June 2023 projections at each 30 June for the years 2023 to 2033. &#10;Figures for actual experience for years: 2018, 172,333. 2019, 286,015. 2020, 391,999. 2021, 466,619. 2022, 534,655. 2023, 610,502. &#10;Figures from June 2022 projections: 2023, 592,294. 2027, 787,820, 2033, 1,062,787.&#10;Figures from June 2023 projections: 2027, 792,200. 2033, 1,030,337.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34503" name="Picture 4" descr="Figure 1: Comparison of participant numbers to previous review&#10;The figure shows number of actual participants in the Scheme at 30 June 2018 through to 30 June 2023 and a comparison between the June 2022 projections and June 2023 projections at each 30 June for the years 2023 to 2033. &#10;Figures for actual experience for years: 2018, 172,333. 2019, 286,015. 2020, 391,999. 2021, 466,619. 2022, 534,655. 2023, 610,502. &#10;Figures from June 2022 projections: 2023, 592,294. 2027, 787,820, 2033, 1,062,787.&#10;Figures from June 2023 projections: 2027, 792,200. 2033, 1,030,337.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5835" cy="2795023"/>
                    </a:xfrm>
                    <a:prstGeom prst="rect">
                      <a:avLst/>
                    </a:prstGeom>
                    <a:noFill/>
                  </pic:spPr>
                </pic:pic>
              </a:graphicData>
            </a:graphic>
          </wp:inline>
        </w:drawing>
      </w:r>
    </w:p>
    <w:p w14:paraId="759541B5" w14:textId="61EDA0BF" w:rsidR="004236EE" w:rsidRPr="007F6332" w:rsidRDefault="004236EE" w:rsidP="004236EE">
      <w:pPr>
        <w:pStyle w:val="FSRnormal"/>
        <w:rPr>
          <w:rFonts w:cs="Arial"/>
        </w:rPr>
      </w:pPr>
      <w:r w:rsidRPr="007F6332">
        <w:rPr>
          <w:rFonts w:cs="Arial"/>
        </w:rPr>
        <w:t xml:space="preserve">Projections of future expected participant numbers are impacted by the starting population of participants at 30 June 2023 and assumptions about future expected number of new entrants and number of participants leaving the Scheme. The short-term increase in projected future participant numbers in the Scheme at this review, reflects a higher number of participants in the Scheme at 30 June 2023, combined with an assumed higher new entrant rate in the short-term, (particularly for children aged 0 to 14 with developmental delay), compared to the previous review. The reduction in future participant numbers in the medium to longer term reflects the lower new entrant rates for older children and adults aged 15 and above, with disabilities other than autism and developmental delay, and an increase to longer term expectations about the rate of participants leaving the Scheme. </w:t>
      </w:r>
    </w:p>
    <w:p w14:paraId="24F2B91F" w14:textId="77777777" w:rsidR="00AD5D8E" w:rsidRPr="007F6332" w:rsidRDefault="00AD5D8E" w:rsidP="00AD5D8E">
      <w:pPr>
        <w:pStyle w:val="FSRlist"/>
        <w:numPr>
          <w:ilvl w:val="0"/>
          <w:numId w:val="0"/>
        </w:numPr>
        <w:rPr>
          <w:rFonts w:cs="Arial"/>
        </w:rPr>
      </w:pPr>
      <w:r w:rsidRPr="007F6332">
        <w:rPr>
          <w:rFonts w:cs="Arial"/>
        </w:rPr>
        <w:t>As for the previous review, the mix of participants in the Scheme continues to change impacting the overall average payment per participant of the Scheme. For participant cohorts where the average payment per participant is significantly lower or higher than the overall average payment across all participants, the increase in total projected number of participants does not necessarily lead to an increase in Scheme expenses of the same magnitude. At this review, there are two distinct and opposing cohorts of participants influencing the overall change in mix of participants of the Scheme:</w:t>
      </w:r>
    </w:p>
    <w:p w14:paraId="0EB49FF3" w14:textId="3BC8DE6E" w:rsidR="00AD5D8E" w:rsidRPr="007F6332" w:rsidRDefault="00AD5D8E" w:rsidP="00AD5D8E">
      <w:pPr>
        <w:pStyle w:val="FSRlist"/>
        <w:rPr>
          <w:rFonts w:cs="Arial"/>
        </w:rPr>
      </w:pPr>
      <w:r w:rsidRPr="007F6332">
        <w:rPr>
          <w:rFonts w:cs="Arial"/>
        </w:rPr>
        <w:lastRenderedPageBreak/>
        <w:t xml:space="preserve">A continued higher proportion of new entrants to the Scheme who are children </w:t>
      </w:r>
      <w:r w:rsidR="00612A70" w:rsidRPr="007F6332">
        <w:rPr>
          <w:rFonts w:cs="Arial"/>
        </w:rPr>
        <w:t xml:space="preserve">with </w:t>
      </w:r>
      <w:r w:rsidRPr="007F6332">
        <w:rPr>
          <w:rFonts w:cs="Arial"/>
        </w:rPr>
        <w:t xml:space="preserve">a high reported level of function and tend to have lower support needs; resulting in a </w:t>
      </w:r>
      <w:r w:rsidRPr="007F6332">
        <w:rPr>
          <w:rFonts w:cs="Arial"/>
          <w:i/>
          <w:iCs/>
        </w:rPr>
        <w:t>lower</w:t>
      </w:r>
      <w:r w:rsidRPr="007F6332">
        <w:rPr>
          <w:rFonts w:cs="Arial"/>
        </w:rPr>
        <w:t xml:space="preserve"> average payment per participant, compared to existing participants. </w:t>
      </w:r>
    </w:p>
    <w:p w14:paraId="4268DDE8" w14:textId="77777777" w:rsidR="00AD5D8E" w:rsidRPr="007F6332" w:rsidRDefault="00AD5D8E" w:rsidP="00AD5D8E">
      <w:pPr>
        <w:pStyle w:val="FSRlist"/>
        <w:rPr>
          <w:rFonts w:cs="Arial"/>
        </w:rPr>
      </w:pPr>
      <w:r w:rsidRPr="007F6332">
        <w:rPr>
          <w:rFonts w:cs="Arial"/>
        </w:rPr>
        <w:t xml:space="preserve">A significant increase in number of participants with Supported Independent Living (SIL) arrangements, reflected in the starting population at 30 June 2023, who typically have more complex/ higher support needs and hence a </w:t>
      </w:r>
      <w:r w:rsidRPr="007F6332">
        <w:rPr>
          <w:rFonts w:cs="Arial"/>
          <w:i/>
          <w:iCs/>
        </w:rPr>
        <w:t>higher</w:t>
      </w:r>
      <w:r w:rsidRPr="007F6332">
        <w:rPr>
          <w:rFonts w:cs="Arial"/>
        </w:rPr>
        <w:t xml:space="preserve"> average payment per participant.</w:t>
      </w:r>
    </w:p>
    <w:p w14:paraId="5F8F7FAA" w14:textId="77777777" w:rsidR="00AD5D8E" w:rsidRPr="007F6332" w:rsidRDefault="00AD5D8E" w:rsidP="00CD33D0">
      <w:pPr>
        <w:pStyle w:val="FSRHeading2"/>
        <w:ind w:left="0" w:firstLine="0"/>
        <w:rPr>
          <w:rFonts w:cs="Arial"/>
        </w:rPr>
      </w:pPr>
      <w:r w:rsidRPr="007F6332">
        <w:rPr>
          <w:rFonts w:cs="Arial"/>
        </w:rPr>
        <w:t>New entrants</w:t>
      </w:r>
    </w:p>
    <w:p w14:paraId="3B4BA8BD" w14:textId="34EE2512" w:rsidR="004236EE" w:rsidRPr="007F6332" w:rsidRDefault="004236EE" w:rsidP="004236EE">
      <w:pPr>
        <w:pStyle w:val="FSRnormal"/>
        <w:rPr>
          <w:rFonts w:cs="Arial"/>
        </w:rPr>
      </w:pPr>
      <w:r w:rsidRPr="007F6332">
        <w:rPr>
          <w:rFonts w:cs="Arial"/>
        </w:rPr>
        <w:t>The total number of new entrants to the Scheme in the twelve months to 30 June 2023 was 86,400, which is 22% (15,653) higher than the 70,747 new entrants expected from the previous review. The Scheme continues to experience higher-than-expected numbers of new entrants with developmental delay</w:t>
      </w:r>
      <w:r w:rsidRPr="007F6332">
        <w:rPr>
          <w:rStyle w:val="FootnoteReference"/>
          <w:rFonts w:cs="Arial"/>
        </w:rPr>
        <w:footnoteReference w:id="16"/>
      </w:r>
      <w:r w:rsidRPr="007F6332">
        <w:rPr>
          <w:rFonts w:cs="Arial"/>
        </w:rPr>
        <w:t xml:space="preserve"> and autism, respectively 12,932 and 4,737 more than expected. This is partly offset by lower-than-expected numbers of new entrants with disabilities other than developmental delay and autism which was 2,016 fewer than expected in the previous review. </w:t>
      </w:r>
    </w:p>
    <w:p w14:paraId="628794FA" w14:textId="08A22889" w:rsidR="00AD5D8E" w:rsidRPr="007F6332" w:rsidRDefault="00AD5D8E" w:rsidP="00AD5D8E">
      <w:pPr>
        <w:pStyle w:val="FSRnormal"/>
        <w:rPr>
          <w:rFonts w:cs="Arial"/>
        </w:rPr>
      </w:pPr>
      <w:r w:rsidRPr="007F6332">
        <w:rPr>
          <w:rFonts w:cs="Arial"/>
        </w:rPr>
        <w:t>Comparing actual experience for 2022-23, to the actual experience for 2021-22, total new entrants to the Scheme increased by 8%, with 2</w:t>
      </w:r>
      <w:r w:rsidR="00CE6849" w:rsidRPr="007F6332">
        <w:rPr>
          <w:rFonts w:cs="Arial"/>
        </w:rPr>
        <w:t>0</w:t>
      </w:r>
      <w:r w:rsidRPr="007F6332">
        <w:rPr>
          <w:rFonts w:cs="Arial"/>
        </w:rPr>
        <w:t>% more children aged 0 to 14 years (Figure 2), 1</w:t>
      </w:r>
      <w:r w:rsidR="00CE6849" w:rsidRPr="007F6332">
        <w:rPr>
          <w:rFonts w:cs="Arial"/>
        </w:rPr>
        <w:t>9</w:t>
      </w:r>
      <w:r w:rsidRPr="007F6332">
        <w:rPr>
          <w:rFonts w:cs="Arial"/>
        </w:rPr>
        <w:t xml:space="preserve">% more new entrants with autism aged 15 and above (Figure 3), and 16% fewer new entrants with disabilities other than autism aged 15 and above (Figure 4). New entrants with developmental delay and autism accounted for 70% of total new entrants in 2022-23. </w:t>
      </w:r>
    </w:p>
    <w:p w14:paraId="066B1902" w14:textId="3BCA4307" w:rsidR="00AD5D8E" w:rsidRPr="007F6332" w:rsidRDefault="00AD5D8E" w:rsidP="00AD5D8E">
      <w:pPr>
        <w:pStyle w:val="FSRnormal"/>
        <w:rPr>
          <w:rFonts w:cs="Arial"/>
        </w:rPr>
      </w:pPr>
      <w:r w:rsidRPr="007F6332">
        <w:rPr>
          <w:rFonts w:cs="Arial"/>
        </w:rPr>
        <w:t xml:space="preserve">Figure 2 shows </w:t>
      </w:r>
      <w:r w:rsidR="00ED1368" w:rsidRPr="007F6332">
        <w:rPr>
          <w:rFonts w:cs="Arial"/>
        </w:rPr>
        <w:t xml:space="preserve">increasing numbers </w:t>
      </w:r>
      <w:r w:rsidRPr="007F6332">
        <w:rPr>
          <w:rFonts w:cs="Arial"/>
        </w:rPr>
        <w:t>of children aged 0 to 14, entering the Scheme over the most recent two years. Anecdotal evidence suggests that the higher proportion of new entrants with developmental delay can be attributed to a combination of waiting times to obtain an autism diagnosis, increased awareness of developmental delay, lack of capacity within mainstream services to support children, and COVID-19 related impacts.</w:t>
      </w:r>
    </w:p>
    <w:p w14:paraId="085CA555" w14:textId="2F019703" w:rsidR="00E7495D" w:rsidRPr="007F6332" w:rsidRDefault="00E7495D" w:rsidP="00CD33D0">
      <w:pPr>
        <w:spacing w:line="276" w:lineRule="auto"/>
        <w:rPr>
          <w:rFonts w:cs="Arial"/>
        </w:rPr>
      </w:pPr>
      <w:r w:rsidRPr="007F6332">
        <w:rPr>
          <w:rFonts w:cs="Arial"/>
        </w:rPr>
        <w:br w:type="page"/>
      </w:r>
    </w:p>
    <w:p w14:paraId="0E851B38" w14:textId="77777777" w:rsidR="00F3114C" w:rsidRPr="007F6332" w:rsidRDefault="00F3114C" w:rsidP="00D93505">
      <w:pPr>
        <w:pStyle w:val="FiguresandTablesHeading4"/>
      </w:pPr>
      <w:r w:rsidRPr="007F6332">
        <w:lastRenderedPageBreak/>
        <w:t>Figure 2: Numbers of new entrants (aged 0 to 14)</w:t>
      </w:r>
    </w:p>
    <w:p w14:paraId="347BF574" w14:textId="1CC505F4" w:rsidR="006E0136" w:rsidRPr="007F6332" w:rsidRDefault="00E7495D" w:rsidP="005424E1">
      <w:pPr>
        <w:rPr>
          <w:rFonts w:cs="Arial"/>
        </w:rPr>
      </w:pPr>
      <w:r w:rsidRPr="007F6332">
        <w:rPr>
          <w:rFonts w:cs="Arial"/>
        </w:rPr>
        <w:br/>
      </w:r>
      <w:r w:rsidR="00A51F5E" w:rsidRPr="007F6332">
        <w:rPr>
          <w:rFonts w:cs="Arial"/>
          <w:noProof/>
        </w:rPr>
        <w:drawing>
          <wp:inline distT="0" distB="0" distL="0" distR="0" wp14:anchorId="384CA87D" wp14:editId="0F8793D8">
            <wp:extent cx="5566410" cy="2713355"/>
            <wp:effectExtent l="0" t="0" r="0" b="0"/>
            <wp:docPr id="1045071916" name="Picture 1" descr="Figure 2: Numbers of new entrants (aged 0 to 14) years 2019 to 2023.&#10;2019–20 Total 60,119. 2020-21 Total 44,129, 2021-22 Total 47,081. 2022-23 Total 56,6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71916" name="Picture 1" descr="Figure 2: Numbers of new entrants (aged 0 to 14) years 2019 to 2023.&#10;2019–20 Total 60,119. 2020-21 Total 44,129, 2021-22 Total 47,081. 2022-23 Total 56,661.&#10;"/>
                    <pic:cNvPicPr/>
                  </pic:nvPicPr>
                  <pic:blipFill>
                    <a:blip r:embed="rId15"/>
                    <a:stretch>
                      <a:fillRect/>
                    </a:stretch>
                  </pic:blipFill>
                  <pic:spPr>
                    <a:xfrm>
                      <a:off x="0" y="0"/>
                      <a:ext cx="5566410" cy="2713355"/>
                    </a:xfrm>
                    <a:prstGeom prst="rect">
                      <a:avLst/>
                    </a:prstGeom>
                  </pic:spPr>
                </pic:pic>
              </a:graphicData>
            </a:graphic>
          </wp:inline>
        </w:drawing>
      </w:r>
    </w:p>
    <w:p w14:paraId="1791E5B6" w14:textId="0634D92B" w:rsidR="00AD5D8E" w:rsidRPr="007F6332" w:rsidRDefault="00AD5D8E" w:rsidP="005424E1">
      <w:pPr>
        <w:rPr>
          <w:rFonts w:cs="Arial"/>
        </w:rPr>
      </w:pPr>
      <w:r w:rsidRPr="007F6332">
        <w:rPr>
          <w:rFonts w:cs="Arial"/>
        </w:rPr>
        <w:t xml:space="preserve">Figure 3 similarly shows increasing </w:t>
      </w:r>
      <w:r w:rsidR="00ED1368" w:rsidRPr="007F6332">
        <w:rPr>
          <w:rFonts w:cs="Arial"/>
        </w:rPr>
        <w:t xml:space="preserve">numbers </w:t>
      </w:r>
      <w:r w:rsidRPr="007F6332">
        <w:rPr>
          <w:rFonts w:cs="Arial"/>
        </w:rPr>
        <w:t xml:space="preserve">of older children and adults with autism aged 15 and above, entering the Scheme over the most recent two years. Anecdotal evidence indicates that the continued increase may be related to a greater awareness of autism in older children and adults not being diagnosed as a child, or adults </w:t>
      </w:r>
      <w:r w:rsidR="00E604AF" w:rsidRPr="007F6332">
        <w:rPr>
          <w:rFonts w:cs="Arial"/>
        </w:rPr>
        <w:t>who enter the Scheme with multiple disabilities or health conditions, including autism.</w:t>
      </w:r>
    </w:p>
    <w:p w14:paraId="778A325C" w14:textId="77777777" w:rsidR="00F3114C" w:rsidRPr="007F6332" w:rsidRDefault="00F3114C" w:rsidP="00D93505">
      <w:pPr>
        <w:pStyle w:val="FiguresandTablesHeading4"/>
        <w:rPr>
          <w:rStyle w:val="Heading7Char"/>
          <w:rFonts w:cs="Arial"/>
          <w:b/>
          <w:iCs/>
        </w:rPr>
      </w:pPr>
      <w:r w:rsidRPr="007F6332">
        <w:rPr>
          <w:rStyle w:val="Heading7Char"/>
          <w:rFonts w:cs="Arial"/>
          <w:b/>
          <w:iCs/>
        </w:rPr>
        <w:t>Figure 3: Numbers of new entrants (aged 15+) with autism</w:t>
      </w:r>
    </w:p>
    <w:p w14:paraId="200ED446" w14:textId="170A5E50" w:rsidR="002E0FAE" w:rsidRPr="007F6332" w:rsidRDefault="00A51F5E" w:rsidP="00CD33D0">
      <w:pPr>
        <w:pStyle w:val="FSRnormal"/>
        <w:rPr>
          <w:rFonts w:cs="Arial"/>
        </w:rPr>
      </w:pPr>
      <w:r w:rsidRPr="007F6332">
        <w:rPr>
          <w:rFonts w:cs="Arial"/>
          <w:noProof/>
        </w:rPr>
        <w:drawing>
          <wp:inline distT="0" distB="0" distL="0" distR="0" wp14:anchorId="2131FCF6" wp14:editId="5BF9142F">
            <wp:extent cx="5566410" cy="2415540"/>
            <wp:effectExtent l="0" t="0" r="0" b="3810"/>
            <wp:docPr id="341428388" name="Picture 1" descr="Figure 3: Numbers of new entrants (aged 15+) with autism - years 2019 to 2023.&#10;2019–20 Total 6,942. 2020-21 Total 5,761, 2021-22 Total 6,783. 2022-23 Total 8,0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28388" name="Picture 1" descr="Figure 3: Numbers of new entrants (aged 15+) with autism - years 2019 to 2023.&#10;2019–20 Total 6,942. 2020-21 Total 5,761, 2021-22 Total 6,783. 2022-23 Total 8,045.&#10;"/>
                    <pic:cNvPicPr/>
                  </pic:nvPicPr>
                  <pic:blipFill>
                    <a:blip r:embed="rId16"/>
                    <a:stretch>
                      <a:fillRect/>
                    </a:stretch>
                  </pic:blipFill>
                  <pic:spPr>
                    <a:xfrm>
                      <a:off x="0" y="0"/>
                      <a:ext cx="5566410" cy="2415540"/>
                    </a:xfrm>
                    <a:prstGeom prst="rect">
                      <a:avLst/>
                    </a:prstGeom>
                  </pic:spPr>
                </pic:pic>
              </a:graphicData>
            </a:graphic>
          </wp:inline>
        </w:drawing>
      </w:r>
    </w:p>
    <w:p w14:paraId="6B27DF2B" w14:textId="364C16AE" w:rsidR="00CB7921" w:rsidRPr="007F6332" w:rsidRDefault="00AD5D8E" w:rsidP="00CD33D0">
      <w:pPr>
        <w:pStyle w:val="FSRnormal"/>
        <w:rPr>
          <w:rFonts w:eastAsiaTheme="majorEastAsia" w:cs="Arial"/>
        </w:rPr>
        <w:sectPr w:rsidR="00CB7921" w:rsidRPr="007F6332" w:rsidSect="00CE7E91">
          <w:headerReference w:type="even" r:id="rId17"/>
          <w:headerReference w:type="default" r:id="rId18"/>
          <w:footerReference w:type="default" r:id="rId19"/>
          <w:headerReference w:type="first" r:id="rId20"/>
          <w:footerReference w:type="first" r:id="rId21"/>
          <w:pgSz w:w="11906" w:h="16838"/>
          <w:pgMar w:top="1440" w:right="1700" w:bottom="1440" w:left="1440" w:header="708" w:footer="850" w:gutter="0"/>
          <w:cols w:space="708"/>
          <w:titlePg/>
          <w:docGrid w:linePitch="360"/>
        </w:sectPr>
      </w:pPr>
      <w:r w:rsidRPr="007F6332">
        <w:rPr>
          <w:rFonts w:cs="Arial"/>
        </w:rPr>
        <w:t>Figure 4 shows a continued decline in n</w:t>
      </w:r>
      <w:r w:rsidR="00ED1368" w:rsidRPr="007F6332">
        <w:rPr>
          <w:rFonts w:cs="Arial"/>
        </w:rPr>
        <w:t>umbers of n</w:t>
      </w:r>
      <w:r w:rsidRPr="007F6332">
        <w:rPr>
          <w:rFonts w:cs="Arial"/>
        </w:rPr>
        <w:t>ew entrants aged 15 and above, with disabilities other than autism entering the Scheme in 2022-23, suggesting these rates have not yet stabilised at a long-term rate.</w:t>
      </w:r>
    </w:p>
    <w:p w14:paraId="5AC87596" w14:textId="7F16F013" w:rsidR="00B50353" w:rsidRPr="007F6332" w:rsidRDefault="002C5988" w:rsidP="00D93505">
      <w:pPr>
        <w:pStyle w:val="FiguresandTablesHeading4"/>
        <w:rPr>
          <w:noProof/>
        </w:rPr>
      </w:pPr>
      <w:r w:rsidRPr="007F6332">
        <w:lastRenderedPageBreak/>
        <w:t>F</w:t>
      </w:r>
      <w:r w:rsidR="00B50353" w:rsidRPr="007F6332">
        <w:t>igure 4: Numbers of new entrants (aged 15+) with disabilities other than autism</w:t>
      </w:r>
    </w:p>
    <w:p w14:paraId="4786ACA0" w14:textId="2E050117" w:rsidR="00A51F5E" w:rsidRPr="007F6332" w:rsidRDefault="00133B18" w:rsidP="00B50353">
      <w:pPr>
        <w:pStyle w:val="FSRnormal"/>
        <w:rPr>
          <w:rFonts w:cs="Arial"/>
        </w:rPr>
      </w:pPr>
      <w:r w:rsidRPr="007F6332">
        <w:rPr>
          <w:rFonts w:cs="Arial"/>
          <w:noProof/>
        </w:rPr>
        <w:drawing>
          <wp:inline distT="0" distB="0" distL="0" distR="0" wp14:anchorId="76D222EB" wp14:editId="7E1F37EF">
            <wp:extent cx="5476875" cy="2505075"/>
            <wp:effectExtent l="0" t="0" r="9525" b="9525"/>
            <wp:docPr id="362218031" name="Picture 1" descr="Figure 4: Numbers of new entrants (aged 15+) with disabilities other than autism - years 2019 to 2023.&#10;2019–20 Total 44,228. 2020-21 Total 31,083, 2021-22 Total 25,971. 2022-23 Total 2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18031" name="Picture 1" descr="Figure 4: Numbers of new entrants (aged 15+) with disabilities other than autism - years 2019 to 2023.&#10;2019–20 Total 44,228. 2020-21 Total 31,083, 2021-22 Total 25,971. 2022-23 Total 21,694."/>
                    <pic:cNvPicPr/>
                  </pic:nvPicPr>
                  <pic:blipFill>
                    <a:blip r:embed="rId22"/>
                    <a:stretch>
                      <a:fillRect/>
                    </a:stretch>
                  </pic:blipFill>
                  <pic:spPr>
                    <a:xfrm>
                      <a:off x="0" y="0"/>
                      <a:ext cx="5476875" cy="2505075"/>
                    </a:xfrm>
                    <a:prstGeom prst="rect">
                      <a:avLst/>
                    </a:prstGeom>
                  </pic:spPr>
                </pic:pic>
              </a:graphicData>
            </a:graphic>
          </wp:inline>
        </w:drawing>
      </w:r>
    </w:p>
    <w:p w14:paraId="19FD1F80" w14:textId="05F5F362" w:rsidR="00D17CB2" w:rsidRPr="007F6332" w:rsidRDefault="00D17CB2" w:rsidP="00B50353">
      <w:pPr>
        <w:pStyle w:val="FSRnormal"/>
        <w:rPr>
          <w:rFonts w:cs="Arial"/>
        </w:rPr>
      </w:pPr>
      <w:r w:rsidRPr="007F6332">
        <w:rPr>
          <w:rFonts w:cs="Arial"/>
        </w:rPr>
        <w:t>For the June 2023 projections new entrant rate assumptions were updated to reflect higher new entrant rates for children aged 0 to 14, higher rates for new entrants with autism aged 15 and above, and lower rates for new entrants aged 15 and above with disabilities other than autism. Adjustments were</w:t>
      </w:r>
      <w:r w:rsidR="00ED1368" w:rsidRPr="007F6332">
        <w:rPr>
          <w:rFonts w:cs="Arial"/>
        </w:rPr>
        <w:t xml:space="preserve"> also</w:t>
      </w:r>
      <w:r w:rsidRPr="007F6332">
        <w:rPr>
          <w:rFonts w:cs="Arial"/>
        </w:rPr>
        <w:t xml:space="preserve"> made to reflect updated views on the extent to which short-term rates of new entrants to the Scheme are expected to be different from the medium to long term experience.</w:t>
      </w:r>
    </w:p>
    <w:p w14:paraId="3EA88593" w14:textId="12CD7BEC" w:rsidR="00D17CB2" w:rsidRPr="007F6332" w:rsidRDefault="00D17CB2" w:rsidP="00CD33D0">
      <w:pPr>
        <w:spacing w:before="240"/>
        <w:rPr>
          <w:rFonts w:cs="Arial"/>
        </w:rPr>
      </w:pPr>
      <w:r w:rsidRPr="007F6332">
        <w:rPr>
          <w:rFonts w:cs="Arial"/>
        </w:rPr>
        <w:t xml:space="preserve">Tables 6a and 6b show the updated long-term new entrant rates assumed for the June 2023 projections, both before and after adjustments made for </w:t>
      </w:r>
      <w:r w:rsidR="002D6881" w:rsidRPr="007F6332">
        <w:rPr>
          <w:rFonts w:cs="Arial"/>
        </w:rPr>
        <w:t>Budget initiatives</w:t>
      </w:r>
      <w:r w:rsidRPr="007F6332">
        <w:rPr>
          <w:rFonts w:cs="Arial"/>
        </w:rPr>
        <w:t>, compared to those assumed for the previous review</w:t>
      </w:r>
      <w:r w:rsidR="00ED1368" w:rsidRPr="007F6332">
        <w:rPr>
          <w:rFonts w:cs="Arial"/>
        </w:rPr>
        <w:t xml:space="preserve"> by disability and age group respectively</w:t>
      </w:r>
      <w:r w:rsidRPr="007F6332">
        <w:rPr>
          <w:rFonts w:cs="Arial"/>
        </w:rPr>
        <w:t xml:space="preserve">. A new entrant rate of 314.7 (per 100,000 population aged 0 to 64), in aggregate across all disability types, was assumed for the June 2023 projections after factoring in </w:t>
      </w:r>
      <w:r w:rsidR="002D6881" w:rsidRPr="007F6332">
        <w:rPr>
          <w:rFonts w:cs="Arial"/>
        </w:rPr>
        <w:t>Budget initiatives</w:t>
      </w:r>
      <w:r w:rsidRPr="007F6332">
        <w:rPr>
          <w:rFonts w:cs="Arial"/>
        </w:rPr>
        <w:t>. This is 2</w:t>
      </w:r>
      <w:r w:rsidR="00ED1368" w:rsidRPr="007F6332">
        <w:rPr>
          <w:rFonts w:cs="Arial"/>
        </w:rPr>
        <w:t>.0</w:t>
      </w:r>
      <w:r w:rsidRPr="007F6332">
        <w:rPr>
          <w:rFonts w:cs="Arial"/>
        </w:rPr>
        <w:t>% higher than the new entrant rate assumed in the previous review, including an assumed rate that is</w:t>
      </w:r>
      <w:r w:rsidR="00ED1368" w:rsidRPr="007F6332">
        <w:rPr>
          <w:rFonts w:cs="Arial"/>
        </w:rPr>
        <w:t xml:space="preserve"> 2.3% higher for new entrants with autism,</w:t>
      </w:r>
      <w:r w:rsidRPr="007F6332">
        <w:rPr>
          <w:rFonts w:cs="Arial"/>
        </w:rPr>
        <w:t xml:space="preserve"> 21.2% higher for new entrants with developmental delay, and a reduction of 18.6% in the rate of new entrants with disabilities other than developmental delay and autism. Rates are 17</w:t>
      </w:r>
      <w:r w:rsidR="00ED1368" w:rsidRPr="007F6332">
        <w:rPr>
          <w:rFonts w:cs="Arial"/>
        </w:rPr>
        <w:t>.3</w:t>
      </w:r>
      <w:r w:rsidRPr="007F6332">
        <w:rPr>
          <w:rFonts w:cs="Arial"/>
        </w:rPr>
        <w:t>% higher for children aged 0 to 14</w:t>
      </w:r>
      <w:r w:rsidR="00ED1368" w:rsidRPr="007F6332">
        <w:rPr>
          <w:rFonts w:cs="Arial"/>
        </w:rPr>
        <w:t xml:space="preserve"> entering the Scheme, and 17.8% lower for older children and adults aged 15 and above</w:t>
      </w:r>
      <w:r w:rsidRPr="007F6332">
        <w:rPr>
          <w:rFonts w:cs="Arial"/>
        </w:rPr>
        <w:t xml:space="preserve">. </w:t>
      </w:r>
    </w:p>
    <w:p w14:paraId="3119042A" w14:textId="4637BBBD" w:rsidR="00AD5D8E" w:rsidRPr="007F6332" w:rsidRDefault="00AD5D8E" w:rsidP="00D93505">
      <w:pPr>
        <w:pStyle w:val="FiguresandTablesHeading4"/>
      </w:pPr>
      <w:r w:rsidRPr="007F6332">
        <w:t>Table 6</w:t>
      </w:r>
      <w:r w:rsidR="00A4521B" w:rsidRPr="007F6332">
        <w:t>a</w:t>
      </w:r>
      <w:r w:rsidRPr="007F6332">
        <w:t>: Comparison of new entrant rate assumptions (per 100,000 population aged 0 to 64) to previous review</w:t>
      </w:r>
      <w:r w:rsidR="00ED1368" w:rsidRPr="007F6332">
        <w:t>, by disability group</w:t>
      </w:r>
    </w:p>
    <w:tbl>
      <w:tblPr>
        <w:tblW w:w="9356" w:type="dxa"/>
        <w:tblLayout w:type="fixed"/>
        <w:tblLook w:val="04A0" w:firstRow="1" w:lastRow="0" w:firstColumn="1" w:lastColumn="0" w:noHBand="0" w:noVBand="1"/>
      </w:tblPr>
      <w:tblGrid>
        <w:gridCol w:w="2268"/>
        <w:gridCol w:w="1701"/>
        <w:gridCol w:w="1843"/>
        <w:gridCol w:w="1276"/>
        <w:gridCol w:w="1187"/>
        <w:gridCol w:w="1081"/>
      </w:tblGrid>
      <w:tr w:rsidR="00D17CB2" w:rsidRPr="007F6332" w14:paraId="7B01217F" w14:textId="77777777" w:rsidTr="00C1755E">
        <w:trPr>
          <w:trHeight w:val="360"/>
        </w:trPr>
        <w:tc>
          <w:tcPr>
            <w:tcW w:w="2268" w:type="dxa"/>
            <w:tcBorders>
              <w:top w:val="single" w:sz="4" w:space="0" w:color="auto"/>
              <w:bottom w:val="nil"/>
              <w:right w:val="nil"/>
            </w:tcBorders>
            <w:shd w:val="clear" w:color="000000" w:fill="6B2976"/>
            <w:vAlign w:val="center"/>
            <w:hideMark/>
          </w:tcPr>
          <w:p w14:paraId="465C73F2" w14:textId="77777777" w:rsidR="00D17CB2" w:rsidRPr="007F6332" w:rsidRDefault="00D17CB2" w:rsidP="00C71F02">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Disability group</w:t>
            </w:r>
          </w:p>
        </w:tc>
        <w:tc>
          <w:tcPr>
            <w:tcW w:w="1701" w:type="dxa"/>
            <w:tcBorders>
              <w:top w:val="single" w:sz="4" w:space="0" w:color="auto"/>
              <w:left w:val="nil"/>
              <w:bottom w:val="nil"/>
              <w:right w:val="dashSmallGap" w:sz="8" w:space="0" w:color="auto"/>
            </w:tcBorders>
            <w:shd w:val="clear" w:color="000000" w:fill="6B2976"/>
          </w:tcPr>
          <w:p w14:paraId="63D8DE28" w14:textId="5DC4E04B" w:rsidR="00D17CB2" w:rsidRPr="007F6332" w:rsidRDefault="00D17CB2" w:rsidP="00C71F02">
            <w:pPr>
              <w:spacing w:after="0" w:line="240" w:lineRule="auto"/>
              <w:ind w:left="-106"/>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 xml:space="preserve">June 2023 projections (before </w:t>
            </w:r>
            <w:r w:rsidR="002D6881" w:rsidRPr="007F6332">
              <w:rPr>
                <w:rFonts w:eastAsia="Times New Roman" w:cs="Arial"/>
                <w:b/>
                <w:bCs/>
                <w:color w:val="FFFFFF"/>
                <w:sz w:val="21"/>
                <w:szCs w:val="21"/>
                <w:lang w:eastAsia="en-AU"/>
              </w:rPr>
              <w:t>Budget initiatives</w:t>
            </w:r>
            <w:r w:rsidRPr="007F6332">
              <w:rPr>
                <w:rFonts w:eastAsia="Times New Roman" w:cs="Arial"/>
                <w:b/>
                <w:bCs/>
                <w:color w:val="FFFFFF"/>
                <w:sz w:val="21"/>
                <w:szCs w:val="21"/>
                <w:lang w:eastAsia="en-AU"/>
              </w:rPr>
              <w:t>)</w:t>
            </w:r>
          </w:p>
        </w:tc>
        <w:tc>
          <w:tcPr>
            <w:tcW w:w="1843" w:type="dxa"/>
            <w:tcBorders>
              <w:top w:val="single" w:sz="4" w:space="0" w:color="auto"/>
              <w:left w:val="dashSmallGap" w:sz="8" w:space="0" w:color="auto"/>
              <w:bottom w:val="nil"/>
              <w:right w:val="nil"/>
            </w:tcBorders>
            <w:shd w:val="clear" w:color="000000" w:fill="6B2976"/>
            <w:vAlign w:val="center"/>
            <w:hideMark/>
          </w:tcPr>
          <w:p w14:paraId="11CF9D2B" w14:textId="77777777" w:rsidR="00D17CB2" w:rsidRPr="007F6332" w:rsidRDefault="00D17CB2" w:rsidP="00C71F02">
            <w:pPr>
              <w:spacing w:after="0" w:line="240" w:lineRule="auto"/>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June 2023 projections</w:t>
            </w:r>
          </w:p>
          <w:p w14:paraId="64CD3F07" w14:textId="1ED25CCE" w:rsidR="00D17CB2" w:rsidRPr="007F6332" w:rsidRDefault="00D17CB2" w:rsidP="00C71F02">
            <w:pPr>
              <w:spacing w:after="0" w:line="240" w:lineRule="auto"/>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 xml:space="preserve">(after </w:t>
            </w:r>
            <w:r w:rsidR="002D6881" w:rsidRPr="007F6332">
              <w:rPr>
                <w:rFonts w:eastAsia="Times New Roman" w:cs="Arial"/>
                <w:b/>
                <w:bCs/>
                <w:color w:val="FFFFFF"/>
                <w:sz w:val="21"/>
                <w:szCs w:val="21"/>
                <w:lang w:eastAsia="en-AU"/>
              </w:rPr>
              <w:t>Budget initiatives</w:t>
            </w:r>
            <w:r w:rsidRPr="007F6332">
              <w:rPr>
                <w:rFonts w:eastAsia="Times New Roman" w:cs="Arial"/>
                <w:b/>
                <w:bCs/>
                <w:color w:val="FFFFFF"/>
                <w:sz w:val="21"/>
                <w:szCs w:val="21"/>
                <w:lang w:eastAsia="en-AU"/>
              </w:rPr>
              <w:t>)</w:t>
            </w:r>
          </w:p>
        </w:tc>
        <w:tc>
          <w:tcPr>
            <w:tcW w:w="1276" w:type="dxa"/>
            <w:tcBorders>
              <w:top w:val="single" w:sz="4" w:space="0" w:color="auto"/>
              <w:left w:val="nil"/>
              <w:bottom w:val="nil"/>
              <w:right w:val="nil"/>
            </w:tcBorders>
            <w:shd w:val="clear" w:color="000000" w:fill="6B2976"/>
            <w:vAlign w:val="center"/>
            <w:hideMark/>
          </w:tcPr>
          <w:p w14:paraId="30F7E987" w14:textId="77777777" w:rsidR="00D17CB2" w:rsidRPr="007F6332" w:rsidRDefault="00D17CB2" w:rsidP="00D17CB2">
            <w:pPr>
              <w:spacing w:after="0" w:line="240" w:lineRule="auto"/>
              <w:ind w:right="-109"/>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June 2022 projections</w:t>
            </w:r>
          </w:p>
        </w:tc>
        <w:tc>
          <w:tcPr>
            <w:tcW w:w="1187" w:type="dxa"/>
            <w:tcBorders>
              <w:top w:val="single" w:sz="4" w:space="0" w:color="auto"/>
              <w:left w:val="nil"/>
              <w:bottom w:val="nil"/>
              <w:right w:val="nil"/>
            </w:tcBorders>
            <w:shd w:val="clear" w:color="000000" w:fill="6B2976"/>
            <w:vAlign w:val="center"/>
            <w:hideMark/>
          </w:tcPr>
          <w:p w14:paraId="31C6AECB" w14:textId="77777777" w:rsidR="00D17CB2" w:rsidRPr="007F6332" w:rsidRDefault="00D17CB2" w:rsidP="00C71F02">
            <w:pPr>
              <w:spacing w:after="0" w:line="240" w:lineRule="auto"/>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Absolute Change</w:t>
            </w:r>
          </w:p>
        </w:tc>
        <w:tc>
          <w:tcPr>
            <w:tcW w:w="1081" w:type="dxa"/>
            <w:tcBorders>
              <w:top w:val="single" w:sz="4" w:space="0" w:color="auto"/>
              <w:left w:val="nil"/>
              <w:bottom w:val="nil"/>
            </w:tcBorders>
            <w:shd w:val="clear" w:color="000000" w:fill="6B2976"/>
            <w:vAlign w:val="center"/>
            <w:hideMark/>
          </w:tcPr>
          <w:p w14:paraId="2E2C77EA" w14:textId="77777777" w:rsidR="00D17CB2" w:rsidRPr="007F6332" w:rsidRDefault="00D17CB2" w:rsidP="00C71F02">
            <w:pPr>
              <w:spacing w:after="0" w:line="240" w:lineRule="auto"/>
              <w:ind w:left="-17"/>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 Change</w:t>
            </w:r>
          </w:p>
        </w:tc>
      </w:tr>
      <w:tr w:rsidR="00D17CB2" w:rsidRPr="007F6332" w14:paraId="7E4A001C" w14:textId="77777777" w:rsidTr="00C1755E">
        <w:trPr>
          <w:trHeight w:val="284"/>
        </w:trPr>
        <w:tc>
          <w:tcPr>
            <w:tcW w:w="2268" w:type="dxa"/>
            <w:tcBorders>
              <w:top w:val="nil"/>
              <w:right w:val="nil"/>
            </w:tcBorders>
            <w:shd w:val="clear" w:color="auto" w:fill="auto"/>
            <w:vAlign w:val="center"/>
            <w:hideMark/>
          </w:tcPr>
          <w:p w14:paraId="756F0F00" w14:textId="77777777" w:rsidR="00D17CB2" w:rsidRPr="007F6332" w:rsidRDefault="00D17CB2" w:rsidP="00C71F02">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Autism</w:t>
            </w:r>
          </w:p>
        </w:tc>
        <w:tc>
          <w:tcPr>
            <w:tcW w:w="1701" w:type="dxa"/>
            <w:tcBorders>
              <w:top w:val="nil"/>
              <w:left w:val="nil"/>
              <w:right w:val="dashSmallGap" w:sz="8" w:space="0" w:color="auto"/>
            </w:tcBorders>
            <w:vAlign w:val="center"/>
          </w:tcPr>
          <w:p w14:paraId="409F7B98"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96.3</w:t>
            </w:r>
          </w:p>
        </w:tc>
        <w:tc>
          <w:tcPr>
            <w:tcW w:w="1843" w:type="dxa"/>
            <w:tcBorders>
              <w:top w:val="nil"/>
              <w:left w:val="dashSmallGap" w:sz="8" w:space="0" w:color="auto"/>
              <w:right w:val="nil"/>
            </w:tcBorders>
            <w:shd w:val="clear" w:color="auto" w:fill="auto"/>
            <w:noWrap/>
            <w:vAlign w:val="center"/>
            <w:hideMark/>
          </w:tcPr>
          <w:p w14:paraId="41555527"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96.3</w:t>
            </w:r>
          </w:p>
        </w:tc>
        <w:tc>
          <w:tcPr>
            <w:tcW w:w="1276" w:type="dxa"/>
            <w:tcBorders>
              <w:top w:val="nil"/>
              <w:left w:val="nil"/>
              <w:right w:val="nil"/>
            </w:tcBorders>
            <w:shd w:val="clear" w:color="auto" w:fill="auto"/>
            <w:noWrap/>
            <w:vAlign w:val="center"/>
            <w:hideMark/>
          </w:tcPr>
          <w:p w14:paraId="01B09855"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94.1</w:t>
            </w:r>
          </w:p>
        </w:tc>
        <w:tc>
          <w:tcPr>
            <w:tcW w:w="1187" w:type="dxa"/>
            <w:tcBorders>
              <w:top w:val="nil"/>
              <w:left w:val="nil"/>
              <w:right w:val="nil"/>
            </w:tcBorders>
            <w:shd w:val="clear" w:color="auto" w:fill="auto"/>
            <w:noWrap/>
            <w:vAlign w:val="center"/>
            <w:hideMark/>
          </w:tcPr>
          <w:p w14:paraId="6ED09C37"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2.2</w:t>
            </w:r>
          </w:p>
        </w:tc>
        <w:tc>
          <w:tcPr>
            <w:tcW w:w="1081" w:type="dxa"/>
            <w:tcBorders>
              <w:top w:val="nil"/>
              <w:left w:val="nil"/>
            </w:tcBorders>
            <w:shd w:val="clear" w:color="auto" w:fill="auto"/>
            <w:noWrap/>
            <w:vAlign w:val="center"/>
            <w:hideMark/>
          </w:tcPr>
          <w:p w14:paraId="5405D1AF"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2.3%</w:t>
            </w:r>
          </w:p>
        </w:tc>
      </w:tr>
      <w:tr w:rsidR="00D17CB2" w:rsidRPr="007F6332" w14:paraId="26547577" w14:textId="77777777" w:rsidTr="00C1755E">
        <w:trPr>
          <w:trHeight w:val="284"/>
        </w:trPr>
        <w:tc>
          <w:tcPr>
            <w:tcW w:w="2268" w:type="dxa"/>
            <w:tcBorders>
              <w:top w:val="nil"/>
              <w:right w:val="nil"/>
            </w:tcBorders>
            <w:shd w:val="clear" w:color="000000" w:fill="A7A9AC"/>
            <w:vAlign w:val="center"/>
            <w:hideMark/>
          </w:tcPr>
          <w:p w14:paraId="77F334B2" w14:textId="77777777" w:rsidR="00D17CB2" w:rsidRPr="007F6332" w:rsidRDefault="00D17CB2" w:rsidP="00C71F02">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Developmental Delay</w:t>
            </w:r>
          </w:p>
        </w:tc>
        <w:tc>
          <w:tcPr>
            <w:tcW w:w="1701" w:type="dxa"/>
            <w:tcBorders>
              <w:top w:val="nil"/>
              <w:left w:val="nil"/>
              <w:right w:val="dashSmallGap" w:sz="8" w:space="0" w:color="auto"/>
            </w:tcBorders>
            <w:shd w:val="clear" w:color="000000" w:fill="A7A9AC"/>
            <w:vAlign w:val="center"/>
          </w:tcPr>
          <w:p w14:paraId="48397AB0"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148.8</w:t>
            </w:r>
          </w:p>
        </w:tc>
        <w:tc>
          <w:tcPr>
            <w:tcW w:w="1843" w:type="dxa"/>
            <w:tcBorders>
              <w:top w:val="nil"/>
              <w:left w:val="dashSmallGap" w:sz="8" w:space="0" w:color="auto"/>
              <w:right w:val="nil"/>
            </w:tcBorders>
            <w:shd w:val="clear" w:color="000000" w:fill="A7A9AC"/>
            <w:vAlign w:val="center"/>
            <w:hideMark/>
          </w:tcPr>
          <w:p w14:paraId="60248CAD"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133.9</w:t>
            </w:r>
          </w:p>
        </w:tc>
        <w:tc>
          <w:tcPr>
            <w:tcW w:w="1276" w:type="dxa"/>
            <w:tcBorders>
              <w:top w:val="nil"/>
              <w:left w:val="nil"/>
              <w:right w:val="nil"/>
            </w:tcBorders>
            <w:shd w:val="clear" w:color="000000" w:fill="A7A9AC"/>
            <w:vAlign w:val="center"/>
            <w:hideMark/>
          </w:tcPr>
          <w:p w14:paraId="7535A169"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110.5</w:t>
            </w:r>
          </w:p>
        </w:tc>
        <w:tc>
          <w:tcPr>
            <w:tcW w:w="1187" w:type="dxa"/>
            <w:tcBorders>
              <w:top w:val="nil"/>
              <w:left w:val="nil"/>
              <w:right w:val="nil"/>
            </w:tcBorders>
            <w:shd w:val="clear" w:color="000000" w:fill="A7A9AC"/>
            <w:vAlign w:val="center"/>
            <w:hideMark/>
          </w:tcPr>
          <w:p w14:paraId="257E2DCF"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23.5</w:t>
            </w:r>
          </w:p>
        </w:tc>
        <w:tc>
          <w:tcPr>
            <w:tcW w:w="1081" w:type="dxa"/>
            <w:tcBorders>
              <w:top w:val="nil"/>
              <w:left w:val="nil"/>
            </w:tcBorders>
            <w:shd w:val="clear" w:color="000000" w:fill="A7A9AC"/>
            <w:vAlign w:val="center"/>
            <w:hideMark/>
          </w:tcPr>
          <w:p w14:paraId="74B030FE"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21.2%</w:t>
            </w:r>
          </w:p>
        </w:tc>
      </w:tr>
      <w:tr w:rsidR="00D17CB2" w:rsidRPr="007F6332" w14:paraId="3F8411B8" w14:textId="77777777" w:rsidTr="00C1755E">
        <w:trPr>
          <w:trHeight w:val="284"/>
        </w:trPr>
        <w:tc>
          <w:tcPr>
            <w:tcW w:w="2268" w:type="dxa"/>
            <w:tcBorders>
              <w:top w:val="nil"/>
              <w:right w:val="nil"/>
            </w:tcBorders>
            <w:shd w:val="clear" w:color="auto" w:fill="auto"/>
            <w:vAlign w:val="center"/>
            <w:hideMark/>
          </w:tcPr>
          <w:p w14:paraId="112B0D02" w14:textId="77777777" w:rsidR="00D17CB2" w:rsidRPr="007F6332" w:rsidRDefault="00D17CB2" w:rsidP="00C71F02">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All Other</w:t>
            </w:r>
          </w:p>
        </w:tc>
        <w:tc>
          <w:tcPr>
            <w:tcW w:w="1701" w:type="dxa"/>
            <w:tcBorders>
              <w:top w:val="nil"/>
              <w:left w:val="nil"/>
              <w:right w:val="dashSmallGap" w:sz="8" w:space="0" w:color="auto"/>
            </w:tcBorders>
            <w:vAlign w:val="center"/>
          </w:tcPr>
          <w:p w14:paraId="3B9EB0BC"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84.5</w:t>
            </w:r>
          </w:p>
        </w:tc>
        <w:tc>
          <w:tcPr>
            <w:tcW w:w="1843" w:type="dxa"/>
            <w:tcBorders>
              <w:top w:val="nil"/>
              <w:left w:val="dashSmallGap" w:sz="8" w:space="0" w:color="auto"/>
              <w:right w:val="nil"/>
            </w:tcBorders>
            <w:shd w:val="clear" w:color="auto" w:fill="auto"/>
            <w:vAlign w:val="center"/>
            <w:hideMark/>
          </w:tcPr>
          <w:p w14:paraId="51EF002D"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84.5</w:t>
            </w:r>
          </w:p>
        </w:tc>
        <w:tc>
          <w:tcPr>
            <w:tcW w:w="1276" w:type="dxa"/>
            <w:tcBorders>
              <w:top w:val="nil"/>
              <w:left w:val="nil"/>
              <w:right w:val="nil"/>
            </w:tcBorders>
            <w:shd w:val="clear" w:color="auto" w:fill="auto"/>
            <w:vAlign w:val="center"/>
            <w:hideMark/>
          </w:tcPr>
          <w:p w14:paraId="58E69D0E"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103.9</w:t>
            </w:r>
          </w:p>
        </w:tc>
        <w:tc>
          <w:tcPr>
            <w:tcW w:w="1187" w:type="dxa"/>
            <w:tcBorders>
              <w:top w:val="nil"/>
              <w:left w:val="nil"/>
              <w:right w:val="nil"/>
            </w:tcBorders>
            <w:shd w:val="clear" w:color="auto" w:fill="auto"/>
            <w:vAlign w:val="center"/>
            <w:hideMark/>
          </w:tcPr>
          <w:p w14:paraId="222412B5"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-19.4</w:t>
            </w:r>
          </w:p>
        </w:tc>
        <w:tc>
          <w:tcPr>
            <w:tcW w:w="1081" w:type="dxa"/>
            <w:tcBorders>
              <w:top w:val="nil"/>
              <w:left w:val="nil"/>
            </w:tcBorders>
            <w:shd w:val="clear" w:color="auto" w:fill="auto"/>
            <w:vAlign w:val="center"/>
            <w:hideMark/>
          </w:tcPr>
          <w:p w14:paraId="5CEE5D74"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-18.6%</w:t>
            </w:r>
          </w:p>
        </w:tc>
      </w:tr>
      <w:tr w:rsidR="00D17CB2" w:rsidRPr="007F6332" w14:paraId="5636DFEC" w14:textId="77777777" w:rsidTr="00C1755E">
        <w:trPr>
          <w:trHeight w:val="440"/>
        </w:trPr>
        <w:tc>
          <w:tcPr>
            <w:tcW w:w="2268" w:type="dxa"/>
            <w:tcBorders>
              <w:bottom w:val="single" w:sz="4" w:space="0" w:color="auto"/>
            </w:tcBorders>
            <w:shd w:val="clear" w:color="000000" w:fill="B398B8"/>
            <w:vAlign w:val="center"/>
            <w:hideMark/>
          </w:tcPr>
          <w:p w14:paraId="48A88CDF" w14:textId="77777777" w:rsidR="00D17CB2" w:rsidRPr="007F6332" w:rsidRDefault="00D17CB2" w:rsidP="00C71F02">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Total All Disabilities</w:t>
            </w:r>
          </w:p>
        </w:tc>
        <w:tc>
          <w:tcPr>
            <w:tcW w:w="1701" w:type="dxa"/>
            <w:tcBorders>
              <w:bottom w:val="single" w:sz="4" w:space="0" w:color="auto"/>
              <w:right w:val="dashSmallGap" w:sz="8" w:space="0" w:color="auto"/>
            </w:tcBorders>
            <w:shd w:val="clear" w:color="000000" w:fill="B398B8"/>
            <w:vAlign w:val="center"/>
          </w:tcPr>
          <w:p w14:paraId="0531165D" w14:textId="77777777" w:rsidR="00D17CB2" w:rsidRPr="007F6332" w:rsidRDefault="00D17CB2" w:rsidP="00C71F02">
            <w:pPr>
              <w:spacing w:after="0" w:line="240" w:lineRule="auto"/>
              <w:jc w:val="center"/>
              <w:rPr>
                <w:rFonts w:eastAsia="Times New Roman" w:cs="Arial"/>
                <w:color w:val="000000"/>
                <w:sz w:val="21"/>
                <w:szCs w:val="21"/>
                <w:lang w:eastAsia="en-AU"/>
              </w:rPr>
            </w:pPr>
            <w:r w:rsidRPr="007F6332">
              <w:rPr>
                <w:rFonts w:eastAsia="Times New Roman" w:cs="Arial"/>
                <w:b/>
                <w:bCs/>
                <w:color w:val="000000"/>
                <w:sz w:val="21"/>
                <w:szCs w:val="21"/>
                <w:lang w:eastAsia="en-AU"/>
              </w:rPr>
              <w:t>329.6</w:t>
            </w:r>
          </w:p>
        </w:tc>
        <w:tc>
          <w:tcPr>
            <w:tcW w:w="1843" w:type="dxa"/>
            <w:tcBorders>
              <w:left w:val="dashSmallGap" w:sz="8" w:space="0" w:color="auto"/>
              <w:bottom w:val="single" w:sz="4" w:space="0" w:color="auto"/>
            </w:tcBorders>
            <w:shd w:val="clear" w:color="000000" w:fill="B398B8"/>
            <w:noWrap/>
            <w:vAlign w:val="center"/>
            <w:hideMark/>
          </w:tcPr>
          <w:p w14:paraId="4733AEF9" w14:textId="77777777" w:rsidR="00D17CB2" w:rsidRPr="007F6332" w:rsidRDefault="00D17CB2" w:rsidP="00C71F02">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314.7</w:t>
            </w:r>
          </w:p>
        </w:tc>
        <w:tc>
          <w:tcPr>
            <w:tcW w:w="1276" w:type="dxa"/>
            <w:tcBorders>
              <w:bottom w:val="single" w:sz="4" w:space="0" w:color="auto"/>
            </w:tcBorders>
            <w:shd w:val="clear" w:color="000000" w:fill="B398B8"/>
            <w:noWrap/>
            <w:vAlign w:val="center"/>
            <w:hideMark/>
          </w:tcPr>
          <w:p w14:paraId="24CC6159" w14:textId="77777777" w:rsidR="00D17CB2" w:rsidRPr="007F6332" w:rsidRDefault="00D17CB2" w:rsidP="00C71F02">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308.4</w:t>
            </w:r>
          </w:p>
        </w:tc>
        <w:tc>
          <w:tcPr>
            <w:tcW w:w="1187" w:type="dxa"/>
            <w:tcBorders>
              <w:bottom w:val="single" w:sz="4" w:space="0" w:color="auto"/>
            </w:tcBorders>
            <w:shd w:val="clear" w:color="000000" w:fill="B398B8"/>
            <w:noWrap/>
            <w:vAlign w:val="center"/>
            <w:hideMark/>
          </w:tcPr>
          <w:p w14:paraId="4FBF5378" w14:textId="77777777" w:rsidR="00D17CB2" w:rsidRPr="007F6332" w:rsidRDefault="00D17CB2" w:rsidP="00C71F02">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6.3</w:t>
            </w:r>
          </w:p>
        </w:tc>
        <w:tc>
          <w:tcPr>
            <w:tcW w:w="1081" w:type="dxa"/>
            <w:tcBorders>
              <w:bottom w:val="single" w:sz="4" w:space="0" w:color="auto"/>
            </w:tcBorders>
            <w:shd w:val="clear" w:color="000000" w:fill="B398B8"/>
            <w:noWrap/>
            <w:vAlign w:val="center"/>
            <w:hideMark/>
          </w:tcPr>
          <w:p w14:paraId="79F20F03" w14:textId="77777777" w:rsidR="00D17CB2" w:rsidRPr="007F6332" w:rsidRDefault="00D17CB2" w:rsidP="00C71F02">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2.0%</w:t>
            </w:r>
          </w:p>
        </w:tc>
      </w:tr>
    </w:tbl>
    <w:p w14:paraId="0509659E" w14:textId="77777777" w:rsidR="00A420E4" w:rsidRPr="007F6332" w:rsidRDefault="00A420E4" w:rsidP="00D17CB2">
      <w:pPr>
        <w:rPr>
          <w:rFonts w:cs="Arial"/>
        </w:rPr>
        <w:sectPr w:rsidR="00A420E4" w:rsidRPr="007F6332" w:rsidSect="00CE7E91">
          <w:pgSz w:w="11906" w:h="16838"/>
          <w:pgMar w:top="1440" w:right="1700" w:bottom="1440" w:left="1440" w:header="708" w:footer="850" w:gutter="0"/>
          <w:cols w:space="708"/>
          <w:titlePg/>
          <w:docGrid w:linePitch="360"/>
        </w:sectPr>
      </w:pPr>
    </w:p>
    <w:p w14:paraId="4D1981D8" w14:textId="4C8466E3" w:rsidR="00AD5D8E" w:rsidRPr="007F6332" w:rsidRDefault="007D4C6A" w:rsidP="00D93505">
      <w:pPr>
        <w:pStyle w:val="FiguresandTablesHeading4"/>
      </w:pPr>
      <w:r w:rsidRPr="007F6332">
        <w:lastRenderedPageBreak/>
        <w:t>Table 6</w:t>
      </w:r>
      <w:r w:rsidR="00A4521B" w:rsidRPr="007F6332">
        <w:t>b</w:t>
      </w:r>
      <w:r w:rsidRPr="007F6332">
        <w:t>: Comparison of new entrant rate assumptions (per 100,000 population aged 0 to 64) to previous review</w:t>
      </w:r>
      <w:r w:rsidR="00ED1368" w:rsidRPr="007F6332">
        <w:t>, by age group</w:t>
      </w:r>
    </w:p>
    <w:tbl>
      <w:tblPr>
        <w:tblW w:w="9184" w:type="dxa"/>
        <w:tblLayout w:type="fixed"/>
        <w:tblLook w:val="04A0" w:firstRow="1" w:lastRow="0" w:firstColumn="1" w:lastColumn="0" w:noHBand="0" w:noVBand="1"/>
      </w:tblPr>
      <w:tblGrid>
        <w:gridCol w:w="1758"/>
        <w:gridCol w:w="1786"/>
        <w:gridCol w:w="1436"/>
        <w:gridCol w:w="265"/>
        <w:gridCol w:w="1699"/>
        <w:gridCol w:w="1217"/>
        <w:gridCol w:w="1023"/>
      </w:tblGrid>
      <w:tr w:rsidR="00D17CB2" w:rsidRPr="007F6332" w14:paraId="19E8CCE8" w14:textId="77777777" w:rsidTr="00C1755E">
        <w:trPr>
          <w:trHeight w:val="360"/>
        </w:trPr>
        <w:tc>
          <w:tcPr>
            <w:tcW w:w="1758" w:type="dxa"/>
            <w:tcBorders>
              <w:top w:val="single" w:sz="4" w:space="0" w:color="auto"/>
              <w:bottom w:val="nil"/>
              <w:right w:val="nil"/>
            </w:tcBorders>
            <w:shd w:val="clear" w:color="000000" w:fill="6B2976"/>
            <w:vAlign w:val="center"/>
            <w:hideMark/>
          </w:tcPr>
          <w:p w14:paraId="6272EBE5" w14:textId="77777777" w:rsidR="00D17CB2" w:rsidRPr="007F6332" w:rsidRDefault="00D17CB2" w:rsidP="00C71F02">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Age Group</w:t>
            </w:r>
          </w:p>
        </w:tc>
        <w:tc>
          <w:tcPr>
            <w:tcW w:w="1786" w:type="dxa"/>
            <w:tcBorders>
              <w:top w:val="single" w:sz="4" w:space="0" w:color="auto"/>
              <w:left w:val="nil"/>
              <w:bottom w:val="nil"/>
              <w:right w:val="dashSmallGap" w:sz="8" w:space="0" w:color="auto"/>
            </w:tcBorders>
            <w:shd w:val="clear" w:color="000000" w:fill="6B2976"/>
          </w:tcPr>
          <w:p w14:paraId="6DD08F6C" w14:textId="073F0EA6" w:rsidR="00D17CB2" w:rsidRPr="007F6332" w:rsidRDefault="00D17CB2"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 xml:space="preserve">June 2023 projections (before </w:t>
            </w:r>
            <w:r w:rsidR="002D6881" w:rsidRPr="007F6332">
              <w:rPr>
                <w:rFonts w:eastAsia="Times New Roman" w:cs="Arial"/>
                <w:b/>
                <w:bCs/>
                <w:color w:val="FFFFFF"/>
                <w:szCs w:val="22"/>
                <w:lang w:eastAsia="en-AU"/>
              </w:rPr>
              <w:t>Budget initiatives</w:t>
            </w:r>
            <w:r w:rsidRPr="007F6332">
              <w:rPr>
                <w:rFonts w:eastAsia="Times New Roman" w:cs="Arial"/>
                <w:b/>
                <w:bCs/>
                <w:color w:val="FFFFFF"/>
                <w:szCs w:val="22"/>
                <w:lang w:eastAsia="en-AU"/>
              </w:rPr>
              <w:t>)</w:t>
            </w:r>
          </w:p>
        </w:tc>
        <w:tc>
          <w:tcPr>
            <w:tcW w:w="1701" w:type="dxa"/>
            <w:gridSpan w:val="2"/>
            <w:tcBorders>
              <w:top w:val="single" w:sz="4" w:space="0" w:color="auto"/>
              <w:left w:val="dashSmallGap" w:sz="8" w:space="0" w:color="auto"/>
              <w:bottom w:val="nil"/>
              <w:right w:val="nil"/>
            </w:tcBorders>
            <w:shd w:val="clear" w:color="000000" w:fill="6B2976"/>
            <w:vAlign w:val="center"/>
            <w:hideMark/>
          </w:tcPr>
          <w:p w14:paraId="751B1D44" w14:textId="77777777" w:rsidR="00D17CB2" w:rsidRPr="007F6332" w:rsidRDefault="00D17CB2"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June 2023 projections</w:t>
            </w:r>
          </w:p>
          <w:p w14:paraId="2C3E9D6F" w14:textId="1921B88B" w:rsidR="00D17CB2" w:rsidRPr="007F6332" w:rsidRDefault="00D17CB2"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 xml:space="preserve">(after </w:t>
            </w:r>
            <w:r w:rsidR="002D6881" w:rsidRPr="007F6332">
              <w:rPr>
                <w:rFonts w:eastAsia="Times New Roman" w:cs="Arial"/>
                <w:b/>
                <w:bCs/>
                <w:color w:val="FFFFFF"/>
                <w:szCs w:val="22"/>
                <w:lang w:eastAsia="en-AU"/>
              </w:rPr>
              <w:t>Budget initiatives</w:t>
            </w:r>
            <w:r w:rsidRPr="007F6332">
              <w:rPr>
                <w:rFonts w:eastAsia="Times New Roman" w:cs="Arial"/>
                <w:b/>
                <w:bCs/>
                <w:color w:val="FFFFFF"/>
                <w:szCs w:val="22"/>
                <w:lang w:eastAsia="en-AU"/>
              </w:rPr>
              <w:t>)</w:t>
            </w:r>
          </w:p>
        </w:tc>
        <w:tc>
          <w:tcPr>
            <w:tcW w:w="1699" w:type="dxa"/>
            <w:tcBorders>
              <w:top w:val="single" w:sz="4" w:space="0" w:color="auto"/>
              <w:left w:val="nil"/>
              <w:bottom w:val="nil"/>
              <w:right w:val="nil"/>
            </w:tcBorders>
            <w:shd w:val="clear" w:color="000000" w:fill="6B2976"/>
            <w:vAlign w:val="center"/>
            <w:hideMark/>
          </w:tcPr>
          <w:p w14:paraId="792A7C2B" w14:textId="77777777" w:rsidR="00D17CB2" w:rsidRPr="007F6332" w:rsidRDefault="00D17CB2"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June 2022 projections</w:t>
            </w:r>
          </w:p>
        </w:tc>
        <w:tc>
          <w:tcPr>
            <w:tcW w:w="1217" w:type="dxa"/>
            <w:tcBorders>
              <w:top w:val="single" w:sz="4" w:space="0" w:color="auto"/>
              <w:left w:val="nil"/>
              <w:bottom w:val="nil"/>
              <w:right w:val="nil"/>
            </w:tcBorders>
            <w:shd w:val="clear" w:color="000000" w:fill="6B2976"/>
            <w:vAlign w:val="center"/>
            <w:hideMark/>
          </w:tcPr>
          <w:p w14:paraId="6DEA7D72" w14:textId="77777777" w:rsidR="00D17CB2" w:rsidRPr="007F6332" w:rsidRDefault="00D17CB2"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Absolute Change</w:t>
            </w:r>
          </w:p>
        </w:tc>
        <w:tc>
          <w:tcPr>
            <w:tcW w:w="1023" w:type="dxa"/>
            <w:tcBorders>
              <w:top w:val="single" w:sz="4" w:space="0" w:color="auto"/>
              <w:left w:val="nil"/>
              <w:bottom w:val="nil"/>
            </w:tcBorders>
            <w:shd w:val="clear" w:color="000000" w:fill="6B2976"/>
            <w:vAlign w:val="center"/>
            <w:hideMark/>
          </w:tcPr>
          <w:p w14:paraId="57DB7A1F" w14:textId="77777777" w:rsidR="00D17CB2" w:rsidRPr="007F6332" w:rsidRDefault="00D17CB2"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 Change</w:t>
            </w:r>
          </w:p>
        </w:tc>
      </w:tr>
      <w:tr w:rsidR="00D17CB2" w:rsidRPr="007F6332" w14:paraId="1E2286D9" w14:textId="77777777" w:rsidTr="00C1755E">
        <w:trPr>
          <w:trHeight w:val="360"/>
        </w:trPr>
        <w:tc>
          <w:tcPr>
            <w:tcW w:w="1758" w:type="dxa"/>
            <w:tcBorders>
              <w:top w:val="single" w:sz="4" w:space="0" w:color="auto"/>
              <w:right w:val="nil"/>
            </w:tcBorders>
            <w:shd w:val="clear" w:color="auto" w:fill="auto"/>
            <w:vAlign w:val="center"/>
            <w:hideMark/>
          </w:tcPr>
          <w:p w14:paraId="1309AB5D" w14:textId="77777777" w:rsidR="00D17CB2" w:rsidRPr="007F6332" w:rsidRDefault="00D17CB2"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0 to 14</w:t>
            </w:r>
          </w:p>
        </w:tc>
        <w:tc>
          <w:tcPr>
            <w:tcW w:w="1786" w:type="dxa"/>
            <w:tcBorders>
              <w:top w:val="single" w:sz="4" w:space="0" w:color="auto"/>
              <w:left w:val="nil"/>
              <w:right w:val="dashSmallGap" w:sz="8" w:space="0" w:color="auto"/>
            </w:tcBorders>
            <w:vAlign w:val="center"/>
          </w:tcPr>
          <w:p w14:paraId="74FFC268"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1,072.9</w:t>
            </w:r>
          </w:p>
        </w:tc>
        <w:tc>
          <w:tcPr>
            <w:tcW w:w="1436" w:type="dxa"/>
            <w:tcBorders>
              <w:top w:val="single" w:sz="4" w:space="0" w:color="auto"/>
              <w:left w:val="dashSmallGap" w:sz="8" w:space="0" w:color="auto"/>
              <w:right w:val="nil"/>
            </w:tcBorders>
            <w:shd w:val="clear" w:color="auto" w:fill="auto"/>
            <w:vAlign w:val="center"/>
            <w:hideMark/>
          </w:tcPr>
          <w:p w14:paraId="12D215C2"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1,005.9</w:t>
            </w:r>
          </w:p>
        </w:tc>
        <w:tc>
          <w:tcPr>
            <w:tcW w:w="1964" w:type="dxa"/>
            <w:gridSpan w:val="2"/>
            <w:tcBorders>
              <w:top w:val="single" w:sz="4" w:space="0" w:color="auto"/>
              <w:left w:val="nil"/>
              <w:right w:val="nil"/>
            </w:tcBorders>
            <w:shd w:val="clear" w:color="auto" w:fill="auto"/>
            <w:vAlign w:val="center"/>
            <w:hideMark/>
          </w:tcPr>
          <w:p w14:paraId="20995E43"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857.4</w:t>
            </w:r>
          </w:p>
        </w:tc>
        <w:tc>
          <w:tcPr>
            <w:tcW w:w="1217" w:type="dxa"/>
            <w:tcBorders>
              <w:top w:val="single" w:sz="4" w:space="0" w:color="auto"/>
              <w:left w:val="nil"/>
              <w:right w:val="nil"/>
            </w:tcBorders>
            <w:shd w:val="clear" w:color="auto" w:fill="auto"/>
            <w:vAlign w:val="center"/>
            <w:hideMark/>
          </w:tcPr>
          <w:p w14:paraId="36C1FF51"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148.5</w:t>
            </w:r>
          </w:p>
        </w:tc>
        <w:tc>
          <w:tcPr>
            <w:tcW w:w="1023" w:type="dxa"/>
            <w:tcBorders>
              <w:top w:val="single" w:sz="4" w:space="0" w:color="auto"/>
              <w:left w:val="nil"/>
            </w:tcBorders>
            <w:shd w:val="clear" w:color="auto" w:fill="auto"/>
            <w:vAlign w:val="center"/>
            <w:hideMark/>
          </w:tcPr>
          <w:p w14:paraId="4B6C8B22"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17.3%</w:t>
            </w:r>
          </w:p>
        </w:tc>
      </w:tr>
      <w:tr w:rsidR="00D17CB2" w:rsidRPr="007F6332" w14:paraId="21E3CC34" w14:textId="77777777" w:rsidTr="00C1755E">
        <w:trPr>
          <w:trHeight w:val="360"/>
        </w:trPr>
        <w:tc>
          <w:tcPr>
            <w:tcW w:w="1758" w:type="dxa"/>
            <w:tcBorders>
              <w:top w:val="nil"/>
              <w:right w:val="nil"/>
            </w:tcBorders>
            <w:shd w:val="clear" w:color="000000" w:fill="A7A9AC"/>
            <w:vAlign w:val="center"/>
            <w:hideMark/>
          </w:tcPr>
          <w:p w14:paraId="2D9BF119" w14:textId="77777777" w:rsidR="00D17CB2" w:rsidRPr="007F6332" w:rsidRDefault="00D17CB2"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15+ </w:t>
            </w:r>
          </w:p>
        </w:tc>
        <w:tc>
          <w:tcPr>
            <w:tcW w:w="1786" w:type="dxa"/>
            <w:tcBorders>
              <w:top w:val="nil"/>
              <w:left w:val="nil"/>
              <w:right w:val="dashSmallGap" w:sz="8" w:space="0" w:color="auto"/>
            </w:tcBorders>
            <w:shd w:val="clear" w:color="000000" w:fill="A7A9AC"/>
            <w:vAlign w:val="center"/>
          </w:tcPr>
          <w:p w14:paraId="527D23BF"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117.7</w:t>
            </w:r>
          </w:p>
        </w:tc>
        <w:tc>
          <w:tcPr>
            <w:tcW w:w="1436" w:type="dxa"/>
            <w:tcBorders>
              <w:top w:val="nil"/>
              <w:left w:val="dashSmallGap" w:sz="8" w:space="0" w:color="auto"/>
              <w:right w:val="nil"/>
            </w:tcBorders>
            <w:shd w:val="clear" w:color="000000" w:fill="A7A9AC"/>
            <w:vAlign w:val="center"/>
            <w:hideMark/>
          </w:tcPr>
          <w:p w14:paraId="25D14429"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117.7</w:t>
            </w:r>
          </w:p>
        </w:tc>
        <w:tc>
          <w:tcPr>
            <w:tcW w:w="1964" w:type="dxa"/>
            <w:gridSpan w:val="2"/>
            <w:tcBorders>
              <w:top w:val="nil"/>
              <w:left w:val="nil"/>
              <w:right w:val="nil"/>
            </w:tcBorders>
            <w:shd w:val="clear" w:color="000000" w:fill="A7A9AC"/>
            <w:vAlign w:val="center"/>
            <w:hideMark/>
          </w:tcPr>
          <w:p w14:paraId="68309057"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143.2</w:t>
            </w:r>
          </w:p>
        </w:tc>
        <w:tc>
          <w:tcPr>
            <w:tcW w:w="1217" w:type="dxa"/>
            <w:tcBorders>
              <w:top w:val="nil"/>
              <w:left w:val="nil"/>
              <w:right w:val="nil"/>
            </w:tcBorders>
            <w:shd w:val="clear" w:color="000000" w:fill="A7A9AC"/>
            <w:vAlign w:val="center"/>
            <w:hideMark/>
          </w:tcPr>
          <w:p w14:paraId="2A1E4355"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-25.4</w:t>
            </w:r>
          </w:p>
        </w:tc>
        <w:tc>
          <w:tcPr>
            <w:tcW w:w="1023" w:type="dxa"/>
            <w:tcBorders>
              <w:top w:val="nil"/>
              <w:left w:val="nil"/>
            </w:tcBorders>
            <w:shd w:val="clear" w:color="000000" w:fill="A7A9AC"/>
            <w:vAlign w:val="center"/>
            <w:hideMark/>
          </w:tcPr>
          <w:p w14:paraId="6609D2AB" w14:textId="77777777" w:rsidR="00D17CB2" w:rsidRPr="007F6332" w:rsidRDefault="00D17CB2"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-17.8%</w:t>
            </w:r>
          </w:p>
        </w:tc>
      </w:tr>
      <w:tr w:rsidR="00D17CB2" w:rsidRPr="007F6332" w14:paraId="136D1889" w14:textId="77777777" w:rsidTr="00C1755E">
        <w:trPr>
          <w:trHeight w:val="360"/>
        </w:trPr>
        <w:tc>
          <w:tcPr>
            <w:tcW w:w="1758" w:type="dxa"/>
            <w:tcBorders>
              <w:bottom w:val="single" w:sz="4" w:space="0" w:color="auto"/>
            </w:tcBorders>
            <w:shd w:val="clear" w:color="000000" w:fill="B398B8"/>
            <w:vAlign w:val="center"/>
            <w:hideMark/>
          </w:tcPr>
          <w:p w14:paraId="3B1DB7D0" w14:textId="77777777" w:rsidR="00D17CB2" w:rsidRPr="007F6332" w:rsidRDefault="00D17CB2" w:rsidP="00C71F02">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All Disabilities</w:t>
            </w:r>
          </w:p>
        </w:tc>
        <w:tc>
          <w:tcPr>
            <w:tcW w:w="1786" w:type="dxa"/>
            <w:tcBorders>
              <w:bottom w:val="single" w:sz="4" w:space="0" w:color="auto"/>
              <w:right w:val="dashSmallGap" w:sz="8" w:space="0" w:color="auto"/>
            </w:tcBorders>
            <w:shd w:val="clear" w:color="000000" w:fill="B398B8"/>
            <w:vAlign w:val="center"/>
          </w:tcPr>
          <w:p w14:paraId="7E2186FE" w14:textId="77777777" w:rsidR="00D17CB2" w:rsidRPr="007F6332" w:rsidRDefault="00D17CB2"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329.6</w:t>
            </w:r>
          </w:p>
        </w:tc>
        <w:tc>
          <w:tcPr>
            <w:tcW w:w="1436" w:type="dxa"/>
            <w:tcBorders>
              <w:left w:val="dashSmallGap" w:sz="8" w:space="0" w:color="auto"/>
              <w:bottom w:val="single" w:sz="4" w:space="0" w:color="auto"/>
            </w:tcBorders>
            <w:shd w:val="clear" w:color="000000" w:fill="B398B8"/>
            <w:vAlign w:val="center"/>
            <w:hideMark/>
          </w:tcPr>
          <w:p w14:paraId="6744B5B5" w14:textId="77777777" w:rsidR="00D17CB2" w:rsidRPr="007F6332" w:rsidRDefault="00D17CB2"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314.7</w:t>
            </w:r>
          </w:p>
        </w:tc>
        <w:tc>
          <w:tcPr>
            <w:tcW w:w="1964" w:type="dxa"/>
            <w:gridSpan w:val="2"/>
            <w:tcBorders>
              <w:bottom w:val="single" w:sz="4" w:space="0" w:color="auto"/>
            </w:tcBorders>
            <w:shd w:val="clear" w:color="000000" w:fill="B398B8"/>
            <w:vAlign w:val="center"/>
            <w:hideMark/>
          </w:tcPr>
          <w:p w14:paraId="51FBCF46" w14:textId="77777777" w:rsidR="00D17CB2" w:rsidRPr="007F6332" w:rsidRDefault="00D17CB2"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308.4</w:t>
            </w:r>
          </w:p>
        </w:tc>
        <w:tc>
          <w:tcPr>
            <w:tcW w:w="1217" w:type="dxa"/>
            <w:tcBorders>
              <w:bottom w:val="single" w:sz="4" w:space="0" w:color="auto"/>
            </w:tcBorders>
            <w:shd w:val="clear" w:color="000000" w:fill="B398B8"/>
            <w:vAlign w:val="center"/>
            <w:hideMark/>
          </w:tcPr>
          <w:p w14:paraId="444B8732" w14:textId="77777777" w:rsidR="00D17CB2" w:rsidRPr="007F6332" w:rsidRDefault="00D17CB2"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6.3</w:t>
            </w:r>
          </w:p>
        </w:tc>
        <w:tc>
          <w:tcPr>
            <w:tcW w:w="1023" w:type="dxa"/>
            <w:tcBorders>
              <w:bottom w:val="single" w:sz="4" w:space="0" w:color="auto"/>
            </w:tcBorders>
            <w:shd w:val="clear" w:color="000000" w:fill="B398B8"/>
            <w:vAlign w:val="center"/>
            <w:hideMark/>
          </w:tcPr>
          <w:p w14:paraId="208E700B" w14:textId="77777777" w:rsidR="00D17CB2" w:rsidRPr="007F6332" w:rsidRDefault="00D17CB2"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2.0%</w:t>
            </w:r>
          </w:p>
        </w:tc>
      </w:tr>
    </w:tbl>
    <w:p w14:paraId="22E542E3" w14:textId="3ECD1BB5" w:rsidR="00246A95" w:rsidRPr="007F6332" w:rsidRDefault="00246A95" w:rsidP="00246A95">
      <w:pPr>
        <w:spacing w:before="240"/>
        <w:rPr>
          <w:rFonts w:cs="Arial"/>
        </w:rPr>
      </w:pPr>
      <w:r w:rsidRPr="007F6332">
        <w:rPr>
          <w:rFonts w:cs="Arial"/>
        </w:rPr>
        <w:t xml:space="preserve">Figure 5 shows the June 2023 projections of future expected numbers of new entrants, based on the updated new entrant rate assumptions, after allowing for </w:t>
      </w:r>
      <w:r w:rsidR="002D6881" w:rsidRPr="007F6332">
        <w:rPr>
          <w:rFonts w:cs="Arial"/>
        </w:rPr>
        <w:t>Budget initiatives</w:t>
      </w:r>
      <w:r w:rsidRPr="007F6332">
        <w:rPr>
          <w:rFonts w:cs="Arial"/>
        </w:rPr>
        <w:t xml:space="preserve">, compared to the previous review. The numbers of new entrants to the Scheme </w:t>
      </w:r>
      <w:r w:rsidR="00043BF8" w:rsidRPr="007F6332">
        <w:rPr>
          <w:rFonts w:cs="Arial"/>
        </w:rPr>
        <w:t>are</w:t>
      </w:r>
      <w:r w:rsidRPr="007F6332">
        <w:rPr>
          <w:rFonts w:cs="Arial"/>
        </w:rPr>
        <w:t xml:space="preserve"> projected to be higher in the short-term</w:t>
      </w:r>
      <w:r w:rsidR="005C5EB7" w:rsidRPr="007F6332">
        <w:rPr>
          <w:rFonts w:cs="Arial"/>
        </w:rPr>
        <w:t>, over the three years 2023-24 to 2025-26</w:t>
      </w:r>
      <w:r w:rsidRPr="007F6332">
        <w:rPr>
          <w:rFonts w:cs="Arial"/>
        </w:rPr>
        <w:t>, reducing to slightly lower levels for years 2026-27 and beyond, compared to the previous review.</w:t>
      </w:r>
    </w:p>
    <w:p w14:paraId="667D0B0B" w14:textId="1CDC669D" w:rsidR="00AD5D8E" w:rsidRPr="007F6332" w:rsidRDefault="00AD5D8E" w:rsidP="00D93505">
      <w:pPr>
        <w:pStyle w:val="FiguresandTablesHeading4"/>
      </w:pPr>
      <w:r w:rsidRPr="007F6332">
        <w:t>Figure 5: Comparison of new entrant numbers to previous review</w:t>
      </w:r>
    </w:p>
    <w:p w14:paraId="5CD69151" w14:textId="1291F84F" w:rsidR="005D1CCB" w:rsidRPr="007F6332" w:rsidRDefault="00B35B0F" w:rsidP="005D1CCB">
      <w:pPr>
        <w:rPr>
          <w:rFonts w:cs="Arial"/>
        </w:rPr>
      </w:pPr>
      <w:r w:rsidRPr="007F6332">
        <w:rPr>
          <w:rFonts w:cs="Arial"/>
          <w:noProof/>
        </w:rPr>
        <w:drawing>
          <wp:inline distT="0" distB="0" distL="0" distR="0" wp14:anchorId="696B4C3F" wp14:editId="357DB2D1">
            <wp:extent cx="5857592" cy="2452153"/>
            <wp:effectExtent l="0" t="0" r="0" b="5715"/>
            <wp:docPr id="1409640515" name="Picture 6" descr="Figure 5. The figure shows number of actual new entrants to the Scheme for years ending 30 June 2018 through to 30 June 2023 and a comparison between the June 2022 projections and June 2023 projections for each year ending 30 June for the years 2023 to 2033. &#10;Figures for actual experience for years: 2018, 85,559. 2019, 117,297. 2020, 111,289. 2021, 80,973. 2022, 79,835. 2023, 86,400. &#10;Figures from June 2022 projections: 2023, 70,747. 2027, 66,048, 2033, 70,086.&#10;Figures from June 2023 projections: 2027, 65,140. 2033, 6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40515" name="Picture 6" descr="Figure 5. The figure shows number of actual new entrants to the Scheme for years ending 30 June 2018 through to 30 June 2023 and a comparison between the June 2022 projections and June 2023 projections for each year ending 30 June for the years 2023 to 2033. &#10;Figures for actual experience for years: 2018, 85,559. 2019, 117,297. 2020, 111,289. 2021, 80,973. 2022, 79,835. 2023, 86,400. &#10;Figures from June 2022 projections: 2023, 70,747. 2027, 66,048, 2033, 70,086.&#10;Figures from June 2023 projections: 2027, 65,140. 2033, 69,30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855" b="14501"/>
                    <a:stretch/>
                  </pic:blipFill>
                  <pic:spPr bwMode="auto">
                    <a:xfrm>
                      <a:off x="0" y="0"/>
                      <a:ext cx="5937371" cy="2485551"/>
                    </a:xfrm>
                    <a:prstGeom prst="rect">
                      <a:avLst/>
                    </a:prstGeom>
                    <a:noFill/>
                    <a:ln>
                      <a:noFill/>
                    </a:ln>
                    <a:extLst>
                      <a:ext uri="{53640926-AAD7-44D8-BBD7-CCE9431645EC}">
                        <a14:shadowObscured xmlns:a14="http://schemas.microsoft.com/office/drawing/2010/main"/>
                      </a:ext>
                    </a:extLst>
                  </pic:spPr>
                </pic:pic>
              </a:graphicData>
            </a:graphic>
          </wp:inline>
        </w:drawing>
      </w:r>
    </w:p>
    <w:p w14:paraId="194C133B" w14:textId="418F8E18" w:rsidR="00AD5D8E" w:rsidRPr="007F6332" w:rsidRDefault="00AD5D8E" w:rsidP="00432CC9">
      <w:pPr>
        <w:pStyle w:val="FSRHeading6"/>
        <w:rPr>
          <w:rFonts w:cs="Arial"/>
        </w:rPr>
      </w:pPr>
      <w:r w:rsidRPr="007F6332">
        <w:rPr>
          <w:rFonts w:cs="Arial"/>
        </w:rPr>
        <w:t>Participants leaving the Scheme</w:t>
      </w:r>
    </w:p>
    <w:p w14:paraId="20CC7626" w14:textId="1F0E4D95" w:rsidR="00246A95" w:rsidRPr="007F6332" w:rsidRDefault="00246A95" w:rsidP="00AD5D8E">
      <w:pPr>
        <w:pStyle w:val="FSRnormal"/>
        <w:rPr>
          <w:rFonts w:cs="Arial"/>
        </w:rPr>
      </w:pPr>
      <w:r w:rsidRPr="007F6332">
        <w:rPr>
          <w:rFonts w:cs="Arial"/>
        </w:rPr>
        <w:t>One of the Scheme’s objectives is early investment and intervention which should lead to capacity building and greater social and economic participation where support from the NDIS is no longer required. This is the primary driver for participants leaving the Scheme</w:t>
      </w:r>
      <w:r w:rsidRPr="007F6332">
        <w:rPr>
          <w:rStyle w:val="FootnoteReference"/>
          <w:rFonts w:cs="Arial"/>
        </w:rPr>
        <w:footnoteReference w:id="17"/>
      </w:r>
      <w:r w:rsidRPr="007F6332">
        <w:rPr>
          <w:rFonts w:cs="Arial"/>
        </w:rPr>
        <w:t>, with higher rates observed for children leaving the Scheme than adults. The actual overall rate of participants leaving the Scheme of 0.9% in June 2023 projections was lower than the expected rate of 1.6% assumed in the June 2022 projections.</w:t>
      </w:r>
    </w:p>
    <w:p w14:paraId="58212ABD" w14:textId="54F6521B" w:rsidR="00AD5D8E" w:rsidRPr="007F6332" w:rsidRDefault="00AD5D8E" w:rsidP="00AD5D8E">
      <w:pPr>
        <w:pStyle w:val="FSRnormal"/>
        <w:rPr>
          <w:rFonts w:cs="Arial"/>
        </w:rPr>
      </w:pPr>
      <w:r w:rsidRPr="007F6332">
        <w:rPr>
          <w:rFonts w:cs="Arial"/>
        </w:rPr>
        <w:t xml:space="preserve">The </w:t>
      </w:r>
      <w:r w:rsidR="00246A95" w:rsidRPr="007F6332">
        <w:rPr>
          <w:rFonts w:cs="Arial"/>
        </w:rPr>
        <w:t>lower-than-expected</w:t>
      </w:r>
      <w:r w:rsidRPr="007F6332">
        <w:rPr>
          <w:rFonts w:cs="Arial"/>
        </w:rPr>
        <w:t xml:space="preserve"> number of participants leaving the Scheme since June 2022, reflects a short-term shift in focus of the National Access and Reassessment Branch in 2022-23, </w:t>
      </w:r>
      <w:r w:rsidR="005C5EB7" w:rsidRPr="007F6332">
        <w:rPr>
          <w:rFonts w:cs="Arial"/>
        </w:rPr>
        <w:t xml:space="preserve">with </w:t>
      </w:r>
      <w:r w:rsidRPr="007F6332">
        <w:rPr>
          <w:rFonts w:cs="Arial"/>
        </w:rPr>
        <w:t>priority</w:t>
      </w:r>
      <w:r w:rsidR="005C5EB7" w:rsidRPr="007F6332">
        <w:rPr>
          <w:rFonts w:cs="Arial"/>
        </w:rPr>
        <w:t xml:space="preserve"> given</w:t>
      </w:r>
      <w:r w:rsidRPr="007F6332">
        <w:rPr>
          <w:rFonts w:cs="Arial"/>
        </w:rPr>
        <w:t xml:space="preserve"> to initial access decisions</w:t>
      </w:r>
      <w:r w:rsidR="005C5EB7" w:rsidRPr="007F6332">
        <w:rPr>
          <w:rFonts w:cs="Arial"/>
        </w:rPr>
        <w:t xml:space="preserve"> which </w:t>
      </w:r>
      <w:r w:rsidRPr="007F6332">
        <w:rPr>
          <w:rFonts w:cs="Arial"/>
        </w:rPr>
        <w:t xml:space="preserve">limited activity in regard to </w:t>
      </w:r>
      <w:r w:rsidRPr="007F6332">
        <w:rPr>
          <w:rFonts w:cs="Arial"/>
        </w:rPr>
        <w:lastRenderedPageBreak/>
        <w:t>eligibility reassessments for people in the Scheme. Recruitment of new staff and a recommencement of reassessments in 2023</w:t>
      </w:r>
      <w:r w:rsidR="005C5EB7" w:rsidRPr="007F6332">
        <w:rPr>
          <w:rFonts w:cs="Arial"/>
        </w:rPr>
        <w:t>-24</w:t>
      </w:r>
      <w:r w:rsidRPr="007F6332">
        <w:rPr>
          <w:rFonts w:cs="Arial"/>
        </w:rPr>
        <w:t xml:space="preserve"> is expected to increase future rates of participants leaving the Scheme. It is assumed that once operational capacity to perform eligibility reassessments has been re-established, rates of participants leaving the </w:t>
      </w:r>
      <w:r w:rsidR="00801BB4" w:rsidRPr="007F6332">
        <w:rPr>
          <w:rFonts w:cs="Arial"/>
        </w:rPr>
        <w:t>S</w:t>
      </w:r>
      <w:r w:rsidRPr="007F6332">
        <w:rPr>
          <w:rFonts w:cs="Arial"/>
        </w:rPr>
        <w:t xml:space="preserve">cheme will return to previously observed levels. The assumed rates of participants leaving the Scheme at this review include an allowance for the estimated impact of the </w:t>
      </w:r>
      <w:r w:rsidR="002D6881" w:rsidRPr="007F6332">
        <w:rPr>
          <w:rFonts w:cs="Arial"/>
        </w:rPr>
        <w:t>Budget initiatives</w:t>
      </w:r>
      <w:r w:rsidRPr="007F6332">
        <w:rPr>
          <w:rFonts w:cs="Arial"/>
        </w:rPr>
        <w:t>.</w:t>
      </w:r>
    </w:p>
    <w:p w14:paraId="0B717505" w14:textId="77777777" w:rsidR="00AD5D8E" w:rsidRPr="007F6332" w:rsidRDefault="00AD5D8E" w:rsidP="00CD33D0">
      <w:pPr>
        <w:pStyle w:val="FSRHeading2"/>
        <w:ind w:left="0" w:firstLine="0"/>
        <w:rPr>
          <w:rFonts w:cs="Arial"/>
        </w:rPr>
      </w:pPr>
      <w:r w:rsidRPr="007F6332">
        <w:rPr>
          <w:rFonts w:cs="Arial"/>
        </w:rPr>
        <w:t>Participants with Supported Independent Living</w:t>
      </w:r>
    </w:p>
    <w:p w14:paraId="1AA30AEC" w14:textId="45EEFB34" w:rsidR="00AD5D8E" w:rsidRPr="007F6332" w:rsidRDefault="00AD5D8E" w:rsidP="00AD5D8E">
      <w:pPr>
        <w:pStyle w:val="FSRnormal"/>
        <w:rPr>
          <w:rFonts w:cs="Arial"/>
        </w:rPr>
      </w:pPr>
      <w:r w:rsidRPr="007F6332">
        <w:rPr>
          <w:rFonts w:cs="Arial"/>
        </w:rPr>
        <w:t xml:space="preserve">The number of active participants at 30 June 2023 with Supported Independent Living (SIL) arrangements was 31,818, or 12% (3,507) more than expected in the previous review. This </w:t>
      </w:r>
      <w:r w:rsidR="009C3191" w:rsidRPr="007F6332">
        <w:rPr>
          <w:rFonts w:cs="Arial"/>
        </w:rPr>
        <w:t>reflects</w:t>
      </w:r>
      <w:r w:rsidRPr="007F6332">
        <w:rPr>
          <w:rFonts w:cs="Arial"/>
        </w:rPr>
        <w:t xml:space="preserve"> a </w:t>
      </w:r>
      <w:r w:rsidR="00A420E4" w:rsidRPr="007F6332">
        <w:rPr>
          <w:rFonts w:cs="Arial"/>
        </w:rPr>
        <w:t>higher-than-expected</w:t>
      </w:r>
      <w:r w:rsidRPr="007F6332">
        <w:rPr>
          <w:rFonts w:cs="Arial"/>
        </w:rPr>
        <w:t xml:space="preserve"> number of participants transitioning to SIL arrangements in 2022-23, </w:t>
      </w:r>
      <w:r w:rsidR="00F3322D" w:rsidRPr="007F6332">
        <w:rPr>
          <w:rFonts w:cs="Arial"/>
        </w:rPr>
        <w:t xml:space="preserve">which was influenced by changes in the Agency’s Home and Living (H&amp;L) application process </w:t>
      </w:r>
      <w:r w:rsidR="00A67977" w:rsidRPr="007F6332">
        <w:rPr>
          <w:rFonts w:cs="Arial"/>
        </w:rPr>
        <w:t>in 2022</w:t>
      </w:r>
      <w:r w:rsidRPr="007F6332">
        <w:rPr>
          <w:rFonts w:cs="Arial"/>
        </w:rPr>
        <w:t xml:space="preserve">. Of the total increase in participants with SIL arrangements, over and above expected, </w:t>
      </w:r>
      <w:r w:rsidR="00E41EAC" w:rsidRPr="007F6332">
        <w:rPr>
          <w:rFonts w:cs="Arial"/>
        </w:rPr>
        <w:t>63</w:t>
      </w:r>
      <w:r w:rsidRPr="007F6332">
        <w:rPr>
          <w:rFonts w:cs="Arial"/>
        </w:rPr>
        <w:t xml:space="preserve">% are participants aged 45 and above, and </w:t>
      </w:r>
      <w:r w:rsidR="009C3191" w:rsidRPr="007F6332">
        <w:rPr>
          <w:rFonts w:cs="Arial"/>
        </w:rPr>
        <w:t>53</w:t>
      </w:r>
      <w:r w:rsidRPr="007F6332">
        <w:rPr>
          <w:rFonts w:cs="Arial"/>
        </w:rPr>
        <w:t>% have a primary disability of either intellectual disability, other neurological disability, or psychosocial disability.</w:t>
      </w:r>
    </w:p>
    <w:p w14:paraId="7BE6CBDC" w14:textId="77777777" w:rsidR="00AD5D8E" w:rsidRPr="007F6332" w:rsidRDefault="00AD5D8E" w:rsidP="00AD5D8E">
      <w:pPr>
        <w:pStyle w:val="FSRnormal"/>
        <w:rPr>
          <w:rFonts w:cs="Arial"/>
        </w:rPr>
      </w:pPr>
      <w:r w:rsidRPr="007F6332">
        <w:rPr>
          <w:rFonts w:cs="Arial"/>
        </w:rPr>
        <w:t>With the significant increase in the number of participants with SIL arrangements emerging during 2022-23, together with the enhancements made to modelling of participants with SIL arrangements (detailed in Section 5.5), detailed analyses were undertaken to understand:</w:t>
      </w:r>
    </w:p>
    <w:p w14:paraId="6027A5BD" w14:textId="77777777" w:rsidR="00AD5D8E" w:rsidRPr="007F6332" w:rsidRDefault="00AD5D8E" w:rsidP="00AD5D8E">
      <w:pPr>
        <w:pStyle w:val="FSRlist"/>
        <w:rPr>
          <w:rFonts w:cs="Arial"/>
        </w:rPr>
      </w:pPr>
      <w:r w:rsidRPr="007F6332">
        <w:rPr>
          <w:rFonts w:cs="Arial"/>
        </w:rPr>
        <w:t>The composition of participants transitioning into SIL arrangements (by primary disability type, age, level of function) for the first time, based on actual experience over the past two years.</w:t>
      </w:r>
    </w:p>
    <w:p w14:paraId="6C0E365F" w14:textId="7371E86C" w:rsidR="00AD5D8E" w:rsidRPr="007F6332" w:rsidRDefault="00AD5D8E" w:rsidP="00AD5D8E">
      <w:pPr>
        <w:pStyle w:val="FSRlist"/>
        <w:rPr>
          <w:rFonts w:cs="Arial"/>
        </w:rPr>
      </w:pPr>
      <w:r w:rsidRPr="007F6332">
        <w:rPr>
          <w:rFonts w:cs="Arial"/>
        </w:rPr>
        <w:t>The number of participants expected to transition into SIL arrangements</w:t>
      </w:r>
      <w:r w:rsidR="005C5EB7" w:rsidRPr="007F6332">
        <w:rPr>
          <w:rFonts w:cs="Arial"/>
        </w:rPr>
        <w:t>,</w:t>
      </w:r>
      <w:r w:rsidRPr="007F6332">
        <w:rPr>
          <w:rFonts w:cs="Arial"/>
        </w:rPr>
        <w:t xml:space="preserve"> based on the number of Home and Living decisions for SIL eligibility as a leading indicator,</w:t>
      </w:r>
      <w:r w:rsidR="005C5EB7" w:rsidRPr="007F6332">
        <w:rPr>
          <w:rFonts w:cs="Arial"/>
        </w:rPr>
        <w:t xml:space="preserve"> and</w:t>
      </w:r>
      <w:r w:rsidRPr="007F6332">
        <w:rPr>
          <w:rFonts w:cs="Arial"/>
        </w:rPr>
        <w:t xml:space="preserve"> considering the </w:t>
      </w:r>
      <w:r w:rsidR="005C5EB7" w:rsidRPr="007F6332">
        <w:rPr>
          <w:rFonts w:cs="Arial"/>
        </w:rPr>
        <w:t xml:space="preserve">length of </w:t>
      </w:r>
      <w:r w:rsidRPr="007F6332">
        <w:rPr>
          <w:rFonts w:cs="Arial"/>
        </w:rPr>
        <w:t>time between participants receiving a SIL eligibility decision and accessing SIL supports for the first time (participants new to SIL supports)</w:t>
      </w:r>
      <w:r w:rsidR="005C5EB7" w:rsidRPr="007F6332">
        <w:rPr>
          <w:rFonts w:cs="Arial"/>
        </w:rPr>
        <w:t>, which</w:t>
      </w:r>
      <w:r w:rsidRPr="007F6332">
        <w:rPr>
          <w:rFonts w:cs="Arial"/>
        </w:rPr>
        <w:t xml:space="preserve"> on average tak</w:t>
      </w:r>
      <w:r w:rsidR="005C5EB7" w:rsidRPr="007F6332">
        <w:rPr>
          <w:rFonts w:cs="Arial"/>
        </w:rPr>
        <w:t>es</w:t>
      </w:r>
      <w:r w:rsidRPr="007F6332">
        <w:rPr>
          <w:rFonts w:cs="Arial"/>
        </w:rPr>
        <w:t xml:space="preserve"> six months (Figure 6).</w:t>
      </w:r>
    </w:p>
    <w:p w14:paraId="422B89B9" w14:textId="77777777" w:rsidR="004B0DE9" w:rsidRPr="007F6332" w:rsidRDefault="004B0DE9" w:rsidP="004B0DE9">
      <w:pPr>
        <w:pStyle w:val="FSRlist"/>
        <w:numPr>
          <w:ilvl w:val="0"/>
          <w:numId w:val="0"/>
        </w:numPr>
        <w:ind w:left="720"/>
        <w:rPr>
          <w:rFonts w:cs="Arial"/>
        </w:rPr>
        <w:sectPr w:rsidR="004B0DE9" w:rsidRPr="007F6332" w:rsidSect="009D3223">
          <w:pgSz w:w="11906" w:h="16838"/>
          <w:pgMar w:top="1440" w:right="1558" w:bottom="1440" w:left="1440" w:header="708" w:footer="737" w:gutter="0"/>
          <w:cols w:space="708"/>
          <w:titlePg/>
          <w:docGrid w:linePitch="360"/>
        </w:sectPr>
      </w:pPr>
    </w:p>
    <w:p w14:paraId="63A9338F" w14:textId="40E27734" w:rsidR="00A6518C" w:rsidRPr="007F6332" w:rsidRDefault="00A6518C" w:rsidP="00D93505">
      <w:pPr>
        <w:pStyle w:val="FiguresandTablesHeading4"/>
        <w:rPr>
          <w:noProof/>
        </w:rPr>
      </w:pPr>
      <w:bookmarkStart w:id="7" w:name="_Hlk151701151"/>
      <w:r w:rsidRPr="007F6332">
        <w:lastRenderedPageBreak/>
        <w:t>Figure 6: Home and Living decisions for SIL eligibility, and number of participants new to SIL supports</w:t>
      </w:r>
    </w:p>
    <w:p w14:paraId="10FD923D" w14:textId="1CA0EF02" w:rsidR="00AD5D8E" w:rsidRPr="007F6332" w:rsidRDefault="00E56A04" w:rsidP="00B50353">
      <w:pPr>
        <w:pStyle w:val="FSRnormal"/>
        <w:rPr>
          <w:rFonts w:cs="Arial"/>
        </w:rPr>
      </w:pPr>
      <w:r w:rsidRPr="007F6332">
        <w:rPr>
          <w:rFonts w:cs="Arial"/>
          <w:noProof/>
        </w:rPr>
        <w:drawing>
          <wp:inline distT="0" distB="0" distL="0" distR="0" wp14:anchorId="3B94372C" wp14:editId="7C5E32A7">
            <wp:extent cx="5781949" cy="3598102"/>
            <wp:effectExtent l="0" t="0" r="0" b="2540"/>
            <wp:docPr id="1625644474" name="Picture 12" descr="Figure 6. Home and Living decisions for SIL eligibility, and number of participants new to SIL supports. The figure shows monthly number of participants identified as receiving SIL supports for the first time (participants new to SIL) and monthly numbers of decisions made that a participant is eligible for SIL supports for the first time. Monthly numbers are shown for July 2021 to June 2023 inclusive.&#10;The monthly number of first eligible decisions is 221 in July 2021, follows a broadly increasing trend to reach a peak of 843 in July 2022, and then reduces to 352 in June 2023. The monthly number of participants new to SIL is 241 in July 2021, follows a broadly increasing trend to reach a peak of 842 in November 2022 and 838 in January 2023, and then reduces to 299 in June 2023. An arrow indicates there is an approximate 6-month lag between eligible decisions for SIL and participants being identified as receiving SIL suppor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44474" name="Picture 12" descr="Figure 6. Home and Living decisions for SIL eligibility, and number of participants new to SIL supports. The figure shows monthly number of participants identified as receiving SIL supports for the first time (participants new to SIL) and monthly numbers of decisions made that a participant is eligible for SIL supports for the first time. Monthly numbers are shown for July 2021 to June 2023 inclusive.&#10;The monthly number of first eligible decisions is 221 in July 2021, follows a broadly increasing trend to reach a peak of 843 in July 2022, and then reduces to 352 in June 2023. The monthly number of participants new to SIL is 241 in July 2021, follows a broadly increasing trend to reach a peak of 842 in November 2022 and 838 in January 2023, and then reduces to 299 in June 2023. An arrow indicates there is an approximate 6-month lag between eligible decisions for SIL and participants being identified as receiving SIL supports.&#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1949" cy="3598102"/>
                    </a:xfrm>
                    <a:prstGeom prst="rect">
                      <a:avLst/>
                    </a:prstGeom>
                    <a:noFill/>
                  </pic:spPr>
                </pic:pic>
              </a:graphicData>
            </a:graphic>
          </wp:inline>
        </w:drawing>
      </w:r>
      <w:bookmarkEnd w:id="7"/>
      <w:r w:rsidR="00AD5D8E" w:rsidRPr="007F6332">
        <w:rPr>
          <w:rFonts w:cs="Arial"/>
        </w:rPr>
        <w:t xml:space="preserve">Transition rates for participants new to SIL supports were assumed to reduce </w:t>
      </w:r>
      <w:r w:rsidR="009C3191" w:rsidRPr="007F6332">
        <w:rPr>
          <w:rFonts w:cs="Arial"/>
        </w:rPr>
        <w:t xml:space="preserve">over the next four years </w:t>
      </w:r>
      <w:r w:rsidR="00AD5D8E" w:rsidRPr="007F6332">
        <w:rPr>
          <w:rFonts w:cs="Arial"/>
        </w:rPr>
        <w:t xml:space="preserve">from the current level of 2.2% (of participants aged 15+ not in SIL arrangements) experienced for the twelve months ending 30 June 2023, before reaching a long-term steady rate of transition into SIL of 0.6% </w:t>
      </w:r>
      <w:r w:rsidR="00801BB4" w:rsidRPr="007F6332">
        <w:rPr>
          <w:rFonts w:cs="Arial"/>
        </w:rPr>
        <w:t xml:space="preserve">for the financial year ending </w:t>
      </w:r>
      <w:r w:rsidR="00AD5D8E" w:rsidRPr="007F6332">
        <w:rPr>
          <w:rFonts w:cs="Arial"/>
        </w:rPr>
        <w:t>30 June 202</w:t>
      </w:r>
      <w:r w:rsidR="00801BB4" w:rsidRPr="007F6332">
        <w:rPr>
          <w:rFonts w:cs="Arial"/>
        </w:rPr>
        <w:t>7</w:t>
      </w:r>
      <w:r w:rsidR="00AD5D8E" w:rsidRPr="007F6332">
        <w:rPr>
          <w:rFonts w:cs="Arial"/>
        </w:rPr>
        <w:t xml:space="preserve">. This is equivalent to approximately 2,500 participants per annum, transitioning into SIL for the first time from 2026-27 onwards before allowing for any form of leaving the Scheme. </w:t>
      </w:r>
    </w:p>
    <w:p w14:paraId="6ADFE65B" w14:textId="39E688C2" w:rsidR="00AD5D8E" w:rsidRPr="007F6332" w:rsidRDefault="00AD5D8E" w:rsidP="00AD5D8E">
      <w:pPr>
        <w:pStyle w:val="FSRnormal"/>
        <w:rPr>
          <w:rFonts w:cs="Arial"/>
        </w:rPr>
      </w:pPr>
      <w:bookmarkStart w:id="8" w:name="_Hlk151701263"/>
      <w:r w:rsidRPr="007F6332">
        <w:rPr>
          <w:rFonts w:cs="Arial"/>
        </w:rPr>
        <w:t xml:space="preserve">Figure 7 shows the projection of number of participants with SIL arrangements, both before and after factoring in </w:t>
      </w:r>
      <w:r w:rsidR="002D6881" w:rsidRPr="007F6332">
        <w:rPr>
          <w:rFonts w:cs="Arial"/>
        </w:rPr>
        <w:t>Budget initiatives</w:t>
      </w:r>
      <w:r w:rsidRPr="007F6332">
        <w:rPr>
          <w:rFonts w:cs="Arial"/>
        </w:rPr>
        <w:t>, compared to the previous review. The projected number of participants with SIL arrangements, reflects a higher number of participants having moved into SIL arrangements in 2022-23, and the expectation of a reduction</w:t>
      </w:r>
      <w:r w:rsidR="009C3191" w:rsidRPr="007F6332">
        <w:rPr>
          <w:rFonts w:cs="Arial"/>
        </w:rPr>
        <w:t xml:space="preserve"> in the transition rates</w:t>
      </w:r>
      <w:r w:rsidRPr="007F6332">
        <w:rPr>
          <w:rFonts w:cs="Arial"/>
        </w:rPr>
        <w:t xml:space="preserve"> over the </w:t>
      </w:r>
      <w:r w:rsidR="009C3191" w:rsidRPr="007F6332">
        <w:rPr>
          <w:rFonts w:cs="Arial"/>
        </w:rPr>
        <w:t xml:space="preserve">following four years </w:t>
      </w:r>
      <w:r w:rsidRPr="007F6332">
        <w:rPr>
          <w:rFonts w:cs="Arial"/>
        </w:rPr>
        <w:t xml:space="preserve">before </w:t>
      </w:r>
      <w:r w:rsidR="009C3191" w:rsidRPr="007F6332">
        <w:rPr>
          <w:rFonts w:cs="Arial"/>
        </w:rPr>
        <w:t xml:space="preserve">reaching </w:t>
      </w:r>
      <w:r w:rsidRPr="007F6332">
        <w:rPr>
          <w:rFonts w:cs="Arial"/>
        </w:rPr>
        <w:t xml:space="preserve">the long-term level </w:t>
      </w:r>
      <w:r w:rsidR="009C3191" w:rsidRPr="007F6332">
        <w:rPr>
          <w:rFonts w:cs="Arial"/>
        </w:rPr>
        <w:t xml:space="preserve">of transitions </w:t>
      </w:r>
      <w:r w:rsidR="00801BB4" w:rsidRPr="007F6332">
        <w:rPr>
          <w:rFonts w:cs="Arial"/>
        </w:rPr>
        <w:t>in financial year 2026-27</w:t>
      </w:r>
      <w:r w:rsidRPr="007F6332">
        <w:rPr>
          <w:rFonts w:cs="Arial"/>
        </w:rPr>
        <w:t>.</w:t>
      </w:r>
    </w:p>
    <w:p w14:paraId="451C1CDD" w14:textId="77777777" w:rsidR="009D3223" w:rsidRPr="007F6332" w:rsidRDefault="009D3223" w:rsidP="00AD5D8E">
      <w:pPr>
        <w:pStyle w:val="FSRnormal"/>
        <w:rPr>
          <w:rFonts w:cs="Arial"/>
        </w:rPr>
        <w:sectPr w:rsidR="009D3223" w:rsidRPr="007F6332" w:rsidSect="009D3223">
          <w:pgSz w:w="11906" w:h="16838"/>
          <w:pgMar w:top="1440" w:right="1558" w:bottom="1440" w:left="1440" w:header="708" w:footer="737" w:gutter="0"/>
          <w:cols w:space="708"/>
          <w:titlePg/>
          <w:docGrid w:linePitch="360"/>
        </w:sectPr>
      </w:pPr>
    </w:p>
    <w:bookmarkEnd w:id="8"/>
    <w:p w14:paraId="2A9513BE" w14:textId="5559AAEB" w:rsidR="00AD5D8E" w:rsidRPr="007F6332" w:rsidRDefault="00AD5D8E" w:rsidP="00D93505">
      <w:pPr>
        <w:pStyle w:val="FiguresandTablesHeading4"/>
        <w:rPr>
          <w:rStyle w:val="Heading7Char"/>
          <w:rFonts w:cs="Arial"/>
          <w:b/>
          <w:bCs/>
        </w:rPr>
      </w:pPr>
      <w:r w:rsidRPr="007F6332">
        <w:rPr>
          <w:rStyle w:val="TablesChar"/>
          <w:b/>
          <w:bCs w:val="0"/>
        </w:rPr>
        <w:lastRenderedPageBreak/>
        <w:t>Figure 7</w:t>
      </w:r>
      <w:r w:rsidRPr="007F6332">
        <w:rPr>
          <w:rStyle w:val="Heading7Char"/>
          <w:rFonts w:cs="Arial"/>
          <w:b/>
          <w:bCs/>
        </w:rPr>
        <w:t>: Comparison of number of participants with SIL to previous review</w:t>
      </w:r>
      <w:r w:rsidR="00801BB4" w:rsidRPr="007F6332">
        <w:rPr>
          <w:rStyle w:val="Heading7Char"/>
          <w:rFonts w:cs="Arial"/>
          <w:b/>
          <w:bCs/>
        </w:rPr>
        <w:t>, at 30 June</w:t>
      </w:r>
    </w:p>
    <w:p w14:paraId="483D847E" w14:textId="6FD8037D" w:rsidR="00A31F7C" w:rsidRPr="007F6332" w:rsidRDefault="00A31F7C" w:rsidP="00536741">
      <w:pPr>
        <w:rPr>
          <w:rFonts w:cs="Arial"/>
        </w:rPr>
      </w:pPr>
      <w:r w:rsidRPr="007F6332">
        <w:rPr>
          <w:rFonts w:cs="Arial"/>
          <w:noProof/>
        </w:rPr>
        <w:drawing>
          <wp:inline distT="0" distB="0" distL="0" distR="0" wp14:anchorId="3F86E3B3" wp14:editId="2FC81398">
            <wp:extent cx="5566410" cy="2976880"/>
            <wp:effectExtent l="0" t="0" r="0" b="0"/>
            <wp:docPr id="921472531" name="Picture 2" descr="This figure shows the projection of number of participants with SIL arrangements, both before and after factoring in Budget initiatives, compared to actual experience for years 2020 to 2023, and June 2022 projections for years 2023 to 2023.&#10;Actual number of participants years 2020 to 2023&#10;2020 total, 24,119. 2021 total, 24,542. 2022 total, 26,950. 2023 total, 31,818.&#10;June 2022 projections years 2023 to 2033&#10;2023 total, 28,311. 2027 total, 33,778. 2033 total, 43,673.&#10;June 2023 projections before Budget initiatives years 2024 to 2033&#10;2027 total, 42,393. 2033 total, 54,060.&#10;June 2023 projections after Budget initiatives years 2024 to 2033&#10;2027 total, 41,037. 2033 total, 5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72531" name="Picture 2" descr="This figure shows the projection of number of participants with SIL arrangements, both before and after factoring in Budget initiatives, compared to actual experience for years 2020 to 2023, and June 2022 projections for years 2023 to 2023.&#10;Actual number of participants years 2020 to 2023&#10;2020 total, 24,119. 2021 total, 24,542. 2022 total, 26,950. 2023 total, 31,818.&#10;June 2022 projections years 2023 to 2033&#10;2023 total, 28,311. 2027 total, 33,778. 2033 total, 43,673.&#10;June 2023 projections before Budget initiatives years 2024 to 2033&#10;2027 total, 42,393. 2033 total, 54,060.&#10;June 2023 projections after Budget initiatives years 2024 to 2033&#10;2027 total, 41,037. 2033 total, 50,2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66410" cy="2976880"/>
                    </a:xfrm>
                    <a:prstGeom prst="rect">
                      <a:avLst/>
                    </a:prstGeom>
                    <a:noFill/>
                    <a:ln>
                      <a:noFill/>
                    </a:ln>
                  </pic:spPr>
                </pic:pic>
              </a:graphicData>
            </a:graphic>
          </wp:inline>
        </w:drawing>
      </w:r>
    </w:p>
    <w:p w14:paraId="41F7986E" w14:textId="1CD141B7" w:rsidR="00AD5D8E" w:rsidRPr="007F6332" w:rsidRDefault="00AD5D8E" w:rsidP="00D93505">
      <w:pPr>
        <w:pStyle w:val="FSRHeading2"/>
      </w:pPr>
      <w:r w:rsidRPr="007F6332">
        <w:rPr>
          <w:rFonts w:cs="Arial"/>
        </w:rPr>
        <w:t>Participant payments experience in 2022-23</w:t>
      </w:r>
    </w:p>
    <w:p w14:paraId="3C9225F7" w14:textId="77777777" w:rsidR="00246A95" w:rsidRPr="007F6332" w:rsidRDefault="00246A95" w:rsidP="00AD5D8E">
      <w:pPr>
        <w:pStyle w:val="FSRnormal"/>
        <w:rPr>
          <w:rFonts w:cs="Arial"/>
        </w:rPr>
      </w:pPr>
      <w:r w:rsidRPr="007F6332">
        <w:rPr>
          <w:rFonts w:cs="Arial"/>
        </w:rPr>
        <w:t>From 1 July 2022 to 30 June 2023, $34.7 billion Scheme expenses</w:t>
      </w:r>
      <w:r w:rsidRPr="007F6332">
        <w:rPr>
          <w:rStyle w:val="FootnoteReference"/>
          <w:rFonts w:cs="Arial"/>
        </w:rPr>
        <w:footnoteReference w:id="18"/>
      </w:r>
      <w:r w:rsidRPr="007F6332">
        <w:rPr>
          <w:rFonts w:cs="Arial"/>
        </w:rPr>
        <w:t xml:space="preserve"> were made on a cash basis. This was $1.2 billion or 3.4% higher than the 2022-23 estimate of $33.5 billion in the June 2022 projections. Scheme expenses on an accrual basis were $35.1 billion, 3.2% higher than the 2022-23 estimate of $34.0 billion in the June 2022 projections but in line with the December 2022 projections. </w:t>
      </w:r>
    </w:p>
    <w:p w14:paraId="4C945437" w14:textId="0B6F0151" w:rsidR="00AD5D8E" w:rsidRPr="007F6332" w:rsidRDefault="00AD5D8E" w:rsidP="00AD5D8E">
      <w:pPr>
        <w:pStyle w:val="FSRnormal"/>
        <w:rPr>
          <w:rFonts w:cs="Arial"/>
        </w:rPr>
      </w:pPr>
      <w:r w:rsidRPr="007F6332">
        <w:rPr>
          <w:rFonts w:cs="Arial"/>
        </w:rPr>
        <w:t xml:space="preserve">Variance in payments over the twelve months ending 30 June 2023, was driven by a </w:t>
      </w:r>
      <w:r w:rsidR="00A81BAF" w:rsidRPr="007F6332">
        <w:rPr>
          <w:rFonts w:cs="Arial"/>
        </w:rPr>
        <w:t>higher-than-expected</w:t>
      </w:r>
      <w:r w:rsidRPr="007F6332">
        <w:rPr>
          <w:rFonts w:cs="Arial"/>
        </w:rPr>
        <w:t xml:space="preserve"> total number of participants in the Scheme, combined with a significant increase in number of participants transitioning into SIL arrangements. Participants with SIL arrangements having a relatively higher need for supports, resulted in increased payments per participant, compared to participants not in SIL arrangements.</w:t>
      </w:r>
    </w:p>
    <w:p w14:paraId="716FA243" w14:textId="693F1F78" w:rsidR="00AD5D8E" w:rsidRPr="007F6332" w:rsidRDefault="00AD5D8E" w:rsidP="00AD5D8E">
      <w:pPr>
        <w:pStyle w:val="FSRnormal"/>
        <w:rPr>
          <w:rFonts w:cs="Arial"/>
        </w:rPr>
      </w:pPr>
      <w:r w:rsidRPr="007F6332">
        <w:rPr>
          <w:rFonts w:cs="Arial"/>
        </w:rPr>
        <w:t>Table 7 shows the variance in payments over the twelve months to 30 June 2023, for participants with SIL arrangements and those not in SIL arrangements. The payment variance for participants with SIL arrangements is $1.1 billion, or 10.9% higher than expected.</w:t>
      </w:r>
    </w:p>
    <w:p w14:paraId="415DF942" w14:textId="77777777" w:rsidR="009A3BB7" w:rsidRPr="007F6332" w:rsidRDefault="009A3BB7" w:rsidP="00AD5D8E">
      <w:pPr>
        <w:pStyle w:val="FSRnormal"/>
        <w:rPr>
          <w:rFonts w:cs="Arial"/>
        </w:rPr>
        <w:sectPr w:rsidR="009A3BB7" w:rsidRPr="007F6332" w:rsidSect="00CE7E91">
          <w:pgSz w:w="11906" w:h="16838"/>
          <w:pgMar w:top="1440" w:right="1700" w:bottom="1440" w:left="1440" w:header="708" w:footer="737" w:gutter="0"/>
          <w:cols w:space="708"/>
          <w:titlePg/>
          <w:docGrid w:linePitch="360"/>
        </w:sectPr>
      </w:pPr>
    </w:p>
    <w:p w14:paraId="62B0CDD6" w14:textId="77777777" w:rsidR="00AD5D8E" w:rsidRPr="007F6332" w:rsidRDefault="00AD5D8E" w:rsidP="00D93505">
      <w:pPr>
        <w:pStyle w:val="FiguresandTablesHeading4"/>
      </w:pPr>
      <w:r w:rsidRPr="007F6332">
        <w:rPr>
          <w:rStyle w:val="Heading7Char"/>
          <w:rFonts w:cs="Arial"/>
          <w:b/>
          <w:iCs/>
        </w:rPr>
        <w:lastRenderedPageBreak/>
        <w:t>Table 7: Variance in total Scheme expenses for 2022-23, split for participants in (and not in) SIL arrangement</w:t>
      </w:r>
      <w:r w:rsidRPr="007F6332">
        <w:t>s</w:t>
      </w:r>
    </w:p>
    <w:tbl>
      <w:tblPr>
        <w:tblStyle w:val="FSRtable"/>
        <w:tblW w:w="9067" w:type="dxa"/>
        <w:tblInd w:w="5" w:type="dxa"/>
        <w:tblLook w:val="04A0" w:firstRow="1" w:lastRow="0" w:firstColumn="1" w:lastColumn="0" w:noHBand="0" w:noVBand="1"/>
      </w:tblPr>
      <w:tblGrid>
        <w:gridCol w:w="2883"/>
        <w:gridCol w:w="1546"/>
        <w:gridCol w:w="1546"/>
        <w:gridCol w:w="1546"/>
        <w:gridCol w:w="1546"/>
      </w:tblGrid>
      <w:tr w:rsidR="00AD5D8E" w:rsidRPr="007F6332" w14:paraId="39EC261C" w14:textId="77777777" w:rsidTr="00875C1F">
        <w:trPr>
          <w:cnfStyle w:val="100000000000" w:firstRow="1" w:lastRow="0" w:firstColumn="0" w:lastColumn="0" w:oddVBand="0" w:evenVBand="0" w:oddHBand="0" w:evenHBand="0" w:firstRowFirstColumn="0" w:firstRowLastColumn="0" w:lastRowFirstColumn="0" w:lastRowLastColumn="0"/>
          <w:trHeight w:hRule="exact" w:val="615"/>
        </w:trPr>
        <w:tc>
          <w:tcPr>
            <w:cnfStyle w:val="001000000000" w:firstRow="0" w:lastRow="0" w:firstColumn="1" w:lastColumn="0" w:oddVBand="0" w:evenVBand="0" w:oddHBand="0" w:evenHBand="0" w:firstRowFirstColumn="0" w:firstRowLastColumn="0" w:lastRowFirstColumn="0" w:lastRowLastColumn="0"/>
            <w:tcW w:w="2883" w:type="dxa"/>
            <w:tcBorders>
              <w:top w:val="single" w:sz="4" w:space="0" w:color="auto"/>
              <w:bottom w:val="nil"/>
            </w:tcBorders>
          </w:tcPr>
          <w:p w14:paraId="33D5815B" w14:textId="77777777" w:rsidR="00AD5D8E" w:rsidRPr="007F6332" w:rsidRDefault="00AD5D8E" w:rsidP="00875C1F">
            <w:pPr>
              <w:pStyle w:val="FSRnormal"/>
              <w:spacing w:before="0"/>
              <w:rPr>
                <w:szCs w:val="21"/>
              </w:rPr>
            </w:pPr>
            <w:r w:rsidRPr="007F6332">
              <w:rPr>
                <w:szCs w:val="21"/>
              </w:rPr>
              <w:t>Participant Cohort</w:t>
            </w:r>
          </w:p>
        </w:tc>
        <w:tc>
          <w:tcPr>
            <w:tcW w:w="1546" w:type="dxa"/>
            <w:tcBorders>
              <w:top w:val="single" w:sz="4" w:space="0" w:color="auto"/>
              <w:bottom w:val="nil"/>
            </w:tcBorders>
          </w:tcPr>
          <w:p w14:paraId="20D04824" w14:textId="77777777" w:rsidR="00AD5D8E" w:rsidRPr="007F6332" w:rsidRDefault="00AD5D8E" w:rsidP="00875C1F">
            <w:pPr>
              <w:pStyle w:val="FSRnormal"/>
              <w:spacing w:before="0"/>
              <w:jc w:val="center"/>
              <w:cnfStyle w:val="100000000000" w:firstRow="1" w:lastRow="0" w:firstColumn="0" w:lastColumn="0" w:oddVBand="0" w:evenVBand="0" w:oddHBand="0" w:evenHBand="0" w:firstRowFirstColumn="0" w:firstRowLastColumn="0" w:lastRowFirstColumn="0" w:lastRowLastColumn="0"/>
              <w:rPr>
                <w:szCs w:val="21"/>
              </w:rPr>
            </w:pPr>
            <w:r w:rsidRPr="007F6332">
              <w:rPr>
                <w:szCs w:val="21"/>
              </w:rPr>
              <w:t>Actual ($m)</w:t>
            </w:r>
          </w:p>
        </w:tc>
        <w:tc>
          <w:tcPr>
            <w:tcW w:w="1546" w:type="dxa"/>
            <w:tcBorders>
              <w:top w:val="single" w:sz="4" w:space="0" w:color="auto"/>
              <w:bottom w:val="nil"/>
            </w:tcBorders>
          </w:tcPr>
          <w:p w14:paraId="716C5CE0" w14:textId="77777777" w:rsidR="00AD5D8E" w:rsidRPr="007F6332" w:rsidRDefault="00AD5D8E" w:rsidP="00875C1F">
            <w:pPr>
              <w:pStyle w:val="FSRnormal"/>
              <w:spacing w:before="0"/>
              <w:jc w:val="center"/>
              <w:cnfStyle w:val="100000000000" w:firstRow="1" w:lastRow="0" w:firstColumn="0" w:lastColumn="0" w:oddVBand="0" w:evenVBand="0" w:oddHBand="0" w:evenHBand="0" w:firstRowFirstColumn="0" w:firstRowLastColumn="0" w:lastRowFirstColumn="0" w:lastRowLastColumn="0"/>
              <w:rPr>
                <w:b w:val="0"/>
                <w:szCs w:val="21"/>
              </w:rPr>
            </w:pPr>
            <w:r w:rsidRPr="007F6332">
              <w:rPr>
                <w:szCs w:val="21"/>
              </w:rPr>
              <w:t>Expected</w:t>
            </w:r>
          </w:p>
          <w:p w14:paraId="6533E85F" w14:textId="77777777" w:rsidR="00AD5D8E" w:rsidRPr="007F6332" w:rsidRDefault="00AD5D8E" w:rsidP="00875C1F">
            <w:pPr>
              <w:pStyle w:val="FSRnormal"/>
              <w:spacing w:before="0"/>
              <w:jc w:val="center"/>
              <w:cnfStyle w:val="100000000000" w:firstRow="1" w:lastRow="0" w:firstColumn="0" w:lastColumn="0" w:oddVBand="0" w:evenVBand="0" w:oddHBand="0" w:evenHBand="0" w:firstRowFirstColumn="0" w:firstRowLastColumn="0" w:lastRowFirstColumn="0" w:lastRowLastColumn="0"/>
              <w:rPr>
                <w:szCs w:val="21"/>
              </w:rPr>
            </w:pPr>
            <w:r w:rsidRPr="007F6332">
              <w:rPr>
                <w:szCs w:val="21"/>
              </w:rPr>
              <w:t>($m)</w:t>
            </w:r>
          </w:p>
        </w:tc>
        <w:tc>
          <w:tcPr>
            <w:tcW w:w="1546" w:type="dxa"/>
            <w:tcBorders>
              <w:top w:val="single" w:sz="4" w:space="0" w:color="auto"/>
              <w:bottom w:val="nil"/>
            </w:tcBorders>
          </w:tcPr>
          <w:p w14:paraId="13666D0A" w14:textId="77777777" w:rsidR="00AD5D8E" w:rsidRPr="007F6332" w:rsidRDefault="00AD5D8E" w:rsidP="00875C1F">
            <w:pPr>
              <w:pStyle w:val="FSRnormal"/>
              <w:spacing w:before="0"/>
              <w:jc w:val="center"/>
              <w:cnfStyle w:val="100000000000" w:firstRow="1" w:lastRow="0" w:firstColumn="0" w:lastColumn="0" w:oddVBand="0" w:evenVBand="0" w:oddHBand="0" w:evenHBand="0" w:firstRowFirstColumn="0" w:firstRowLastColumn="0" w:lastRowFirstColumn="0" w:lastRowLastColumn="0"/>
              <w:rPr>
                <w:szCs w:val="21"/>
              </w:rPr>
            </w:pPr>
            <w:r w:rsidRPr="007F6332">
              <w:rPr>
                <w:szCs w:val="21"/>
              </w:rPr>
              <w:t>Difference ($m)</w:t>
            </w:r>
          </w:p>
        </w:tc>
        <w:tc>
          <w:tcPr>
            <w:tcW w:w="1546" w:type="dxa"/>
            <w:tcBorders>
              <w:top w:val="single" w:sz="4" w:space="0" w:color="auto"/>
              <w:bottom w:val="nil"/>
            </w:tcBorders>
          </w:tcPr>
          <w:p w14:paraId="5B71DB05" w14:textId="77777777" w:rsidR="00AD5D8E" w:rsidRPr="007F6332" w:rsidRDefault="00AD5D8E" w:rsidP="00875C1F">
            <w:pPr>
              <w:pStyle w:val="FSRnormal"/>
              <w:spacing w:before="0"/>
              <w:jc w:val="center"/>
              <w:cnfStyle w:val="100000000000" w:firstRow="1" w:lastRow="0" w:firstColumn="0" w:lastColumn="0" w:oddVBand="0" w:evenVBand="0" w:oddHBand="0" w:evenHBand="0" w:firstRowFirstColumn="0" w:firstRowLastColumn="0" w:lastRowFirstColumn="0" w:lastRowLastColumn="0"/>
              <w:rPr>
                <w:szCs w:val="21"/>
              </w:rPr>
            </w:pPr>
            <w:r w:rsidRPr="007F6332">
              <w:rPr>
                <w:szCs w:val="21"/>
              </w:rPr>
              <w:t>Difference (%)</w:t>
            </w:r>
          </w:p>
        </w:tc>
      </w:tr>
      <w:tr w:rsidR="00AD5D8E" w:rsidRPr="007F6332" w14:paraId="5B71FB66" w14:textId="77777777" w:rsidTr="00DB2F6C">
        <w:trPr>
          <w:trHeight w:hRule="exact" w:val="552"/>
        </w:trPr>
        <w:tc>
          <w:tcPr>
            <w:cnfStyle w:val="001000000000" w:firstRow="0" w:lastRow="0" w:firstColumn="1" w:lastColumn="0" w:oddVBand="0" w:evenVBand="0" w:oddHBand="0" w:evenHBand="0" w:firstRowFirstColumn="0" w:firstRowLastColumn="0" w:lastRowFirstColumn="0" w:lastRowLastColumn="0"/>
            <w:tcW w:w="2883" w:type="dxa"/>
            <w:tcBorders>
              <w:top w:val="nil"/>
              <w:bottom w:val="nil"/>
            </w:tcBorders>
          </w:tcPr>
          <w:p w14:paraId="337ECB1A" w14:textId="77777777" w:rsidR="00AD5D8E" w:rsidRPr="007F6332" w:rsidRDefault="00AD5D8E" w:rsidP="00875C1F">
            <w:pPr>
              <w:pStyle w:val="FSRnormal"/>
              <w:spacing w:before="0"/>
              <w:rPr>
                <w:rFonts w:cs="Arial"/>
                <w:szCs w:val="21"/>
              </w:rPr>
            </w:pPr>
            <w:r w:rsidRPr="007F6332">
              <w:rPr>
                <w:rFonts w:cs="Arial"/>
                <w:szCs w:val="21"/>
              </w:rPr>
              <w:t>Participants with SIL arrangements</w:t>
            </w:r>
          </w:p>
        </w:tc>
        <w:tc>
          <w:tcPr>
            <w:tcW w:w="1546" w:type="dxa"/>
            <w:tcBorders>
              <w:top w:val="nil"/>
              <w:bottom w:val="nil"/>
            </w:tcBorders>
          </w:tcPr>
          <w:p w14:paraId="22427080" w14:textId="77777777" w:rsidR="00AD5D8E" w:rsidRPr="007F6332" w:rsidRDefault="00AD5D8E" w:rsidP="00875C1F">
            <w:pPr>
              <w:pStyle w:val="FSRnormal"/>
              <w:spacing w:before="0"/>
              <w:jc w:val="center"/>
              <w:cnfStyle w:val="000000000000" w:firstRow="0" w:lastRow="0" w:firstColumn="0" w:lastColumn="0" w:oddVBand="0" w:evenVBand="0" w:oddHBand="0" w:evenHBand="0" w:firstRowFirstColumn="0" w:firstRowLastColumn="0" w:lastRowFirstColumn="0" w:lastRowLastColumn="0"/>
              <w:rPr>
                <w:rFonts w:cs="Arial"/>
                <w:szCs w:val="21"/>
              </w:rPr>
            </w:pPr>
            <w:r w:rsidRPr="007F6332">
              <w:rPr>
                <w:rFonts w:cs="Arial"/>
                <w:szCs w:val="21"/>
              </w:rPr>
              <w:t>11,481</w:t>
            </w:r>
          </w:p>
        </w:tc>
        <w:tc>
          <w:tcPr>
            <w:tcW w:w="1546" w:type="dxa"/>
            <w:tcBorders>
              <w:top w:val="nil"/>
              <w:bottom w:val="nil"/>
            </w:tcBorders>
          </w:tcPr>
          <w:p w14:paraId="69E29FFC" w14:textId="77777777" w:rsidR="00AD5D8E" w:rsidRPr="007F6332" w:rsidRDefault="00AD5D8E" w:rsidP="00875C1F">
            <w:pPr>
              <w:pStyle w:val="FSRnormal"/>
              <w:spacing w:before="0"/>
              <w:jc w:val="center"/>
              <w:cnfStyle w:val="000000000000" w:firstRow="0" w:lastRow="0" w:firstColumn="0" w:lastColumn="0" w:oddVBand="0" w:evenVBand="0" w:oddHBand="0" w:evenHBand="0" w:firstRowFirstColumn="0" w:firstRowLastColumn="0" w:lastRowFirstColumn="0" w:lastRowLastColumn="0"/>
              <w:rPr>
                <w:rFonts w:cs="Arial"/>
                <w:szCs w:val="21"/>
              </w:rPr>
            </w:pPr>
            <w:r w:rsidRPr="007F6332">
              <w:rPr>
                <w:rFonts w:cs="Arial"/>
                <w:szCs w:val="21"/>
              </w:rPr>
              <w:t>10,350</w:t>
            </w:r>
          </w:p>
        </w:tc>
        <w:tc>
          <w:tcPr>
            <w:tcW w:w="1546" w:type="dxa"/>
            <w:tcBorders>
              <w:top w:val="nil"/>
              <w:bottom w:val="nil"/>
            </w:tcBorders>
          </w:tcPr>
          <w:p w14:paraId="36207D4F" w14:textId="77777777" w:rsidR="00AD5D8E" w:rsidRPr="007F6332" w:rsidRDefault="00AD5D8E" w:rsidP="00875C1F">
            <w:pPr>
              <w:pStyle w:val="FSRnormal"/>
              <w:spacing w:before="0"/>
              <w:jc w:val="center"/>
              <w:cnfStyle w:val="000000000000" w:firstRow="0" w:lastRow="0" w:firstColumn="0" w:lastColumn="0" w:oddVBand="0" w:evenVBand="0" w:oddHBand="0" w:evenHBand="0" w:firstRowFirstColumn="0" w:firstRowLastColumn="0" w:lastRowFirstColumn="0" w:lastRowLastColumn="0"/>
              <w:rPr>
                <w:rFonts w:cs="Arial"/>
                <w:szCs w:val="21"/>
              </w:rPr>
            </w:pPr>
            <w:r w:rsidRPr="007F6332">
              <w:rPr>
                <w:rFonts w:cs="Arial"/>
                <w:szCs w:val="21"/>
              </w:rPr>
              <w:t>1,131</w:t>
            </w:r>
          </w:p>
        </w:tc>
        <w:tc>
          <w:tcPr>
            <w:tcW w:w="1546" w:type="dxa"/>
            <w:tcBorders>
              <w:top w:val="nil"/>
              <w:bottom w:val="nil"/>
            </w:tcBorders>
          </w:tcPr>
          <w:p w14:paraId="177415B8" w14:textId="77777777" w:rsidR="00AD5D8E" w:rsidRPr="007F6332" w:rsidRDefault="00AD5D8E" w:rsidP="00875C1F">
            <w:pPr>
              <w:pStyle w:val="FSRnormal"/>
              <w:spacing w:before="0"/>
              <w:jc w:val="center"/>
              <w:cnfStyle w:val="000000000000" w:firstRow="0" w:lastRow="0" w:firstColumn="0" w:lastColumn="0" w:oddVBand="0" w:evenVBand="0" w:oddHBand="0" w:evenHBand="0" w:firstRowFirstColumn="0" w:firstRowLastColumn="0" w:lastRowFirstColumn="0" w:lastRowLastColumn="0"/>
              <w:rPr>
                <w:rFonts w:cs="Arial"/>
                <w:szCs w:val="21"/>
              </w:rPr>
            </w:pPr>
            <w:r w:rsidRPr="007F6332">
              <w:rPr>
                <w:rFonts w:cs="Arial"/>
                <w:szCs w:val="21"/>
              </w:rPr>
              <w:t>10.9%</w:t>
            </w:r>
          </w:p>
        </w:tc>
      </w:tr>
      <w:tr w:rsidR="00AD5D8E" w:rsidRPr="007F6332" w14:paraId="053868A7" w14:textId="77777777" w:rsidTr="00DB2F6C">
        <w:trPr>
          <w:cnfStyle w:val="000000010000" w:firstRow="0" w:lastRow="0" w:firstColumn="0" w:lastColumn="0" w:oddVBand="0" w:evenVBand="0" w:oddHBand="0" w:evenHBand="1" w:firstRowFirstColumn="0" w:firstRowLastColumn="0" w:lastRowFirstColumn="0" w:lastRowLastColumn="0"/>
          <w:trHeight w:hRule="exact" w:val="702"/>
        </w:trPr>
        <w:tc>
          <w:tcPr>
            <w:cnfStyle w:val="001000000000" w:firstRow="0" w:lastRow="0" w:firstColumn="1" w:lastColumn="0" w:oddVBand="0" w:evenVBand="0" w:oddHBand="0" w:evenHBand="0" w:firstRowFirstColumn="0" w:firstRowLastColumn="0" w:lastRowFirstColumn="0" w:lastRowLastColumn="0"/>
            <w:tcW w:w="2883" w:type="dxa"/>
            <w:tcBorders>
              <w:top w:val="nil"/>
              <w:bottom w:val="nil"/>
            </w:tcBorders>
            <w:shd w:val="clear" w:color="auto" w:fill="A7A9AC"/>
          </w:tcPr>
          <w:p w14:paraId="3EC663CD" w14:textId="77777777" w:rsidR="00AD5D8E" w:rsidRPr="007F6332" w:rsidRDefault="00AD5D8E" w:rsidP="00875C1F">
            <w:pPr>
              <w:pStyle w:val="FSRnormal"/>
              <w:spacing w:before="0"/>
              <w:rPr>
                <w:rFonts w:cs="Arial"/>
                <w:color w:val="000000"/>
                <w:szCs w:val="21"/>
              </w:rPr>
            </w:pPr>
            <w:r w:rsidRPr="007F6332">
              <w:rPr>
                <w:rFonts w:cs="Arial"/>
                <w:color w:val="000000"/>
                <w:szCs w:val="21"/>
              </w:rPr>
              <w:t xml:space="preserve">Participants not in SIL arrangements </w:t>
            </w:r>
          </w:p>
        </w:tc>
        <w:tc>
          <w:tcPr>
            <w:tcW w:w="1546" w:type="dxa"/>
            <w:tcBorders>
              <w:top w:val="nil"/>
              <w:bottom w:val="nil"/>
            </w:tcBorders>
            <w:shd w:val="clear" w:color="auto" w:fill="A7A9AC"/>
          </w:tcPr>
          <w:p w14:paraId="5BEF90F4" w14:textId="40D68D02" w:rsidR="00AD5D8E" w:rsidRPr="007F6332" w:rsidRDefault="00AD5D8E" w:rsidP="00875C1F">
            <w:pPr>
              <w:pStyle w:val="FSRnormal"/>
              <w:spacing w:before="0"/>
              <w:jc w:val="center"/>
              <w:cnfStyle w:val="000000010000" w:firstRow="0" w:lastRow="0" w:firstColumn="0" w:lastColumn="0" w:oddVBand="0" w:evenVBand="0" w:oddHBand="0" w:evenHBand="1" w:firstRowFirstColumn="0" w:firstRowLastColumn="0" w:lastRowFirstColumn="0" w:lastRowLastColumn="0"/>
              <w:rPr>
                <w:rFonts w:cs="Arial"/>
                <w:color w:val="000000"/>
                <w:szCs w:val="21"/>
              </w:rPr>
            </w:pPr>
            <w:r w:rsidRPr="007F6332">
              <w:rPr>
                <w:rFonts w:cs="Arial"/>
                <w:color w:val="000000"/>
                <w:szCs w:val="21"/>
              </w:rPr>
              <w:t>23,</w:t>
            </w:r>
            <w:r w:rsidR="00BF7BFE" w:rsidRPr="007F6332">
              <w:rPr>
                <w:rFonts w:cs="Arial"/>
                <w:color w:val="000000"/>
                <w:szCs w:val="21"/>
              </w:rPr>
              <w:t>117</w:t>
            </w:r>
          </w:p>
        </w:tc>
        <w:tc>
          <w:tcPr>
            <w:tcW w:w="1546" w:type="dxa"/>
            <w:tcBorders>
              <w:top w:val="nil"/>
              <w:bottom w:val="nil"/>
            </w:tcBorders>
            <w:shd w:val="clear" w:color="auto" w:fill="A7A9AC"/>
          </w:tcPr>
          <w:p w14:paraId="1098C68C" w14:textId="77777777" w:rsidR="00AD5D8E" w:rsidRPr="007F6332" w:rsidRDefault="00AD5D8E" w:rsidP="00875C1F">
            <w:pPr>
              <w:pStyle w:val="FSRnormal"/>
              <w:spacing w:before="0"/>
              <w:jc w:val="center"/>
              <w:cnfStyle w:val="000000010000" w:firstRow="0" w:lastRow="0" w:firstColumn="0" w:lastColumn="0" w:oddVBand="0" w:evenVBand="0" w:oddHBand="0" w:evenHBand="1" w:firstRowFirstColumn="0" w:firstRowLastColumn="0" w:lastRowFirstColumn="0" w:lastRowLastColumn="0"/>
              <w:rPr>
                <w:rFonts w:cs="Arial"/>
                <w:color w:val="000000"/>
                <w:szCs w:val="21"/>
              </w:rPr>
            </w:pPr>
            <w:r w:rsidRPr="007F6332">
              <w:rPr>
                <w:rFonts w:cs="Arial"/>
                <w:color w:val="000000"/>
                <w:szCs w:val="21"/>
              </w:rPr>
              <w:t>23,125</w:t>
            </w:r>
          </w:p>
        </w:tc>
        <w:tc>
          <w:tcPr>
            <w:tcW w:w="1546" w:type="dxa"/>
            <w:tcBorders>
              <w:top w:val="nil"/>
              <w:bottom w:val="nil"/>
            </w:tcBorders>
            <w:shd w:val="clear" w:color="auto" w:fill="A7A9AC"/>
          </w:tcPr>
          <w:p w14:paraId="50059D89" w14:textId="02FC6C07" w:rsidR="00AD5D8E" w:rsidRPr="007F6332" w:rsidRDefault="00BF7BFE" w:rsidP="00875C1F">
            <w:pPr>
              <w:pStyle w:val="FSRnormal"/>
              <w:spacing w:before="0"/>
              <w:jc w:val="center"/>
              <w:cnfStyle w:val="000000010000" w:firstRow="0" w:lastRow="0" w:firstColumn="0" w:lastColumn="0" w:oddVBand="0" w:evenVBand="0" w:oddHBand="0" w:evenHBand="1" w:firstRowFirstColumn="0" w:firstRowLastColumn="0" w:lastRowFirstColumn="0" w:lastRowLastColumn="0"/>
              <w:rPr>
                <w:rFonts w:cs="Arial"/>
                <w:color w:val="000000"/>
                <w:szCs w:val="21"/>
              </w:rPr>
            </w:pPr>
            <w:r w:rsidRPr="007F6332">
              <w:rPr>
                <w:rFonts w:cs="Arial"/>
                <w:color w:val="000000"/>
                <w:szCs w:val="21"/>
              </w:rPr>
              <w:t>52</w:t>
            </w:r>
          </w:p>
        </w:tc>
        <w:tc>
          <w:tcPr>
            <w:tcW w:w="1546" w:type="dxa"/>
            <w:tcBorders>
              <w:top w:val="nil"/>
              <w:bottom w:val="nil"/>
            </w:tcBorders>
            <w:shd w:val="clear" w:color="auto" w:fill="A7A9AC"/>
          </w:tcPr>
          <w:p w14:paraId="02795ED9" w14:textId="3FD8503E" w:rsidR="00AD5D8E" w:rsidRPr="007F6332" w:rsidRDefault="00AD5D8E" w:rsidP="00875C1F">
            <w:pPr>
              <w:pStyle w:val="FSRnormal"/>
              <w:spacing w:before="0"/>
              <w:jc w:val="center"/>
              <w:cnfStyle w:val="000000010000" w:firstRow="0" w:lastRow="0" w:firstColumn="0" w:lastColumn="0" w:oddVBand="0" w:evenVBand="0" w:oddHBand="0" w:evenHBand="1" w:firstRowFirstColumn="0" w:firstRowLastColumn="0" w:lastRowFirstColumn="0" w:lastRowLastColumn="0"/>
              <w:rPr>
                <w:rFonts w:cs="Arial"/>
                <w:color w:val="000000"/>
                <w:szCs w:val="21"/>
              </w:rPr>
            </w:pPr>
            <w:r w:rsidRPr="007F6332">
              <w:rPr>
                <w:rFonts w:cs="Arial"/>
                <w:color w:val="000000"/>
                <w:szCs w:val="21"/>
              </w:rPr>
              <w:t>0.</w:t>
            </w:r>
            <w:r w:rsidR="00BF7BFE" w:rsidRPr="007F6332">
              <w:rPr>
                <w:rFonts w:cs="Arial"/>
                <w:color w:val="000000"/>
                <w:szCs w:val="21"/>
              </w:rPr>
              <w:t>2</w:t>
            </w:r>
            <w:r w:rsidRPr="007F6332">
              <w:rPr>
                <w:rFonts w:cs="Arial"/>
                <w:color w:val="000000"/>
                <w:szCs w:val="21"/>
              </w:rPr>
              <w:t>%</w:t>
            </w:r>
          </w:p>
        </w:tc>
      </w:tr>
      <w:tr w:rsidR="00AD5D8E" w:rsidRPr="007F6332" w14:paraId="6800908F" w14:textId="77777777" w:rsidTr="00875C1F">
        <w:trPr>
          <w:trHeight w:hRule="exact" w:val="570"/>
        </w:trPr>
        <w:tc>
          <w:tcPr>
            <w:cnfStyle w:val="001000000000" w:firstRow="0" w:lastRow="0" w:firstColumn="1" w:lastColumn="0" w:oddVBand="0" w:evenVBand="0" w:oddHBand="0" w:evenHBand="0" w:firstRowFirstColumn="0" w:firstRowLastColumn="0" w:lastRowFirstColumn="0" w:lastRowLastColumn="0"/>
            <w:tcW w:w="2883" w:type="dxa"/>
            <w:tcBorders>
              <w:top w:val="nil"/>
              <w:bottom w:val="single" w:sz="4" w:space="0" w:color="auto"/>
            </w:tcBorders>
            <w:shd w:val="clear" w:color="auto" w:fill="B398B8"/>
          </w:tcPr>
          <w:p w14:paraId="60137C86" w14:textId="77777777" w:rsidR="00AD5D8E" w:rsidRPr="007F6332" w:rsidRDefault="00AD5D8E" w:rsidP="00875C1F">
            <w:pPr>
              <w:pStyle w:val="FSRnormal"/>
              <w:spacing w:before="0" w:line="240" w:lineRule="auto"/>
              <w:rPr>
                <w:rFonts w:cs="Arial"/>
                <w:b/>
                <w:bCs/>
                <w:color w:val="000000"/>
                <w:szCs w:val="21"/>
              </w:rPr>
            </w:pPr>
            <w:r w:rsidRPr="007F6332">
              <w:rPr>
                <w:rFonts w:cs="Arial"/>
                <w:b/>
                <w:bCs/>
                <w:color w:val="000000"/>
                <w:szCs w:val="21"/>
              </w:rPr>
              <w:t>Total participant expenses</w:t>
            </w:r>
          </w:p>
        </w:tc>
        <w:tc>
          <w:tcPr>
            <w:tcW w:w="1546" w:type="dxa"/>
            <w:tcBorders>
              <w:top w:val="nil"/>
              <w:bottom w:val="single" w:sz="4" w:space="0" w:color="auto"/>
            </w:tcBorders>
            <w:shd w:val="clear" w:color="auto" w:fill="B398B8"/>
          </w:tcPr>
          <w:p w14:paraId="669D17CE" w14:textId="2F16C24E" w:rsidR="00AD5D8E" w:rsidRPr="007F6332" w:rsidRDefault="00BF7BF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1"/>
              </w:rPr>
            </w:pPr>
            <w:r w:rsidRPr="007F6332">
              <w:rPr>
                <w:rFonts w:cs="Arial"/>
                <w:b/>
                <w:bCs/>
                <w:color w:val="000000"/>
                <w:szCs w:val="21"/>
              </w:rPr>
              <w:t>34,658</w:t>
            </w:r>
          </w:p>
        </w:tc>
        <w:tc>
          <w:tcPr>
            <w:tcW w:w="1546" w:type="dxa"/>
            <w:tcBorders>
              <w:top w:val="nil"/>
              <w:bottom w:val="single" w:sz="4" w:space="0" w:color="auto"/>
            </w:tcBorders>
            <w:shd w:val="clear" w:color="auto" w:fill="B398B8"/>
          </w:tcPr>
          <w:p w14:paraId="33A72369" w14:textId="77777777"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1"/>
              </w:rPr>
            </w:pPr>
            <w:r w:rsidRPr="007F6332">
              <w:rPr>
                <w:rFonts w:cs="Arial"/>
                <w:b/>
                <w:bCs/>
                <w:color w:val="000000"/>
                <w:szCs w:val="21"/>
              </w:rPr>
              <w:t>33,475</w:t>
            </w:r>
          </w:p>
        </w:tc>
        <w:tc>
          <w:tcPr>
            <w:tcW w:w="1546" w:type="dxa"/>
            <w:tcBorders>
              <w:top w:val="nil"/>
              <w:bottom w:val="single" w:sz="4" w:space="0" w:color="auto"/>
            </w:tcBorders>
            <w:shd w:val="clear" w:color="auto" w:fill="B398B8"/>
          </w:tcPr>
          <w:p w14:paraId="2E064A5D" w14:textId="4B2D16E1" w:rsidR="00AD5D8E" w:rsidRPr="007F6332" w:rsidRDefault="00BF7BF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1"/>
              </w:rPr>
            </w:pPr>
            <w:r w:rsidRPr="007F6332">
              <w:rPr>
                <w:rFonts w:cs="Arial"/>
                <w:b/>
                <w:bCs/>
                <w:color w:val="000000"/>
                <w:szCs w:val="21"/>
              </w:rPr>
              <w:t>1,183</w:t>
            </w:r>
          </w:p>
        </w:tc>
        <w:tc>
          <w:tcPr>
            <w:tcW w:w="1546" w:type="dxa"/>
            <w:tcBorders>
              <w:top w:val="nil"/>
              <w:bottom w:val="single" w:sz="4" w:space="0" w:color="auto"/>
            </w:tcBorders>
            <w:shd w:val="clear" w:color="auto" w:fill="B398B8"/>
          </w:tcPr>
          <w:p w14:paraId="425F95BF" w14:textId="1D5A9C66"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1"/>
              </w:rPr>
            </w:pPr>
            <w:r w:rsidRPr="007F6332">
              <w:rPr>
                <w:rFonts w:cs="Arial"/>
                <w:b/>
                <w:bCs/>
                <w:color w:val="000000"/>
                <w:szCs w:val="21"/>
              </w:rPr>
              <w:t>3.</w:t>
            </w:r>
            <w:r w:rsidR="00BF7BFE" w:rsidRPr="007F6332">
              <w:rPr>
                <w:rFonts w:cs="Arial"/>
                <w:b/>
                <w:bCs/>
                <w:color w:val="000000"/>
                <w:szCs w:val="21"/>
              </w:rPr>
              <w:t>4</w:t>
            </w:r>
            <w:r w:rsidRPr="007F6332">
              <w:rPr>
                <w:rFonts w:cs="Arial"/>
                <w:b/>
                <w:bCs/>
                <w:color w:val="000000"/>
                <w:szCs w:val="21"/>
              </w:rPr>
              <w:t>%</w:t>
            </w:r>
          </w:p>
        </w:tc>
      </w:tr>
    </w:tbl>
    <w:p w14:paraId="78B6A56C" w14:textId="77777777" w:rsidR="00AD5D8E" w:rsidRPr="007F6332" w:rsidRDefault="00AD5D8E" w:rsidP="00CD33D0">
      <w:pPr>
        <w:pStyle w:val="FSRHeading2"/>
        <w:ind w:left="0" w:firstLine="0"/>
        <w:rPr>
          <w:rFonts w:cs="Arial"/>
        </w:rPr>
      </w:pPr>
      <w:r w:rsidRPr="007F6332">
        <w:rPr>
          <w:rFonts w:cs="Arial"/>
        </w:rPr>
        <w:t xml:space="preserve">Average payments per participant experience </w:t>
      </w:r>
    </w:p>
    <w:p w14:paraId="11F51A85" w14:textId="6807B8FC" w:rsidR="00AD5D8E" w:rsidRPr="007F6332" w:rsidRDefault="00AD5D8E" w:rsidP="00AD5D8E">
      <w:pPr>
        <w:pStyle w:val="FSRnormal"/>
        <w:rPr>
          <w:rFonts w:cs="Arial"/>
        </w:rPr>
      </w:pPr>
      <w:r w:rsidRPr="007F6332">
        <w:rPr>
          <w:rFonts w:cs="Arial"/>
        </w:rPr>
        <w:t>The average payment per participant, for the twelve months ending 30 June 2023 was $60,700, or 2.</w:t>
      </w:r>
      <w:r w:rsidR="00A81BAF" w:rsidRPr="007F6332">
        <w:rPr>
          <w:rFonts w:cs="Arial"/>
        </w:rPr>
        <w:t>0</w:t>
      </w:r>
      <w:r w:rsidRPr="007F6332">
        <w:rPr>
          <w:rFonts w:cs="Arial"/>
        </w:rPr>
        <w:t>% higher than the projected 2022-23 average payment per participant of $59,</w:t>
      </w:r>
      <w:r w:rsidR="009C3191" w:rsidRPr="007F6332">
        <w:rPr>
          <w:rFonts w:cs="Arial"/>
        </w:rPr>
        <w:t>6</w:t>
      </w:r>
      <w:r w:rsidRPr="007F6332">
        <w:rPr>
          <w:rFonts w:cs="Arial"/>
        </w:rPr>
        <w:t>00 in the previous review.</w:t>
      </w:r>
    </w:p>
    <w:p w14:paraId="03072495" w14:textId="77777777" w:rsidR="00AD5D8E" w:rsidRPr="007F6332" w:rsidRDefault="00AD5D8E" w:rsidP="00AD5D8E">
      <w:pPr>
        <w:pStyle w:val="FSRnormal"/>
        <w:rPr>
          <w:rFonts w:cs="Arial"/>
        </w:rPr>
      </w:pPr>
      <w:r w:rsidRPr="007F6332">
        <w:rPr>
          <w:rFonts w:cs="Arial"/>
        </w:rPr>
        <w:t>Table 8 shows the variance in average payments per participant over the twelve months to 30 June 2023, for participants with SIL arrangements and those not in SIL arrangements. The 2022-23 annual average payment per participant was $12,700, or 3.4% higher than expected for participants with SIL arrangements, and $500 or 1.2% lower than expected for participants not in SIL arrangements.</w:t>
      </w:r>
    </w:p>
    <w:p w14:paraId="44130773" w14:textId="77777777" w:rsidR="00AD5D8E" w:rsidRPr="007F6332" w:rsidRDefault="00AD5D8E" w:rsidP="00D93505">
      <w:pPr>
        <w:pStyle w:val="FiguresandTablesHeading4"/>
      </w:pPr>
      <w:r w:rsidRPr="007F6332">
        <w:t>Table 8: Variance in annual average payments per participant for 2022-23, split for participants in (and not in) SIL arrangements</w:t>
      </w:r>
    </w:p>
    <w:tbl>
      <w:tblPr>
        <w:tblStyle w:val="FSRtable"/>
        <w:tblW w:w="9067" w:type="dxa"/>
        <w:tblInd w:w="5" w:type="dxa"/>
        <w:tblLayout w:type="fixed"/>
        <w:tblLook w:val="04A0" w:firstRow="1" w:lastRow="0" w:firstColumn="1" w:lastColumn="0" w:noHBand="0" w:noVBand="1"/>
      </w:tblPr>
      <w:tblGrid>
        <w:gridCol w:w="2830"/>
        <w:gridCol w:w="1559"/>
        <w:gridCol w:w="1559"/>
        <w:gridCol w:w="1559"/>
        <w:gridCol w:w="1560"/>
      </w:tblGrid>
      <w:tr w:rsidR="00AD5D8E" w:rsidRPr="007F6332" w14:paraId="51BA071D" w14:textId="77777777" w:rsidTr="00875C1F">
        <w:trPr>
          <w:cnfStyle w:val="100000000000" w:firstRow="1" w:lastRow="0" w:firstColumn="0" w:lastColumn="0" w:oddVBand="0" w:evenVBand="0" w:oddHBand="0" w:evenHBand="0" w:firstRowFirstColumn="0" w:firstRowLastColumn="0" w:lastRowFirstColumn="0" w:lastRowLastColumn="0"/>
          <w:trHeight w:hRule="exact" w:val="620"/>
        </w:trPr>
        <w:tc>
          <w:tcPr>
            <w:cnfStyle w:val="001000000000" w:firstRow="0" w:lastRow="0" w:firstColumn="1" w:lastColumn="0" w:oddVBand="0" w:evenVBand="0" w:oddHBand="0" w:evenHBand="0" w:firstRowFirstColumn="0" w:firstRowLastColumn="0" w:lastRowFirstColumn="0" w:lastRowLastColumn="0"/>
            <w:tcW w:w="2830" w:type="dxa"/>
          </w:tcPr>
          <w:p w14:paraId="29119DC6" w14:textId="77777777" w:rsidR="00AD5D8E" w:rsidRPr="007F6332" w:rsidRDefault="00AD5D8E" w:rsidP="00875C1F">
            <w:pPr>
              <w:pStyle w:val="FSRnormal"/>
              <w:spacing w:before="0" w:line="240" w:lineRule="auto"/>
              <w:rPr>
                <w:szCs w:val="21"/>
              </w:rPr>
            </w:pPr>
            <w:r w:rsidRPr="007F6332">
              <w:rPr>
                <w:szCs w:val="21"/>
              </w:rPr>
              <w:t>Participant Cohort</w:t>
            </w:r>
          </w:p>
        </w:tc>
        <w:tc>
          <w:tcPr>
            <w:tcW w:w="1559" w:type="dxa"/>
          </w:tcPr>
          <w:p w14:paraId="23DE7AFD" w14:textId="77777777" w:rsidR="00AD5D8E" w:rsidRPr="007F6332" w:rsidRDefault="00AD5D8E" w:rsidP="00875C1F">
            <w:pPr>
              <w:pStyle w:val="FSRnormal"/>
              <w:spacing w:before="0" w:line="240" w:lineRule="auto"/>
              <w:jc w:val="center"/>
              <w:cnfStyle w:val="100000000000" w:firstRow="1" w:lastRow="0" w:firstColumn="0" w:lastColumn="0" w:oddVBand="0" w:evenVBand="0" w:oddHBand="0" w:evenHBand="0" w:firstRowFirstColumn="0" w:firstRowLastColumn="0" w:lastRowFirstColumn="0" w:lastRowLastColumn="0"/>
              <w:rPr>
                <w:szCs w:val="21"/>
              </w:rPr>
            </w:pPr>
            <w:r w:rsidRPr="007F6332">
              <w:rPr>
                <w:szCs w:val="21"/>
              </w:rPr>
              <w:t>Actual ($)</w:t>
            </w:r>
          </w:p>
        </w:tc>
        <w:tc>
          <w:tcPr>
            <w:tcW w:w="1559" w:type="dxa"/>
          </w:tcPr>
          <w:p w14:paraId="29210F62" w14:textId="77777777" w:rsidR="00AD5D8E" w:rsidRPr="007F6332" w:rsidRDefault="00AD5D8E" w:rsidP="00875C1F">
            <w:pPr>
              <w:pStyle w:val="FSRnormal"/>
              <w:spacing w:before="0" w:line="240" w:lineRule="auto"/>
              <w:jc w:val="center"/>
              <w:cnfStyle w:val="100000000000" w:firstRow="1" w:lastRow="0" w:firstColumn="0" w:lastColumn="0" w:oddVBand="0" w:evenVBand="0" w:oddHBand="0" w:evenHBand="0" w:firstRowFirstColumn="0" w:firstRowLastColumn="0" w:lastRowFirstColumn="0" w:lastRowLastColumn="0"/>
              <w:rPr>
                <w:szCs w:val="21"/>
              </w:rPr>
            </w:pPr>
            <w:r w:rsidRPr="007F6332">
              <w:rPr>
                <w:szCs w:val="21"/>
              </w:rPr>
              <w:t>Expected    ($)</w:t>
            </w:r>
          </w:p>
        </w:tc>
        <w:tc>
          <w:tcPr>
            <w:tcW w:w="1559" w:type="dxa"/>
          </w:tcPr>
          <w:p w14:paraId="7457E369" w14:textId="77777777" w:rsidR="00AD5D8E" w:rsidRPr="007F6332" w:rsidRDefault="00AD5D8E" w:rsidP="00875C1F">
            <w:pPr>
              <w:pStyle w:val="FSRnormal"/>
              <w:spacing w:before="0" w:line="240" w:lineRule="auto"/>
              <w:jc w:val="center"/>
              <w:cnfStyle w:val="100000000000" w:firstRow="1" w:lastRow="0" w:firstColumn="0" w:lastColumn="0" w:oddVBand="0" w:evenVBand="0" w:oddHBand="0" w:evenHBand="0" w:firstRowFirstColumn="0" w:firstRowLastColumn="0" w:lastRowFirstColumn="0" w:lastRowLastColumn="0"/>
              <w:rPr>
                <w:szCs w:val="21"/>
              </w:rPr>
            </w:pPr>
            <w:r w:rsidRPr="007F6332">
              <w:rPr>
                <w:szCs w:val="21"/>
              </w:rPr>
              <w:t>Difference    ($)</w:t>
            </w:r>
          </w:p>
        </w:tc>
        <w:tc>
          <w:tcPr>
            <w:tcW w:w="1560" w:type="dxa"/>
          </w:tcPr>
          <w:p w14:paraId="6ABC37EA" w14:textId="77777777" w:rsidR="00AD5D8E" w:rsidRPr="007F6332" w:rsidRDefault="00AD5D8E" w:rsidP="00875C1F">
            <w:pPr>
              <w:pStyle w:val="FSRnormal"/>
              <w:spacing w:before="0" w:line="240" w:lineRule="auto"/>
              <w:jc w:val="center"/>
              <w:cnfStyle w:val="100000000000" w:firstRow="1" w:lastRow="0" w:firstColumn="0" w:lastColumn="0" w:oddVBand="0" w:evenVBand="0" w:oddHBand="0" w:evenHBand="0" w:firstRowFirstColumn="0" w:firstRowLastColumn="0" w:lastRowFirstColumn="0" w:lastRowLastColumn="0"/>
              <w:rPr>
                <w:szCs w:val="21"/>
              </w:rPr>
            </w:pPr>
            <w:r w:rsidRPr="007F6332">
              <w:rPr>
                <w:szCs w:val="21"/>
              </w:rPr>
              <w:t>Difference (%)</w:t>
            </w:r>
          </w:p>
        </w:tc>
      </w:tr>
      <w:tr w:rsidR="00AD5D8E" w:rsidRPr="007F6332" w14:paraId="7F751A84" w14:textId="77777777" w:rsidTr="00DB2F6C">
        <w:trPr>
          <w:trHeight w:hRule="exact" w:val="559"/>
        </w:trPr>
        <w:tc>
          <w:tcPr>
            <w:cnfStyle w:val="001000000000" w:firstRow="0" w:lastRow="0" w:firstColumn="1" w:lastColumn="0" w:oddVBand="0" w:evenVBand="0" w:oddHBand="0" w:evenHBand="0" w:firstRowFirstColumn="0" w:firstRowLastColumn="0" w:lastRowFirstColumn="0" w:lastRowLastColumn="0"/>
            <w:tcW w:w="2830" w:type="dxa"/>
            <w:tcBorders>
              <w:bottom w:val="nil"/>
            </w:tcBorders>
          </w:tcPr>
          <w:p w14:paraId="68AFCE15" w14:textId="77777777" w:rsidR="00AD5D8E" w:rsidRPr="007F6332" w:rsidRDefault="00AD5D8E" w:rsidP="00875C1F">
            <w:pPr>
              <w:pStyle w:val="FSRnormal"/>
              <w:spacing w:before="0" w:line="240" w:lineRule="auto"/>
              <w:rPr>
                <w:rFonts w:cs="Arial"/>
                <w:szCs w:val="21"/>
              </w:rPr>
            </w:pPr>
            <w:r w:rsidRPr="007F6332">
              <w:rPr>
                <w:rFonts w:cs="Arial"/>
                <w:szCs w:val="21"/>
              </w:rPr>
              <w:t>Participants with SIL arrangements</w:t>
            </w:r>
          </w:p>
        </w:tc>
        <w:tc>
          <w:tcPr>
            <w:tcW w:w="1559" w:type="dxa"/>
            <w:tcBorders>
              <w:bottom w:val="nil"/>
            </w:tcBorders>
          </w:tcPr>
          <w:p w14:paraId="3B81E0B5" w14:textId="77777777"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szCs w:val="21"/>
              </w:rPr>
            </w:pPr>
            <w:r w:rsidRPr="007F6332">
              <w:rPr>
                <w:rFonts w:cs="Arial"/>
                <w:szCs w:val="21"/>
              </w:rPr>
              <w:t>387,700</w:t>
            </w:r>
          </w:p>
        </w:tc>
        <w:tc>
          <w:tcPr>
            <w:tcW w:w="1559" w:type="dxa"/>
            <w:tcBorders>
              <w:bottom w:val="nil"/>
            </w:tcBorders>
          </w:tcPr>
          <w:p w14:paraId="00965ADF" w14:textId="77777777"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szCs w:val="21"/>
              </w:rPr>
            </w:pPr>
            <w:r w:rsidRPr="007F6332">
              <w:rPr>
                <w:rFonts w:cs="Arial"/>
                <w:szCs w:val="21"/>
              </w:rPr>
              <w:t>375,000</w:t>
            </w:r>
          </w:p>
        </w:tc>
        <w:tc>
          <w:tcPr>
            <w:tcW w:w="1559" w:type="dxa"/>
            <w:tcBorders>
              <w:bottom w:val="nil"/>
            </w:tcBorders>
          </w:tcPr>
          <w:p w14:paraId="2328CBB2" w14:textId="77777777"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szCs w:val="21"/>
              </w:rPr>
            </w:pPr>
            <w:r w:rsidRPr="007F6332">
              <w:rPr>
                <w:rFonts w:cs="Arial"/>
                <w:szCs w:val="21"/>
              </w:rPr>
              <w:t>12,700</w:t>
            </w:r>
          </w:p>
        </w:tc>
        <w:tc>
          <w:tcPr>
            <w:tcW w:w="1560" w:type="dxa"/>
            <w:tcBorders>
              <w:bottom w:val="nil"/>
            </w:tcBorders>
          </w:tcPr>
          <w:p w14:paraId="6F1B255C" w14:textId="77777777"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szCs w:val="21"/>
              </w:rPr>
            </w:pPr>
            <w:r w:rsidRPr="007F6332">
              <w:rPr>
                <w:rFonts w:cs="Arial"/>
                <w:szCs w:val="21"/>
              </w:rPr>
              <w:t>3.4%</w:t>
            </w:r>
          </w:p>
        </w:tc>
      </w:tr>
      <w:tr w:rsidR="00AD5D8E" w:rsidRPr="007F6332" w14:paraId="42065B6A" w14:textId="77777777" w:rsidTr="00DB2F6C">
        <w:trPr>
          <w:cnfStyle w:val="000000010000" w:firstRow="0" w:lastRow="0" w:firstColumn="0" w:lastColumn="0" w:oddVBand="0" w:evenVBand="0" w:oddHBand="0" w:evenHBand="1" w:firstRowFirstColumn="0" w:firstRowLastColumn="0" w:lastRowFirstColumn="0" w:lastRowLastColumn="0"/>
          <w:trHeight w:hRule="exact" w:val="492"/>
        </w:trPr>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shd w:val="clear" w:color="auto" w:fill="A7A9AC"/>
          </w:tcPr>
          <w:p w14:paraId="4A872553" w14:textId="77777777" w:rsidR="00AD5D8E" w:rsidRPr="007F6332" w:rsidRDefault="00AD5D8E" w:rsidP="00875C1F">
            <w:pPr>
              <w:pStyle w:val="FSRnormal"/>
              <w:spacing w:before="0" w:line="240" w:lineRule="auto"/>
              <w:rPr>
                <w:rFonts w:cs="Arial"/>
                <w:color w:val="000000"/>
                <w:szCs w:val="21"/>
              </w:rPr>
            </w:pPr>
            <w:r w:rsidRPr="007F6332">
              <w:rPr>
                <w:rFonts w:cs="Arial"/>
                <w:color w:val="000000"/>
                <w:szCs w:val="21"/>
              </w:rPr>
              <w:t>Participants not in SIL arrangements</w:t>
            </w:r>
          </w:p>
        </w:tc>
        <w:tc>
          <w:tcPr>
            <w:tcW w:w="1559" w:type="dxa"/>
            <w:tcBorders>
              <w:top w:val="nil"/>
              <w:bottom w:val="nil"/>
            </w:tcBorders>
            <w:shd w:val="clear" w:color="auto" w:fill="A7A9AC"/>
          </w:tcPr>
          <w:p w14:paraId="3DAFC63B" w14:textId="77777777" w:rsidR="00AD5D8E" w:rsidRPr="007F6332" w:rsidRDefault="00AD5D8E" w:rsidP="00875C1F">
            <w:pPr>
              <w:pStyle w:val="FSRnormal"/>
              <w:spacing w:before="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1"/>
              </w:rPr>
            </w:pPr>
            <w:r w:rsidRPr="007F6332">
              <w:rPr>
                <w:rFonts w:cs="Arial"/>
                <w:color w:val="000000"/>
                <w:szCs w:val="21"/>
              </w:rPr>
              <w:t>42,700</w:t>
            </w:r>
          </w:p>
        </w:tc>
        <w:tc>
          <w:tcPr>
            <w:tcW w:w="1559" w:type="dxa"/>
            <w:tcBorders>
              <w:top w:val="nil"/>
              <w:bottom w:val="nil"/>
            </w:tcBorders>
            <w:shd w:val="clear" w:color="auto" w:fill="A7A9AC"/>
          </w:tcPr>
          <w:p w14:paraId="1B54A08D" w14:textId="77777777" w:rsidR="00AD5D8E" w:rsidRPr="007F6332" w:rsidRDefault="00AD5D8E" w:rsidP="00875C1F">
            <w:pPr>
              <w:pStyle w:val="FSRnormal"/>
              <w:spacing w:before="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1"/>
              </w:rPr>
            </w:pPr>
            <w:r w:rsidRPr="007F6332">
              <w:rPr>
                <w:rFonts w:cs="Arial"/>
                <w:color w:val="000000"/>
                <w:szCs w:val="21"/>
              </w:rPr>
              <w:t>43,200</w:t>
            </w:r>
          </w:p>
        </w:tc>
        <w:tc>
          <w:tcPr>
            <w:tcW w:w="1559" w:type="dxa"/>
            <w:tcBorders>
              <w:top w:val="nil"/>
              <w:bottom w:val="nil"/>
            </w:tcBorders>
            <w:shd w:val="clear" w:color="auto" w:fill="A7A9AC"/>
          </w:tcPr>
          <w:p w14:paraId="189FEFE8" w14:textId="77777777" w:rsidR="00AD5D8E" w:rsidRPr="007F6332" w:rsidRDefault="00AD5D8E" w:rsidP="00875C1F">
            <w:pPr>
              <w:pStyle w:val="FSRnormal"/>
              <w:spacing w:before="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1"/>
              </w:rPr>
            </w:pPr>
            <w:r w:rsidRPr="007F6332">
              <w:rPr>
                <w:rFonts w:cs="Arial"/>
                <w:color w:val="000000"/>
                <w:szCs w:val="21"/>
              </w:rPr>
              <w:t>-500</w:t>
            </w:r>
          </w:p>
        </w:tc>
        <w:tc>
          <w:tcPr>
            <w:tcW w:w="1560" w:type="dxa"/>
            <w:tcBorders>
              <w:top w:val="nil"/>
              <w:bottom w:val="nil"/>
            </w:tcBorders>
            <w:shd w:val="clear" w:color="auto" w:fill="A7A9AC"/>
          </w:tcPr>
          <w:p w14:paraId="4AC350FA" w14:textId="77777777" w:rsidR="00AD5D8E" w:rsidRPr="007F6332" w:rsidRDefault="00AD5D8E" w:rsidP="00875C1F">
            <w:pPr>
              <w:pStyle w:val="FSRnormal"/>
              <w:spacing w:before="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1"/>
              </w:rPr>
            </w:pPr>
            <w:r w:rsidRPr="007F6332">
              <w:rPr>
                <w:rFonts w:cs="Arial"/>
                <w:color w:val="000000"/>
                <w:szCs w:val="21"/>
              </w:rPr>
              <w:t>-1.2%</w:t>
            </w:r>
          </w:p>
        </w:tc>
      </w:tr>
      <w:tr w:rsidR="00AD5D8E" w:rsidRPr="007F6332" w14:paraId="091C3DF1" w14:textId="77777777" w:rsidTr="00875C1F">
        <w:trPr>
          <w:trHeight w:hRule="exact" w:val="489"/>
        </w:trPr>
        <w:tc>
          <w:tcPr>
            <w:cnfStyle w:val="001000000000" w:firstRow="0" w:lastRow="0" w:firstColumn="1" w:lastColumn="0" w:oddVBand="0" w:evenVBand="0" w:oddHBand="0" w:evenHBand="0" w:firstRowFirstColumn="0" w:firstRowLastColumn="0" w:lastRowFirstColumn="0" w:lastRowLastColumn="0"/>
            <w:tcW w:w="2830" w:type="dxa"/>
            <w:tcBorders>
              <w:top w:val="nil"/>
              <w:bottom w:val="single" w:sz="4" w:space="0" w:color="auto"/>
            </w:tcBorders>
            <w:shd w:val="clear" w:color="auto" w:fill="B398B8"/>
          </w:tcPr>
          <w:p w14:paraId="08EDCE1F" w14:textId="77777777" w:rsidR="00AD5D8E" w:rsidRPr="007F6332" w:rsidRDefault="00AD5D8E" w:rsidP="00875C1F">
            <w:pPr>
              <w:pStyle w:val="FSRnormal"/>
              <w:spacing w:before="0" w:line="240" w:lineRule="auto"/>
              <w:rPr>
                <w:rFonts w:cs="Arial"/>
                <w:b/>
                <w:bCs/>
                <w:color w:val="000000"/>
                <w:szCs w:val="21"/>
              </w:rPr>
            </w:pPr>
            <w:r w:rsidRPr="007F6332">
              <w:rPr>
                <w:rFonts w:cs="Arial"/>
                <w:b/>
                <w:bCs/>
                <w:color w:val="000000"/>
                <w:szCs w:val="21"/>
              </w:rPr>
              <w:t>Total annual average payment per participant</w:t>
            </w:r>
          </w:p>
        </w:tc>
        <w:tc>
          <w:tcPr>
            <w:tcW w:w="1559" w:type="dxa"/>
            <w:tcBorders>
              <w:top w:val="nil"/>
              <w:bottom w:val="single" w:sz="4" w:space="0" w:color="auto"/>
            </w:tcBorders>
            <w:shd w:val="clear" w:color="auto" w:fill="B398B8"/>
          </w:tcPr>
          <w:p w14:paraId="26094239" w14:textId="77777777"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1"/>
              </w:rPr>
            </w:pPr>
            <w:r w:rsidRPr="007F6332">
              <w:rPr>
                <w:rFonts w:cs="Arial"/>
                <w:b/>
                <w:bCs/>
                <w:color w:val="000000"/>
                <w:szCs w:val="21"/>
              </w:rPr>
              <w:t>60,700</w:t>
            </w:r>
          </w:p>
        </w:tc>
        <w:tc>
          <w:tcPr>
            <w:tcW w:w="1559" w:type="dxa"/>
            <w:tcBorders>
              <w:top w:val="nil"/>
              <w:bottom w:val="single" w:sz="4" w:space="0" w:color="auto"/>
            </w:tcBorders>
            <w:shd w:val="clear" w:color="auto" w:fill="B398B8"/>
          </w:tcPr>
          <w:p w14:paraId="4C3E38B5" w14:textId="2C3B8B1E"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1"/>
              </w:rPr>
            </w:pPr>
            <w:r w:rsidRPr="007F6332">
              <w:rPr>
                <w:rFonts w:cs="Arial"/>
                <w:b/>
                <w:bCs/>
                <w:color w:val="000000"/>
                <w:szCs w:val="21"/>
              </w:rPr>
              <w:t>59,</w:t>
            </w:r>
            <w:r w:rsidR="00050B23" w:rsidRPr="007F6332">
              <w:rPr>
                <w:rFonts w:cs="Arial"/>
                <w:b/>
                <w:bCs/>
                <w:color w:val="000000"/>
                <w:szCs w:val="21"/>
              </w:rPr>
              <w:t>6</w:t>
            </w:r>
            <w:r w:rsidRPr="007F6332">
              <w:rPr>
                <w:rFonts w:cs="Arial"/>
                <w:b/>
                <w:bCs/>
                <w:color w:val="000000"/>
                <w:szCs w:val="21"/>
              </w:rPr>
              <w:t>00</w:t>
            </w:r>
          </w:p>
        </w:tc>
        <w:tc>
          <w:tcPr>
            <w:tcW w:w="1559" w:type="dxa"/>
            <w:tcBorders>
              <w:top w:val="nil"/>
              <w:bottom w:val="single" w:sz="4" w:space="0" w:color="auto"/>
            </w:tcBorders>
            <w:shd w:val="clear" w:color="auto" w:fill="B398B8"/>
          </w:tcPr>
          <w:p w14:paraId="0A1253D8" w14:textId="77777777"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1"/>
              </w:rPr>
            </w:pPr>
            <w:r w:rsidRPr="007F6332">
              <w:rPr>
                <w:rFonts w:cs="Arial"/>
                <w:b/>
                <w:bCs/>
                <w:color w:val="000000"/>
                <w:szCs w:val="21"/>
              </w:rPr>
              <w:t>1,100</w:t>
            </w:r>
          </w:p>
        </w:tc>
        <w:tc>
          <w:tcPr>
            <w:tcW w:w="1560" w:type="dxa"/>
            <w:tcBorders>
              <w:top w:val="nil"/>
              <w:bottom w:val="single" w:sz="4" w:space="0" w:color="auto"/>
            </w:tcBorders>
            <w:shd w:val="clear" w:color="auto" w:fill="B398B8"/>
          </w:tcPr>
          <w:p w14:paraId="7C274202" w14:textId="77A4958F" w:rsidR="00AD5D8E" w:rsidRPr="007F6332" w:rsidRDefault="00AD5D8E" w:rsidP="00875C1F">
            <w:pPr>
              <w:pStyle w:val="FSRnormal"/>
              <w:spacing w:before="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1"/>
              </w:rPr>
            </w:pPr>
            <w:r w:rsidRPr="007F6332">
              <w:rPr>
                <w:rFonts w:cs="Arial"/>
                <w:b/>
                <w:bCs/>
                <w:color w:val="000000"/>
                <w:szCs w:val="21"/>
              </w:rPr>
              <w:t>2.</w:t>
            </w:r>
            <w:r w:rsidR="00A81BAF" w:rsidRPr="007F6332">
              <w:rPr>
                <w:rFonts w:cs="Arial"/>
                <w:b/>
                <w:bCs/>
                <w:color w:val="000000"/>
                <w:szCs w:val="21"/>
              </w:rPr>
              <w:t>0</w:t>
            </w:r>
            <w:r w:rsidRPr="007F6332">
              <w:rPr>
                <w:rFonts w:cs="Arial"/>
                <w:b/>
                <w:bCs/>
                <w:color w:val="000000"/>
                <w:szCs w:val="21"/>
              </w:rPr>
              <w:t>%</w:t>
            </w:r>
          </w:p>
        </w:tc>
      </w:tr>
    </w:tbl>
    <w:p w14:paraId="1B80F9BB" w14:textId="24238DD3" w:rsidR="00AD5D8E" w:rsidRPr="007F6332" w:rsidRDefault="00AD5D8E" w:rsidP="00AD5D8E">
      <w:pPr>
        <w:pStyle w:val="FSRnormal"/>
        <w:rPr>
          <w:rFonts w:cs="Arial"/>
        </w:rPr>
      </w:pPr>
      <w:bookmarkStart w:id="9" w:name="_Hlk151702248"/>
      <w:bookmarkStart w:id="10" w:name="_Hlk151707796"/>
      <w:r w:rsidRPr="007F6332">
        <w:rPr>
          <w:rFonts w:cs="Arial"/>
        </w:rPr>
        <w:t xml:space="preserve">Figure 8 shows the actual growth in average payments per participant increased at a rate of 6.0% per annum, on average, over the last three years. The increase in average payments per participant for 2022-23 was higher than in previous years, increasing by 9.9% over the twelve months ending 30 June 2023. Two main factors </w:t>
      </w:r>
      <w:r w:rsidR="00877A06" w:rsidRPr="007F6332">
        <w:rPr>
          <w:rFonts w:cs="Arial"/>
        </w:rPr>
        <w:t>were</w:t>
      </w:r>
      <w:r w:rsidRPr="007F6332">
        <w:rPr>
          <w:rFonts w:cs="Arial"/>
        </w:rPr>
        <w:t xml:space="preserve"> identified in explaining this growth, namely: the higher growth in average payments for participants with SIL arrangements (increasing by 15.2% in 2022-23), and the previously anticipated labour supply shortage for attendant care not appearing to have constrained the provision of Scheme supports as expected</w:t>
      </w:r>
      <w:bookmarkEnd w:id="9"/>
      <w:r w:rsidRPr="007F6332">
        <w:rPr>
          <w:rFonts w:cs="Arial"/>
        </w:rPr>
        <w:t>.</w:t>
      </w:r>
    </w:p>
    <w:bookmarkEnd w:id="10"/>
    <w:p w14:paraId="09D25DA8" w14:textId="77777777" w:rsidR="00664440" w:rsidRPr="007F6332" w:rsidRDefault="00664440" w:rsidP="00AD5D8E">
      <w:pPr>
        <w:pStyle w:val="FSRnormal"/>
        <w:rPr>
          <w:rFonts w:cs="Arial"/>
        </w:rPr>
        <w:sectPr w:rsidR="00664440" w:rsidRPr="007F6332" w:rsidSect="00CE7E91">
          <w:pgSz w:w="11906" w:h="16838"/>
          <w:pgMar w:top="1440" w:right="1700" w:bottom="1440" w:left="1440" w:header="708" w:footer="850" w:gutter="0"/>
          <w:cols w:space="708"/>
          <w:titlePg/>
          <w:docGrid w:linePitch="360"/>
        </w:sectPr>
      </w:pPr>
    </w:p>
    <w:p w14:paraId="3DF930BC" w14:textId="161DABD5" w:rsidR="00AD5D8E" w:rsidRPr="007F6332" w:rsidRDefault="00AD5D8E" w:rsidP="00D93505">
      <w:pPr>
        <w:pStyle w:val="FiguresandTablesHeading4"/>
        <w:rPr>
          <w:bCs/>
        </w:rPr>
      </w:pPr>
      <w:r w:rsidRPr="007F6332">
        <w:lastRenderedPageBreak/>
        <w:t>Figure 8: Average annualised payments per participant over time ($)</w:t>
      </w:r>
      <w:r w:rsidR="00CB7921" w:rsidRPr="007F6332">
        <w:t xml:space="preserve"> </w:t>
      </w:r>
      <w:r w:rsidRPr="007F6332">
        <w:rPr>
          <w:rStyle w:val="FootnoteReference"/>
          <w:b w:val="0"/>
          <w:bCs/>
        </w:rPr>
        <w:footnoteReference w:id="19"/>
      </w:r>
    </w:p>
    <w:p w14:paraId="1BCF5FCF" w14:textId="07B72F0B" w:rsidR="00AD5D8E" w:rsidRPr="007F6332" w:rsidRDefault="00BE0863" w:rsidP="00AD5D8E">
      <w:pPr>
        <w:pStyle w:val="FSRnormal"/>
        <w:spacing w:before="0" w:after="0"/>
        <w:ind w:left="142"/>
        <w:rPr>
          <w:rFonts w:cs="Arial"/>
        </w:rPr>
      </w:pPr>
      <w:r w:rsidRPr="007F6332">
        <w:rPr>
          <w:rFonts w:cs="Arial"/>
          <w:noProof/>
        </w:rPr>
        <w:drawing>
          <wp:inline distT="0" distB="0" distL="0" distR="0" wp14:anchorId="03ED5391" wp14:editId="1758EC52">
            <wp:extent cx="5566410" cy="3228975"/>
            <wp:effectExtent l="0" t="0" r="0" b="9525"/>
            <wp:docPr id="1203265905" name="Picture 1" descr="Figure 8 Trend in average payments experience: all participants. The graph is  shown for the years at 30 June 2019 to 30 June 2023. Average payments per participant has increased at 6.0% on average over the 2019-20 to the 2022-23 period. &#10;In comparison, the 2022-23 financial year observed an increase of 9.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65905" name="Picture 1" descr="Figure 8 Trend in average payments experience: all participants. The graph is  shown for the years at 30 June 2019 to 30 June 2023. Average payments per participant has increased at 6.0% on average over the 2019-20 to the 2022-23 period. &#10;In comparison, the 2022-23 financial year observed an increase of 9.9%. "/>
                    <pic:cNvPicPr/>
                  </pic:nvPicPr>
                  <pic:blipFill>
                    <a:blip r:embed="rId26"/>
                    <a:stretch>
                      <a:fillRect/>
                    </a:stretch>
                  </pic:blipFill>
                  <pic:spPr>
                    <a:xfrm>
                      <a:off x="0" y="0"/>
                      <a:ext cx="5566410" cy="3228975"/>
                    </a:xfrm>
                    <a:prstGeom prst="rect">
                      <a:avLst/>
                    </a:prstGeom>
                  </pic:spPr>
                </pic:pic>
              </a:graphicData>
            </a:graphic>
          </wp:inline>
        </w:drawing>
      </w:r>
    </w:p>
    <w:p w14:paraId="7D9B54EC" w14:textId="5FCEA5F1" w:rsidR="00AD5D8E" w:rsidRPr="007F6332" w:rsidRDefault="00AD5D8E" w:rsidP="00AD5D8E">
      <w:pPr>
        <w:pStyle w:val="FSRnormal"/>
        <w:rPr>
          <w:rFonts w:cs="Arial"/>
        </w:rPr>
      </w:pPr>
      <w:bookmarkStart w:id="11" w:name="_Hlk151707453"/>
      <w:r w:rsidRPr="007F6332">
        <w:rPr>
          <w:rFonts w:cs="Arial"/>
        </w:rPr>
        <w:t>Figure 9 shows the actual growth in average payments per participant increased at a higher rate on average over the last three years, for participants with SIL arrangements (9.8%), compared to those not in SIL arrangements (8.6%). In 2022-23 the increase in average payments was higher, at 15.2% for participants with SIL and 8.1% for participants not in SIL arrangements, compared to 9.9% overall.</w:t>
      </w:r>
    </w:p>
    <w:bookmarkEnd w:id="11"/>
    <w:p w14:paraId="4B15E1F0" w14:textId="6177ED06" w:rsidR="00AD5D8E" w:rsidRPr="007F6332" w:rsidRDefault="00AD5D8E" w:rsidP="00D93505">
      <w:pPr>
        <w:pStyle w:val="FiguresandTablesHeading4"/>
      </w:pPr>
      <w:r w:rsidRPr="007F6332">
        <w:t>Figure 9: Average annualised payments per participant over time by SIL status ($)</w:t>
      </w:r>
    </w:p>
    <w:p w14:paraId="218985F0" w14:textId="062D0291" w:rsidR="00AD5D8E" w:rsidRPr="007F6332" w:rsidRDefault="00004E38" w:rsidP="00AD5D8E">
      <w:pPr>
        <w:rPr>
          <w:rFonts w:cs="Arial"/>
        </w:rPr>
      </w:pPr>
      <w:r w:rsidRPr="007F6332">
        <w:rPr>
          <w:rFonts w:cs="Arial"/>
          <w:noProof/>
        </w:rPr>
        <w:drawing>
          <wp:inline distT="0" distB="0" distL="0" distR="0" wp14:anchorId="0FE559AE" wp14:editId="02820B24">
            <wp:extent cx="5794091" cy="2705100"/>
            <wp:effectExtent l="0" t="0" r="0" b="0"/>
            <wp:docPr id="1453673981" name="Picture 1453673981" descr="Figure 9 Trend in average payments experience: participants with and without SIL supports. The graph shows for the years at 30 June 2019 to 30 June 2023 the actual growth in average payments per participant with SIL increasing at a higher rate on average, over the last three years at 9.8% compared to those not in SIL arrangements at 8.6%. In 2022-23 the increase in average payments was higher, at 15.2% for participants with SIL and 8.1% for participants not in SIL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73981" name="Picture 1453673981" descr="Figure 9 Trend in average payments experience: participants with and without SIL supports. The graph shows for the years at 30 June 2019 to 30 June 2023 the actual growth in average payments per participant with SIL increasing at a higher rate on average, over the last three years at 9.8% compared to those not in SIL arrangements at 8.6%. In 2022-23 the increase in average payments was higher, at 15.2% for participants with SIL and 8.1% for participants not in SIL arrangements."/>
                    <pic:cNvPicPr/>
                  </pic:nvPicPr>
                  <pic:blipFill>
                    <a:blip r:embed="rId27"/>
                    <a:stretch>
                      <a:fillRect/>
                    </a:stretch>
                  </pic:blipFill>
                  <pic:spPr>
                    <a:xfrm>
                      <a:off x="0" y="0"/>
                      <a:ext cx="5798384" cy="2707104"/>
                    </a:xfrm>
                    <a:prstGeom prst="rect">
                      <a:avLst/>
                    </a:prstGeom>
                  </pic:spPr>
                </pic:pic>
              </a:graphicData>
            </a:graphic>
          </wp:inline>
        </w:drawing>
      </w:r>
    </w:p>
    <w:p w14:paraId="33E4022F" w14:textId="7C3095CD" w:rsidR="00AD5D8E" w:rsidRPr="007F6332" w:rsidRDefault="00AD5D8E" w:rsidP="00CD33D0">
      <w:pPr>
        <w:pStyle w:val="FSRHeading2"/>
        <w:ind w:left="0" w:firstLine="0"/>
        <w:rPr>
          <w:rFonts w:cs="Arial"/>
        </w:rPr>
      </w:pPr>
      <w:r w:rsidRPr="007F6332">
        <w:rPr>
          <w:rFonts w:cs="Arial"/>
        </w:rPr>
        <w:lastRenderedPageBreak/>
        <w:t>Average payment growth experience</w:t>
      </w:r>
    </w:p>
    <w:p w14:paraId="4D348F2E" w14:textId="77777777" w:rsidR="00AD5D8E" w:rsidRPr="007F6332" w:rsidRDefault="00AD5D8E" w:rsidP="00AD5D8E">
      <w:pPr>
        <w:pStyle w:val="FSRnormal"/>
        <w:rPr>
          <w:rFonts w:cs="Arial"/>
        </w:rPr>
      </w:pPr>
      <w:r w:rsidRPr="007F6332">
        <w:rPr>
          <w:rFonts w:cs="Arial"/>
        </w:rPr>
        <w:t>Scheme expenses increase over time with growth in the average payments per participant, both from normal inflationary sources (i.e., general increases in wages and consumer prices) and from additional sources, referred to as additional growth</w:t>
      </w:r>
      <w:r w:rsidRPr="007F6332">
        <w:rPr>
          <w:rStyle w:val="FootnoteReference"/>
          <w:rFonts w:cs="Arial"/>
        </w:rPr>
        <w:footnoteReference w:id="20"/>
      </w:r>
      <w:r w:rsidRPr="007F6332">
        <w:rPr>
          <w:rFonts w:cs="Arial"/>
        </w:rPr>
        <w:t>.</w:t>
      </w:r>
    </w:p>
    <w:p w14:paraId="7465A3D6" w14:textId="7BB31CFA" w:rsidR="00AD5D8E" w:rsidRPr="007F6332" w:rsidRDefault="00AD5D8E" w:rsidP="00AD5D8E">
      <w:pPr>
        <w:pStyle w:val="FSRnormal"/>
        <w:rPr>
          <w:rFonts w:cs="Arial"/>
        </w:rPr>
      </w:pPr>
      <w:r w:rsidRPr="007F6332">
        <w:rPr>
          <w:rFonts w:cs="Arial"/>
        </w:rPr>
        <w:t xml:space="preserve">Table 9 shows a breakdown of the observed annual growth in average payments per participant </w:t>
      </w:r>
      <w:r w:rsidR="00877A06" w:rsidRPr="007F6332">
        <w:rPr>
          <w:rFonts w:cs="Arial"/>
        </w:rPr>
        <w:t xml:space="preserve">from </w:t>
      </w:r>
      <w:r w:rsidRPr="007F6332">
        <w:rPr>
          <w:rFonts w:cs="Arial"/>
        </w:rPr>
        <w:t xml:space="preserve">2019-20 to 2022-23. </w:t>
      </w:r>
      <w:r w:rsidR="005C5EB7" w:rsidRPr="007F6332">
        <w:rPr>
          <w:rFonts w:cs="Arial"/>
        </w:rPr>
        <w:t>After allowing for pricing impacts and changes in participant mix, the</w:t>
      </w:r>
      <w:r w:rsidRPr="007F6332">
        <w:rPr>
          <w:rFonts w:cs="Arial"/>
        </w:rPr>
        <w:t xml:space="preserve"> actual growth in average payments per participant for the year ending 30 June 2023 was 7.4%, an increase of 2.1% compared to 2021-22.</w:t>
      </w:r>
      <w:bookmarkStart w:id="12" w:name="_Ref112410988"/>
    </w:p>
    <w:p w14:paraId="7A4B378F" w14:textId="77777777" w:rsidR="00AD5D8E" w:rsidRPr="007F6332" w:rsidRDefault="00AD5D8E" w:rsidP="00D93505">
      <w:pPr>
        <w:pStyle w:val="FiguresandTablesHeading4"/>
      </w:pPr>
      <w:r w:rsidRPr="007F6332">
        <w:t xml:space="preserve">Table </w:t>
      </w:r>
      <w:bookmarkEnd w:id="12"/>
      <w:r w:rsidRPr="007F6332">
        <w:t>9: Breakdown of past observed growth in average payments per participant</w:t>
      </w:r>
      <w:r w:rsidRPr="007F6332">
        <w:rPr>
          <w:vertAlign w:val="superscript"/>
        </w:rPr>
        <w:footnoteReference w:id="21"/>
      </w:r>
      <w:r w:rsidRPr="007F6332">
        <w:t xml:space="preserve"> </w:t>
      </w:r>
    </w:p>
    <w:tbl>
      <w:tblPr>
        <w:tblW w:w="5175"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8"/>
        <w:gridCol w:w="1363"/>
        <w:gridCol w:w="1363"/>
        <w:gridCol w:w="1363"/>
        <w:gridCol w:w="1363"/>
        <w:gridCol w:w="1363"/>
      </w:tblGrid>
      <w:tr w:rsidR="00FC5A53" w:rsidRPr="007F6332" w14:paraId="2A98BAB2" w14:textId="77777777" w:rsidTr="00FC5A53">
        <w:trPr>
          <w:trHeight w:val="300"/>
        </w:trPr>
        <w:tc>
          <w:tcPr>
            <w:tcW w:w="1244" w:type="pct"/>
            <w:tcBorders>
              <w:top w:val="nil"/>
              <w:left w:val="nil"/>
              <w:bottom w:val="nil"/>
              <w:right w:val="nil"/>
            </w:tcBorders>
            <w:shd w:val="clear" w:color="auto" w:fill="6B2976"/>
            <w:vAlign w:val="center"/>
            <w:hideMark/>
          </w:tcPr>
          <w:p w14:paraId="329F5BAA" w14:textId="77777777" w:rsidR="00AD5D8E" w:rsidRPr="007F6332" w:rsidRDefault="00AD5D8E" w:rsidP="00875C1F">
            <w:pPr>
              <w:spacing w:after="0" w:line="240" w:lineRule="auto"/>
              <w:ind w:left="142"/>
              <w:textAlignment w:val="baseline"/>
              <w:rPr>
                <w:rFonts w:eastAsia="Times New Roman" w:cs="Arial"/>
                <w:b/>
                <w:bCs/>
                <w:i/>
                <w:iCs/>
                <w:color w:val="800000"/>
                <w:szCs w:val="22"/>
                <w:lang w:eastAsia="en-AU"/>
              </w:rPr>
            </w:pPr>
            <w:r w:rsidRPr="007F6332">
              <w:rPr>
                <w:rFonts w:eastAsia="Times New Roman" w:cs="Arial"/>
                <w:b/>
                <w:bCs/>
                <w:color w:val="FFFFFF"/>
                <w:szCs w:val="22"/>
                <w:lang w:eastAsia="en-AU"/>
              </w:rPr>
              <w:t>Item of inflation</w:t>
            </w:r>
            <w:r w:rsidRPr="007F6332">
              <w:rPr>
                <w:rFonts w:eastAsia="Times New Roman" w:cs="Arial"/>
                <w:b/>
                <w:bCs/>
                <w:i/>
                <w:iCs/>
                <w:color w:val="FFFFFF"/>
                <w:szCs w:val="22"/>
                <w:lang w:eastAsia="en-AU"/>
              </w:rPr>
              <w:t> </w:t>
            </w:r>
          </w:p>
        </w:tc>
        <w:tc>
          <w:tcPr>
            <w:tcW w:w="751" w:type="pct"/>
            <w:tcBorders>
              <w:top w:val="nil"/>
              <w:left w:val="nil"/>
              <w:bottom w:val="nil"/>
              <w:right w:val="nil"/>
            </w:tcBorders>
            <w:shd w:val="clear" w:color="auto" w:fill="6B2976"/>
            <w:vAlign w:val="center"/>
            <w:hideMark/>
          </w:tcPr>
          <w:p w14:paraId="268C6632" w14:textId="77777777" w:rsidR="00AD5D8E" w:rsidRPr="007F6332" w:rsidRDefault="00AD5D8E" w:rsidP="00875C1F">
            <w:pPr>
              <w:spacing w:after="0" w:line="240" w:lineRule="auto"/>
              <w:jc w:val="right"/>
              <w:textAlignment w:val="baseline"/>
              <w:rPr>
                <w:rFonts w:eastAsia="Times New Roman" w:cs="Arial"/>
                <w:b/>
                <w:bCs/>
                <w:i/>
                <w:iCs/>
                <w:color w:val="800000"/>
                <w:szCs w:val="22"/>
                <w:lang w:eastAsia="en-AU"/>
              </w:rPr>
            </w:pPr>
            <w:r w:rsidRPr="007F6332">
              <w:rPr>
                <w:rFonts w:eastAsia="Times New Roman" w:cs="Arial"/>
                <w:b/>
                <w:bCs/>
                <w:color w:val="FFFFFF"/>
                <w:szCs w:val="22"/>
                <w:lang w:eastAsia="en-AU"/>
              </w:rPr>
              <w:t>2019-20</w:t>
            </w:r>
          </w:p>
        </w:tc>
        <w:tc>
          <w:tcPr>
            <w:tcW w:w="751" w:type="pct"/>
            <w:tcBorders>
              <w:top w:val="nil"/>
              <w:left w:val="nil"/>
              <w:bottom w:val="nil"/>
              <w:right w:val="nil"/>
            </w:tcBorders>
            <w:shd w:val="clear" w:color="auto" w:fill="6B2976"/>
            <w:vAlign w:val="center"/>
            <w:hideMark/>
          </w:tcPr>
          <w:p w14:paraId="7339530B" w14:textId="77777777" w:rsidR="00AD5D8E" w:rsidRPr="007F6332" w:rsidRDefault="00AD5D8E" w:rsidP="00875C1F">
            <w:pPr>
              <w:spacing w:after="0" w:line="240" w:lineRule="auto"/>
              <w:jc w:val="right"/>
              <w:textAlignment w:val="baseline"/>
              <w:rPr>
                <w:rFonts w:eastAsia="Times New Roman" w:cs="Arial"/>
                <w:b/>
                <w:bCs/>
                <w:i/>
                <w:iCs/>
                <w:color w:val="800000"/>
                <w:szCs w:val="22"/>
                <w:lang w:eastAsia="en-AU"/>
              </w:rPr>
            </w:pPr>
            <w:r w:rsidRPr="007F6332">
              <w:rPr>
                <w:rFonts w:eastAsia="Times New Roman" w:cs="Arial"/>
                <w:b/>
                <w:bCs/>
                <w:color w:val="FFFFFF"/>
                <w:szCs w:val="22"/>
                <w:lang w:eastAsia="en-AU"/>
              </w:rPr>
              <w:t>2020-21</w:t>
            </w:r>
          </w:p>
        </w:tc>
        <w:tc>
          <w:tcPr>
            <w:tcW w:w="751" w:type="pct"/>
            <w:tcBorders>
              <w:top w:val="nil"/>
              <w:left w:val="nil"/>
              <w:bottom w:val="nil"/>
              <w:right w:val="nil"/>
            </w:tcBorders>
            <w:shd w:val="clear" w:color="auto" w:fill="6B2976"/>
            <w:vAlign w:val="center"/>
            <w:hideMark/>
          </w:tcPr>
          <w:p w14:paraId="7933C6C0" w14:textId="77777777" w:rsidR="00AD5D8E" w:rsidRPr="007F6332" w:rsidRDefault="00AD5D8E" w:rsidP="00875C1F">
            <w:pPr>
              <w:spacing w:after="0" w:line="240" w:lineRule="auto"/>
              <w:jc w:val="right"/>
              <w:textAlignment w:val="baseline"/>
              <w:rPr>
                <w:rFonts w:eastAsia="Times New Roman" w:cs="Arial"/>
                <w:b/>
                <w:bCs/>
                <w:i/>
                <w:iCs/>
                <w:color w:val="800000"/>
                <w:szCs w:val="22"/>
                <w:lang w:eastAsia="en-AU"/>
              </w:rPr>
            </w:pPr>
            <w:r w:rsidRPr="007F6332">
              <w:rPr>
                <w:rFonts w:eastAsia="Times New Roman" w:cs="Arial"/>
                <w:b/>
                <w:bCs/>
                <w:color w:val="FFFFFF"/>
                <w:szCs w:val="22"/>
                <w:lang w:eastAsia="en-AU"/>
              </w:rPr>
              <w:t>2021-22</w:t>
            </w:r>
          </w:p>
        </w:tc>
        <w:tc>
          <w:tcPr>
            <w:tcW w:w="751" w:type="pct"/>
            <w:tcBorders>
              <w:top w:val="nil"/>
              <w:left w:val="nil"/>
              <w:bottom w:val="nil"/>
              <w:right w:val="nil"/>
            </w:tcBorders>
            <w:shd w:val="clear" w:color="auto" w:fill="6B2976"/>
            <w:vAlign w:val="center"/>
            <w:hideMark/>
          </w:tcPr>
          <w:p w14:paraId="525CBA65" w14:textId="77777777" w:rsidR="00AD5D8E" w:rsidRPr="007F6332" w:rsidRDefault="00AD5D8E" w:rsidP="00875C1F">
            <w:pPr>
              <w:spacing w:after="0" w:line="240" w:lineRule="auto"/>
              <w:jc w:val="right"/>
              <w:textAlignment w:val="baseline"/>
              <w:rPr>
                <w:rFonts w:eastAsia="Times New Roman" w:cs="Arial"/>
                <w:b/>
                <w:bCs/>
                <w:i/>
                <w:iCs/>
                <w:color w:val="800000"/>
                <w:szCs w:val="22"/>
                <w:lang w:eastAsia="en-AU"/>
              </w:rPr>
            </w:pPr>
            <w:r w:rsidRPr="007F6332">
              <w:rPr>
                <w:rFonts w:eastAsia="Times New Roman" w:cs="Arial"/>
                <w:b/>
                <w:bCs/>
                <w:color w:val="FFFFFF"/>
                <w:szCs w:val="22"/>
                <w:lang w:eastAsia="en-AU"/>
              </w:rPr>
              <w:t>2022-23</w:t>
            </w:r>
          </w:p>
        </w:tc>
        <w:tc>
          <w:tcPr>
            <w:tcW w:w="751" w:type="pct"/>
            <w:tcBorders>
              <w:top w:val="nil"/>
              <w:left w:val="nil"/>
              <w:bottom w:val="nil"/>
              <w:right w:val="nil"/>
            </w:tcBorders>
            <w:shd w:val="clear" w:color="auto" w:fill="6B2976"/>
            <w:vAlign w:val="center"/>
            <w:hideMark/>
          </w:tcPr>
          <w:p w14:paraId="117F3C41" w14:textId="77777777" w:rsidR="00C11F93" w:rsidRPr="007F6332" w:rsidRDefault="00AD5D8E" w:rsidP="00C1755E">
            <w:pPr>
              <w:spacing w:after="0" w:line="240" w:lineRule="auto"/>
              <w:ind w:left="-200"/>
              <w:jc w:val="right"/>
              <w:textAlignment w:val="baseline"/>
              <w:rPr>
                <w:rFonts w:eastAsia="Times New Roman" w:cs="Arial"/>
                <w:b/>
                <w:bCs/>
                <w:color w:val="FFFFFF"/>
                <w:szCs w:val="22"/>
                <w:lang w:eastAsia="en-AU"/>
              </w:rPr>
            </w:pPr>
            <w:r w:rsidRPr="007F6332">
              <w:rPr>
                <w:rFonts w:eastAsia="Times New Roman" w:cs="Arial"/>
                <w:b/>
                <w:bCs/>
                <w:color w:val="FFFFFF"/>
                <w:szCs w:val="22"/>
                <w:lang w:eastAsia="en-AU"/>
              </w:rPr>
              <w:t xml:space="preserve">3 Year </w:t>
            </w:r>
          </w:p>
          <w:p w14:paraId="4A679E44" w14:textId="65CA006D" w:rsidR="00AD5D8E" w:rsidRPr="007F6332" w:rsidRDefault="00AD5D8E" w:rsidP="00875C1F">
            <w:pPr>
              <w:spacing w:after="0" w:line="240" w:lineRule="auto"/>
              <w:jc w:val="right"/>
              <w:textAlignment w:val="baseline"/>
              <w:rPr>
                <w:rFonts w:eastAsia="Times New Roman" w:cs="Arial"/>
                <w:b/>
                <w:bCs/>
                <w:color w:val="FFFFFF"/>
                <w:szCs w:val="22"/>
                <w:lang w:eastAsia="en-AU"/>
              </w:rPr>
            </w:pPr>
            <w:r w:rsidRPr="007F6332">
              <w:rPr>
                <w:rFonts w:eastAsia="Times New Roman" w:cs="Arial"/>
                <w:b/>
                <w:bCs/>
                <w:color w:val="FFFFFF"/>
                <w:szCs w:val="22"/>
                <w:lang w:eastAsia="en-AU"/>
              </w:rPr>
              <w:t>Average</w:t>
            </w:r>
          </w:p>
          <w:p w14:paraId="042F6DEC" w14:textId="77777777" w:rsidR="00AD5D8E" w:rsidRPr="007F6332" w:rsidRDefault="00AD5D8E" w:rsidP="00875C1F">
            <w:pPr>
              <w:spacing w:after="0" w:line="240" w:lineRule="auto"/>
              <w:jc w:val="right"/>
              <w:textAlignment w:val="baseline"/>
              <w:rPr>
                <w:rFonts w:eastAsia="Times New Roman" w:cs="Arial"/>
                <w:b/>
                <w:bCs/>
                <w:i/>
                <w:iCs/>
                <w:color w:val="800000"/>
                <w:szCs w:val="22"/>
                <w:lang w:eastAsia="en-AU"/>
              </w:rPr>
            </w:pPr>
            <w:r w:rsidRPr="007F6332">
              <w:rPr>
                <w:rFonts w:eastAsia="Times New Roman" w:cs="Arial"/>
                <w:b/>
                <w:bCs/>
                <w:color w:val="FFFFFF"/>
                <w:szCs w:val="22"/>
                <w:lang w:eastAsia="en-AU"/>
              </w:rPr>
              <w:t>2020-23</w:t>
            </w:r>
          </w:p>
        </w:tc>
      </w:tr>
      <w:tr w:rsidR="00FC5A53" w:rsidRPr="007F6332" w14:paraId="377B28A9" w14:textId="77777777" w:rsidTr="00FC5A53">
        <w:trPr>
          <w:trHeight w:val="397"/>
        </w:trPr>
        <w:tc>
          <w:tcPr>
            <w:tcW w:w="1244" w:type="pct"/>
            <w:tcBorders>
              <w:top w:val="nil"/>
              <w:left w:val="nil"/>
              <w:bottom w:val="nil"/>
              <w:right w:val="nil"/>
            </w:tcBorders>
            <w:shd w:val="clear" w:color="auto" w:fill="B398B8"/>
            <w:vAlign w:val="center"/>
            <w:hideMark/>
          </w:tcPr>
          <w:p w14:paraId="403F0ED6" w14:textId="77777777" w:rsidR="00AD5D8E" w:rsidRPr="007F6332" w:rsidRDefault="00AD5D8E" w:rsidP="00875C1F">
            <w:pPr>
              <w:spacing w:after="0" w:line="240" w:lineRule="auto"/>
              <w:ind w:left="142"/>
              <w:textAlignment w:val="baseline"/>
              <w:rPr>
                <w:rFonts w:eastAsia="Times New Roman" w:cs="Arial"/>
                <w:b/>
                <w:bCs/>
                <w:color w:val="000000"/>
                <w:szCs w:val="22"/>
                <w:lang w:eastAsia="en-AU"/>
              </w:rPr>
            </w:pPr>
            <w:r w:rsidRPr="007F6332">
              <w:rPr>
                <w:rFonts w:eastAsia="Times New Roman" w:cs="Arial"/>
                <w:b/>
                <w:bCs/>
                <w:color w:val="000000"/>
                <w:szCs w:val="22"/>
                <w:lang w:eastAsia="en-AU"/>
              </w:rPr>
              <w:t>Observed inflation </w:t>
            </w:r>
          </w:p>
        </w:tc>
        <w:tc>
          <w:tcPr>
            <w:tcW w:w="751" w:type="pct"/>
            <w:tcBorders>
              <w:top w:val="nil"/>
              <w:left w:val="nil"/>
              <w:bottom w:val="nil"/>
              <w:right w:val="nil"/>
            </w:tcBorders>
            <w:shd w:val="clear" w:color="auto" w:fill="B398B8"/>
            <w:vAlign w:val="center"/>
            <w:hideMark/>
          </w:tcPr>
          <w:p w14:paraId="4E290F38" w14:textId="77777777" w:rsidR="00AD5D8E" w:rsidRPr="007F6332" w:rsidRDefault="00AD5D8E" w:rsidP="00875C1F">
            <w:pPr>
              <w:spacing w:after="0" w:line="240" w:lineRule="auto"/>
              <w:jc w:val="right"/>
              <w:textAlignment w:val="baseline"/>
              <w:rPr>
                <w:rFonts w:eastAsia="Times New Roman" w:cs="Arial"/>
                <w:b/>
                <w:bCs/>
                <w:color w:val="000000"/>
                <w:szCs w:val="22"/>
                <w:lang w:eastAsia="en-AU"/>
              </w:rPr>
            </w:pPr>
            <w:r w:rsidRPr="007F6332">
              <w:rPr>
                <w:rFonts w:cs="Arial"/>
                <w:b/>
                <w:bCs/>
                <w:color w:val="000000"/>
                <w:szCs w:val="22"/>
              </w:rPr>
              <w:t>19.6%</w:t>
            </w:r>
          </w:p>
        </w:tc>
        <w:tc>
          <w:tcPr>
            <w:tcW w:w="751" w:type="pct"/>
            <w:tcBorders>
              <w:top w:val="nil"/>
              <w:left w:val="nil"/>
              <w:bottom w:val="nil"/>
              <w:right w:val="nil"/>
            </w:tcBorders>
            <w:shd w:val="clear" w:color="auto" w:fill="B398B8"/>
            <w:vAlign w:val="center"/>
            <w:hideMark/>
          </w:tcPr>
          <w:p w14:paraId="1839AB44" w14:textId="77777777" w:rsidR="00AD5D8E" w:rsidRPr="007F6332" w:rsidRDefault="00AD5D8E" w:rsidP="00875C1F">
            <w:pPr>
              <w:spacing w:after="0" w:line="240" w:lineRule="auto"/>
              <w:jc w:val="right"/>
              <w:textAlignment w:val="baseline"/>
              <w:rPr>
                <w:rFonts w:eastAsia="Times New Roman" w:cs="Arial"/>
                <w:b/>
                <w:bCs/>
                <w:color w:val="000000"/>
                <w:szCs w:val="22"/>
                <w:lang w:eastAsia="en-AU"/>
              </w:rPr>
            </w:pPr>
            <w:r w:rsidRPr="007F6332">
              <w:rPr>
                <w:rFonts w:cs="Arial"/>
                <w:b/>
                <w:bCs/>
                <w:color w:val="000000"/>
                <w:szCs w:val="22"/>
              </w:rPr>
              <w:t>6.9%</w:t>
            </w:r>
          </w:p>
        </w:tc>
        <w:tc>
          <w:tcPr>
            <w:tcW w:w="751" w:type="pct"/>
            <w:tcBorders>
              <w:top w:val="nil"/>
              <w:left w:val="nil"/>
              <w:bottom w:val="nil"/>
              <w:right w:val="nil"/>
            </w:tcBorders>
            <w:shd w:val="clear" w:color="auto" w:fill="B398B8"/>
            <w:vAlign w:val="center"/>
            <w:hideMark/>
          </w:tcPr>
          <w:p w14:paraId="776C13F6" w14:textId="77777777" w:rsidR="00AD5D8E" w:rsidRPr="007F6332" w:rsidRDefault="00AD5D8E" w:rsidP="00875C1F">
            <w:pPr>
              <w:spacing w:after="0" w:line="240" w:lineRule="auto"/>
              <w:jc w:val="right"/>
              <w:textAlignment w:val="baseline"/>
              <w:rPr>
                <w:rFonts w:eastAsia="Times New Roman" w:cs="Arial"/>
                <w:b/>
                <w:bCs/>
                <w:color w:val="000000"/>
                <w:szCs w:val="22"/>
                <w:lang w:eastAsia="en-AU"/>
              </w:rPr>
            </w:pPr>
            <w:r w:rsidRPr="007F6332">
              <w:rPr>
                <w:rFonts w:cs="Arial"/>
                <w:b/>
                <w:bCs/>
                <w:color w:val="000000"/>
                <w:szCs w:val="22"/>
              </w:rPr>
              <w:t>1.6%</w:t>
            </w:r>
          </w:p>
        </w:tc>
        <w:tc>
          <w:tcPr>
            <w:tcW w:w="751" w:type="pct"/>
            <w:tcBorders>
              <w:top w:val="nil"/>
              <w:left w:val="nil"/>
              <w:bottom w:val="nil"/>
              <w:right w:val="nil"/>
            </w:tcBorders>
            <w:shd w:val="clear" w:color="auto" w:fill="B398B8"/>
            <w:vAlign w:val="center"/>
            <w:hideMark/>
          </w:tcPr>
          <w:p w14:paraId="0846B06B" w14:textId="77777777" w:rsidR="00AD5D8E" w:rsidRPr="007F6332" w:rsidRDefault="00AD5D8E" w:rsidP="00875C1F">
            <w:pPr>
              <w:spacing w:after="0" w:line="240" w:lineRule="auto"/>
              <w:jc w:val="right"/>
              <w:textAlignment w:val="baseline"/>
              <w:rPr>
                <w:rFonts w:eastAsia="Times New Roman" w:cs="Arial"/>
                <w:b/>
                <w:bCs/>
                <w:color w:val="000000"/>
                <w:szCs w:val="22"/>
                <w:lang w:eastAsia="en-AU"/>
              </w:rPr>
            </w:pPr>
            <w:r w:rsidRPr="007F6332">
              <w:rPr>
                <w:rFonts w:cs="Arial"/>
                <w:b/>
                <w:bCs/>
                <w:color w:val="000000"/>
                <w:szCs w:val="22"/>
              </w:rPr>
              <w:t>9.9%</w:t>
            </w:r>
          </w:p>
        </w:tc>
        <w:tc>
          <w:tcPr>
            <w:tcW w:w="751" w:type="pct"/>
            <w:tcBorders>
              <w:top w:val="nil"/>
              <w:left w:val="nil"/>
              <w:bottom w:val="nil"/>
              <w:right w:val="nil"/>
            </w:tcBorders>
            <w:shd w:val="clear" w:color="auto" w:fill="B398B8"/>
            <w:vAlign w:val="center"/>
            <w:hideMark/>
          </w:tcPr>
          <w:p w14:paraId="1AEAA9A7" w14:textId="77777777" w:rsidR="00AD5D8E" w:rsidRPr="007F6332" w:rsidRDefault="00AD5D8E" w:rsidP="00875C1F">
            <w:pPr>
              <w:spacing w:after="0" w:line="240" w:lineRule="auto"/>
              <w:jc w:val="right"/>
              <w:textAlignment w:val="baseline"/>
              <w:rPr>
                <w:rFonts w:eastAsia="Times New Roman" w:cs="Arial"/>
                <w:b/>
                <w:bCs/>
                <w:color w:val="000000"/>
                <w:szCs w:val="22"/>
                <w:lang w:eastAsia="en-AU"/>
              </w:rPr>
            </w:pPr>
            <w:r w:rsidRPr="007F6332">
              <w:rPr>
                <w:rFonts w:cs="Arial"/>
                <w:b/>
                <w:bCs/>
                <w:color w:val="000000"/>
                <w:szCs w:val="22"/>
              </w:rPr>
              <w:t>6.0%</w:t>
            </w:r>
          </w:p>
        </w:tc>
      </w:tr>
      <w:tr w:rsidR="00FC5A53" w:rsidRPr="007F6332" w14:paraId="25393FE1" w14:textId="77777777" w:rsidTr="00FC5A53">
        <w:trPr>
          <w:trHeight w:val="397"/>
        </w:trPr>
        <w:tc>
          <w:tcPr>
            <w:tcW w:w="1244" w:type="pct"/>
            <w:tcBorders>
              <w:top w:val="nil"/>
              <w:left w:val="nil"/>
              <w:bottom w:val="nil"/>
              <w:right w:val="nil"/>
            </w:tcBorders>
            <w:shd w:val="clear" w:color="000000" w:fill="A7A9AC"/>
            <w:vAlign w:val="center"/>
            <w:hideMark/>
          </w:tcPr>
          <w:p w14:paraId="0AD3AFB1" w14:textId="77777777" w:rsidR="00AD5D8E" w:rsidRPr="007F6332" w:rsidRDefault="00AD5D8E" w:rsidP="00875C1F">
            <w:pPr>
              <w:spacing w:after="0" w:line="240" w:lineRule="auto"/>
              <w:ind w:left="142"/>
              <w:textAlignment w:val="baseline"/>
              <w:rPr>
                <w:rFonts w:eastAsia="Times New Roman" w:cs="Arial"/>
                <w:color w:val="000000"/>
                <w:szCs w:val="22"/>
                <w:lang w:eastAsia="en-AU"/>
              </w:rPr>
            </w:pPr>
            <w:r w:rsidRPr="007F6332">
              <w:rPr>
                <w:rFonts w:eastAsia="Times New Roman" w:cs="Arial"/>
                <w:color w:val="000000"/>
                <w:szCs w:val="22"/>
                <w:lang w:eastAsia="en-AU"/>
              </w:rPr>
              <w:t>less pricing impact</w:t>
            </w:r>
          </w:p>
        </w:tc>
        <w:tc>
          <w:tcPr>
            <w:tcW w:w="751" w:type="pct"/>
            <w:tcBorders>
              <w:top w:val="nil"/>
              <w:left w:val="nil"/>
              <w:bottom w:val="nil"/>
              <w:right w:val="nil"/>
            </w:tcBorders>
            <w:shd w:val="clear" w:color="000000" w:fill="A7A9AC"/>
            <w:vAlign w:val="center"/>
            <w:hideMark/>
          </w:tcPr>
          <w:p w14:paraId="7607DA09"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12.0%</w:t>
            </w:r>
          </w:p>
        </w:tc>
        <w:tc>
          <w:tcPr>
            <w:tcW w:w="751" w:type="pct"/>
            <w:tcBorders>
              <w:top w:val="nil"/>
              <w:left w:val="nil"/>
              <w:bottom w:val="nil"/>
              <w:right w:val="nil"/>
            </w:tcBorders>
            <w:shd w:val="clear" w:color="000000" w:fill="A7A9AC"/>
            <w:vAlign w:val="center"/>
            <w:hideMark/>
          </w:tcPr>
          <w:p w14:paraId="26448913"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2.1%</w:t>
            </w:r>
          </w:p>
        </w:tc>
        <w:tc>
          <w:tcPr>
            <w:tcW w:w="751" w:type="pct"/>
            <w:tcBorders>
              <w:top w:val="nil"/>
              <w:left w:val="nil"/>
              <w:bottom w:val="nil"/>
              <w:right w:val="nil"/>
            </w:tcBorders>
            <w:shd w:val="clear" w:color="000000" w:fill="A7A9AC"/>
            <w:vAlign w:val="center"/>
            <w:hideMark/>
          </w:tcPr>
          <w:p w14:paraId="2E4B76D8"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2.4%</w:t>
            </w:r>
          </w:p>
        </w:tc>
        <w:tc>
          <w:tcPr>
            <w:tcW w:w="751" w:type="pct"/>
            <w:tcBorders>
              <w:top w:val="nil"/>
              <w:left w:val="nil"/>
              <w:bottom w:val="nil"/>
              <w:right w:val="nil"/>
            </w:tcBorders>
            <w:shd w:val="clear" w:color="000000" w:fill="A7A9AC"/>
            <w:vAlign w:val="center"/>
            <w:hideMark/>
          </w:tcPr>
          <w:p w14:paraId="201B0740"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6.8%</w:t>
            </w:r>
          </w:p>
        </w:tc>
        <w:tc>
          <w:tcPr>
            <w:tcW w:w="751" w:type="pct"/>
            <w:tcBorders>
              <w:top w:val="nil"/>
              <w:left w:val="nil"/>
              <w:bottom w:val="nil"/>
              <w:right w:val="nil"/>
            </w:tcBorders>
            <w:shd w:val="clear" w:color="000000" w:fill="A7A9AC"/>
            <w:vAlign w:val="center"/>
            <w:hideMark/>
          </w:tcPr>
          <w:p w14:paraId="47F1E05E"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3.7%</w:t>
            </w:r>
          </w:p>
        </w:tc>
      </w:tr>
      <w:tr w:rsidR="00AD5D8E" w:rsidRPr="007F6332" w14:paraId="10A895B2" w14:textId="77777777" w:rsidTr="00C1755E">
        <w:trPr>
          <w:trHeight w:val="397"/>
        </w:trPr>
        <w:tc>
          <w:tcPr>
            <w:tcW w:w="1244" w:type="pct"/>
            <w:tcBorders>
              <w:top w:val="nil"/>
              <w:left w:val="nil"/>
              <w:bottom w:val="nil"/>
              <w:right w:val="nil"/>
            </w:tcBorders>
            <w:shd w:val="clear" w:color="auto" w:fill="auto"/>
            <w:vAlign w:val="center"/>
            <w:hideMark/>
          </w:tcPr>
          <w:p w14:paraId="20546A64" w14:textId="77777777" w:rsidR="00AD5D8E" w:rsidRPr="007F6332" w:rsidRDefault="00AD5D8E" w:rsidP="00875C1F">
            <w:pPr>
              <w:spacing w:after="0" w:line="240" w:lineRule="auto"/>
              <w:ind w:left="142"/>
              <w:textAlignment w:val="baseline"/>
              <w:rPr>
                <w:rFonts w:eastAsia="Times New Roman" w:cs="Arial"/>
                <w:color w:val="000000"/>
                <w:szCs w:val="22"/>
                <w:lang w:eastAsia="en-AU"/>
              </w:rPr>
            </w:pPr>
            <w:r w:rsidRPr="007F6332">
              <w:rPr>
                <w:rFonts w:eastAsia="Times New Roman" w:cs="Arial"/>
                <w:color w:val="000000"/>
                <w:szCs w:val="22"/>
                <w:lang w:eastAsia="en-AU"/>
              </w:rPr>
              <w:t>less change in mix</w:t>
            </w:r>
            <w:r w:rsidRPr="007F6332">
              <w:rPr>
                <w:rStyle w:val="FootnoteReference"/>
                <w:rFonts w:eastAsia="Times New Roman" w:cs="Arial"/>
                <w:color w:val="000000"/>
                <w:szCs w:val="22"/>
                <w:lang w:eastAsia="en-AU"/>
              </w:rPr>
              <w:footnoteReference w:id="22"/>
            </w:r>
          </w:p>
        </w:tc>
        <w:tc>
          <w:tcPr>
            <w:tcW w:w="751" w:type="pct"/>
            <w:tcBorders>
              <w:top w:val="nil"/>
              <w:left w:val="nil"/>
              <w:bottom w:val="nil"/>
              <w:right w:val="nil"/>
            </w:tcBorders>
            <w:shd w:val="clear" w:color="auto" w:fill="auto"/>
            <w:vAlign w:val="center"/>
            <w:hideMark/>
          </w:tcPr>
          <w:p w14:paraId="61823506"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-6.7%</w:t>
            </w:r>
          </w:p>
        </w:tc>
        <w:tc>
          <w:tcPr>
            <w:tcW w:w="751" w:type="pct"/>
            <w:tcBorders>
              <w:top w:val="nil"/>
              <w:left w:val="nil"/>
              <w:bottom w:val="nil"/>
              <w:right w:val="nil"/>
            </w:tcBorders>
            <w:shd w:val="clear" w:color="auto" w:fill="auto"/>
            <w:vAlign w:val="center"/>
            <w:hideMark/>
          </w:tcPr>
          <w:p w14:paraId="5B3917F2"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-9.2%</w:t>
            </w:r>
          </w:p>
        </w:tc>
        <w:tc>
          <w:tcPr>
            <w:tcW w:w="751" w:type="pct"/>
            <w:tcBorders>
              <w:top w:val="nil"/>
              <w:left w:val="nil"/>
              <w:bottom w:val="nil"/>
              <w:right w:val="nil"/>
            </w:tcBorders>
            <w:shd w:val="clear" w:color="auto" w:fill="auto"/>
            <w:vAlign w:val="center"/>
            <w:hideMark/>
          </w:tcPr>
          <w:p w14:paraId="385886EA"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-6.2%</w:t>
            </w:r>
          </w:p>
        </w:tc>
        <w:tc>
          <w:tcPr>
            <w:tcW w:w="751" w:type="pct"/>
            <w:tcBorders>
              <w:top w:val="nil"/>
              <w:left w:val="nil"/>
              <w:bottom w:val="nil"/>
              <w:right w:val="nil"/>
            </w:tcBorders>
            <w:shd w:val="clear" w:color="auto" w:fill="auto"/>
            <w:vAlign w:val="center"/>
            <w:hideMark/>
          </w:tcPr>
          <w:p w14:paraId="373C9D58"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-4.3%</w:t>
            </w:r>
          </w:p>
        </w:tc>
        <w:tc>
          <w:tcPr>
            <w:tcW w:w="751" w:type="pct"/>
            <w:tcBorders>
              <w:top w:val="nil"/>
              <w:left w:val="nil"/>
              <w:bottom w:val="nil"/>
              <w:right w:val="nil"/>
            </w:tcBorders>
            <w:shd w:val="clear" w:color="auto" w:fill="auto"/>
            <w:vAlign w:val="center"/>
            <w:hideMark/>
          </w:tcPr>
          <w:p w14:paraId="2B6D06BF" w14:textId="77777777" w:rsidR="00AD5D8E" w:rsidRPr="007F6332" w:rsidRDefault="00AD5D8E" w:rsidP="00875C1F">
            <w:pPr>
              <w:spacing w:after="0" w:line="240" w:lineRule="auto"/>
              <w:jc w:val="right"/>
              <w:textAlignment w:val="baseline"/>
              <w:rPr>
                <w:rFonts w:eastAsia="Times New Roman" w:cs="Arial"/>
                <w:color w:val="000000"/>
                <w:szCs w:val="22"/>
                <w:lang w:eastAsia="en-AU"/>
              </w:rPr>
            </w:pPr>
            <w:r w:rsidRPr="007F6332">
              <w:rPr>
                <w:rFonts w:cs="Arial"/>
                <w:color w:val="000000"/>
                <w:szCs w:val="22"/>
              </w:rPr>
              <w:t>-6.6%</w:t>
            </w:r>
          </w:p>
        </w:tc>
      </w:tr>
      <w:tr w:rsidR="00FC5A53" w:rsidRPr="007F6332" w14:paraId="7C5604EA" w14:textId="77777777" w:rsidTr="00FC5A53">
        <w:trPr>
          <w:trHeight w:val="397"/>
        </w:trPr>
        <w:tc>
          <w:tcPr>
            <w:tcW w:w="1244" w:type="pct"/>
            <w:tcBorders>
              <w:top w:val="nil"/>
              <w:left w:val="nil"/>
              <w:bottom w:val="single" w:sz="4" w:space="0" w:color="auto"/>
              <w:right w:val="nil"/>
            </w:tcBorders>
            <w:shd w:val="clear" w:color="000000" w:fill="B398B8"/>
            <w:vAlign w:val="center"/>
            <w:hideMark/>
          </w:tcPr>
          <w:p w14:paraId="2E838C01" w14:textId="77777777" w:rsidR="00AD5D8E" w:rsidRPr="007F6332" w:rsidRDefault="00AD5D8E" w:rsidP="00875C1F">
            <w:pPr>
              <w:spacing w:after="0" w:line="240" w:lineRule="auto"/>
              <w:ind w:left="142"/>
              <w:textAlignment w:val="baseline"/>
              <w:rPr>
                <w:rFonts w:eastAsia="Times New Roman" w:cs="Arial"/>
                <w:color w:val="000000"/>
                <w:szCs w:val="22"/>
                <w:lang w:eastAsia="en-AU"/>
              </w:rPr>
            </w:pPr>
            <w:r w:rsidRPr="007F6332">
              <w:rPr>
                <w:rFonts w:eastAsia="Times New Roman" w:cs="Arial"/>
                <w:b/>
                <w:bCs/>
                <w:color w:val="000000"/>
                <w:szCs w:val="22"/>
                <w:lang w:eastAsia="en-AU"/>
              </w:rPr>
              <w:t>Additional growth</w:t>
            </w:r>
          </w:p>
        </w:tc>
        <w:tc>
          <w:tcPr>
            <w:tcW w:w="751" w:type="pct"/>
            <w:tcBorders>
              <w:top w:val="nil"/>
              <w:left w:val="nil"/>
              <w:bottom w:val="single" w:sz="4" w:space="0" w:color="auto"/>
              <w:right w:val="nil"/>
            </w:tcBorders>
            <w:shd w:val="clear" w:color="000000" w:fill="B398B8"/>
            <w:vAlign w:val="center"/>
            <w:hideMark/>
          </w:tcPr>
          <w:p w14:paraId="079EE100" w14:textId="77777777" w:rsidR="00AD5D8E" w:rsidRPr="007F6332" w:rsidRDefault="00AD5D8E" w:rsidP="00875C1F">
            <w:pPr>
              <w:spacing w:after="0" w:line="240" w:lineRule="auto"/>
              <w:jc w:val="right"/>
              <w:textAlignment w:val="baseline"/>
              <w:rPr>
                <w:rFonts w:eastAsia="Times New Roman" w:cs="Arial"/>
                <w:b/>
                <w:color w:val="000000"/>
                <w:szCs w:val="22"/>
                <w:lang w:eastAsia="en-AU"/>
              </w:rPr>
            </w:pPr>
            <w:r w:rsidRPr="007F6332">
              <w:rPr>
                <w:rFonts w:cs="Arial"/>
                <w:b/>
                <w:color w:val="000000"/>
                <w:szCs w:val="22"/>
              </w:rPr>
              <w:t>14.3%</w:t>
            </w:r>
          </w:p>
        </w:tc>
        <w:tc>
          <w:tcPr>
            <w:tcW w:w="751" w:type="pct"/>
            <w:tcBorders>
              <w:top w:val="nil"/>
              <w:left w:val="nil"/>
              <w:bottom w:val="single" w:sz="4" w:space="0" w:color="auto"/>
              <w:right w:val="nil"/>
            </w:tcBorders>
            <w:shd w:val="clear" w:color="000000" w:fill="B398B8"/>
            <w:vAlign w:val="center"/>
            <w:hideMark/>
          </w:tcPr>
          <w:p w14:paraId="752A8048" w14:textId="77777777" w:rsidR="00AD5D8E" w:rsidRPr="007F6332" w:rsidRDefault="00AD5D8E" w:rsidP="00875C1F">
            <w:pPr>
              <w:spacing w:after="0" w:line="240" w:lineRule="auto"/>
              <w:jc w:val="right"/>
              <w:textAlignment w:val="baseline"/>
              <w:rPr>
                <w:rFonts w:eastAsia="Times New Roman" w:cs="Arial"/>
                <w:b/>
                <w:color w:val="000000"/>
                <w:szCs w:val="22"/>
                <w:lang w:eastAsia="en-AU"/>
              </w:rPr>
            </w:pPr>
            <w:r w:rsidRPr="007F6332">
              <w:rPr>
                <w:rFonts w:cs="Arial"/>
                <w:b/>
                <w:color w:val="000000"/>
                <w:szCs w:val="22"/>
              </w:rPr>
              <w:t>14.0%</w:t>
            </w:r>
          </w:p>
        </w:tc>
        <w:tc>
          <w:tcPr>
            <w:tcW w:w="751" w:type="pct"/>
            <w:tcBorders>
              <w:top w:val="nil"/>
              <w:left w:val="nil"/>
              <w:bottom w:val="single" w:sz="4" w:space="0" w:color="auto"/>
              <w:right w:val="nil"/>
            </w:tcBorders>
            <w:shd w:val="clear" w:color="000000" w:fill="B398B8"/>
            <w:vAlign w:val="center"/>
            <w:hideMark/>
          </w:tcPr>
          <w:p w14:paraId="7A884EB3" w14:textId="77777777" w:rsidR="00AD5D8E" w:rsidRPr="007F6332" w:rsidRDefault="00AD5D8E" w:rsidP="00875C1F">
            <w:pPr>
              <w:spacing w:after="0" w:line="240" w:lineRule="auto"/>
              <w:jc w:val="right"/>
              <w:textAlignment w:val="baseline"/>
              <w:rPr>
                <w:rFonts w:eastAsia="Times New Roman" w:cs="Arial"/>
                <w:b/>
                <w:color w:val="000000"/>
                <w:szCs w:val="22"/>
                <w:lang w:eastAsia="en-AU"/>
              </w:rPr>
            </w:pPr>
            <w:r w:rsidRPr="007F6332">
              <w:rPr>
                <w:rFonts w:cs="Arial"/>
                <w:b/>
                <w:color w:val="000000"/>
                <w:szCs w:val="22"/>
              </w:rPr>
              <w:t>5.3%</w:t>
            </w:r>
          </w:p>
        </w:tc>
        <w:tc>
          <w:tcPr>
            <w:tcW w:w="751" w:type="pct"/>
            <w:tcBorders>
              <w:top w:val="nil"/>
              <w:left w:val="nil"/>
              <w:bottom w:val="single" w:sz="4" w:space="0" w:color="auto"/>
              <w:right w:val="nil"/>
            </w:tcBorders>
            <w:shd w:val="clear" w:color="000000" w:fill="B398B8"/>
            <w:vAlign w:val="center"/>
            <w:hideMark/>
          </w:tcPr>
          <w:p w14:paraId="5A4035AB" w14:textId="77777777" w:rsidR="00AD5D8E" w:rsidRPr="007F6332" w:rsidRDefault="00AD5D8E" w:rsidP="00875C1F">
            <w:pPr>
              <w:spacing w:after="0" w:line="240" w:lineRule="auto"/>
              <w:jc w:val="right"/>
              <w:textAlignment w:val="baseline"/>
              <w:rPr>
                <w:rFonts w:eastAsia="Times New Roman" w:cs="Arial"/>
                <w:b/>
                <w:color w:val="000000"/>
                <w:szCs w:val="22"/>
                <w:lang w:eastAsia="en-AU"/>
              </w:rPr>
            </w:pPr>
            <w:r w:rsidRPr="007F6332">
              <w:rPr>
                <w:rFonts w:cs="Arial"/>
                <w:b/>
                <w:color w:val="000000"/>
                <w:szCs w:val="22"/>
              </w:rPr>
              <w:t>7.4%</w:t>
            </w:r>
          </w:p>
        </w:tc>
        <w:tc>
          <w:tcPr>
            <w:tcW w:w="751" w:type="pct"/>
            <w:tcBorders>
              <w:top w:val="nil"/>
              <w:left w:val="nil"/>
              <w:bottom w:val="single" w:sz="4" w:space="0" w:color="auto"/>
              <w:right w:val="nil"/>
            </w:tcBorders>
            <w:shd w:val="clear" w:color="000000" w:fill="B398B8"/>
            <w:vAlign w:val="center"/>
            <w:hideMark/>
          </w:tcPr>
          <w:p w14:paraId="6C57B8B6" w14:textId="77777777" w:rsidR="00AD5D8E" w:rsidRPr="007F6332" w:rsidRDefault="00AD5D8E" w:rsidP="00875C1F">
            <w:pPr>
              <w:spacing w:after="0" w:line="240" w:lineRule="auto"/>
              <w:jc w:val="right"/>
              <w:textAlignment w:val="baseline"/>
              <w:rPr>
                <w:rFonts w:eastAsia="Times New Roman" w:cs="Arial"/>
                <w:b/>
                <w:color w:val="000000"/>
                <w:szCs w:val="22"/>
                <w:lang w:eastAsia="en-AU"/>
              </w:rPr>
            </w:pPr>
            <w:r w:rsidRPr="007F6332">
              <w:rPr>
                <w:rFonts w:cs="Arial"/>
                <w:b/>
                <w:color w:val="000000"/>
                <w:szCs w:val="22"/>
              </w:rPr>
              <w:t>8.9%</w:t>
            </w:r>
          </w:p>
        </w:tc>
      </w:tr>
    </w:tbl>
    <w:p w14:paraId="0B078D4E" w14:textId="3FBA0D54" w:rsidR="00AD5D8E" w:rsidRPr="007F6332" w:rsidRDefault="00AD5D8E" w:rsidP="00AD5D8E">
      <w:pPr>
        <w:pStyle w:val="FSRnormal"/>
        <w:rPr>
          <w:rFonts w:cs="Arial"/>
        </w:rPr>
      </w:pPr>
      <w:r w:rsidRPr="007F6332">
        <w:rPr>
          <w:rFonts w:cs="Arial"/>
        </w:rPr>
        <w:t>There is some evidence showing additional growth experience of 5.3% in 2021-22 was impacted by labour supply constraints observed in the market for attendant care as well as COVID-19 related factors. Despite continued evidence of shortages of disability support workers in 2022-23, the expected dampening of growth in the provision of Scheme supports</w:t>
      </w:r>
      <w:r w:rsidR="00877A06" w:rsidRPr="007F6332">
        <w:rPr>
          <w:rFonts w:cs="Arial"/>
        </w:rPr>
        <w:t xml:space="preserve"> and </w:t>
      </w:r>
      <w:r w:rsidRPr="007F6332">
        <w:rPr>
          <w:rFonts w:cs="Arial"/>
        </w:rPr>
        <w:t>therefore in payment</w:t>
      </w:r>
      <w:r w:rsidR="00877A06" w:rsidRPr="007F6332">
        <w:rPr>
          <w:rFonts w:cs="Arial"/>
        </w:rPr>
        <w:t>s</w:t>
      </w:r>
      <w:r w:rsidRPr="007F6332">
        <w:rPr>
          <w:rFonts w:cs="Arial"/>
        </w:rPr>
        <w:t xml:space="preserve"> growth has not eventuated as anticipated. The additional growth rate of 7.4% in 2022-23 is higher than the assumed rate for 2022-23 of 3.4% in the </w:t>
      </w:r>
      <w:r w:rsidR="005C5EB7" w:rsidRPr="007F6332">
        <w:rPr>
          <w:rFonts w:cs="Arial"/>
        </w:rPr>
        <w:t>June 2022 projections</w:t>
      </w:r>
      <w:r w:rsidRPr="007F6332">
        <w:rPr>
          <w:rFonts w:cs="Arial"/>
        </w:rPr>
        <w:t>.</w:t>
      </w:r>
    </w:p>
    <w:p w14:paraId="3BC4AC66" w14:textId="38AA96E4" w:rsidR="00AD5D8E" w:rsidRPr="007F6332" w:rsidRDefault="00AD5D8E" w:rsidP="00AD5D8E">
      <w:pPr>
        <w:pStyle w:val="FSRnormal"/>
        <w:rPr>
          <w:rFonts w:cs="Arial"/>
        </w:rPr>
      </w:pPr>
      <w:bookmarkStart w:id="13" w:name="_Hlk151708535"/>
      <w:r w:rsidRPr="007F6332">
        <w:rPr>
          <w:rFonts w:cs="Arial"/>
        </w:rPr>
        <w:t xml:space="preserve">Figure 10 sets out a comparable breakdown of the observed growth in average plan budgets, on a rolling </w:t>
      </w:r>
      <w:r w:rsidR="00A420E4" w:rsidRPr="007F6332">
        <w:rPr>
          <w:rFonts w:cs="Arial"/>
        </w:rPr>
        <w:t>12-month</w:t>
      </w:r>
      <w:r w:rsidRPr="007F6332">
        <w:rPr>
          <w:rFonts w:cs="Arial"/>
        </w:rPr>
        <w:t xml:space="preserve"> basis </w:t>
      </w:r>
      <w:r w:rsidR="00112D1D" w:rsidRPr="007F6332">
        <w:rPr>
          <w:rFonts w:cs="Arial"/>
        </w:rPr>
        <w:t>from</w:t>
      </w:r>
      <w:r w:rsidRPr="007F6332">
        <w:rPr>
          <w:rFonts w:cs="Arial"/>
        </w:rPr>
        <w:t xml:space="preserve"> 2020-21 to 2022-23. The observed growth in plan budgets is a leading indicator of the future expected growth in average payments. Growth in average payments is also impacted by changes in the rate at which participants utilise their plan budget. </w:t>
      </w:r>
    </w:p>
    <w:p w14:paraId="03168E57" w14:textId="67A699BC" w:rsidR="00AD5D8E" w:rsidRPr="007F6332" w:rsidRDefault="00AD5D8E" w:rsidP="00AD5D8E">
      <w:pPr>
        <w:pStyle w:val="FSRnormal"/>
        <w:rPr>
          <w:rFonts w:cs="Arial"/>
        </w:rPr>
      </w:pPr>
      <w:r w:rsidRPr="007F6332">
        <w:rPr>
          <w:rFonts w:cs="Arial"/>
        </w:rPr>
        <w:lastRenderedPageBreak/>
        <w:t>Total growth in plan budgets per participant for the twelve-month period to 30 June 2023 was 19.4%. This included 6.3% due to pricing changes, 2.7% due to participants transitioning to SIL arrangements, and 1.4% attributable to participants who were in the Scheme for less than a year</w:t>
      </w:r>
      <w:r w:rsidR="005C5EB7" w:rsidRPr="007F6332">
        <w:rPr>
          <w:rFonts w:cs="Arial"/>
        </w:rPr>
        <w:t>:</w:t>
      </w:r>
      <w:r w:rsidRPr="007F6332">
        <w:rPr>
          <w:rFonts w:cs="Arial"/>
        </w:rPr>
        <w:t xml:space="preserve"> these three components being explicitly allowed for in the Scheme projections. The remaining component of additional growth in plan budgets was 9.1% for the 12 months to 30 June 2023. This is significantly higher than the additional growth for the previous two years, 4.0% for 2020-21 and 3.7% for 2021-22 respectively</w:t>
      </w:r>
      <w:bookmarkEnd w:id="13"/>
      <w:r w:rsidRPr="007F6332">
        <w:rPr>
          <w:rFonts w:cs="Arial"/>
        </w:rPr>
        <w:t>.</w:t>
      </w:r>
    </w:p>
    <w:p w14:paraId="135F4573" w14:textId="77777777" w:rsidR="00AD5D8E" w:rsidRPr="007F6332" w:rsidRDefault="00AD5D8E" w:rsidP="00D93505">
      <w:pPr>
        <w:pStyle w:val="FiguresandTablesHeading4"/>
      </w:pPr>
      <w:r w:rsidRPr="007F6332">
        <w:t>Figure 10: Breakdown of past observed growth in plan budgets per participant</w:t>
      </w:r>
      <w:r w:rsidRPr="007F6332">
        <w:rPr>
          <w:rStyle w:val="FootnoteReference"/>
        </w:rPr>
        <w:footnoteReference w:id="23"/>
      </w:r>
    </w:p>
    <w:p w14:paraId="674B7A3B" w14:textId="7F71A3A7" w:rsidR="00F25DAB" w:rsidRPr="007F6332" w:rsidRDefault="00F25DAB" w:rsidP="00F25DAB">
      <w:pPr>
        <w:rPr>
          <w:rFonts w:cs="Arial"/>
        </w:rPr>
      </w:pPr>
      <w:r w:rsidRPr="007F6332">
        <w:rPr>
          <w:rFonts w:cs="Arial"/>
          <w:noProof/>
        </w:rPr>
        <w:drawing>
          <wp:inline distT="0" distB="0" distL="0" distR="0" wp14:anchorId="1BF4BF4E" wp14:editId="0423DF5A">
            <wp:extent cx="5604095" cy="3288030"/>
            <wp:effectExtent l="0" t="0" r="0" b="7620"/>
            <wp:docPr id="975574148" name="Picture 40" descr="Figure 10: Breakdown of past observed growth in plan budgets per participant. Breakdown of plan budgets is as follows.&#10;30 June 2021: additional growth at 4.0%. first year at 1.7%.  SIL entry + exit. at 1.4%. Pricing impact 2.2%. 30 June 2021 total 9.3%. 30 June 2022: additional growth 3.7%. First year 1.1%. SIL entry + exit 2.2%. Pricing impact 1.9%. 30 June 2022 total 8.9%. 30 June 2023: additional growth 9.1%. first year 1.4%. SIL entry + exit 2.7%. pricing impact 6.3%. 30 June 2023 total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74148" name="Picture 40" descr="Figure 10: Breakdown of past observed growth in plan budgets per participant. Breakdown of plan budgets is as follows.&#10;30 June 2021: additional growth at 4.0%. first year at 1.7%.  SIL entry + exit. at 1.4%. Pricing impact 2.2%. 30 June 2021 total 9.3%. 30 June 2022: additional growth 3.7%. First year 1.1%. SIL entry + exit 2.2%. Pricing impact 1.9%. 30 June 2022 total 8.9%. 30 June 2023: additional growth 9.1%. first year 1.4%. SIL entry + exit 2.7%. pricing impact 6.3%. 30 June 2023 total 19.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5623455" cy="3299389"/>
                    </a:xfrm>
                    <a:prstGeom prst="rect">
                      <a:avLst/>
                    </a:prstGeom>
                    <a:noFill/>
                    <a:ln>
                      <a:noFill/>
                    </a:ln>
                    <a:extLst>
                      <a:ext uri="{53640926-AAD7-44D8-BBD7-CCE9431645EC}">
                        <a14:shadowObscured xmlns:a14="http://schemas.microsoft.com/office/drawing/2010/main"/>
                      </a:ext>
                    </a:extLst>
                  </pic:spPr>
                </pic:pic>
              </a:graphicData>
            </a:graphic>
          </wp:inline>
        </w:drawing>
      </w:r>
    </w:p>
    <w:p w14:paraId="6B9F1843" w14:textId="77777777" w:rsidR="00AD5D8E" w:rsidRPr="007F6332" w:rsidRDefault="00AD5D8E" w:rsidP="00CD33D0">
      <w:pPr>
        <w:pStyle w:val="FSRHeading2"/>
        <w:ind w:left="0" w:firstLine="0"/>
        <w:rPr>
          <w:rFonts w:cs="Arial"/>
        </w:rPr>
      </w:pPr>
      <w:r w:rsidRPr="007F6332">
        <w:rPr>
          <w:rFonts w:cs="Arial"/>
        </w:rPr>
        <w:t>Growth in average payments per participant assumptions</w:t>
      </w:r>
    </w:p>
    <w:p w14:paraId="5172B667" w14:textId="77777777" w:rsidR="00AD5D8E" w:rsidRPr="007F6332" w:rsidRDefault="00AD5D8E" w:rsidP="00AD5D8E">
      <w:pPr>
        <w:pStyle w:val="FSRnormal"/>
        <w:rPr>
          <w:rFonts w:cs="Arial"/>
        </w:rPr>
      </w:pPr>
      <w:r w:rsidRPr="007F6332">
        <w:rPr>
          <w:rFonts w:cs="Arial"/>
        </w:rPr>
        <w:t>Normal inflation rate assumptions have been selected based on the increases in price limits from the 2022-23 Annual Pricing Review (APR</w:t>
      </w:r>
      <w:r w:rsidRPr="007F6332">
        <w:rPr>
          <w:rStyle w:val="FootnoteReference"/>
          <w:rFonts w:cs="Arial"/>
        </w:rPr>
        <w:footnoteReference w:id="24"/>
      </w:r>
      <w:r w:rsidRPr="007F6332">
        <w:rPr>
          <w:rFonts w:cs="Arial"/>
        </w:rPr>
        <w:t>) and on recent economic forecasts about inflationary expectations</w:t>
      </w:r>
      <w:r w:rsidRPr="007F6332">
        <w:rPr>
          <w:rStyle w:val="FootnoteReference"/>
          <w:rFonts w:cs="Arial"/>
        </w:rPr>
        <w:footnoteReference w:id="25"/>
      </w:r>
      <w:r w:rsidRPr="007F6332">
        <w:rPr>
          <w:rFonts w:cs="Arial"/>
        </w:rPr>
        <w:t xml:space="preserve">. The normal inflation assumptions for 2023-24 directly reflect the 2022-23 APR changes including an increase to attendant care supports based on the Fair Work Commission’s (FWC) decisions regarding the National Minimum Wage, and no change to the price limits for therapy supports, plan management and support coordination. For 2024-25 onwards, normal inflation assumptions are based on the most </w:t>
      </w:r>
      <w:r w:rsidRPr="007F6332">
        <w:rPr>
          <w:rFonts w:cs="Arial"/>
        </w:rPr>
        <w:lastRenderedPageBreak/>
        <w:t>recent forecasts of the Wage Price Index (WPI) for attendant care supports, and the Consumer Price Index (CPI) for therapy supports, consumables and capital items.</w:t>
      </w:r>
    </w:p>
    <w:p w14:paraId="38CC7532" w14:textId="77777777" w:rsidR="00AD5D8E" w:rsidRPr="007F6332" w:rsidRDefault="00AD5D8E" w:rsidP="00AD5D8E">
      <w:pPr>
        <w:pStyle w:val="FSRnormal"/>
        <w:rPr>
          <w:rFonts w:cs="Arial"/>
        </w:rPr>
      </w:pPr>
      <w:r w:rsidRPr="007F6332">
        <w:rPr>
          <w:rFonts w:cs="Arial"/>
        </w:rPr>
        <w:t>Table 10 shows the normal information assumptions used for the 2022-23 Scheme expense projections, compared to those assumed for the previous review. The assumed rate of normal inflation assumed for 2023-24 reflects the 2022-23 change in NDIS price limits which resulted from the FWC decision to increase minimum award wages by 5.75%.</w:t>
      </w:r>
    </w:p>
    <w:p w14:paraId="16B8C899" w14:textId="77777777" w:rsidR="00AD5D8E" w:rsidRPr="007F6332" w:rsidRDefault="00AD5D8E" w:rsidP="00D93505">
      <w:pPr>
        <w:pStyle w:val="FiguresandTablesHeading4"/>
      </w:pPr>
      <w:r w:rsidRPr="007F6332">
        <w:t>Table 10: Comparison of normal inflation assumptions to previous review</w:t>
      </w:r>
    </w:p>
    <w:tbl>
      <w:tblPr>
        <w:tblW w:w="9214" w:type="dxa"/>
        <w:tblLayout w:type="fixed"/>
        <w:tblLook w:val="04A0" w:firstRow="1" w:lastRow="0" w:firstColumn="1" w:lastColumn="0" w:noHBand="0" w:noVBand="1"/>
      </w:tblPr>
      <w:tblGrid>
        <w:gridCol w:w="2694"/>
        <w:gridCol w:w="1522"/>
        <w:gridCol w:w="1313"/>
        <w:gridCol w:w="1207"/>
        <w:gridCol w:w="1344"/>
        <w:gridCol w:w="1134"/>
      </w:tblGrid>
      <w:tr w:rsidR="00FC5A53" w:rsidRPr="007F6332" w14:paraId="592F5B83" w14:textId="77777777" w:rsidTr="00C1755E">
        <w:trPr>
          <w:trHeight w:val="584"/>
        </w:trPr>
        <w:tc>
          <w:tcPr>
            <w:tcW w:w="2694" w:type="dxa"/>
            <w:tcBorders>
              <w:top w:val="nil"/>
              <w:left w:val="nil"/>
              <w:bottom w:val="nil"/>
              <w:right w:val="nil"/>
            </w:tcBorders>
            <w:shd w:val="clear" w:color="000000" w:fill="6B2976"/>
            <w:hideMark/>
          </w:tcPr>
          <w:p w14:paraId="721F13EC" w14:textId="77777777"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w:t>
            </w:r>
          </w:p>
        </w:tc>
        <w:tc>
          <w:tcPr>
            <w:tcW w:w="1522" w:type="dxa"/>
            <w:tcBorders>
              <w:top w:val="nil"/>
              <w:left w:val="nil"/>
              <w:bottom w:val="nil"/>
              <w:right w:val="nil"/>
            </w:tcBorders>
            <w:shd w:val="clear" w:color="000000" w:fill="6B2976"/>
            <w:noWrap/>
            <w:vAlign w:val="center"/>
            <w:hideMark/>
          </w:tcPr>
          <w:p w14:paraId="2D4C43AA" w14:textId="77777777" w:rsidR="003C4004" w:rsidRPr="007F6332" w:rsidRDefault="003C4004" w:rsidP="00C71F02">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313" w:type="dxa"/>
            <w:tcBorders>
              <w:top w:val="nil"/>
              <w:left w:val="nil"/>
              <w:bottom w:val="nil"/>
              <w:right w:val="nil"/>
            </w:tcBorders>
            <w:shd w:val="clear" w:color="000000" w:fill="6B2976"/>
            <w:noWrap/>
            <w:vAlign w:val="center"/>
            <w:hideMark/>
          </w:tcPr>
          <w:p w14:paraId="61CC9F35" w14:textId="77777777" w:rsidR="003C4004" w:rsidRPr="007F6332" w:rsidRDefault="003C4004" w:rsidP="00C71F02">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207" w:type="dxa"/>
            <w:tcBorders>
              <w:top w:val="nil"/>
              <w:left w:val="nil"/>
              <w:bottom w:val="nil"/>
              <w:right w:val="nil"/>
            </w:tcBorders>
            <w:shd w:val="clear" w:color="000000" w:fill="6B2976"/>
            <w:noWrap/>
            <w:vAlign w:val="center"/>
            <w:hideMark/>
          </w:tcPr>
          <w:p w14:paraId="020494EA" w14:textId="77777777" w:rsidR="003C4004" w:rsidRPr="007F6332" w:rsidRDefault="003C4004" w:rsidP="00C71F02">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344" w:type="dxa"/>
            <w:tcBorders>
              <w:top w:val="nil"/>
              <w:left w:val="nil"/>
              <w:bottom w:val="nil"/>
              <w:right w:val="dashSmallGap" w:sz="8" w:space="0" w:color="auto"/>
            </w:tcBorders>
            <w:shd w:val="clear" w:color="000000" w:fill="6B2976"/>
            <w:noWrap/>
            <w:vAlign w:val="center"/>
            <w:hideMark/>
          </w:tcPr>
          <w:p w14:paraId="04D194A0" w14:textId="77777777" w:rsidR="003C4004" w:rsidRPr="007F6332" w:rsidRDefault="003C4004" w:rsidP="00C71F02">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34" w:type="dxa"/>
            <w:tcBorders>
              <w:top w:val="nil"/>
              <w:left w:val="dashSmallGap" w:sz="8" w:space="0" w:color="auto"/>
              <w:bottom w:val="nil"/>
              <w:right w:val="nil"/>
            </w:tcBorders>
            <w:shd w:val="clear" w:color="000000" w:fill="6B2976"/>
            <w:noWrap/>
            <w:vAlign w:val="center"/>
            <w:hideMark/>
          </w:tcPr>
          <w:p w14:paraId="773F79C4" w14:textId="77777777" w:rsidR="003C4004" w:rsidRPr="007F6332" w:rsidRDefault="003C4004" w:rsidP="00C71F02">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FC5A53" w:rsidRPr="007F6332" w14:paraId="0B4F2045" w14:textId="77777777" w:rsidTr="00FC5A53">
        <w:trPr>
          <w:trHeight w:val="397"/>
        </w:trPr>
        <w:tc>
          <w:tcPr>
            <w:tcW w:w="2694" w:type="dxa"/>
            <w:tcBorders>
              <w:top w:val="nil"/>
              <w:left w:val="nil"/>
              <w:right w:val="nil"/>
            </w:tcBorders>
            <w:shd w:val="clear" w:color="auto" w:fill="auto"/>
            <w:noWrap/>
            <w:vAlign w:val="center"/>
            <w:hideMark/>
          </w:tcPr>
          <w:p w14:paraId="08D6A34F" w14:textId="183EC9BB"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June 2023</w:t>
            </w:r>
            <w:r w:rsidR="005C5EB7" w:rsidRPr="007F6332">
              <w:rPr>
                <w:rFonts w:eastAsia="Times New Roman" w:cs="Arial"/>
                <w:color w:val="000000"/>
                <w:szCs w:val="22"/>
                <w:lang w:eastAsia="en-AU"/>
              </w:rPr>
              <w:t xml:space="preserve"> p</w:t>
            </w:r>
            <w:r w:rsidRPr="007F6332">
              <w:rPr>
                <w:rFonts w:eastAsia="Times New Roman" w:cs="Arial"/>
                <w:color w:val="000000"/>
                <w:szCs w:val="22"/>
                <w:lang w:eastAsia="en-AU"/>
              </w:rPr>
              <w:t>rojections</w:t>
            </w:r>
          </w:p>
        </w:tc>
        <w:tc>
          <w:tcPr>
            <w:tcW w:w="1522" w:type="dxa"/>
            <w:tcBorders>
              <w:top w:val="nil"/>
              <w:left w:val="nil"/>
              <w:right w:val="nil"/>
            </w:tcBorders>
            <w:shd w:val="clear" w:color="auto" w:fill="auto"/>
            <w:noWrap/>
            <w:vAlign w:val="center"/>
            <w:hideMark/>
          </w:tcPr>
          <w:p w14:paraId="2D43C4B3"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w:t>
            </w:r>
          </w:p>
        </w:tc>
        <w:tc>
          <w:tcPr>
            <w:tcW w:w="1313" w:type="dxa"/>
            <w:tcBorders>
              <w:top w:val="nil"/>
              <w:left w:val="nil"/>
              <w:right w:val="nil"/>
            </w:tcBorders>
            <w:shd w:val="clear" w:color="auto" w:fill="auto"/>
            <w:noWrap/>
            <w:vAlign w:val="center"/>
            <w:hideMark/>
          </w:tcPr>
          <w:p w14:paraId="1BDDC6F2"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w:t>
            </w:r>
          </w:p>
        </w:tc>
        <w:tc>
          <w:tcPr>
            <w:tcW w:w="1207" w:type="dxa"/>
            <w:tcBorders>
              <w:top w:val="nil"/>
              <w:left w:val="nil"/>
              <w:right w:val="nil"/>
            </w:tcBorders>
            <w:shd w:val="clear" w:color="auto" w:fill="auto"/>
            <w:noWrap/>
            <w:vAlign w:val="center"/>
            <w:hideMark/>
          </w:tcPr>
          <w:p w14:paraId="2625E312"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w:t>
            </w:r>
          </w:p>
        </w:tc>
        <w:tc>
          <w:tcPr>
            <w:tcW w:w="1344" w:type="dxa"/>
            <w:tcBorders>
              <w:top w:val="nil"/>
              <w:left w:val="nil"/>
              <w:right w:val="dashSmallGap" w:sz="8" w:space="0" w:color="auto"/>
            </w:tcBorders>
            <w:shd w:val="clear" w:color="auto" w:fill="auto"/>
            <w:noWrap/>
            <w:vAlign w:val="center"/>
            <w:hideMark/>
          </w:tcPr>
          <w:p w14:paraId="1684E303"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w:t>
            </w:r>
          </w:p>
        </w:tc>
        <w:tc>
          <w:tcPr>
            <w:tcW w:w="1134" w:type="dxa"/>
            <w:tcBorders>
              <w:top w:val="nil"/>
              <w:left w:val="dashSmallGap" w:sz="8" w:space="0" w:color="auto"/>
              <w:right w:val="nil"/>
            </w:tcBorders>
            <w:shd w:val="clear" w:color="auto" w:fill="auto"/>
            <w:noWrap/>
            <w:vAlign w:val="center"/>
            <w:hideMark/>
          </w:tcPr>
          <w:p w14:paraId="0305A9C8"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w:t>
            </w:r>
          </w:p>
        </w:tc>
      </w:tr>
      <w:tr w:rsidR="00FC5A53" w:rsidRPr="007F6332" w14:paraId="7F72376B" w14:textId="77777777" w:rsidTr="00C1755E">
        <w:trPr>
          <w:trHeight w:val="397"/>
        </w:trPr>
        <w:tc>
          <w:tcPr>
            <w:tcW w:w="2694" w:type="dxa"/>
            <w:tcBorders>
              <w:top w:val="nil"/>
              <w:left w:val="nil"/>
              <w:right w:val="nil"/>
            </w:tcBorders>
            <w:shd w:val="clear" w:color="000000" w:fill="A7A9AC"/>
            <w:noWrap/>
            <w:vAlign w:val="center"/>
            <w:hideMark/>
          </w:tcPr>
          <w:p w14:paraId="7595BCE6" w14:textId="77777777"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June 2022 projections</w:t>
            </w:r>
          </w:p>
        </w:tc>
        <w:tc>
          <w:tcPr>
            <w:tcW w:w="1522" w:type="dxa"/>
            <w:tcBorders>
              <w:top w:val="nil"/>
              <w:left w:val="nil"/>
              <w:right w:val="nil"/>
            </w:tcBorders>
            <w:shd w:val="clear" w:color="000000" w:fill="A7A9AC"/>
            <w:noWrap/>
            <w:vAlign w:val="center"/>
            <w:hideMark/>
          </w:tcPr>
          <w:p w14:paraId="0C7CBF7B"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2.6%</w:t>
            </w:r>
          </w:p>
        </w:tc>
        <w:tc>
          <w:tcPr>
            <w:tcW w:w="1313" w:type="dxa"/>
            <w:tcBorders>
              <w:top w:val="nil"/>
              <w:left w:val="nil"/>
              <w:right w:val="nil"/>
            </w:tcBorders>
            <w:shd w:val="clear" w:color="000000" w:fill="A7A9AC"/>
            <w:noWrap/>
            <w:vAlign w:val="center"/>
            <w:hideMark/>
          </w:tcPr>
          <w:p w14:paraId="28CA86A9"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3.6%</w:t>
            </w:r>
          </w:p>
        </w:tc>
        <w:tc>
          <w:tcPr>
            <w:tcW w:w="1207" w:type="dxa"/>
            <w:tcBorders>
              <w:top w:val="nil"/>
              <w:left w:val="nil"/>
              <w:right w:val="nil"/>
            </w:tcBorders>
            <w:shd w:val="clear" w:color="000000" w:fill="A7A9AC"/>
            <w:noWrap/>
            <w:vAlign w:val="center"/>
            <w:hideMark/>
          </w:tcPr>
          <w:p w14:paraId="7C9CC4FA"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3.6%</w:t>
            </w:r>
          </w:p>
        </w:tc>
        <w:tc>
          <w:tcPr>
            <w:tcW w:w="1344" w:type="dxa"/>
            <w:tcBorders>
              <w:top w:val="nil"/>
              <w:left w:val="nil"/>
              <w:right w:val="dashSmallGap" w:sz="8" w:space="0" w:color="auto"/>
            </w:tcBorders>
            <w:shd w:val="clear" w:color="000000" w:fill="A7A9AC"/>
            <w:noWrap/>
            <w:vAlign w:val="center"/>
            <w:hideMark/>
          </w:tcPr>
          <w:p w14:paraId="253DA4E1"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w:t>
            </w:r>
          </w:p>
        </w:tc>
        <w:tc>
          <w:tcPr>
            <w:tcW w:w="1134" w:type="dxa"/>
            <w:tcBorders>
              <w:top w:val="nil"/>
              <w:left w:val="dashSmallGap" w:sz="8" w:space="0" w:color="auto"/>
              <w:right w:val="nil"/>
            </w:tcBorders>
            <w:shd w:val="clear" w:color="000000" w:fill="A7A9AC"/>
            <w:noWrap/>
            <w:vAlign w:val="center"/>
            <w:hideMark/>
          </w:tcPr>
          <w:p w14:paraId="48EB2188"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3.3%</w:t>
            </w:r>
          </w:p>
        </w:tc>
      </w:tr>
      <w:tr w:rsidR="00FC5A53" w:rsidRPr="007F6332" w14:paraId="52E41053" w14:textId="77777777" w:rsidTr="00C1755E">
        <w:trPr>
          <w:trHeight w:val="512"/>
        </w:trPr>
        <w:tc>
          <w:tcPr>
            <w:tcW w:w="2694" w:type="dxa"/>
            <w:tcBorders>
              <w:left w:val="nil"/>
              <w:bottom w:val="single" w:sz="4" w:space="0" w:color="auto"/>
            </w:tcBorders>
            <w:shd w:val="clear" w:color="000000" w:fill="B398B8"/>
            <w:noWrap/>
            <w:vAlign w:val="center"/>
            <w:hideMark/>
          </w:tcPr>
          <w:p w14:paraId="5BC4FBFB" w14:textId="77777777" w:rsidR="003C4004" w:rsidRPr="007F6332" w:rsidRDefault="003C4004" w:rsidP="00C71F02">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Difference (%)</w:t>
            </w:r>
          </w:p>
        </w:tc>
        <w:tc>
          <w:tcPr>
            <w:tcW w:w="1522" w:type="dxa"/>
            <w:tcBorders>
              <w:bottom w:val="single" w:sz="4" w:space="0" w:color="auto"/>
            </w:tcBorders>
            <w:shd w:val="clear" w:color="000000" w:fill="B398B8"/>
            <w:noWrap/>
            <w:vAlign w:val="center"/>
            <w:hideMark/>
          </w:tcPr>
          <w:p w14:paraId="2F03AC9E" w14:textId="77777777" w:rsidR="003C4004" w:rsidRPr="007F6332" w:rsidRDefault="003C4004" w:rsidP="00C71F02">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1.8%</w:t>
            </w:r>
          </w:p>
        </w:tc>
        <w:tc>
          <w:tcPr>
            <w:tcW w:w="1313" w:type="dxa"/>
            <w:tcBorders>
              <w:bottom w:val="single" w:sz="4" w:space="0" w:color="auto"/>
            </w:tcBorders>
            <w:shd w:val="clear" w:color="000000" w:fill="B398B8"/>
            <w:noWrap/>
            <w:vAlign w:val="center"/>
            <w:hideMark/>
          </w:tcPr>
          <w:p w14:paraId="3B01FA79" w14:textId="77777777" w:rsidR="003C4004" w:rsidRPr="007F6332" w:rsidRDefault="003C4004" w:rsidP="00C71F02">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-0.4%</w:t>
            </w:r>
          </w:p>
        </w:tc>
        <w:tc>
          <w:tcPr>
            <w:tcW w:w="1207" w:type="dxa"/>
            <w:tcBorders>
              <w:bottom w:val="single" w:sz="4" w:space="0" w:color="auto"/>
            </w:tcBorders>
            <w:shd w:val="clear" w:color="000000" w:fill="B398B8"/>
            <w:noWrap/>
            <w:vAlign w:val="center"/>
            <w:hideMark/>
          </w:tcPr>
          <w:p w14:paraId="55F2BBF6" w14:textId="77777777" w:rsidR="003C4004" w:rsidRPr="007F6332" w:rsidRDefault="003C4004" w:rsidP="00C71F02">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0.3%</w:t>
            </w:r>
          </w:p>
        </w:tc>
        <w:tc>
          <w:tcPr>
            <w:tcW w:w="1344" w:type="dxa"/>
            <w:tcBorders>
              <w:bottom w:val="single" w:sz="4" w:space="0" w:color="auto"/>
              <w:right w:val="dashSmallGap" w:sz="8" w:space="0" w:color="auto"/>
            </w:tcBorders>
            <w:shd w:val="clear" w:color="000000" w:fill="B398B8"/>
            <w:noWrap/>
            <w:vAlign w:val="center"/>
            <w:hideMark/>
          </w:tcPr>
          <w:p w14:paraId="5C21BB8F" w14:textId="656D9135" w:rsidR="003C4004" w:rsidRPr="007F6332" w:rsidRDefault="003C4004" w:rsidP="00C71F02">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0.</w:t>
            </w:r>
            <w:r w:rsidR="00B230D4" w:rsidRPr="007F6332">
              <w:rPr>
                <w:rFonts w:eastAsia="Times New Roman" w:cs="Arial"/>
                <w:b/>
                <w:bCs/>
                <w:color w:val="000000"/>
                <w:szCs w:val="22"/>
                <w:lang w:eastAsia="en-AU"/>
              </w:rPr>
              <w:t>3</w:t>
            </w:r>
            <w:r w:rsidRPr="007F6332">
              <w:rPr>
                <w:rFonts w:eastAsia="Times New Roman" w:cs="Arial"/>
                <w:b/>
                <w:bCs/>
                <w:color w:val="000000"/>
                <w:szCs w:val="22"/>
                <w:lang w:eastAsia="en-AU"/>
              </w:rPr>
              <w:t>%</w:t>
            </w:r>
          </w:p>
        </w:tc>
        <w:tc>
          <w:tcPr>
            <w:tcW w:w="1134" w:type="dxa"/>
            <w:tcBorders>
              <w:left w:val="dashSmallGap" w:sz="8" w:space="0" w:color="auto"/>
              <w:bottom w:val="single" w:sz="4" w:space="0" w:color="auto"/>
              <w:right w:val="nil"/>
            </w:tcBorders>
            <w:shd w:val="clear" w:color="000000" w:fill="B398B8"/>
            <w:noWrap/>
            <w:vAlign w:val="center"/>
            <w:hideMark/>
          </w:tcPr>
          <w:p w14:paraId="15254C12" w14:textId="376884C2" w:rsidR="003C4004" w:rsidRPr="007F6332" w:rsidRDefault="003C4004" w:rsidP="00C71F02">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0.</w:t>
            </w:r>
            <w:r w:rsidR="00B230D4" w:rsidRPr="007F6332">
              <w:rPr>
                <w:rFonts w:eastAsia="Times New Roman" w:cs="Arial"/>
                <w:b/>
                <w:bCs/>
                <w:color w:val="000000"/>
                <w:szCs w:val="22"/>
                <w:lang w:eastAsia="en-AU"/>
              </w:rPr>
              <w:t>3</w:t>
            </w:r>
            <w:r w:rsidRPr="007F6332">
              <w:rPr>
                <w:rFonts w:eastAsia="Times New Roman" w:cs="Arial"/>
                <w:b/>
                <w:bCs/>
                <w:color w:val="000000"/>
                <w:szCs w:val="22"/>
                <w:lang w:eastAsia="en-AU"/>
              </w:rPr>
              <w:t>%</w:t>
            </w:r>
          </w:p>
        </w:tc>
      </w:tr>
    </w:tbl>
    <w:p w14:paraId="78B6A793" w14:textId="60C29356" w:rsidR="00AD5D8E" w:rsidRPr="007F6332" w:rsidRDefault="00AD5D8E" w:rsidP="00AD5D8E">
      <w:pPr>
        <w:pStyle w:val="FSRnormal"/>
        <w:rPr>
          <w:rFonts w:cs="Arial"/>
        </w:rPr>
      </w:pPr>
      <w:r w:rsidRPr="007F6332">
        <w:rPr>
          <w:rFonts w:cs="Arial"/>
        </w:rPr>
        <w:t xml:space="preserve">Additional growth rate assumptions, before allowance for </w:t>
      </w:r>
      <w:r w:rsidR="002D6881" w:rsidRPr="007F6332">
        <w:rPr>
          <w:rFonts w:cs="Arial"/>
        </w:rPr>
        <w:t>Budget initiatives</w:t>
      </w:r>
      <w:r w:rsidRPr="007F6332">
        <w:rPr>
          <w:rFonts w:cs="Arial"/>
        </w:rPr>
        <w:t>, were selected taking account of both the observed increase in additional growth in average payments per participant for 2022-23 of 7.4%, compared to 5.3% for 2021-22 (Table 9), and the significantly higher observed increase in additional growth in plan budgets per participant for 2022-23 of 9.1%, compared to 3.7% for 2021-22 (Figure 10).</w:t>
      </w:r>
    </w:p>
    <w:p w14:paraId="1247A772" w14:textId="165036ED" w:rsidR="00AD5D8E" w:rsidRPr="007F6332" w:rsidRDefault="00AD5D8E" w:rsidP="00AD5D8E">
      <w:pPr>
        <w:pStyle w:val="FSRnormal"/>
        <w:rPr>
          <w:rFonts w:cs="Arial"/>
        </w:rPr>
      </w:pPr>
      <w:r w:rsidRPr="007F6332">
        <w:rPr>
          <w:rFonts w:cs="Arial"/>
        </w:rPr>
        <w:t xml:space="preserve">Table 11 shows the additional growth rate assumptions, before and after adjusting for </w:t>
      </w:r>
      <w:r w:rsidR="002D6881" w:rsidRPr="007F6332">
        <w:rPr>
          <w:rFonts w:cs="Arial"/>
        </w:rPr>
        <w:t>Budget initiatives</w:t>
      </w:r>
      <w:r w:rsidRPr="007F6332">
        <w:rPr>
          <w:rFonts w:cs="Arial"/>
        </w:rPr>
        <w:t xml:space="preserve"> compared to those assumed for the previous review. The change in rates of additional growth assumed reflects:</w:t>
      </w:r>
    </w:p>
    <w:p w14:paraId="61EF6966" w14:textId="60C38028" w:rsidR="00AD5D8E" w:rsidRPr="007F6332" w:rsidRDefault="00AD5D8E" w:rsidP="00AD5D8E">
      <w:pPr>
        <w:pStyle w:val="FSRlist"/>
        <w:rPr>
          <w:rFonts w:cs="Arial"/>
        </w:rPr>
      </w:pPr>
      <w:r w:rsidRPr="007F6332">
        <w:rPr>
          <w:rFonts w:cs="Arial"/>
        </w:rPr>
        <w:t>A dampening of the expected impact of labour supply constraints (in the short-term)</w:t>
      </w:r>
      <w:r w:rsidR="005C5EB7" w:rsidRPr="007F6332">
        <w:rPr>
          <w:rFonts w:cs="Arial"/>
        </w:rPr>
        <w:t>.</w:t>
      </w:r>
      <w:r w:rsidRPr="007F6332">
        <w:rPr>
          <w:rFonts w:cs="Arial"/>
        </w:rPr>
        <w:t xml:space="preserve"> </w:t>
      </w:r>
    </w:p>
    <w:p w14:paraId="38AB559B" w14:textId="63C011FD" w:rsidR="00AD5D8E" w:rsidRPr="007F6332" w:rsidRDefault="005C5EB7" w:rsidP="00AD5D8E">
      <w:pPr>
        <w:pStyle w:val="FSRlist"/>
        <w:rPr>
          <w:rFonts w:cs="Arial"/>
        </w:rPr>
      </w:pPr>
      <w:r w:rsidRPr="007F6332">
        <w:rPr>
          <w:rFonts w:cs="Arial"/>
        </w:rPr>
        <w:t>A s</w:t>
      </w:r>
      <w:r w:rsidR="00AD5D8E" w:rsidRPr="007F6332">
        <w:rPr>
          <w:rFonts w:cs="Arial"/>
        </w:rPr>
        <w:t>ubsequent expectation of a ‘catch-up’ (in the medium-term) on growth in provision of supports and payments.</w:t>
      </w:r>
    </w:p>
    <w:p w14:paraId="41FEB4FD" w14:textId="2D6F3A22" w:rsidR="00A420E4" w:rsidRPr="007F6332" w:rsidRDefault="00AD5D8E" w:rsidP="005C5EB7">
      <w:pPr>
        <w:pStyle w:val="FSRlist"/>
        <w:rPr>
          <w:rFonts w:cs="Arial"/>
        </w:rPr>
      </w:pPr>
      <w:r w:rsidRPr="007F6332">
        <w:rPr>
          <w:rFonts w:cs="Arial"/>
        </w:rPr>
        <w:t xml:space="preserve">The </w:t>
      </w:r>
      <w:r w:rsidR="002D6881" w:rsidRPr="007F6332">
        <w:rPr>
          <w:rFonts w:cs="Arial"/>
        </w:rPr>
        <w:t>Budget initiatives</w:t>
      </w:r>
      <w:r w:rsidRPr="007F6332">
        <w:rPr>
          <w:rFonts w:cs="Arial"/>
        </w:rPr>
        <w:t xml:space="preserve"> reducing the additional growth, which would otherwise be expected, by between 1% and 3% p.a. in the short-term.</w:t>
      </w:r>
    </w:p>
    <w:p w14:paraId="3994C2AB" w14:textId="3789F166" w:rsidR="00AD5D8E" w:rsidRPr="007F6332" w:rsidRDefault="00AD5D8E" w:rsidP="00D93505">
      <w:pPr>
        <w:pStyle w:val="FiguresandTablesHeading4"/>
      </w:pPr>
      <w:r w:rsidRPr="007F6332">
        <w:t>Table 11: Comparison of additional growth assumptions, to previous review</w:t>
      </w:r>
    </w:p>
    <w:tbl>
      <w:tblPr>
        <w:tblW w:w="9153" w:type="dxa"/>
        <w:tblLook w:val="04A0" w:firstRow="1" w:lastRow="0" w:firstColumn="1" w:lastColumn="0" w:noHBand="0" w:noVBand="1"/>
      </w:tblPr>
      <w:tblGrid>
        <w:gridCol w:w="3119"/>
        <w:gridCol w:w="1417"/>
        <w:gridCol w:w="1155"/>
        <w:gridCol w:w="1154"/>
        <w:gridCol w:w="1154"/>
        <w:gridCol w:w="1154"/>
      </w:tblGrid>
      <w:tr w:rsidR="003C4004" w:rsidRPr="007F6332" w14:paraId="4090D25B" w14:textId="77777777" w:rsidTr="00E53368">
        <w:trPr>
          <w:trHeight w:val="564"/>
        </w:trPr>
        <w:tc>
          <w:tcPr>
            <w:tcW w:w="3119" w:type="dxa"/>
            <w:tcBorders>
              <w:top w:val="nil"/>
              <w:left w:val="nil"/>
              <w:right w:val="nil"/>
            </w:tcBorders>
            <w:shd w:val="clear" w:color="000000" w:fill="6B2976"/>
            <w:hideMark/>
          </w:tcPr>
          <w:p w14:paraId="4634749F" w14:textId="77777777"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w:t>
            </w:r>
          </w:p>
        </w:tc>
        <w:tc>
          <w:tcPr>
            <w:tcW w:w="1417" w:type="dxa"/>
            <w:tcBorders>
              <w:top w:val="nil"/>
              <w:left w:val="nil"/>
              <w:right w:val="nil"/>
            </w:tcBorders>
            <w:shd w:val="clear" w:color="000000" w:fill="6B2976"/>
            <w:noWrap/>
            <w:vAlign w:val="center"/>
            <w:hideMark/>
          </w:tcPr>
          <w:p w14:paraId="656ADCFD" w14:textId="77777777" w:rsidR="003C4004" w:rsidRPr="007F6332" w:rsidRDefault="003C4004" w:rsidP="00C71F02">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155" w:type="dxa"/>
            <w:tcBorders>
              <w:top w:val="nil"/>
              <w:left w:val="nil"/>
              <w:right w:val="nil"/>
            </w:tcBorders>
            <w:shd w:val="clear" w:color="000000" w:fill="6B2976"/>
            <w:noWrap/>
            <w:vAlign w:val="center"/>
            <w:hideMark/>
          </w:tcPr>
          <w:p w14:paraId="4FACBEF6" w14:textId="77777777" w:rsidR="003C4004" w:rsidRPr="007F6332" w:rsidRDefault="003C4004" w:rsidP="00C71F02">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54" w:type="dxa"/>
            <w:tcBorders>
              <w:top w:val="nil"/>
              <w:left w:val="nil"/>
              <w:right w:val="nil"/>
            </w:tcBorders>
            <w:shd w:val="clear" w:color="000000" w:fill="6B2976"/>
            <w:noWrap/>
            <w:vAlign w:val="center"/>
            <w:hideMark/>
          </w:tcPr>
          <w:p w14:paraId="3126B02B" w14:textId="77777777" w:rsidR="003C4004" w:rsidRPr="007F6332" w:rsidRDefault="003C4004" w:rsidP="00C71F02">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154" w:type="dxa"/>
            <w:tcBorders>
              <w:top w:val="nil"/>
              <w:left w:val="nil"/>
              <w:right w:val="dashSmallGap" w:sz="4" w:space="0" w:color="auto"/>
            </w:tcBorders>
            <w:shd w:val="clear" w:color="000000" w:fill="6B2976"/>
            <w:noWrap/>
            <w:vAlign w:val="center"/>
            <w:hideMark/>
          </w:tcPr>
          <w:p w14:paraId="3441426E" w14:textId="77777777" w:rsidR="003C4004" w:rsidRPr="007F6332" w:rsidRDefault="003C4004" w:rsidP="00C71F02">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54" w:type="dxa"/>
            <w:tcBorders>
              <w:top w:val="nil"/>
              <w:left w:val="dashSmallGap" w:sz="4" w:space="0" w:color="auto"/>
              <w:right w:val="nil"/>
            </w:tcBorders>
            <w:shd w:val="clear" w:color="000000" w:fill="6B2976"/>
            <w:noWrap/>
            <w:vAlign w:val="center"/>
            <w:hideMark/>
          </w:tcPr>
          <w:p w14:paraId="469E4383" w14:textId="77777777" w:rsidR="003C4004" w:rsidRPr="007F6332" w:rsidRDefault="003C4004" w:rsidP="00C71F02">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3C4004" w:rsidRPr="007F6332" w14:paraId="60B1B581" w14:textId="77777777" w:rsidTr="00F41B41">
        <w:trPr>
          <w:trHeight w:val="316"/>
        </w:trPr>
        <w:tc>
          <w:tcPr>
            <w:tcW w:w="3119" w:type="dxa"/>
            <w:tcBorders>
              <w:top w:val="nil"/>
              <w:left w:val="nil"/>
            </w:tcBorders>
            <w:shd w:val="clear" w:color="auto" w:fill="auto"/>
            <w:noWrap/>
            <w:vAlign w:val="center"/>
            <w:hideMark/>
          </w:tcPr>
          <w:p w14:paraId="0EE2B7C4" w14:textId="2789A18E"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June 2023 projections (Before </w:t>
            </w:r>
            <w:r w:rsidR="002D6881" w:rsidRPr="007F6332">
              <w:rPr>
                <w:rFonts w:eastAsia="Times New Roman" w:cs="Arial"/>
                <w:color w:val="000000"/>
                <w:szCs w:val="22"/>
                <w:lang w:eastAsia="en-AU"/>
              </w:rPr>
              <w:t>Budget initiatives</w:t>
            </w:r>
            <w:r w:rsidRPr="007F6332">
              <w:rPr>
                <w:rFonts w:eastAsia="Times New Roman" w:cs="Arial"/>
                <w:color w:val="000000"/>
                <w:szCs w:val="22"/>
                <w:lang w:eastAsia="en-AU"/>
              </w:rPr>
              <w:t>)</w:t>
            </w:r>
          </w:p>
        </w:tc>
        <w:tc>
          <w:tcPr>
            <w:tcW w:w="1417" w:type="dxa"/>
            <w:tcBorders>
              <w:top w:val="nil"/>
            </w:tcBorders>
            <w:shd w:val="clear" w:color="auto" w:fill="auto"/>
            <w:noWrap/>
            <w:vAlign w:val="center"/>
            <w:hideMark/>
          </w:tcPr>
          <w:p w14:paraId="2AB0915A"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7.0%</w:t>
            </w:r>
          </w:p>
        </w:tc>
        <w:tc>
          <w:tcPr>
            <w:tcW w:w="1155" w:type="dxa"/>
            <w:tcBorders>
              <w:top w:val="nil"/>
            </w:tcBorders>
            <w:shd w:val="clear" w:color="auto" w:fill="auto"/>
            <w:noWrap/>
            <w:vAlign w:val="center"/>
            <w:hideMark/>
          </w:tcPr>
          <w:p w14:paraId="52C4F78C"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5.8%</w:t>
            </w:r>
          </w:p>
        </w:tc>
        <w:tc>
          <w:tcPr>
            <w:tcW w:w="1154" w:type="dxa"/>
            <w:tcBorders>
              <w:top w:val="nil"/>
            </w:tcBorders>
            <w:shd w:val="clear" w:color="auto" w:fill="auto"/>
            <w:noWrap/>
            <w:vAlign w:val="center"/>
            <w:hideMark/>
          </w:tcPr>
          <w:p w14:paraId="69598522"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4.0%</w:t>
            </w:r>
          </w:p>
        </w:tc>
        <w:tc>
          <w:tcPr>
            <w:tcW w:w="1154" w:type="dxa"/>
            <w:tcBorders>
              <w:top w:val="nil"/>
              <w:right w:val="dashSmallGap" w:sz="4" w:space="0" w:color="auto"/>
            </w:tcBorders>
            <w:shd w:val="clear" w:color="auto" w:fill="auto"/>
            <w:noWrap/>
            <w:vAlign w:val="center"/>
            <w:hideMark/>
          </w:tcPr>
          <w:p w14:paraId="2A5549F0"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w:t>
            </w:r>
          </w:p>
        </w:tc>
        <w:tc>
          <w:tcPr>
            <w:tcW w:w="1154" w:type="dxa"/>
            <w:tcBorders>
              <w:top w:val="nil"/>
              <w:left w:val="dashSmallGap" w:sz="4" w:space="0" w:color="auto"/>
              <w:right w:val="nil"/>
            </w:tcBorders>
            <w:shd w:val="clear" w:color="auto" w:fill="auto"/>
            <w:noWrap/>
            <w:vAlign w:val="center"/>
            <w:hideMark/>
          </w:tcPr>
          <w:p w14:paraId="250234D6"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w:t>
            </w:r>
          </w:p>
        </w:tc>
      </w:tr>
      <w:tr w:rsidR="003C4004" w:rsidRPr="007F6332" w14:paraId="5C8B875B" w14:textId="77777777" w:rsidTr="00F41B41">
        <w:trPr>
          <w:trHeight w:val="316"/>
        </w:trPr>
        <w:tc>
          <w:tcPr>
            <w:tcW w:w="3119" w:type="dxa"/>
            <w:tcBorders>
              <w:left w:val="nil"/>
            </w:tcBorders>
            <w:shd w:val="clear" w:color="000000" w:fill="A7A9AC"/>
            <w:noWrap/>
            <w:vAlign w:val="center"/>
          </w:tcPr>
          <w:p w14:paraId="1C8D05CF" w14:textId="77777777"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June 2023 projections</w:t>
            </w:r>
          </w:p>
          <w:p w14:paraId="692497E9" w14:textId="4D192FFC"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(After </w:t>
            </w:r>
            <w:r w:rsidR="002D6881" w:rsidRPr="007F6332">
              <w:rPr>
                <w:rFonts w:eastAsia="Times New Roman" w:cs="Arial"/>
                <w:color w:val="000000"/>
                <w:szCs w:val="22"/>
                <w:lang w:eastAsia="en-AU"/>
              </w:rPr>
              <w:t>Budget initiatives</w:t>
            </w:r>
            <w:r w:rsidRPr="007F6332">
              <w:rPr>
                <w:rFonts w:eastAsia="Times New Roman" w:cs="Arial"/>
                <w:color w:val="000000"/>
                <w:szCs w:val="22"/>
                <w:lang w:eastAsia="en-AU"/>
              </w:rPr>
              <w:t>)</w:t>
            </w:r>
          </w:p>
        </w:tc>
        <w:tc>
          <w:tcPr>
            <w:tcW w:w="1417" w:type="dxa"/>
            <w:shd w:val="clear" w:color="000000" w:fill="A7A9AC"/>
            <w:noWrap/>
            <w:vAlign w:val="center"/>
          </w:tcPr>
          <w:p w14:paraId="3BE4AAF3"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5.1%</w:t>
            </w:r>
          </w:p>
        </w:tc>
        <w:tc>
          <w:tcPr>
            <w:tcW w:w="1155" w:type="dxa"/>
            <w:shd w:val="clear" w:color="000000" w:fill="A7A9AC"/>
            <w:noWrap/>
            <w:vAlign w:val="center"/>
          </w:tcPr>
          <w:p w14:paraId="4E7EF5EE"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2.8%</w:t>
            </w:r>
          </w:p>
        </w:tc>
        <w:tc>
          <w:tcPr>
            <w:tcW w:w="1154" w:type="dxa"/>
            <w:shd w:val="clear" w:color="000000" w:fill="A7A9AC"/>
            <w:noWrap/>
            <w:vAlign w:val="center"/>
          </w:tcPr>
          <w:p w14:paraId="77AD9A80"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w:t>
            </w:r>
          </w:p>
        </w:tc>
        <w:tc>
          <w:tcPr>
            <w:tcW w:w="1154" w:type="dxa"/>
            <w:tcBorders>
              <w:right w:val="dashSmallGap" w:sz="4" w:space="0" w:color="auto"/>
            </w:tcBorders>
            <w:shd w:val="clear" w:color="000000" w:fill="A7A9AC"/>
            <w:noWrap/>
            <w:vAlign w:val="center"/>
          </w:tcPr>
          <w:p w14:paraId="5A0D280B"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0.9%</w:t>
            </w:r>
          </w:p>
        </w:tc>
        <w:tc>
          <w:tcPr>
            <w:tcW w:w="1154" w:type="dxa"/>
            <w:tcBorders>
              <w:left w:val="dashSmallGap" w:sz="4" w:space="0" w:color="auto"/>
              <w:right w:val="nil"/>
            </w:tcBorders>
            <w:shd w:val="clear" w:color="000000" w:fill="A7A9AC"/>
            <w:noWrap/>
            <w:vAlign w:val="center"/>
          </w:tcPr>
          <w:p w14:paraId="45C61E77"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w:t>
            </w:r>
          </w:p>
        </w:tc>
      </w:tr>
      <w:tr w:rsidR="003C4004" w:rsidRPr="007F6332" w14:paraId="5473E790" w14:textId="77777777" w:rsidTr="00E53368">
        <w:trPr>
          <w:trHeight w:val="340"/>
        </w:trPr>
        <w:tc>
          <w:tcPr>
            <w:tcW w:w="3119" w:type="dxa"/>
            <w:tcBorders>
              <w:top w:val="nil"/>
              <w:left w:val="nil"/>
            </w:tcBorders>
            <w:shd w:val="clear" w:color="000000" w:fill="auto"/>
            <w:noWrap/>
            <w:vAlign w:val="center"/>
            <w:hideMark/>
          </w:tcPr>
          <w:p w14:paraId="6FD49CE0" w14:textId="77777777"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June 2022 projections</w:t>
            </w:r>
          </w:p>
        </w:tc>
        <w:tc>
          <w:tcPr>
            <w:tcW w:w="1417" w:type="dxa"/>
            <w:tcBorders>
              <w:top w:val="nil"/>
            </w:tcBorders>
            <w:shd w:val="clear" w:color="000000" w:fill="auto"/>
            <w:noWrap/>
            <w:vAlign w:val="center"/>
            <w:hideMark/>
          </w:tcPr>
          <w:p w14:paraId="4A933004"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w:t>
            </w:r>
          </w:p>
        </w:tc>
        <w:tc>
          <w:tcPr>
            <w:tcW w:w="1155" w:type="dxa"/>
            <w:tcBorders>
              <w:top w:val="nil"/>
            </w:tcBorders>
            <w:shd w:val="clear" w:color="000000" w:fill="auto"/>
            <w:noWrap/>
            <w:vAlign w:val="center"/>
            <w:hideMark/>
          </w:tcPr>
          <w:p w14:paraId="0BA5E000"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6.0%</w:t>
            </w:r>
          </w:p>
        </w:tc>
        <w:tc>
          <w:tcPr>
            <w:tcW w:w="1154" w:type="dxa"/>
            <w:tcBorders>
              <w:top w:val="nil"/>
            </w:tcBorders>
            <w:shd w:val="clear" w:color="000000" w:fill="auto"/>
            <w:noWrap/>
            <w:vAlign w:val="center"/>
            <w:hideMark/>
          </w:tcPr>
          <w:p w14:paraId="758F0B9B"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5.0%</w:t>
            </w:r>
          </w:p>
        </w:tc>
        <w:tc>
          <w:tcPr>
            <w:tcW w:w="1154" w:type="dxa"/>
            <w:tcBorders>
              <w:top w:val="nil"/>
              <w:right w:val="dashSmallGap" w:sz="4" w:space="0" w:color="auto"/>
            </w:tcBorders>
            <w:shd w:val="clear" w:color="000000" w:fill="auto"/>
            <w:noWrap/>
            <w:vAlign w:val="center"/>
            <w:hideMark/>
          </w:tcPr>
          <w:p w14:paraId="0BBD2E93"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w:t>
            </w:r>
          </w:p>
        </w:tc>
        <w:tc>
          <w:tcPr>
            <w:tcW w:w="1154" w:type="dxa"/>
            <w:tcBorders>
              <w:top w:val="nil"/>
              <w:left w:val="dashSmallGap" w:sz="4" w:space="0" w:color="auto"/>
              <w:right w:val="nil"/>
            </w:tcBorders>
            <w:shd w:val="clear" w:color="000000" w:fill="auto"/>
            <w:noWrap/>
            <w:vAlign w:val="center"/>
            <w:hideMark/>
          </w:tcPr>
          <w:p w14:paraId="73B07B37"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w:t>
            </w:r>
          </w:p>
        </w:tc>
      </w:tr>
      <w:tr w:rsidR="003C4004" w:rsidRPr="007F6332" w14:paraId="3BD108B6" w14:textId="77777777" w:rsidTr="00E53368">
        <w:trPr>
          <w:trHeight w:val="340"/>
        </w:trPr>
        <w:tc>
          <w:tcPr>
            <w:tcW w:w="3119" w:type="dxa"/>
            <w:tcBorders>
              <w:top w:val="nil"/>
              <w:left w:val="nil"/>
              <w:bottom w:val="single" w:sz="4" w:space="0" w:color="auto"/>
              <w:right w:val="nil"/>
            </w:tcBorders>
            <w:shd w:val="clear" w:color="000000" w:fill="B398B8"/>
            <w:noWrap/>
            <w:vAlign w:val="center"/>
            <w:hideMark/>
          </w:tcPr>
          <w:p w14:paraId="7D875F71" w14:textId="77777777" w:rsidR="003C4004" w:rsidRPr="007F6332" w:rsidRDefault="003C4004"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Difference (%)</w:t>
            </w:r>
          </w:p>
        </w:tc>
        <w:tc>
          <w:tcPr>
            <w:tcW w:w="1417" w:type="dxa"/>
            <w:tcBorders>
              <w:top w:val="nil"/>
              <w:left w:val="nil"/>
              <w:bottom w:val="single" w:sz="4" w:space="0" w:color="auto"/>
              <w:right w:val="nil"/>
            </w:tcBorders>
            <w:shd w:val="clear" w:color="000000" w:fill="B398B8"/>
            <w:noWrap/>
            <w:vAlign w:val="center"/>
          </w:tcPr>
          <w:p w14:paraId="4D6573FA"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w:t>
            </w:r>
          </w:p>
        </w:tc>
        <w:tc>
          <w:tcPr>
            <w:tcW w:w="1155" w:type="dxa"/>
            <w:tcBorders>
              <w:top w:val="nil"/>
              <w:left w:val="nil"/>
              <w:bottom w:val="single" w:sz="4" w:space="0" w:color="auto"/>
              <w:right w:val="nil"/>
            </w:tcBorders>
            <w:shd w:val="clear" w:color="000000" w:fill="B398B8"/>
            <w:noWrap/>
            <w:vAlign w:val="center"/>
          </w:tcPr>
          <w:p w14:paraId="481F1676"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w:t>
            </w:r>
          </w:p>
        </w:tc>
        <w:tc>
          <w:tcPr>
            <w:tcW w:w="1154" w:type="dxa"/>
            <w:tcBorders>
              <w:top w:val="nil"/>
              <w:left w:val="nil"/>
              <w:bottom w:val="single" w:sz="4" w:space="0" w:color="auto"/>
              <w:right w:val="nil"/>
            </w:tcBorders>
            <w:shd w:val="clear" w:color="000000" w:fill="B398B8"/>
            <w:noWrap/>
            <w:vAlign w:val="center"/>
          </w:tcPr>
          <w:p w14:paraId="6BAD8222"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-3.8%</w:t>
            </w:r>
          </w:p>
        </w:tc>
        <w:tc>
          <w:tcPr>
            <w:tcW w:w="1154" w:type="dxa"/>
            <w:tcBorders>
              <w:top w:val="nil"/>
              <w:left w:val="nil"/>
              <w:bottom w:val="single" w:sz="4" w:space="0" w:color="auto"/>
              <w:right w:val="dashSmallGap" w:sz="4" w:space="0" w:color="auto"/>
            </w:tcBorders>
            <w:shd w:val="clear" w:color="000000" w:fill="B398B8"/>
            <w:noWrap/>
            <w:vAlign w:val="center"/>
          </w:tcPr>
          <w:p w14:paraId="7A664750"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w:t>
            </w:r>
          </w:p>
        </w:tc>
        <w:tc>
          <w:tcPr>
            <w:tcW w:w="1154" w:type="dxa"/>
            <w:tcBorders>
              <w:top w:val="nil"/>
              <w:left w:val="dashSmallGap" w:sz="4" w:space="0" w:color="auto"/>
              <w:bottom w:val="single" w:sz="4" w:space="0" w:color="auto"/>
              <w:right w:val="nil"/>
            </w:tcBorders>
            <w:shd w:val="clear" w:color="000000" w:fill="B398B8"/>
            <w:noWrap/>
            <w:vAlign w:val="center"/>
          </w:tcPr>
          <w:p w14:paraId="40CAB6BB" w14:textId="77777777" w:rsidR="003C4004" w:rsidRPr="007F6332" w:rsidRDefault="003C4004" w:rsidP="00C71F02">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-0.4%</w:t>
            </w:r>
          </w:p>
        </w:tc>
      </w:tr>
    </w:tbl>
    <w:p w14:paraId="44521780" w14:textId="55742EE1" w:rsidR="00AD5D8E" w:rsidRPr="007F6332" w:rsidRDefault="00AD5D8E" w:rsidP="00AD5D8E">
      <w:pPr>
        <w:spacing w:before="240" w:after="0"/>
        <w:rPr>
          <w:rFonts w:cs="Arial"/>
        </w:rPr>
      </w:pPr>
      <w:r w:rsidRPr="007F6332">
        <w:rPr>
          <w:rFonts w:cs="Arial"/>
        </w:rPr>
        <w:t xml:space="preserve">Normal inflation has been combined with additional growth rates to calculate total growth in average payments per participant. Table 12 details the underlying normal and additional growth assumptions assumed for each projection year, after adjusting for the estimated impact of planned for </w:t>
      </w:r>
      <w:r w:rsidR="002D6881" w:rsidRPr="007F6332">
        <w:rPr>
          <w:rFonts w:cs="Arial"/>
        </w:rPr>
        <w:t>Budget initiatives</w:t>
      </w:r>
      <w:r w:rsidRPr="007F6332">
        <w:rPr>
          <w:rFonts w:cs="Arial"/>
        </w:rPr>
        <w:t xml:space="preserve">, with a comparison made to actual </w:t>
      </w:r>
      <w:r w:rsidRPr="007F6332">
        <w:rPr>
          <w:rFonts w:cs="Arial"/>
        </w:rPr>
        <w:lastRenderedPageBreak/>
        <w:t xml:space="preserve">experience for </w:t>
      </w:r>
      <w:r w:rsidR="00172A59" w:rsidRPr="007F6332">
        <w:rPr>
          <w:rFonts w:cs="Arial"/>
        </w:rPr>
        <w:t xml:space="preserve">the </w:t>
      </w:r>
      <w:r w:rsidRPr="007F6332">
        <w:rPr>
          <w:rFonts w:cs="Arial"/>
        </w:rPr>
        <w:t xml:space="preserve">previous three-year period (2020-23). The assumed normal inflation and additional growth rate assumptions, compared with those prior to adjusting for the </w:t>
      </w:r>
      <w:r w:rsidR="002D6881" w:rsidRPr="007F6332">
        <w:rPr>
          <w:rFonts w:cs="Arial"/>
        </w:rPr>
        <w:t>Budget initiatives</w:t>
      </w:r>
      <w:r w:rsidRPr="007F6332">
        <w:rPr>
          <w:rFonts w:cs="Arial"/>
        </w:rPr>
        <w:t xml:space="preserve"> are shown in Figure 11.</w:t>
      </w:r>
    </w:p>
    <w:p w14:paraId="204BFA06" w14:textId="77777777" w:rsidR="00F41B41" w:rsidRPr="007F6332" w:rsidRDefault="00AD5D8E" w:rsidP="00D93505">
      <w:pPr>
        <w:pStyle w:val="FiguresandTablesHeading4"/>
      </w:pPr>
      <w:bookmarkStart w:id="14" w:name="_Hlk144891320"/>
      <w:r w:rsidRPr="007F6332">
        <w:t xml:space="preserve">Table 12: </w:t>
      </w:r>
      <w:r w:rsidR="00F41B41" w:rsidRPr="007F6332">
        <w:t>June 2023 projections, total growth assumptions</w:t>
      </w:r>
    </w:p>
    <w:tbl>
      <w:tblPr>
        <w:tblpPr w:leftFromText="180" w:rightFromText="180" w:vertAnchor="text" w:horzAnchor="margin" w:tblpY="71"/>
        <w:tblW w:w="9259" w:type="dxa"/>
        <w:tblLook w:val="04A0" w:firstRow="1" w:lastRow="0" w:firstColumn="1" w:lastColumn="0" w:noHBand="0" w:noVBand="1"/>
      </w:tblPr>
      <w:tblGrid>
        <w:gridCol w:w="1843"/>
        <w:gridCol w:w="1201"/>
        <w:gridCol w:w="1243"/>
        <w:gridCol w:w="1243"/>
        <w:gridCol w:w="1243"/>
        <w:gridCol w:w="1243"/>
        <w:gridCol w:w="1243"/>
      </w:tblGrid>
      <w:tr w:rsidR="00F41B41" w:rsidRPr="007F6332" w14:paraId="0C1E0C63" w14:textId="77777777" w:rsidTr="00E53368">
        <w:trPr>
          <w:trHeight w:val="505"/>
        </w:trPr>
        <w:tc>
          <w:tcPr>
            <w:tcW w:w="1843" w:type="dxa"/>
            <w:tcBorders>
              <w:left w:val="nil"/>
            </w:tcBorders>
            <w:shd w:val="clear" w:color="000000" w:fill="6B2F76"/>
            <w:vAlign w:val="center"/>
            <w:hideMark/>
          </w:tcPr>
          <w:p w14:paraId="11804030" w14:textId="77777777" w:rsidR="00F41B41" w:rsidRPr="007F6332" w:rsidRDefault="00F41B41" w:rsidP="00C71F02">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J</w:t>
            </w:r>
            <w:r w:rsidRPr="007F6332">
              <w:rPr>
                <w:rFonts w:eastAsia="Times New Roman" w:cs="Arial"/>
                <w:b/>
                <w:color w:val="FFFFFF"/>
                <w:szCs w:val="22"/>
                <w:lang w:eastAsia="en-AU"/>
              </w:rPr>
              <w:t>une 2023 projections</w:t>
            </w:r>
          </w:p>
        </w:tc>
        <w:tc>
          <w:tcPr>
            <w:tcW w:w="1201" w:type="dxa"/>
            <w:tcBorders>
              <w:right w:val="single" w:sz="6" w:space="0" w:color="auto"/>
            </w:tcBorders>
            <w:shd w:val="clear" w:color="000000" w:fill="6B2F76"/>
            <w:vAlign w:val="center"/>
            <w:hideMark/>
          </w:tcPr>
          <w:p w14:paraId="002B3D32" w14:textId="77777777" w:rsidR="00F41B41" w:rsidRPr="007F6332" w:rsidRDefault="00F41B41" w:rsidP="00C71F02">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Actual Average</w:t>
            </w:r>
            <w:r w:rsidRPr="007F6332">
              <w:rPr>
                <w:rFonts w:eastAsia="Times New Roman" w:cs="Arial"/>
                <w:b/>
                <w:bCs/>
                <w:color w:val="FFFFFF"/>
                <w:szCs w:val="22"/>
                <w:lang w:eastAsia="en-AU"/>
              </w:rPr>
              <w:br/>
              <w:t>2020-23</w:t>
            </w:r>
          </w:p>
        </w:tc>
        <w:tc>
          <w:tcPr>
            <w:tcW w:w="1243" w:type="dxa"/>
            <w:tcBorders>
              <w:left w:val="single" w:sz="6" w:space="0" w:color="auto"/>
            </w:tcBorders>
            <w:shd w:val="clear" w:color="000000" w:fill="6B2F76"/>
            <w:noWrap/>
            <w:vAlign w:val="center"/>
            <w:hideMark/>
          </w:tcPr>
          <w:p w14:paraId="15D74CC8" w14:textId="77777777" w:rsidR="00F41B41" w:rsidRPr="007F6332" w:rsidRDefault="00F41B41"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243" w:type="dxa"/>
            <w:shd w:val="clear" w:color="000000" w:fill="6B2F76"/>
            <w:noWrap/>
            <w:vAlign w:val="center"/>
            <w:hideMark/>
          </w:tcPr>
          <w:p w14:paraId="7FA94F2C" w14:textId="77777777" w:rsidR="00F41B41" w:rsidRPr="007F6332" w:rsidRDefault="00F41B41"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243" w:type="dxa"/>
            <w:shd w:val="clear" w:color="000000" w:fill="6B2F76"/>
            <w:noWrap/>
            <w:vAlign w:val="center"/>
            <w:hideMark/>
          </w:tcPr>
          <w:p w14:paraId="1D4F543D" w14:textId="77777777" w:rsidR="00F41B41" w:rsidRPr="007F6332" w:rsidRDefault="00F41B41"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243" w:type="dxa"/>
            <w:shd w:val="clear" w:color="000000" w:fill="6B2F76"/>
            <w:noWrap/>
            <w:vAlign w:val="center"/>
            <w:hideMark/>
          </w:tcPr>
          <w:p w14:paraId="075F5A97" w14:textId="77777777" w:rsidR="00F41B41" w:rsidRPr="007F6332" w:rsidRDefault="00F41B41"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243" w:type="dxa"/>
            <w:tcBorders>
              <w:right w:val="nil"/>
            </w:tcBorders>
            <w:shd w:val="clear" w:color="000000" w:fill="6B2F76"/>
            <w:noWrap/>
            <w:vAlign w:val="center"/>
            <w:hideMark/>
          </w:tcPr>
          <w:p w14:paraId="70230FB2" w14:textId="77777777" w:rsidR="00F41B41" w:rsidRPr="007F6332" w:rsidRDefault="00F41B41" w:rsidP="00C71F02">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F41B41" w:rsidRPr="007F6332" w14:paraId="0B90EE58" w14:textId="77777777" w:rsidTr="00C71F02">
        <w:trPr>
          <w:trHeight w:val="383"/>
        </w:trPr>
        <w:tc>
          <w:tcPr>
            <w:tcW w:w="1843" w:type="dxa"/>
            <w:tcBorders>
              <w:top w:val="nil"/>
              <w:left w:val="nil"/>
              <w:bottom w:val="nil"/>
              <w:right w:val="nil"/>
            </w:tcBorders>
            <w:shd w:val="clear" w:color="000000" w:fill="A7A9AC"/>
            <w:noWrap/>
            <w:vAlign w:val="center"/>
            <w:hideMark/>
          </w:tcPr>
          <w:p w14:paraId="77CDFB04" w14:textId="77777777" w:rsidR="00F41B41" w:rsidRPr="007F6332" w:rsidRDefault="00F41B41"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Normal inflation</w:t>
            </w:r>
          </w:p>
        </w:tc>
        <w:tc>
          <w:tcPr>
            <w:tcW w:w="1201" w:type="dxa"/>
            <w:tcBorders>
              <w:top w:val="nil"/>
              <w:left w:val="nil"/>
              <w:bottom w:val="nil"/>
              <w:right w:val="single" w:sz="4" w:space="0" w:color="auto"/>
            </w:tcBorders>
            <w:shd w:val="clear" w:color="000000" w:fill="A7A9AC"/>
            <w:noWrap/>
            <w:vAlign w:val="center"/>
            <w:hideMark/>
          </w:tcPr>
          <w:p w14:paraId="3423CC7A"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3.7%</w:t>
            </w:r>
          </w:p>
        </w:tc>
        <w:tc>
          <w:tcPr>
            <w:tcW w:w="1243" w:type="dxa"/>
            <w:tcBorders>
              <w:top w:val="nil"/>
              <w:left w:val="nil"/>
              <w:bottom w:val="nil"/>
              <w:right w:val="nil"/>
            </w:tcBorders>
            <w:shd w:val="clear" w:color="000000" w:fill="A7A9AC"/>
            <w:noWrap/>
            <w:vAlign w:val="center"/>
            <w:hideMark/>
          </w:tcPr>
          <w:p w14:paraId="5C684042"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4.4%</w:t>
            </w:r>
          </w:p>
        </w:tc>
        <w:tc>
          <w:tcPr>
            <w:tcW w:w="1243" w:type="dxa"/>
            <w:tcBorders>
              <w:top w:val="nil"/>
              <w:left w:val="nil"/>
              <w:bottom w:val="nil"/>
              <w:right w:val="nil"/>
            </w:tcBorders>
            <w:shd w:val="clear" w:color="000000" w:fill="A7A9AC"/>
            <w:noWrap/>
            <w:vAlign w:val="center"/>
            <w:hideMark/>
          </w:tcPr>
          <w:p w14:paraId="2675F8F2"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3.2%</w:t>
            </w:r>
          </w:p>
        </w:tc>
        <w:tc>
          <w:tcPr>
            <w:tcW w:w="1243" w:type="dxa"/>
            <w:tcBorders>
              <w:top w:val="nil"/>
              <w:left w:val="nil"/>
              <w:bottom w:val="nil"/>
              <w:right w:val="nil"/>
            </w:tcBorders>
            <w:shd w:val="clear" w:color="000000" w:fill="A7A9AC"/>
            <w:noWrap/>
            <w:vAlign w:val="center"/>
            <w:hideMark/>
          </w:tcPr>
          <w:p w14:paraId="16DC3502"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3.9%</w:t>
            </w:r>
          </w:p>
        </w:tc>
        <w:tc>
          <w:tcPr>
            <w:tcW w:w="1243" w:type="dxa"/>
            <w:tcBorders>
              <w:top w:val="nil"/>
              <w:left w:val="nil"/>
              <w:right w:val="dashed" w:sz="4" w:space="0" w:color="000000"/>
            </w:tcBorders>
            <w:shd w:val="clear" w:color="000000" w:fill="A7A9AC"/>
            <w:noWrap/>
            <w:vAlign w:val="center"/>
            <w:hideMark/>
          </w:tcPr>
          <w:p w14:paraId="18EA4015"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3.5%</w:t>
            </w:r>
          </w:p>
        </w:tc>
        <w:tc>
          <w:tcPr>
            <w:tcW w:w="1243" w:type="dxa"/>
            <w:tcBorders>
              <w:top w:val="nil"/>
              <w:left w:val="nil"/>
              <w:right w:val="nil"/>
            </w:tcBorders>
            <w:shd w:val="clear" w:color="000000" w:fill="A7A9AC"/>
            <w:noWrap/>
            <w:vAlign w:val="center"/>
            <w:hideMark/>
          </w:tcPr>
          <w:p w14:paraId="6DA91B80"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3.5%</w:t>
            </w:r>
          </w:p>
        </w:tc>
      </w:tr>
      <w:tr w:rsidR="00F41B41" w:rsidRPr="007F6332" w14:paraId="243A5F4A" w14:textId="77777777" w:rsidTr="00C71F02">
        <w:trPr>
          <w:trHeight w:val="373"/>
        </w:trPr>
        <w:tc>
          <w:tcPr>
            <w:tcW w:w="1843" w:type="dxa"/>
            <w:tcBorders>
              <w:top w:val="nil"/>
              <w:left w:val="nil"/>
              <w:right w:val="nil"/>
            </w:tcBorders>
            <w:shd w:val="clear" w:color="000000" w:fill="FFFFFF"/>
            <w:noWrap/>
            <w:vAlign w:val="center"/>
            <w:hideMark/>
          </w:tcPr>
          <w:p w14:paraId="52146EB9" w14:textId="77777777" w:rsidR="00F41B41" w:rsidRPr="007F6332" w:rsidRDefault="00F41B41"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Additional growth</w:t>
            </w:r>
          </w:p>
        </w:tc>
        <w:tc>
          <w:tcPr>
            <w:tcW w:w="1201" w:type="dxa"/>
            <w:tcBorders>
              <w:top w:val="nil"/>
              <w:left w:val="nil"/>
              <w:right w:val="single" w:sz="4" w:space="0" w:color="auto"/>
            </w:tcBorders>
            <w:shd w:val="clear" w:color="000000" w:fill="FFFFFF"/>
            <w:noWrap/>
            <w:vAlign w:val="center"/>
            <w:hideMark/>
          </w:tcPr>
          <w:p w14:paraId="74E8975B"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8.9%</w:t>
            </w:r>
          </w:p>
        </w:tc>
        <w:tc>
          <w:tcPr>
            <w:tcW w:w="1243" w:type="dxa"/>
            <w:tcBorders>
              <w:top w:val="nil"/>
              <w:left w:val="nil"/>
              <w:right w:val="nil"/>
            </w:tcBorders>
            <w:shd w:val="clear" w:color="000000" w:fill="FFFFFF"/>
            <w:noWrap/>
            <w:vAlign w:val="center"/>
            <w:hideMark/>
          </w:tcPr>
          <w:p w14:paraId="1A036A55"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5.1%</w:t>
            </w:r>
          </w:p>
        </w:tc>
        <w:tc>
          <w:tcPr>
            <w:tcW w:w="1243" w:type="dxa"/>
            <w:tcBorders>
              <w:top w:val="nil"/>
              <w:left w:val="nil"/>
              <w:right w:val="nil"/>
            </w:tcBorders>
            <w:shd w:val="clear" w:color="000000" w:fill="FFFFFF"/>
            <w:noWrap/>
            <w:vAlign w:val="center"/>
            <w:hideMark/>
          </w:tcPr>
          <w:p w14:paraId="1013047E"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2.8%</w:t>
            </w:r>
          </w:p>
        </w:tc>
        <w:tc>
          <w:tcPr>
            <w:tcW w:w="1243" w:type="dxa"/>
            <w:tcBorders>
              <w:top w:val="nil"/>
              <w:left w:val="nil"/>
              <w:right w:val="nil"/>
            </w:tcBorders>
            <w:shd w:val="clear" w:color="000000" w:fill="FFFFFF"/>
            <w:noWrap/>
            <w:vAlign w:val="center"/>
            <w:hideMark/>
          </w:tcPr>
          <w:p w14:paraId="449FFF6F"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1.2%</w:t>
            </w:r>
          </w:p>
        </w:tc>
        <w:tc>
          <w:tcPr>
            <w:tcW w:w="1243" w:type="dxa"/>
            <w:tcBorders>
              <w:top w:val="nil"/>
              <w:left w:val="nil"/>
              <w:right w:val="dashed" w:sz="4" w:space="0" w:color="auto"/>
            </w:tcBorders>
            <w:shd w:val="clear" w:color="000000" w:fill="FFFFFF"/>
            <w:noWrap/>
            <w:vAlign w:val="center"/>
            <w:hideMark/>
          </w:tcPr>
          <w:p w14:paraId="49171EDD"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0.9%</w:t>
            </w:r>
          </w:p>
        </w:tc>
        <w:tc>
          <w:tcPr>
            <w:tcW w:w="1243" w:type="dxa"/>
            <w:tcBorders>
              <w:top w:val="nil"/>
              <w:left w:val="dashed" w:sz="4" w:space="0" w:color="auto"/>
              <w:right w:val="nil"/>
            </w:tcBorders>
            <w:shd w:val="clear" w:color="000000" w:fill="FFFFFF"/>
            <w:noWrap/>
            <w:vAlign w:val="center"/>
            <w:hideMark/>
          </w:tcPr>
          <w:p w14:paraId="1707E073"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1.6%</w:t>
            </w:r>
          </w:p>
        </w:tc>
      </w:tr>
      <w:tr w:rsidR="00F41B41" w:rsidRPr="007F6332" w14:paraId="44052D2D" w14:textId="77777777" w:rsidTr="00C71F02">
        <w:trPr>
          <w:trHeight w:val="297"/>
        </w:trPr>
        <w:tc>
          <w:tcPr>
            <w:tcW w:w="1843" w:type="dxa"/>
            <w:tcBorders>
              <w:left w:val="nil"/>
            </w:tcBorders>
            <w:shd w:val="clear" w:color="000000" w:fill="B398B8"/>
            <w:noWrap/>
            <w:vAlign w:val="center"/>
            <w:hideMark/>
          </w:tcPr>
          <w:p w14:paraId="6E66669B" w14:textId="77777777" w:rsidR="00F41B41" w:rsidRPr="007F6332" w:rsidRDefault="00F41B41" w:rsidP="00C71F02">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 xml:space="preserve">Total growth </w:t>
            </w:r>
          </w:p>
          <w:p w14:paraId="697B4882" w14:textId="77777777" w:rsidR="00F41B41" w:rsidRPr="007F6332" w:rsidRDefault="00F41B41" w:rsidP="00C71F02">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(excluding change in mix)</w:t>
            </w:r>
          </w:p>
        </w:tc>
        <w:tc>
          <w:tcPr>
            <w:tcW w:w="1201" w:type="dxa"/>
            <w:tcBorders>
              <w:right w:val="single" w:sz="4" w:space="0" w:color="auto"/>
            </w:tcBorders>
            <w:shd w:val="clear" w:color="000000" w:fill="B398B8"/>
            <w:noWrap/>
            <w:vAlign w:val="center"/>
            <w:hideMark/>
          </w:tcPr>
          <w:p w14:paraId="39999B56"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12.6%</w:t>
            </w:r>
          </w:p>
        </w:tc>
        <w:tc>
          <w:tcPr>
            <w:tcW w:w="1243" w:type="dxa"/>
            <w:tcBorders>
              <w:left w:val="single" w:sz="4" w:space="0" w:color="auto"/>
            </w:tcBorders>
            <w:shd w:val="clear" w:color="000000" w:fill="B398B8"/>
            <w:noWrap/>
            <w:vAlign w:val="center"/>
            <w:hideMark/>
          </w:tcPr>
          <w:p w14:paraId="54E91299"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9.6%</w:t>
            </w:r>
          </w:p>
        </w:tc>
        <w:tc>
          <w:tcPr>
            <w:tcW w:w="1243" w:type="dxa"/>
            <w:shd w:val="clear" w:color="000000" w:fill="B398B8"/>
            <w:noWrap/>
            <w:vAlign w:val="center"/>
            <w:hideMark/>
          </w:tcPr>
          <w:p w14:paraId="0C7B680E"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6.1%</w:t>
            </w:r>
          </w:p>
        </w:tc>
        <w:tc>
          <w:tcPr>
            <w:tcW w:w="1243" w:type="dxa"/>
            <w:shd w:val="clear" w:color="000000" w:fill="B398B8"/>
            <w:noWrap/>
            <w:vAlign w:val="center"/>
            <w:hideMark/>
          </w:tcPr>
          <w:p w14:paraId="755386D9"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5.1%</w:t>
            </w:r>
          </w:p>
        </w:tc>
        <w:tc>
          <w:tcPr>
            <w:tcW w:w="1243" w:type="dxa"/>
            <w:tcBorders>
              <w:right w:val="dashed" w:sz="4" w:space="0" w:color="auto"/>
            </w:tcBorders>
            <w:shd w:val="clear" w:color="000000" w:fill="B398B8"/>
            <w:noWrap/>
            <w:vAlign w:val="center"/>
            <w:hideMark/>
          </w:tcPr>
          <w:p w14:paraId="206921A7"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4.4%</w:t>
            </w:r>
          </w:p>
        </w:tc>
        <w:tc>
          <w:tcPr>
            <w:tcW w:w="1243" w:type="dxa"/>
            <w:tcBorders>
              <w:left w:val="dashed" w:sz="4" w:space="0" w:color="auto"/>
              <w:right w:val="nil"/>
            </w:tcBorders>
            <w:shd w:val="clear" w:color="000000" w:fill="B398B8"/>
            <w:noWrap/>
            <w:vAlign w:val="center"/>
            <w:hideMark/>
          </w:tcPr>
          <w:p w14:paraId="7C3CD004"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5.1%</w:t>
            </w:r>
          </w:p>
        </w:tc>
      </w:tr>
      <w:tr w:rsidR="00F41B41" w:rsidRPr="007F6332" w14:paraId="730B012A" w14:textId="77777777" w:rsidTr="00C71F02">
        <w:trPr>
          <w:trHeight w:val="434"/>
        </w:trPr>
        <w:tc>
          <w:tcPr>
            <w:tcW w:w="1843" w:type="dxa"/>
            <w:tcBorders>
              <w:left w:val="nil"/>
              <w:right w:val="nil"/>
            </w:tcBorders>
            <w:shd w:val="clear" w:color="000000" w:fill="FFFFFF"/>
            <w:noWrap/>
            <w:vAlign w:val="center"/>
            <w:hideMark/>
          </w:tcPr>
          <w:p w14:paraId="15A2FDC7" w14:textId="77777777" w:rsidR="00F41B41" w:rsidRPr="007F6332" w:rsidRDefault="00F41B41" w:rsidP="00C71F02">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Change in mix</w:t>
            </w:r>
          </w:p>
        </w:tc>
        <w:tc>
          <w:tcPr>
            <w:tcW w:w="1201" w:type="dxa"/>
            <w:tcBorders>
              <w:left w:val="nil"/>
              <w:right w:val="single" w:sz="4" w:space="0" w:color="auto"/>
            </w:tcBorders>
            <w:shd w:val="clear" w:color="000000" w:fill="FFFFFF"/>
            <w:noWrap/>
            <w:vAlign w:val="center"/>
            <w:hideMark/>
          </w:tcPr>
          <w:p w14:paraId="28EE7A62"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-6.6%</w:t>
            </w:r>
          </w:p>
        </w:tc>
        <w:tc>
          <w:tcPr>
            <w:tcW w:w="1243" w:type="dxa"/>
            <w:tcBorders>
              <w:left w:val="nil"/>
              <w:right w:val="nil"/>
            </w:tcBorders>
            <w:shd w:val="clear" w:color="000000" w:fill="FFFFFF"/>
            <w:noWrap/>
            <w:vAlign w:val="center"/>
            <w:hideMark/>
          </w:tcPr>
          <w:p w14:paraId="5FD9D931"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-4.1%</w:t>
            </w:r>
          </w:p>
        </w:tc>
        <w:tc>
          <w:tcPr>
            <w:tcW w:w="1243" w:type="dxa"/>
            <w:tcBorders>
              <w:left w:val="nil"/>
              <w:right w:val="nil"/>
            </w:tcBorders>
            <w:shd w:val="clear" w:color="000000" w:fill="FFFFFF"/>
            <w:noWrap/>
            <w:vAlign w:val="center"/>
            <w:hideMark/>
          </w:tcPr>
          <w:p w14:paraId="436E139A"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-2.4%</w:t>
            </w:r>
          </w:p>
        </w:tc>
        <w:tc>
          <w:tcPr>
            <w:tcW w:w="1243" w:type="dxa"/>
            <w:tcBorders>
              <w:left w:val="nil"/>
              <w:right w:val="nil"/>
            </w:tcBorders>
            <w:shd w:val="clear" w:color="000000" w:fill="FFFFFF"/>
            <w:noWrap/>
            <w:vAlign w:val="center"/>
            <w:hideMark/>
          </w:tcPr>
          <w:p w14:paraId="70F2DCE0"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-2.0%</w:t>
            </w:r>
          </w:p>
        </w:tc>
        <w:tc>
          <w:tcPr>
            <w:tcW w:w="1243" w:type="dxa"/>
            <w:tcBorders>
              <w:left w:val="nil"/>
              <w:right w:val="dashed" w:sz="4" w:space="0" w:color="auto"/>
            </w:tcBorders>
            <w:shd w:val="clear" w:color="000000" w:fill="FFFFFF"/>
            <w:noWrap/>
            <w:vAlign w:val="center"/>
            <w:hideMark/>
          </w:tcPr>
          <w:p w14:paraId="301066BA"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-1.2%</w:t>
            </w:r>
          </w:p>
        </w:tc>
        <w:tc>
          <w:tcPr>
            <w:tcW w:w="1243" w:type="dxa"/>
            <w:tcBorders>
              <w:left w:val="dashed" w:sz="4" w:space="0" w:color="auto"/>
              <w:right w:val="nil"/>
            </w:tcBorders>
            <w:shd w:val="clear" w:color="000000" w:fill="FFFFFF"/>
            <w:noWrap/>
            <w:vAlign w:val="center"/>
            <w:hideMark/>
          </w:tcPr>
          <w:p w14:paraId="0041B009" w14:textId="77777777" w:rsidR="00F41B41" w:rsidRPr="007F6332" w:rsidRDefault="00F41B41" w:rsidP="00C71F02">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-1.3%</w:t>
            </w:r>
          </w:p>
        </w:tc>
      </w:tr>
      <w:tr w:rsidR="00F41B41" w:rsidRPr="007F6332" w14:paraId="1590ED6C" w14:textId="77777777" w:rsidTr="00C71F02">
        <w:trPr>
          <w:trHeight w:val="297"/>
        </w:trPr>
        <w:tc>
          <w:tcPr>
            <w:tcW w:w="1843" w:type="dxa"/>
            <w:tcBorders>
              <w:left w:val="nil"/>
              <w:bottom w:val="single" w:sz="4" w:space="0" w:color="auto"/>
            </w:tcBorders>
            <w:shd w:val="clear" w:color="000000" w:fill="B398B8"/>
            <w:noWrap/>
            <w:vAlign w:val="center"/>
            <w:hideMark/>
          </w:tcPr>
          <w:p w14:paraId="0838956F" w14:textId="77777777" w:rsidR="00F41B41" w:rsidRPr="007F6332" w:rsidRDefault="00F41B41" w:rsidP="00C71F02">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 xml:space="preserve">Total growth </w:t>
            </w:r>
          </w:p>
          <w:p w14:paraId="7DC977D8" w14:textId="77777777" w:rsidR="00F41B41" w:rsidRPr="007F6332" w:rsidRDefault="00F41B41" w:rsidP="00C71F02">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(including change in mix)</w:t>
            </w:r>
          </w:p>
        </w:tc>
        <w:tc>
          <w:tcPr>
            <w:tcW w:w="1201" w:type="dxa"/>
            <w:tcBorders>
              <w:bottom w:val="single" w:sz="4" w:space="0" w:color="auto"/>
              <w:right w:val="single" w:sz="4" w:space="0" w:color="auto"/>
            </w:tcBorders>
            <w:shd w:val="clear" w:color="000000" w:fill="B398B8"/>
            <w:noWrap/>
            <w:vAlign w:val="center"/>
            <w:hideMark/>
          </w:tcPr>
          <w:p w14:paraId="3507A656"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6.0%</w:t>
            </w:r>
          </w:p>
        </w:tc>
        <w:tc>
          <w:tcPr>
            <w:tcW w:w="1243" w:type="dxa"/>
            <w:tcBorders>
              <w:left w:val="single" w:sz="4" w:space="0" w:color="auto"/>
              <w:bottom w:val="single" w:sz="4" w:space="0" w:color="auto"/>
            </w:tcBorders>
            <w:shd w:val="clear" w:color="000000" w:fill="B398B8"/>
            <w:noWrap/>
            <w:vAlign w:val="center"/>
            <w:hideMark/>
          </w:tcPr>
          <w:p w14:paraId="0184F74E"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5.5%</w:t>
            </w:r>
          </w:p>
        </w:tc>
        <w:tc>
          <w:tcPr>
            <w:tcW w:w="1243" w:type="dxa"/>
            <w:tcBorders>
              <w:bottom w:val="single" w:sz="4" w:space="0" w:color="auto"/>
            </w:tcBorders>
            <w:shd w:val="clear" w:color="000000" w:fill="B398B8"/>
            <w:noWrap/>
            <w:vAlign w:val="center"/>
            <w:hideMark/>
          </w:tcPr>
          <w:p w14:paraId="65101871"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3.7%</w:t>
            </w:r>
          </w:p>
        </w:tc>
        <w:tc>
          <w:tcPr>
            <w:tcW w:w="1243" w:type="dxa"/>
            <w:tcBorders>
              <w:bottom w:val="single" w:sz="4" w:space="0" w:color="auto"/>
            </w:tcBorders>
            <w:shd w:val="clear" w:color="000000" w:fill="B398B8"/>
            <w:noWrap/>
            <w:vAlign w:val="center"/>
            <w:hideMark/>
          </w:tcPr>
          <w:p w14:paraId="35868E3B"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3.2%</w:t>
            </w:r>
          </w:p>
        </w:tc>
        <w:tc>
          <w:tcPr>
            <w:tcW w:w="1243" w:type="dxa"/>
            <w:tcBorders>
              <w:bottom w:val="single" w:sz="4" w:space="0" w:color="auto"/>
              <w:right w:val="dashed" w:sz="4" w:space="0" w:color="auto"/>
            </w:tcBorders>
            <w:shd w:val="clear" w:color="000000" w:fill="B398B8"/>
            <w:noWrap/>
            <w:vAlign w:val="center"/>
            <w:hideMark/>
          </w:tcPr>
          <w:p w14:paraId="060B30F3"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3.3%</w:t>
            </w:r>
          </w:p>
        </w:tc>
        <w:tc>
          <w:tcPr>
            <w:tcW w:w="1243" w:type="dxa"/>
            <w:tcBorders>
              <w:left w:val="dashed" w:sz="4" w:space="0" w:color="auto"/>
              <w:bottom w:val="single" w:sz="4" w:space="0" w:color="auto"/>
              <w:right w:val="nil"/>
            </w:tcBorders>
            <w:shd w:val="clear" w:color="000000" w:fill="B398B8"/>
            <w:noWrap/>
            <w:vAlign w:val="center"/>
            <w:hideMark/>
          </w:tcPr>
          <w:p w14:paraId="766180A3" w14:textId="77777777" w:rsidR="00F41B41" w:rsidRPr="007F6332" w:rsidRDefault="00F41B41" w:rsidP="00C71F02">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3.8%</w:t>
            </w:r>
          </w:p>
        </w:tc>
      </w:tr>
      <w:bookmarkEnd w:id="14"/>
    </w:tbl>
    <w:p w14:paraId="416311EA" w14:textId="77777777" w:rsidR="00711091" w:rsidRPr="007F6332" w:rsidRDefault="00711091" w:rsidP="00536741">
      <w:pPr>
        <w:pStyle w:val="BodyText1"/>
        <w:rPr>
          <w:rFonts w:cs="Arial"/>
        </w:rPr>
      </w:pPr>
    </w:p>
    <w:p w14:paraId="537A257F" w14:textId="10B32051" w:rsidR="00F41B41" w:rsidRPr="007F6332" w:rsidRDefault="00F41B41" w:rsidP="00D93505">
      <w:pPr>
        <w:pStyle w:val="FiguresandTablesHeading4"/>
      </w:pPr>
      <w:r w:rsidRPr="007F6332">
        <w:t xml:space="preserve">Figure 11: Comparison of June 2023 projections, assumed normal inflation and additional growth, before and after allowance for </w:t>
      </w:r>
      <w:r w:rsidR="002D6881" w:rsidRPr="007F6332">
        <w:t>Budget initiatives</w:t>
      </w:r>
    </w:p>
    <w:p w14:paraId="2803C713" w14:textId="0ABBE0D6" w:rsidR="00D515A7" w:rsidRPr="007F6332" w:rsidRDefault="00111B1C" w:rsidP="00D515A7">
      <w:pPr>
        <w:rPr>
          <w:rFonts w:cs="Arial"/>
        </w:rPr>
      </w:pPr>
      <w:r w:rsidRPr="007F6332">
        <w:rPr>
          <w:rFonts w:cs="Arial"/>
          <w:noProof/>
        </w:rPr>
        <w:drawing>
          <wp:inline distT="0" distB="0" distL="0" distR="0" wp14:anchorId="0FDA1673" wp14:editId="65240733">
            <wp:extent cx="5892909" cy="2819400"/>
            <wp:effectExtent l="0" t="0" r="0" b="0"/>
            <wp:docPr id="284416073" name="Picture 6" descr="Figure 11: Comparison of June 2023 projections, assumed normal inflation and additional growth, before and after allowance for Budget initiatives.&#10;2023-24 - Normal Inflation and additional growth (before Budget initiatives) comparison total 11.4%.&#10;2023-24 - Normal inflation and additional growth (after Budget initiatives) comparison total 9.6%.&#10;2024-25 - Normal Inflation and additional growth (before Budget initiatives) comparison total 9.0%&#10;2024-25 - Normal Inflation and additional growth (after Budget initiatives) comparison total 6.1%&#10;2025-26 - Normal Inflation and additional growth (before Budget initiatives) comparison total 7.9%&#10;2025-26 - Normal Inflation and additional growth (after Budget initiatives) comparison total 5.1%&#10;2026-27 - Normal Inflation and additional growth (before Budget initiatives) comparison total 5.5%&#10;2026-27 - Normal Inflation and additional growth (after Budget initiatives) comparison total 4.4%&#10;2032-33 - Normal Inflation and additional growth (before Budget initiatives) comparison total 5.5%&#10;2032-33 - Normal Inflation and additional growth (before Budget initiatives) comparison total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16073" name="Picture 6" descr="Figure 11: Comparison of June 2023 projections, assumed normal inflation and additional growth, before and after allowance for Budget initiatives.&#10;2023-24 - Normal Inflation and additional growth (before Budget initiatives) comparison total 11.4%.&#10;2023-24 - Normal inflation and additional growth (after Budget initiatives) comparison total 9.6%.&#10;2024-25 - Normal Inflation and additional growth (before Budget initiatives) comparison total 9.0%&#10;2024-25 - Normal Inflation and additional growth (after Budget initiatives) comparison total 6.1%&#10;2025-26 - Normal Inflation and additional growth (before Budget initiatives) comparison total 7.9%&#10;2025-26 - Normal Inflation and additional growth (after Budget initiatives) comparison total 5.1%&#10;2026-27 - Normal Inflation and additional growth (before Budget initiatives) comparison total 5.5%&#10;2026-27 - Normal Inflation and additional growth (after Budget initiatives) comparison total 4.4%&#10;2032-33 - Normal Inflation and additional growth (before Budget initiatives) comparison total 5.5%&#10;2032-33 - Normal Inflation and additional growth (before Budget initiatives) comparison total 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94191" cy="2820013"/>
                    </a:xfrm>
                    <a:prstGeom prst="rect">
                      <a:avLst/>
                    </a:prstGeom>
                    <a:noFill/>
                    <a:ln>
                      <a:noFill/>
                    </a:ln>
                  </pic:spPr>
                </pic:pic>
              </a:graphicData>
            </a:graphic>
          </wp:inline>
        </w:drawing>
      </w:r>
      <w:r w:rsidR="00A31F7C" w:rsidRPr="007F6332">
        <w:rPr>
          <w:rFonts w:cs="Arial"/>
        </w:rPr>
        <w:t xml:space="preserve"> </w:t>
      </w:r>
    </w:p>
    <w:p w14:paraId="6800FD14" w14:textId="77777777" w:rsidR="00AD5D8E" w:rsidRPr="007F6332" w:rsidRDefault="00AD5D8E" w:rsidP="00AD5D8E">
      <w:pPr>
        <w:pStyle w:val="FSRnormal"/>
        <w:rPr>
          <w:rFonts w:cs="Arial"/>
          <w:i/>
          <w:highlight w:val="yellow"/>
        </w:rPr>
      </w:pPr>
      <w:r w:rsidRPr="007F6332">
        <w:rPr>
          <w:rFonts w:cs="Arial"/>
        </w:rPr>
        <w:t xml:space="preserve">There is considerable uncertainty regarding these future levels of </w:t>
      </w:r>
      <w:r w:rsidRPr="007F6332">
        <w:rPr>
          <w:rFonts w:eastAsia="Times New Roman" w:cs="Arial"/>
          <w:szCs w:val="22"/>
          <w:lang w:eastAsia="en-AU"/>
        </w:rPr>
        <w:t>additional</w:t>
      </w:r>
      <w:r w:rsidRPr="007F6332">
        <w:rPr>
          <w:rFonts w:cs="Arial"/>
        </w:rPr>
        <w:t xml:space="preserve"> growth rate assumptions, and the impact of different scenarios is quantified in Section 6.1.</w:t>
      </w:r>
    </w:p>
    <w:p w14:paraId="053ED06D" w14:textId="77777777" w:rsidR="00B55A92" w:rsidRPr="007F6332" w:rsidRDefault="00B55A92" w:rsidP="00CD33D0">
      <w:pPr>
        <w:pStyle w:val="FSRHeading2"/>
        <w:ind w:firstLine="0"/>
        <w:rPr>
          <w:rFonts w:cs="Arial"/>
        </w:rPr>
        <w:sectPr w:rsidR="00B55A92" w:rsidRPr="007F6332" w:rsidSect="00E53368">
          <w:pgSz w:w="11906" w:h="16838"/>
          <w:pgMar w:top="1440" w:right="1700" w:bottom="1440" w:left="1440" w:header="708" w:footer="680" w:gutter="0"/>
          <w:cols w:space="708"/>
          <w:titlePg/>
          <w:docGrid w:linePitch="360"/>
        </w:sectPr>
      </w:pPr>
      <w:bookmarkStart w:id="15" w:name="_Hlk147322214"/>
    </w:p>
    <w:p w14:paraId="28B5A32D" w14:textId="23CF621E" w:rsidR="00A420E4" w:rsidRPr="007F6332" w:rsidRDefault="00A420E4" w:rsidP="00CD33D0">
      <w:pPr>
        <w:pStyle w:val="FSRHeading2"/>
        <w:ind w:left="0" w:firstLine="0"/>
        <w:rPr>
          <w:rFonts w:cs="Arial"/>
        </w:rPr>
      </w:pPr>
      <w:r w:rsidRPr="007F6332">
        <w:rPr>
          <w:rFonts w:cs="Arial"/>
        </w:rPr>
        <w:lastRenderedPageBreak/>
        <w:t>Risks and uncertainty inherent in Scheme projection</w:t>
      </w:r>
      <w:r w:rsidR="005C5EB7" w:rsidRPr="007F6332">
        <w:rPr>
          <w:rFonts w:cs="Arial"/>
        </w:rPr>
        <w:t>s</w:t>
      </w:r>
    </w:p>
    <w:p w14:paraId="710A6C12" w14:textId="4DC78538" w:rsidR="00F41B41" w:rsidRPr="007F6332" w:rsidRDefault="00F41B41" w:rsidP="00F41B41">
      <w:pPr>
        <w:pStyle w:val="FSRnormal"/>
        <w:rPr>
          <w:rFonts w:cs="Arial"/>
          <w:szCs w:val="21"/>
        </w:rPr>
      </w:pPr>
      <w:r w:rsidRPr="007F6332">
        <w:rPr>
          <w:rFonts w:cs="Arial"/>
        </w:rPr>
        <w:t>A wide range of factors contribute to the overall Scheme experience in any given year, and can be dependent on participant behaviours, Agency operational processes, current legislation</w:t>
      </w:r>
      <w:r w:rsidR="00A420E4" w:rsidRPr="007F6332">
        <w:rPr>
          <w:rFonts w:cs="Arial"/>
        </w:rPr>
        <w:t>,</w:t>
      </w:r>
      <w:r w:rsidRPr="007F6332">
        <w:rPr>
          <w:rFonts w:cs="Arial"/>
        </w:rPr>
        <w:t xml:space="preserve"> and policy regarding accessibility to the Scheme. For these reasons and given the relative immaturity, complexity and significant growth in the Scheme, many aspects remain difficult to interpret. As a result, estimation of future expenditure based on experience is inherently challenging and there is significant uncertainty in the projection. </w:t>
      </w:r>
      <w:r w:rsidRPr="007F6332">
        <w:rPr>
          <w:rFonts w:cs="Arial"/>
          <w:szCs w:val="21"/>
        </w:rPr>
        <w:t xml:space="preserve">Furthermore, at this time the </w:t>
      </w:r>
      <w:r w:rsidR="002D6881" w:rsidRPr="007F6332">
        <w:rPr>
          <w:rFonts w:cs="Arial"/>
          <w:szCs w:val="21"/>
        </w:rPr>
        <w:t>Budget initiatives</w:t>
      </w:r>
      <w:r w:rsidRPr="007F6332">
        <w:rPr>
          <w:rFonts w:cs="Arial"/>
          <w:szCs w:val="21"/>
        </w:rPr>
        <w:t xml:space="preserve"> are subject to co-design and therefore the estimated impacts of the initiatives create additional uncertainty in relation to future </w:t>
      </w:r>
      <w:bookmarkEnd w:id="15"/>
      <w:r w:rsidRPr="007F6332">
        <w:rPr>
          <w:rFonts w:cs="Arial"/>
          <w:szCs w:val="21"/>
        </w:rPr>
        <w:t xml:space="preserve">Scheme experience. </w:t>
      </w:r>
      <w:r w:rsidRPr="007F6332">
        <w:rPr>
          <w:rFonts w:cs="Arial"/>
        </w:rPr>
        <w:t xml:space="preserve">This </w:t>
      </w:r>
      <w:r w:rsidRPr="007F6332">
        <w:rPr>
          <w:rFonts w:cs="Arial"/>
          <w:szCs w:val="21"/>
        </w:rPr>
        <w:t>level of uncertainty increases over the longer term.</w:t>
      </w:r>
    </w:p>
    <w:p w14:paraId="37E0DAE3" w14:textId="77777777" w:rsidR="00F41B41" w:rsidRPr="007F6332" w:rsidRDefault="00F41B41" w:rsidP="00F41B41">
      <w:pPr>
        <w:pStyle w:val="FSRnormal"/>
        <w:rPr>
          <w:rFonts w:cs="Arial"/>
          <w:szCs w:val="21"/>
        </w:rPr>
      </w:pPr>
      <w:r w:rsidRPr="007F6332">
        <w:rPr>
          <w:rFonts w:cs="Arial"/>
          <w:szCs w:val="21"/>
        </w:rPr>
        <w:t>As for the previous review, stochastic modelling</w:t>
      </w:r>
      <w:r w:rsidRPr="007F6332">
        <w:rPr>
          <w:rStyle w:val="FootnoteReference"/>
          <w:rFonts w:cs="Arial"/>
          <w:szCs w:val="21"/>
        </w:rPr>
        <w:footnoteReference w:id="26"/>
      </w:r>
      <w:r w:rsidRPr="007F6332">
        <w:rPr>
          <w:rFonts w:cs="Arial"/>
          <w:szCs w:val="21"/>
        </w:rPr>
        <w:t xml:space="preserve"> of Scheme expense projection outcomes has been used to estimate the level of uncertainty, by varying key assumptions. Key risks determined as part of the risk analysis were additional growth</w:t>
      </w:r>
      <w:r w:rsidRPr="007F6332">
        <w:rPr>
          <w:rStyle w:val="FootnoteReference"/>
          <w:rFonts w:cs="Arial"/>
          <w:szCs w:val="21"/>
        </w:rPr>
        <w:footnoteReference w:id="27"/>
      </w:r>
      <w:r w:rsidRPr="007F6332">
        <w:rPr>
          <w:rFonts w:cs="Arial"/>
          <w:szCs w:val="21"/>
        </w:rPr>
        <w:t>, model specification risk</w:t>
      </w:r>
      <w:r w:rsidRPr="007F6332">
        <w:rPr>
          <w:rStyle w:val="FootnoteReference"/>
          <w:rFonts w:cs="Arial"/>
          <w:szCs w:val="21"/>
        </w:rPr>
        <w:footnoteReference w:id="28"/>
      </w:r>
      <w:r w:rsidRPr="007F6332">
        <w:rPr>
          <w:rFonts w:cs="Arial"/>
          <w:szCs w:val="21"/>
        </w:rPr>
        <w:t xml:space="preserve"> the number of new entrants to the Scheme, the numbers of participants transitioning to Supported Independent Living arrangements, and normal inflation.</w:t>
      </w:r>
    </w:p>
    <w:p w14:paraId="483A031E" w14:textId="77777777" w:rsidR="00F41B41" w:rsidRPr="007F6332" w:rsidRDefault="00F41B41" w:rsidP="00F41B41">
      <w:pPr>
        <w:pStyle w:val="FSRnormal"/>
        <w:rPr>
          <w:rFonts w:cs="Arial"/>
          <w:szCs w:val="21"/>
        </w:rPr>
      </w:pPr>
      <w:r w:rsidRPr="007F6332">
        <w:rPr>
          <w:rFonts w:cs="Arial"/>
          <w:szCs w:val="21"/>
        </w:rPr>
        <w:t>Figure 12 shows the results of the stochastic simulation of Scheme expenses, with varying confidence intervals</w:t>
      </w:r>
      <w:r w:rsidRPr="007F6332">
        <w:rPr>
          <w:rStyle w:val="FootnoteReference"/>
          <w:rFonts w:cs="Arial"/>
          <w:szCs w:val="21"/>
        </w:rPr>
        <w:footnoteReference w:id="29"/>
      </w:r>
      <w:r w:rsidRPr="007F6332">
        <w:rPr>
          <w:rFonts w:cs="Arial"/>
          <w:szCs w:val="21"/>
        </w:rPr>
        <w:t>. It is noted that these results do not consider the possibility of legislative or major policy interventions by government</w:t>
      </w:r>
      <w:r w:rsidRPr="007F6332">
        <w:rPr>
          <w:rStyle w:val="FootnoteReference"/>
          <w:rFonts w:cs="Arial"/>
          <w:szCs w:val="21"/>
        </w:rPr>
        <w:footnoteReference w:id="30"/>
      </w:r>
      <w:r w:rsidRPr="007F6332">
        <w:rPr>
          <w:rFonts w:cs="Arial"/>
          <w:szCs w:val="21"/>
        </w:rPr>
        <w:t>.</w:t>
      </w:r>
    </w:p>
    <w:p w14:paraId="749668C4" w14:textId="78D558B5" w:rsidR="00F41B41" w:rsidRPr="007F6332" w:rsidRDefault="00F41B41" w:rsidP="00F41B41">
      <w:pPr>
        <w:pStyle w:val="FSRnormal"/>
        <w:rPr>
          <w:rFonts w:cs="Arial"/>
          <w:szCs w:val="21"/>
        </w:rPr>
      </w:pPr>
      <w:r w:rsidRPr="007F6332">
        <w:rPr>
          <w:rFonts w:cs="Arial"/>
          <w:szCs w:val="21"/>
        </w:rPr>
        <w:t xml:space="preserve">The 90% confidence interval for the range of </w:t>
      </w:r>
      <w:r w:rsidR="00D46E12" w:rsidRPr="007F6332">
        <w:rPr>
          <w:rFonts w:cs="Arial"/>
          <w:szCs w:val="21"/>
        </w:rPr>
        <w:t>projected Scheme expense</w:t>
      </w:r>
      <w:r w:rsidRPr="007F6332">
        <w:rPr>
          <w:rFonts w:cs="Arial"/>
          <w:szCs w:val="21"/>
        </w:rPr>
        <w:t xml:space="preserve"> outcomes is:</w:t>
      </w:r>
    </w:p>
    <w:p w14:paraId="493E235C" w14:textId="7A4EA1E9" w:rsidR="00F41B41" w:rsidRPr="007F6332" w:rsidRDefault="00F41B41" w:rsidP="00C1755E">
      <w:pPr>
        <w:pStyle w:val="FSRlist"/>
        <w:rPr>
          <w:rFonts w:cs="Arial"/>
        </w:rPr>
      </w:pPr>
      <w:r w:rsidRPr="007F6332">
        <w:rPr>
          <w:rFonts w:cs="Arial"/>
        </w:rPr>
        <w:t xml:space="preserve">$39.0 billion to $45.6 billion, for the year to 30 June 2024, a range of $6.6 billion (16% of the June 2023 projection). </w:t>
      </w:r>
    </w:p>
    <w:p w14:paraId="6FDF5982" w14:textId="35A66F6A" w:rsidR="00F41B41" w:rsidRPr="007F6332" w:rsidRDefault="00F41B41" w:rsidP="00C1755E">
      <w:pPr>
        <w:pStyle w:val="FSRlist"/>
        <w:rPr>
          <w:rFonts w:cs="Arial"/>
        </w:rPr>
      </w:pPr>
      <w:r w:rsidRPr="007F6332">
        <w:rPr>
          <w:rFonts w:cs="Arial"/>
        </w:rPr>
        <w:t xml:space="preserve">$176.1 billion to $221.1 billion, for the 4 years to 30 June 2027, a range of $45.0 billion (23% of the June 2023 projection). </w:t>
      </w:r>
    </w:p>
    <w:p w14:paraId="6679CF4E" w14:textId="4D0D1471" w:rsidR="00F41B41" w:rsidRPr="007F6332" w:rsidRDefault="00F41B41" w:rsidP="00C1755E">
      <w:pPr>
        <w:pStyle w:val="FSRlist"/>
        <w:rPr>
          <w:rFonts w:cs="Arial"/>
        </w:rPr>
      </w:pPr>
      <w:r w:rsidRPr="007F6332">
        <w:rPr>
          <w:rFonts w:cs="Arial"/>
        </w:rPr>
        <w:t xml:space="preserve">$70.9 billion to $121.5 billion, for the year to 30 June 2033, a range of $50.6 billion (55% of the June 2023 projection). </w:t>
      </w:r>
    </w:p>
    <w:p w14:paraId="25B679AA" w14:textId="2A981903" w:rsidR="00F41B41" w:rsidRPr="007F6332" w:rsidRDefault="00F41B41" w:rsidP="00F41B41">
      <w:pPr>
        <w:rPr>
          <w:rFonts w:cs="Arial"/>
        </w:rPr>
      </w:pPr>
      <w:r w:rsidRPr="007F6332">
        <w:rPr>
          <w:rFonts w:cs="Arial"/>
        </w:rPr>
        <w:lastRenderedPageBreak/>
        <w:t>For a given level of confidence, the range of expected outcomes widens with the duration of the projection, reflecting the increased uncertainty of assumptions and future experience in the longer term.</w:t>
      </w:r>
    </w:p>
    <w:p w14:paraId="48187327" w14:textId="2E9B5BD4" w:rsidR="00CD5053" w:rsidRPr="007F6332" w:rsidRDefault="00CD5053" w:rsidP="00D93505">
      <w:pPr>
        <w:pStyle w:val="FiguresandTablesHeading4"/>
      </w:pPr>
      <w:r w:rsidRPr="007F6332">
        <w:t xml:space="preserve">Figure 12: Ranges of uncertainty in June 2023 projected Scheme expenses ($bn) </w:t>
      </w:r>
    </w:p>
    <w:p w14:paraId="374BB2DB" w14:textId="426179E1" w:rsidR="00AD5D8E" w:rsidRPr="007F6332" w:rsidRDefault="003C4038" w:rsidP="00C56CD1">
      <w:pPr>
        <w:pStyle w:val="FSRHeading2"/>
        <w:ind w:left="0" w:firstLine="0"/>
        <w:rPr>
          <w:rFonts w:cs="Arial"/>
        </w:rPr>
      </w:pPr>
      <w:r w:rsidRPr="007F6332">
        <w:rPr>
          <w:rFonts w:cs="Arial"/>
          <w:noProof/>
        </w:rPr>
        <w:drawing>
          <wp:inline distT="0" distB="0" distL="0" distR="0" wp14:anchorId="61B2A3A5" wp14:editId="4514E2C4">
            <wp:extent cx="5764530" cy="2962275"/>
            <wp:effectExtent l="0" t="0" r="7620" b="9525"/>
            <wp:docPr id="791690212" name="Picture 9" descr="Figure 12 This figures shows the projected Scheme expenses in billion dollars from the June 2023 projections and for different percentiles to show a range of uncertainty in results. For the year ending 30 June 2024, the June 2023 projection result is $41.4 billion, the 5% percentile result is $39.0 billion and the 95% percentile result is $45.6 billion. For the year ending  30 June 2033, the June 2023 projection result is $92.3 billion, the 5% percentile result is $70.9 billion and the 95% percentile result is $121.5 b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90212" name="Picture 9" descr="Figure 12 This figures shows the projected Scheme expenses in billion dollars from the June 2023 projections and for different percentiles to show a range of uncertainty in results. For the year ending 30 June 2024, the June 2023 projection result is $41.4 billion, the 5% percentile result is $39.0 billion and the 95% percentile result is $45.6 billion. For the year ending  30 June 2033, the June 2023 projection result is $92.3 billion, the 5% percentile result is $70.9 billion and the 95% percentile result is $121.5 billion."/>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907" t="2981" r="3698" b="2518"/>
                    <a:stretch/>
                  </pic:blipFill>
                  <pic:spPr bwMode="auto">
                    <a:xfrm>
                      <a:off x="0" y="0"/>
                      <a:ext cx="5764530" cy="2962275"/>
                    </a:xfrm>
                    <a:prstGeom prst="rect">
                      <a:avLst/>
                    </a:prstGeom>
                    <a:noFill/>
                    <a:ln>
                      <a:noFill/>
                    </a:ln>
                    <a:extLst>
                      <a:ext uri="{53640926-AAD7-44D8-BBD7-CCE9431645EC}">
                        <a14:shadowObscured xmlns:a14="http://schemas.microsoft.com/office/drawing/2010/main"/>
                      </a:ext>
                    </a:extLst>
                  </pic:spPr>
                </pic:pic>
              </a:graphicData>
            </a:graphic>
          </wp:inline>
        </w:drawing>
      </w:r>
      <w:r w:rsidR="00B308E2" w:rsidRPr="007F6332">
        <w:rPr>
          <w:rFonts w:cs="Arial"/>
        </w:rPr>
        <w:t xml:space="preserve"> </w:t>
      </w:r>
      <w:r w:rsidR="00AD5D8E" w:rsidRPr="007F6332">
        <w:rPr>
          <w:rFonts w:cs="Arial"/>
        </w:rPr>
        <w:t>Judgement and materiality regarding main assumptions</w:t>
      </w:r>
    </w:p>
    <w:p w14:paraId="6E1940DD" w14:textId="09D61237" w:rsidR="00AD5D8E" w:rsidRPr="007F6332" w:rsidRDefault="00AD5D8E" w:rsidP="00AD5D8E">
      <w:pPr>
        <w:pStyle w:val="FSRnormal"/>
        <w:rPr>
          <w:rFonts w:cs="Arial"/>
        </w:rPr>
      </w:pPr>
      <w:r w:rsidRPr="007F6332">
        <w:rPr>
          <w:rFonts w:cs="Arial"/>
        </w:rPr>
        <w:t>Tables 13 and 14 set out</w:t>
      </w:r>
      <w:r w:rsidR="00D46E12" w:rsidRPr="007F6332">
        <w:rPr>
          <w:rFonts w:cs="Arial"/>
        </w:rPr>
        <w:t xml:space="preserve"> the relative level of judgement</w:t>
      </w:r>
      <w:r w:rsidR="00D46E12" w:rsidRPr="007F6332">
        <w:rPr>
          <w:rStyle w:val="FootnoteReference"/>
          <w:rFonts w:cs="Arial"/>
        </w:rPr>
        <w:footnoteReference w:id="31"/>
      </w:r>
      <w:r w:rsidR="00D46E12" w:rsidRPr="007F6332">
        <w:rPr>
          <w:rFonts w:cs="Arial"/>
        </w:rPr>
        <w:t xml:space="preserve"> involved and materiality associated with each of </w:t>
      </w:r>
      <w:r w:rsidRPr="007F6332">
        <w:rPr>
          <w:rFonts w:cs="Arial"/>
        </w:rPr>
        <w:t>the main assumptions underlying the projection of future Scheme expenses, both in the short-term (four years 2023-24 to 2026-27) and the medium to long term (years 2027-28 and beyond). The level of judgement reflects the extent to which assumptions about future experience of the Scheme are based on evidence and data that is known, or influenced by other factors where there is less certainty. The materiality</w:t>
      </w:r>
      <w:r w:rsidRPr="007F6332">
        <w:rPr>
          <w:rStyle w:val="FootnoteReference"/>
          <w:rFonts w:cs="Arial"/>
        </w:rPr>
        <w:footnoteReference w:id="32"/>
      </w:r>
      <w:r w:rsidRPr="007F6332">
        <w:rPr>
          <w:rFonts w:cs="Arial"/>
        </w:rPr>
        <w:t xml:space="preserve"> of the respective assumptions is informed by the scenario analysis results (Section 6.1). </w:t>
      </w:r>
    </w:p>
    <w:p w14:paraId="59DA5F29" w14:textId="74856F51" w:rsidR="00AD5D8E" w:rsidRPr="007F6332" w:rsidRDefault="00AD5D8E" w:rsidP="00AD5D8E">
      <w:pPr>
        <w:pStyle w:val="FSRnormal"/>
        <w:rPr>
          <w:rFonts w:cs="Arial"/>
        </w:rPr>
      </w:pPr>
      <w:r w:rsidRPr="007F6332">
        <w:rPr>
          <w:rFonts w:cs="Arial"/>
        </w:rPr>
        <w:t>In both the short and medium to long term, a high degree of judgment is involved in setting the additional growth assumptions which are influenced by a number of factors. By contrast, mortality rates which are derived from experience and not impacted by changes to decisions and actions of the Government and Agency involve little judgement. New entrant assumptions are split between children (aged 0 to 14) and older children and adults (aged 15 and above), as different factors influence the respective group of new entrants.</w:t>
      </w:r>
    </w:p>
    <w:p w14:paraId="298191EB" w14:textId="57A50F6C" w:rsidR="00AD5D8E" w:rsidRPr="007F6332" w:rsidRDefault="00AD5D8E" w:rsidP="00D93505">
      <w:pPr>
        <w:pStyle w:val="FiguresandTablesHeading4"/>
      </w:pPr>
      <w:r w:rsidRPr="007F6332">
        <w:lastRenderedPageBreak/>
        <w:t>Table 13: Short-term relative level of judgement and impact on Scheme expense projections of main assumptions</w:t>
      </w:r>
    </w:p>
    <w:tbl>
      <w:tblPr>
        <w:tblW w:w="901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2551"/>
        <w:gridCol w:w="2530"/>
        <w:gridCol w:w="2513"/>
      </w:tblGrid>
      <w:tr w:rsidR="00F32A33" w:rsidRPr="007F6332" w14:paraId="218A9291" w14:textId="77777777" w:rsidTr="00C150CC">
        <w:trPr>
          <w:trHeight w:val="360"/>
        </w:trPr>
        <w:tc>
          <w:tcPr>
            <w:tcW w:w="1418" w:type="dxa"/>
            <w:shd w:val="clear" w:color="000000" w:fill="6B2976"/>
            <w:noWrap/>
            <w:vAlign w:val="bottom"/>
            <w:hideMark/>
          </w:tcPr>
          <w:p w14:paraId="065BE540" w14:textId="58D350A8" w:rsidR="00F32A33" w:rsidRPr="007F6332" w:rsidRDefault="00F32A33" w:rsidP="00875C1F">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Level of Judgement</w:t>
            </w:r>
          </w:p>
        </w:tc>
        <w:tc>
          <w:tcPr>
            <w:tcW w:w="2551" w:type="dxa"/>
            <w:shd w:val="clear" w:color="000000" w:fill="6B2976"/>
            <w:noWrap/>
            <w:vAlign w:val="bottom"/>
            <w:hideMark/>
          </w:tcPr>
          <w:p w14:paraId="0E767476" w14:textId="6D359B07" w:rsidR="00F32A33" w:rsidRPr="007F6332" w:rsidRDefault="00F32A33" w:rsidP="00652352">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Short Term (2023-27) Low</w:t>
            </w:r>
          </w:p>
        </w:tc>
        <w:tc>
          <w:tcPr>
            <w:tcW w:w="2513" w:type="dxa"/>
            <w:shd w:val="clear" w:color="000000" w:fill="6B2976"/>
            <w:noWrap/>
            <w:vAlign w:val="bottom"/>
            <w:hideMark/>
          </w:tcPr>
          <w:p w14:paraId="715E8CC9" w14:textId="1C814151" w:rsidR="00F32A33" w:rsidRPr="007F6332" w:rsidRDefault="00F32A33" w:rsidP="00652352">
            <w:pPr>
              <w:spacing w:after="0" w:line="240" w:lineRule="auto"/>
              <w:ind w:left="-107" w:right="-112"/>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Short Term (2023-27) Medium</w:t>
            </w:r>
          </w:p>
        </w:tc>
        <w:tc>
          <w:tcPr>
            <w:tcW w:w="2513" w:type="dxa"/>
            <w:shd w:val="clear" w:color="000000" w:fill="6B2976"/>
            <w:noWrap/>
            <w:vAlign w:val="bottom"/>
            <w:hideMark/>
          </w:tcPr>
          <w:p w14:paraId="534BE485" w14:textId="66ED21C3" w:rsidR="00F32A33" w:rsidRPr="007F6332" w:rsidRDefault="00F32A33" w:rsidP="00652352">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Short Term (2023-27) High</w:t>
            </w:r>
          </w:p>
        </w:tc>
      </w:tr>
      <w:tr w:rsidR="00F32A33" w:rsidRPr="007F6332" w14:paraId="07A4B463" w14:textId="77777777" w:rsidTr="00C150CC">
        <w:trPr>
          <w:trHeight w:val="578"/>
        </w:trPr>
        <w:tc>
          <w:tcPr>
            <w:tcW w:w="1418" w:type="dxa"/>
            <w:shd w:val="clear" w:color="000000" w:fill="6B2976"/>
            <w:noWrap/>
            <w:vAlign w:val="center"/>
            <w:hideMark/>
          </w:tcPr>
          <w:p w14:paraId="2795BE47" w14:textId="77777777" w:rsidR="00F32A33" w:rsidRPr="007F6332" w:rsidRDefault="00F32A33" w:rsidP="00875C1F">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High</w:t>
            </w:r>
          </w:p>
        </w:tc>
        <w:tc>
          <w:tcPr>
            <w:tcW w:w="2551" w:type="dxa"/>
            <w:shd w:val="clear" w:color="000000" w:fill="A7A9AC"/>
            <w:noWrap/>
            <w:vAlign w:val="center"/>
            <w:hideMark/>
          </w:tcPr>
          <w:p w14:paraId="36B16E6E" w14:textId="77777777" w:rsidR="00F32A33" w:rsidRPr="007F6332" w:rsidRDefault="00F32A33" w:rsidP="00875C1F">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30" w:type="dxa"/>
            <w:shd w:val="clear" w:color="000000" w:fill="A7A9AC"/>
            <w:noWrap/>
            <w:vAlign w:val="center"/>
            <w:hideMark/>
          </w:tcPr>
          <w:p w14:paraId="4FE6341F" w14:textId="77777777" w:rsidR="00F32A33" w:rsidRPr="007F6332" w:rsidRDefault="00F32A33" w:rsidP="00652352">
            <w:pPr>
              <w:spacing w:after="0" w:line="240" w:lineRule="auto"/>
              <w:ind w:left="-107" w:right="-112"/>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13" w:type="dxa"/>
            <w:shd w:val="clear" w:color="000000" w:fill="A7A9AC"/>
            <w:vAlign w:val="center"/>
            <w:hideMark/>
          </w:tcPr>
          <w:p w14:paraId="4D6A7203" w14:textId="77777777" w:rsidR="00F32A33" w:rsidRPr="007F6332" w:rsidRDefault="00F32A33" w:rsidP="00875C1F">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Additional Growth rates</w:t>
            </w:r>
          </w:p>
        </w:tc>
      </w:tr>
      <w:tr w:rsidR="00F32A33" w:rsidRPr="007F6332" w14:paraId="74FB9404" w14:textId="77777777" w:rsidTr="00C150CC">
        <w:trPr>
          <w:trHeight w:val="1297"/>
        </w:trPr>
        <w:tc>
          <w:tcPr>
            <w:tcW w:w="1418" w:type="dxa"/>
            <w:shd w:val="clear" w:color="000000" w:fill="6B2976"/>
            <w:noWrap/>
            <w:vAlign w:val="center"/>
            <w:hideMark/>
          </w:tcPr>
          <w:p w14:paraId="6D6DD375" w14:textId="77777777" w:rsidR="00F32A33" w:rsidRPr="007F6332" w:rsidRDefault="00F32A33" w:rsidP="00875C1F">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Medium</w:t>
            </w:r>
          </w:p>
        </w:tc>
        <w:tc>
          <w:tcPr>
            <w:tcW w:w="2551" w:type="dxa"/>
            <w:shd w:val="clear" w:color="auto" w:fill="auto"/>
            <w:vAlign w:val="center"/>
            <w:hideMark/>
          </w:tcPr>
          <w:p w14:paraId="2956175B" w14:textId="77777777" w:rsidR="00F32A33" w:rsidRPr="007F6332" w:rsidRDefault="00F32A33" w:rsidP="00875C1F">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New Entrants (0-14)</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Leaving and Transition rates</w:t>
            </w:r>
          </w:p>
        </w:tc>
        <w:tc>
          <w:tcPr>
            <w:tcW w:w="2530" w:type="dxa"/>
            <w:shd w:val="clear" w:color="auto" w:fill="auto"/>
            <w:vAlign w:val="center"/>
            <w:hideMark/>
          </w:tcPr>
          <w:p w14:paraId="66CACE9B" w14:textId="77777777" w:rsidR="00F32A33" w:rsidRPr="007F6332" w:rsidRDefault="00F32A33" w:rsidP="00652352">
            <w:pPr>
              <w:spacing w:after="0" w:line="240" w:lineRule="auto"/>
              <w:ind w:left="-107" w:right="-112"/>
              <w:rPr>
                <w:rFonts w:eastAsia="Times New Roman" w:cs="Arial"/>
                <w:b/>
                <w:bCs/>
                <w:color w:val="000000"/>
                <w:sz w:val="20"/>
                <w:szCs w:val="20"/>
                <w:lang w:eastAsia="en-AU"/>
              </w:rPr>
            </w:pPr>
            <w:r w:rsidRPr="007F6332">
              <w:rPr>
                <w:rFonts w:eastAsia="Times New Roman" w:cs="Arial"/>
                <w:b/>
                <w:bCs/>
                <w:color w:val="000000"/>
                <w:sz w:val="20"/>
                <w:szCs w:val="20"/>
                <w:lang w:eastAsia="en-AU"/>
              </w:rPr>
              <w:t>New Entrants (15+)</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SIL Transition rates</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Future Price Increases</w:t>
            </w:r>
          </w:p>
        </w:tc>
        <w:tc>
          <w:tcPr>
            <w:tcW w:w="2513" w:type="dxa"/>
            <w:shd w:val="clear" w:color="auto" w:fill="auto"/>
            <w:vAlign w:val="center"/>
            <w:hideMark/>
          </w:tcPr>
          <w:p w14:paraId="0D64F444" w14:textId="77777777" w:rsidR="00F32A33" w:rsidRPr="007F6332" w:rsidRDefault="00F32A33" w:rsidP="00875C1F">
            <w:pPr>
              <w:spacing w:after="0" w:line="240" w:lineRule="auto"/>
              <w:rPr>
                <w:rFonts w:eastAsia="Times New Roman" w:cs="Arial"/>
                <w:b/>
                <w:bCs/>
                <w:color w:val="000000"/>
                <w:sz w:val="20"/>
                <w:szCs w:val="20"/>
                <w:lang w:eastAsia="en-AU"/>
              </w:rPr>
            </w:pPr>
          </w:p>
        </w:tc>
      </w:tr>
      <w:tr w:rsidR="00F32A33" w:rsidRPr="007F6332" w14:paraId="4750073C" w14:textId="77777777" w:rsidTr="00C150CC">
        <w:trPr>
          <w:trHeight w:val="578"/>
        </w:trPr>
        <w:tc>
          <w:tcPr>
            <w:tcW w:w="1418" w:type="dxa"/>
            <w:shd w:val="clear" w:color="000000" w:fill="6B2976"/>
            <w:noWrap/>
            <w:vAlign w:val="center"/>
            <w:hideMark/>
          </w:tcPr>
          <w:p w14:paraId="72A3C9B7" w14:textId="77777777" w:rsidR="00F32A33" w:rsidRPr="007F6332" w:rsidRDefault="00F32A33" w:rsidP="00875C1F">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Low</w:t>
            </w:r>
          </w:p>
        </w:tc>
        <w:tc>
          <w:tcPr>
            <w:tcW w:w="2551" w:type="dxa"/>
            <w:shd w:val="clear" w:color="000000" w:fill="A7A9AC"/>
            <w:vAlign w:val="center"/>
            <w:hideMark/>
          </w:tcPr>
          <w:p w14:paraId="107E549D" w14:textId="77777777" w:rsidR="00F32A33" w:rsidRPr="007F6332" w:rsidRDefault="00F32A33" w:rsidP="00875C1F">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Mortality rates</w:t>
            </w:r>
          </w:p>
        </w:tc>
        <w:tc>
          <w:tcPr>
            <w:tcW w:w="2530" w:type="dxa"/>
            <w:shd w:val="clear" w:color="000000" w:fill="A7A9AC"/>
            <w:noWrap/>
            <w:vAlign w:val="center"/>
            <w:hideMark/>
          </w:tcPr>
          <w:p w14:paraId="5980CA80" w14:textId="77777777" w:rsidR="00F32A33" w:rsidRPr="007F6332" w:rsidRDefault="00F32A33" w:rsidP="00875C1F">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13" w:type="dxa"/>
            <w:shd w:val="clear" w:color="000000" w:fill="A7A9AC"/>
            <w:noWrap/>
            <w:vAlign w:val="center"/>
            <w:hideMark/>
          </w:tcPr>
          <w:p w14:paraId="3CE56492" w14:textId="77777777" w:rsidR="00F32A33" w:rsidRPr="007F6332" w:rsidRDefault="00F32A33" w:rsidP="00875C1F">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r>
    </w:tbl>
    <w:p w14:paraId="64326C99" w14:textId="3E0C5E21" w:rsidR="00AD5D8E" w:rsidRPr="007F6332" w:rsidRDefault="00D46E12" w:rsidP="00AD5D8E">
      <w:pPr>
        <w:pStyle w:val="FSRnormal"/>
        <w:rPr>
          <w:rFonts w:cs="Arial"/>
        </w:rPr>
      </w:pPr>
      <w:r w:rsidRPr="007F6332">
        <w:rPr>
          <w:rFonts w:cs="Arial"/>
        </w:rPr>
        <w:t xml:space="preserve">Whilst the relative level of judgement associated in setting the various assumptions remains consistent over the long-term, compared to the short-term, the level of materiality increases over the long-term. </w:t>
      </w:r>
      <w:r w:rsidR="00AD5D8E" w:rsidRPr="007F6332">
        <w:rPr>
          <w:rFonts w:cs="Arial"/>
        </w:rPr>
        <w:t>As the Scheme continues to grow from year to year, the cumulative impact on the projected Scheme expenses becomes greater in the medium to long-term (Table 14).</w:t>
      </w:r>
    </w:p>
    <w:p w14:paraId="7D7D27AF" w14:textId="16DE8DC7" w:rsidR="00AD5D8E" w:rsidRPr="007F6332" w:rsidRDefault="00AD5D8E" w:rsidP="00D93505">
      <w:pPr>
        <w:pStyle w:val="FiguresandTablesHeading4"/>
      </w:pPr>
      <w:r w:rsidRPr="007F6332">
        <w:t>Table 14: Long-term relative level of judgement and impact on Scheme expense projections of main assumptions</w:t>
      </w:r>
    </w:p>
    <w:tbl>
      <w:tblPr>
        <w:tblW w:w="90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2551"/>
        <w:gridCol w:w="151"/>
        <w:gridCol w:w="2401"/>
        <w:gridCol w:w="155"/>
        <w:gridCol w:w="2396"/>
      </w:tblGrid>
      <w:tr w:rsidR="00C150CC" w:rsidRPr="007F6332" w14:paraId="4AD5063F" w14:textId="77777777" w:rsidTr="00ED4010">
        <w:trPr>
          <w:trHeight w:val="300"/>
        </w:trPr>
        <w:tc>
          <w:tcPr>
            <w:tcW w:w="1418" w:type="dxa"/>
            <w:shd w:val="clear" w:color="000000" w:fill="6B2976"/>
            <w:noWrap/>
            <w:hideMark/>
          </w:tcPr>
          <w:p w14:paraId="1B72052F" w14:textId="77777777" w:rsidR="00C150CC" w:rsidRPr="007F6332" w:rsidRDefault="00C150CC" w:rsidP="00E1102F">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 Level of Judgement</w:t>
            </w:r>
          </w:p>
        </w:tc>
        <w:tc>
          <w:tcPr>
            <w:tcW w:w="2702" w:type="dxa"/>
            <w:gridSpan w:val="2"/>
            <w:shd w:val="clear" w:color="000000" w:fill="6B2976"/>
            <w:noWrap/>
            <w:vAlign w:val="bottom"/>
            <w:hideMark/>
          </w:tcPr>
          <w:p w14:paraId="003D97DF" w14:textId="77777777" w:rsidR="00C150CC" w:rsidRPr="007F6332" w:rsidRDefault="00C150CC" w:rsidP="00E1102F">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Long Term (2027-28 and beyond) Low</w:t>
            </w:r>
          </w:p>
        </w:tc>
        <w:tc>
          <w:tcPr>
            <w:tcW w:w="2556" w:type="dxa"/>
            <w:gridSpan w:val="2"/>
            <w:shd w:val="clear" w:color="000000" w:fill="6B2976"/>
            <w:noWrap/>
            <w:vAlign w:val="bottom"/>
            <w:hideMark/>
          </w:tcPr>
          <w:p w14:paraId="55F7F78A" w14:textId="77777777" w:rsidR="00C150CC" w:rsidRPr="007F6332" w:rsidRDefault="00C150CC" w:rsidP="00E1102F">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Long Term (2027-28 and beyond) Medium</w:t>
            </w:r>
          </w:p>
        </w:tc>
        <w:tc>
          <w:tcPr>
            <w:tcW w:w="2396" w:type="dxa"/>
            <w:shd w:val="clear" w:color="000000" w:fill="6B2976"/>
            <w:noWrap/>
            <w:vAlign w:val="bottom"/>
            <w:hideMark/>
          </w:tcPr>
          <w:p w14:paraId="24E04573" w14:textId="77777777" w:rsidR="00C150CC" w:rsidRPr="007F6332" w:rsidRDefault="00C150CC" w:rsidP="00E1102F">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Long Term (2027-28 and beyond) High</w:t>
            </w:r>
          </w:p>
        </w:tc>
      </w:tr>
      <w:tr w:rsidR="00ED4010" w:rsidRPr="007F6332" w14:paraId="5DDFD5C5" w14:textId="77777777" w:rsidTr="00ED4010">
        <w:trPr>
          <w:trHeight w:val="578"/>
        </w:trPr>
        <w:tc>
          <w:tcPr>
            <w:tcW w:w="1418" w:type="dxa"/>
            <w:shd w:val="clear" w:color="000000" w:fill="6B2976"/>
            <w:noWrap/>
            <w:vAlign w:val="center"/>
            <w:hideMark/>
          </w:tcPr>
          <w:p w14:paraId="695D84F0" w14:textId="63576318" w:rsidR="00ED4010" w:rsidRPr="007F6332" w:rsidRDefault="00ED4010" w:rsidP="00ED4010">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High</w:t>
            </w:r>
          </w:p>
        </w:tc>
        <w:tc>
          <w:tcPr>
            <w:tcW w:w="2551" w:type="dxa"/>
            <w:shd w:val="clear" w:color="auto" w:fill="A7A9AC"/>
            <w:noWrap/>
            <w:vAlign w:val="center"/>
            <w:hideMark/>
          </w:tcPr>
          <w:p w14:paraId="43C1D42A"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52" w:type="dxa"/>
            <w:gridSpan w:val="2"/>
            <w:shd w:val="clear" w:color="auto" w:fill="A7A9AC"/>
            <w:noWrap/>
            <w:vAlign w:val="center"/>
            <w:hideMark/>
          </w:tcPr>
          <w:p w14:paraId="7DF51516"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51" w:type="dxa"/>
            <w:gridSpan w:val="2"/>
            <w:shd w:val="clear" w:color="auto" w:fill="A7A9AC"/>
            <w:vAlign w:val="center"/>
            <w:hideMark/>
          </w:tcPr>
          <w:p w14:paraId="3E36F849"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Additional Growth rates</w:t>
            </w:r>
          </w:p>
        </w:tc>
      </w:tr>
      <w:tr w:rsidR="00ED4010" w:rsidRPr="007F6332" w14:paraId="6615197B" w14:textId="77777777" w:rsidTr="00ED4010">
        <w:trPr>
          <w:trHeight w:val="1165"/>
        </w:trPr>
        <w:tc>
          <w:tcPr>
            <w:tcW w:w="1418" w:type="dxa"/>
            <w:shd w:val="clear" w:color="000000" w:fill="6B2976"/>
            <w:noWrap/>
            <w:vAlign w:val="center"/>
            <w:hideMark/>
          </w:tcPr>
          <w:p w14:paraId="6F18CAD1" w14:textId="3C09754A" w:rsidR="00ED4010" w:rsidRPr="007F6332" w:rsidRDefault="00ED4010" w:rsidP="00ED4010">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Medium</w:t>
            </w:r>
          </w:p>
        </w:tc>
        <w:tc>
          <w:tcPr>
            <w:tcW w:w="2551" w:type="dxa"/>
            <w:shd w:val="clear" w:color="auto" w:fill="auto"/>
            <w:vAlign w:val="center"/>
            <w:hideMark/>
          </w:tcPr>
          <w:p w14:paraId="2529B57B"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52" w:type="dxa"/>
            <w:gridSpan w:val="2"/>
            <w:shd w:val="clear" w:color="auto" w:fill="auto"/>
            <w:vAlign w:val="center"/>
            <w:hideMark/>
          </w:tcPr>
          <w:p w14:paraId="4C23E568"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SIL Transition rates</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Future Price Increases</w:t>
            </w:r>
          </w:p>
          <w:p w14:paraId="1824A9B0"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br/>
              <w:t>Leaving and Transition rates</w:t>
            </w:r>
          </w:p>
        </w:tc>
        <w:tc>
          <w:tcPr>
            <w:tcW w:w="2551" w:type="dxa"/>
            <w:gridSpan w:val="2"/>
            <w:shd w:val="clear" w:color="auto" w:fill="auto"/>
            <w:vAlign w:val="center"/>
            <w:hideMark/>
          </w:tcPr>
          <w:p w14:paraId="518E95C9"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New Entrants (0 to 14)</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New Entrants (15+)</w:t>
            </w:r>
          </w:p>
        </w:tc>
      </w:tr>
      <w:tr w:rsidR="00ED4010" w:rsidRPr="007F6332" w14:paraId="636B3587" w14:textId="77777777" w:rsidTr="00ED4010">
        <w:trPr>
          <w:trHeight w:val="578"/>
        </w:trPr>
        <w:tc>
          <w:tcPr>
            <w:tcW w:w="1418" w:type="dxa"/>
            <w:shd w:val="clear" w:color="000000" w:fill="6B2976"/>
            <w:noWrap/>
            <w:vAlign w:val="center"/>
            <w:hideMark/>
          </w:tcPr>
          <w:p w14:paraId="527F7F3D" w14:textId="6C1EB8E9" w:rsidR="00ED4010" w:rsidRPr="007F6332" w:rsidRDefault="00ED4010" w:rsidP="00ED4010">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Low</w:t>
            </w:r>
          </w:p>
        </w:tc>
        <w:tc>
          <w:tcPr>
            <w:tcW w:w="2551" w:type="dxa"/>
            <w:shd w:val="clear" w:color="auto" w:fill="A7A9AC"/>
            <w:vAlign w:val="center"/>
            <w:hideMark/>
          </w:tcPr>
          <w:p w14:paraId="00413529"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Mortality rates</w:t>
            </w:r>
          </w:p>
        </w:tc>
        <w:tc>
          <w:tcPr>
            <w:tcW w:w="2552" w:type="dxa"/>
            <w:gridSpan w:val="2"/>
            <w:shd w:val="clear" w:color="auto" w:fill="A7A9AC"/>
            <w:noWrap/>
            <w:vAlign w:val="center"/>
            <w:hideMark/>
          </w:tcPr>
          <w:p w14:paraId="60A10BE2"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51" w:type="dxa"/>
            <w:gridSpan w:val="2"/>
            <w:shd w:val="clear" w:color="auto" w:fill="A7A9AC"/>
            <w:noWrap/>
            <w:vAlign w:val="center"/>
            <w:hideMark/>
          </w:tcPr>
          <w:p w14:paraId="1D51BA77" w14:textId="77777777" w:rsidR="00ED4010" w:rsidRPr="007F6332" w:rsidRDefault="00ED4010" w:rsidP="00ED4010">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r>
    </w:tbl>
    <w:p w14:paraId="44EFF8BA" w14:textId="77777777" w:rsidR="00AD5D8E" w:rsidRPr="007F6332" w:rsidRDefault="00AD5D8E" w:rsidP="00AD5D8E">
      <w:pPr>
        <w:pStyle w:val="FSRnormal"/>
        <w:rPr>
          <w:rFonts w:cs="Arial"/>
        </w:rPr>
      </w:pPr>
      <w:r w:rsidRPr="007F6332">
        <w:rPr>
          <w:rFonts w:cs="Arial"/>
        </w:rPr>
        <w:t>Additional growth assumptions involve significant judgment, demonstrating a much higher level of variability than all other assumptions, and results in the greatest impact on the projected future Scheme expenses. Whilst more data and information is available to assess new entrant experience, the significant variability in number of new entrants from year to year makes it more challenging to set assumptions with confidence.</w:t>
      </w:r>
    </w:p>
    <w:p w14:paraId="4525D2AF" w14:textId="0C604C0A" w:rsidR="00AD5D8E" w:rsidRPr="007F6332" w:rsidRDefault="00AD5D8E" w:rsidP="00AD5D8E">
      <w:pPr>
        <w:pStyle w:val="FSRnormal"/>
        <w:rPr>
          <w:rFonts w:cs="Arial"/>
        </w:rPr>
      </w:pPr>
      <w:r w:rsidRPr="007F6332">
        <w:rPr>
          <w:rFonts w:cs="Arial"/>
        </w:rPr>
        <w:t xml:space="preserve">The level of judgement and materiality associated with each of the main assumptions, is consistent with the material risks, and variability in these risk factors, included in the </w:t>
      </w:r>
      <w:r w:rsidR="00172A59" w:rsidRPr="007F6332">
        <w:rPr>
          <w:rFonts w:cs="Arial"/>
        </w:rPr>
        <w:t>S</w:t>
      </w:r>
      <w:r w:rsidRPr="007F6332">
        <w:rPr>
          <w:rFonts w:cs="Arial"/>
        </w:rPr>
        <w:t xml:space="preserve">tochastic </w:t>
      </w:r>
      <w:r w:rsidR="00172A59" w:rsidRPr="007F6332">
        <w:rPr>
          <w:rFonts w:cs="Arial"/>
        </w:rPr>
        <w:t>M</w:t>
      </w:r>
      <w:r w:rsidRPr="007F6332">
        <w:rPr>
          <w:rFonts w:cs="Arial"/>
        </w:rPr>
        <w:t xml:space="preserve">odel used to assess the uncertainty inherent in the projection of Scheme expenses (Section 6.2). </w:t>
      </w:r>
    </w:p>
    <w:p w14:paraId="38E8018C" w14:textId="77777777" w:rsidR="0036109C" w:rsidRPr="007F6332" w:rsidRDefault="0036109C">
      <w:pPr>
        <w:spacing w:line="276" w:lineRule="auto"/>
        <w:rPr>
          <w:rFonts w:cs="Arial"/>
          <w:b/>
          <w:color w:val="6A2875"/>
          <w:sz w:val="28"/>
          <w:szCs w:val="44"/>
        </w:rPr>
      </w:pPr>
      <w:r w:rsidRPr="007F6332">
        <w:rPr>
          <w:rFonts w:cs="Arial"/>
        </w:rPr>
        <w:br w:type="page"/>
      </w:r>
    </w:p>
    <w:p w14:paraId="5710589E" w14:textId="46A812DA" w:rsidR="00AD5D8E" w:rsidRPr="007F6332" w:rsidRDefault="00AD5D8E" w:rsidP="00CD33D0">
      <w:pPr>
        <w:pStyle w:val="FSRHeading2"/>
        <w:ind w:left="0" w:firstLine="0"/>
        <w:rPr>
          <w:rFonts w:cs="Arial"/>
        </w:rPr>
      </w:pPr>
      <w:r w:rsidRPr="007F6332">
        <w:rPr>
          <w:rFonts w:cs="Arial"/>
        </w:rPr>
        <w:lastRenderedPageBreak/>
        <w:t>Operating Expenses</w:t>
      </w:r>
    </w:p>
    <w:p w14:paraId="29248575" w14:textId="78024F78" w:rsidR="00AD5D8E" w:rsidRPr="007F6332" w:rsidRDefault="00AD5D8E" w:rsidP="00F57A04">
      <w:pPr>
        <w:pStyle w:val="FSRnormal"/>
        <w:rPr>
          <w:rFonts w:cs="Arial"/>
        </w:rPr>
      </w:pPr>
      <w:r w:rsidRPr="007F6332">
        <w:rPr>
          <w:rFonts w:cs="Arial"/>
        </w:rPr>
        <w:t>Actual operating expenses in 2022-23 of $1,830 million, or 5.2% of Scheme expenses, were $2 million lower than the estimated actual for 2022-23 of $1,832 million (in the 2023-24 Budget). Additional operating expenses of $732.9 million, over four years</w:t>
      </w:r>
      <w:r w:rsidR="00172A59" w:rsidRPr="007F6332">
        <w:rPr>
          <w:rFonts w:cs="Arial"/>
        </w:rPr>
        <w:t xml:space="preserve"> starting</w:t>
      </w:r>
      <w:r w:rsidRPr="007F6332">
        <w:rPr>
          <w:rFonts w:cs="Arial"/>
        </w:rPr>
        <w:t xml:space="preserve"> from 2023-24, are included in the 2023-24 Budget to support participant outcomes and the effective sustainable operation of the Scheme.</w:t>
      </w:r>
    </w:p>
    <w:p w14:paraId="7920AE18" w14:textId="6551E297" w:rsidR="00AD5D8E" w:rsidRPr="007F6332" w:rsidRDefault="00AD5D8E" w:rsidP="00AD5D8E">
      <w:pPr>
        <w:pStyle w:val="FSRnormal"/>
        <w:rPr>
          <w:rFonts w:cs="Arial"/>
        </w:rPr>
      </w:pPr>
      <w:r w:rsidRPr="007F6332">
        <w:rPr>
          <w:rFonts w:cs="Arial"/>
        </w:rPr>
        <w:t xml:space="preserve">Projected operating expenses, assuming fixed real cost per participant, and allowing for the </w:t>
      </w:r>
      <w:r w:rsidR="00172A59" w:rsidRPr="007F6332">
        <w:rPr>
          <w:rFonts w:cs="Arial"/>
        </w:rPr>
        <w:t>B</w:t>
      </w:r>
      <w:r w:rsidRPr="007F6332">
        <w:rPr>
          <w:rFonts w:cs="Arial"/>
        </w:rPr>
        <w:t>udget measures, would reduce from 5.2% ($2,156 million) of Scheme expenses in 2023-24 to 4.</w:t>
      </w:r>
      <w:r w:rsidR="004C3118" w:rsidRPr="007F6332">
        <w:rPr>
          <w:rFonts w:cs="Arial"/>
        </w:rPr>
        <w:t>2</w:t>
      </w:r>
      <w:r w:rsidRPr="007F6332">
        <w:rPr>
          <w:rFonts w:cs="Arial"/>
        </w:rPr>
        <w:t>% ($2,3</w:t>
      </w:r>
      <w:r w:rsidR="004C3118" w:rsidRPr="007F6332">
        <w:rPr>
          <w:rFonts w:cs="Arial"/>
        </w:rPr>
        <w:t>26</w:t>
      </w:r>
      <w:r w:rsidRPr="007F6332">
        <w:rPr>
          <w:rFonts w:cs="Arial"/>
        </w:rPr>
        <w:t xml:space="preserve"> million) in 2026-27. The 2023-24 Budget includes Agency operating costs of $1,680 million in 2024-25, approximately $500 million lower than projected costs in 2024-25 of $2,1</w:t>
      </w:r>
      <w:r w:rsidR="004C3118" w:rsidRPr="007F6332">
        <w:rPr>
          <w:rFonts w:cs="Arial"/>
        </w:rPr>
        <w:t>6</w:t>
      </w:r>
      <w:r w:rsidRPr="007F6332">
        <w:rPr>
          <w:rFonts w:cs="Arial"/>
        </w:rPr>
        <w:t>6 million. The Scheme projections included in this report assume Agency resourcing remains relatively constant in real terms</w:t>
      </w:r>
      <w:r w:rsidR="00D46E12" w:rsidRPr="007F6332">
        <w:rPr>
          <w:rFonts w:cs="Arial"/>
        </w:rPr>
        <w:t>,</w:t>
      </w:r>
      <w:r w:rsidRPr="007F6332">
        <w:rPr>
          <w:rFonts w:cs="Arial"/>
        </w:rPr>
        <w:t xml:space="preserve"> and if they do not then Scheme expenses would be expected to be higher than those shown in this report. </w:t>
      </w:r>
    </w:p>
    <w:p w14:paraId="75C3D1B1" w14:textId="77777777" w:rsidR="00AD5D8E" w:rsidRPr="007F6332" w:rsidRDefault="00AD5D8E" w:rsidP="00CD33D0">
      <w:pPr>
        <w:pStyle w:val="FSRHeading2"/>
        <w:ind w:left="0" w:firstLine="0"/>
        <w:rPr>
          <w:rFonts w:cs="Arial"/>
        </w:rPr>
      </w:pPr>
      <w:r w:rsidRPr="007F6332">
        <w:rPr>
          <w:rFonts w:cs="Arial"/>
        </w:rPr>
        <w:t>Outcomes</w:t>
      </w:r>
    </w:p>
    <w:p w14:paraId="7450609E" w14:textId="77777777" w:rsidR="00AD5D8E" w:rsidRPr="007F6332" w:rsidRDefault="00AD5D8E" w:rsidP="00B62B34">
      <w:pPr>
        <w:pStyle w:val="FSRnormal"/>
        <w:spacing w:before="160"/>
        <w:rPr>
          <w:rFonts w:cs="Arial"/>
        </w:rPr>
      </w:pPr>
      <w:r w:rsidRPr="007F6332">
        <w:rPr>
          <w:rFonts w:cs="Arial"/>
        </w:rPr>
        <w:t xml:space="preserve">A holistic assessment of Scheme financial sustainability requires consideration of both the costs of participant funding and the associated benefit the funding provides for participants in enabling them to achieve their desired goals and outcomes. </w:t>
      </w:r>
    </w:p>
    <w:p w14:paraId="4A978E33" w14:textId="06D3E303" w:rsidR="00AD5D8E" w:rsidRPr="007F6332" w:rsidRDefault="00AD5D8E" w:rsidP="00AD5D8E">
      <w:pPr>
        <w:pStyle w:val="FSRnormal"/>
        <w:rPr>
          <w:rFonts w:cs="Arial"/>
        </w:rPr>
      </w:pPr>
      <w:r w:rsidRPr="007F6332">
        <w:rPr>
          <w:rFonts w:cs="Arial"/>
        </w:rPr>
        <w:t>In the NDIS Corporate Plan 2022-2</w:t>
      </w:r>
      <w:r w:rsidR="00CC1C76" w:rsidRPr="007F6332">
        <w:rPr>
          <w:rFonts w:cs="Arial"/>
        </w:rPr>
        <w:t>3</w:t>
      </w:r>
      <w:r w:rsidR="00CC1C76" w:rsidRPr="007F6332">
        <w:rPr>
          <w:rStyle w:val="FootnoteReference"/>
          <w:rFonts w:cs="Arial"/>
        </w:rPr>
        <w:footnoteReference w:id="33"/>
      </w:r>
      <w:r w:rsidRPr="007F6332">
        <w:rPr>
          <w:rFonts w:cs="Arial"/>
        </w:rPr>
        <w:t xml:space="preserve">, Aspiration 1 is “a quality experience and improved outcomes for participants”. Aligned to Aspiration 1 are specific performance metrics, such as the proportion of participants in work and the proportion of participants involved in community and social activities. The NDIA had a target of 26 per cent of working-age participants in paid employment by June 2023, with the achieved result of 23 per cent slightly below this target. For participants aged 15 and over, the percentage of participants actively involved in the community was 42% compared to the 2022-23 target of 46%. </w:t>
      </w:r>
    </w:p>
    <w:p w14:paraId="33371DA9" w14:textId="77777777" w:rsidR="00AD5D8E" w:rsidRPr="007F6332" w:rsidRDefault="00AD5D8E" w:rsidP="00AD5D8E">
      <w:pPr>
        <w:pStyle w:val="FSRnormal"/>
        <w:rPr>
          <w:rFonts w:cs="Arial"/>
        </w:rPr>
      </w:pPr>
      <w:r w:rsidRPr="007F6332">
        <w:rPr>
          <w:rFonts w:cs="Arial"/>
        </w:rPr>
        <w:t xml:space="preserve">The NDIS Outcomes Framework also measures outcomes for the families and carers of participants, recognising that the outcomes for people with a disability and the people who support them are likely to be closely linked. The percentage of parents/carers of participants in a paid job is 50% meeting the 2022-23 target of 50%. </w:t>
      </w:r>
    </w:p>
    <w:p w14:paraId="563E43CD" w14:textId="5F515891" w:rsidR="00AD5D8E" w:rsidRPr="007F6332" w:rsidRDefault="00AD5D8E" w:rsidP="00AD5D8E">
      <w:pPr>
        <w:pStyle w:val="FSRnormal"/>
        <w:rPr>
          <w:rFonts w:cs="Arial"/>
        </w:rPr>
      </w:pPr>
      <w:r w:rsidRPr="007F6332">
        <w:rPr>
          <w:rFonts w:cs="Arial"/>
        </w:rPr>
        <w:t xml:space="preserve">On the whole, perceptions of the Scheme have been positive, with participants and their families/carers more likely to report that the Scheme had helped them in various areas of </w:t>
      </w:r>
      <w:r w:rsidRPr="007F6332">
        <w:rPr>
          <w:rFonts w:cs="Arial"/>
        </w:rPr>
        <w:lastRenderedPageBreak/>
        <w:t>their lives the longer the participant was in the Scheme. Participant outcomes and family and carer outcomes are further discussed in Section 7.</w:t>
      </w:r>
    </w:p>
    <w:p w14:paraId="22267895" w14:textId="7BCE87F2" w:rsidR="00555C45" w:rsidRPr="007F6332" w:rsidRDefault="00555C45" w:rsidP="00CD33D0">
      <w:pPr>
        <w:pStyle w:val="FSRHeading2"/>
        <w:ind w:left="0" w:firstLine="0"/>
        <w:rPr>
          <w:rFonts w:cs="Arial"/>
        </w:rPr>
      </w:pPr>
      <w:r w:rsidRPr="007F6332">
        <w:rPr>
          <w:rFonts w:cs="Arial"/>
        </w:rPr>
        <w:t>Investment Effectiveness Analysis</w:t>
      </w:r>
    </w:p>
    <w:p w14:paraId="586C6348" w14:textId="5A5F616E" w:rsidR="007E1605" w:rsidRPr="007F6332" w:rsidRDefault="00555C45" w:rsidP="00F57A04">
      <w:pPr>
        <w:spacing w:before="240"/>
        <w:rPr>
          <w:rStyle w:val="normaltextrun"/>
          <w:rFonts w:cs="Arial"/>
          <w:color w:val="000000"/>
          <w:szCs w:val="22"/>
          <w:shd w:val="clear" w:color="auto" w:fill="FFFFFF"/>
        </w:rPr>
      </w:pPr>
      <w:r w:rsidRPr="007F6332">
        <w:rPr>
          <w:rStyle w:val="normaltextrun"/>
          <w:rFonts w:cs="Arial"/>
          <w:color w:val="000000"/>
          <w:szCs w:val="22"/>
          <w:shd w:val="clear" w:color="auto" w:fill="FFFFFF"/>
        </w:rPr>
        <w:t xml:space="preserve">The Investment Effectiveness Program (IEP) is being undertaken by the NDIA to better understand the link between </w:t>
      </w:r>
      <w:r w:rsidR="00172A59" w:rsidRPr="007F6332">
        <w:rPr>
          <w:rStyle w:val="normaltextrun"/>
          <w:rFonts w:cs="Arial"/>
          <w:color w:val="000000"/>
          <w:szCs w:val="22"/>
          <w:shd w:val="clear" w:color="auto" w:fill="FFFFFF"/>
        </w:rPr>
        <w:t>g</w:t>
      </w:r>
      <w:r w:rsidRPr="007F6332">
        <w:rPr>
          <w:rStyle w:val="normaltextrun"/>
          <w:rFonts w:cs="Arial"/>
          <w:color w:val="000000"/>
          <w:szCs w:val="22"/>
          <w:shd w:val="clear" w:color="auto" w:fill="FFFFFF"/>
        </w:rPr>
        <w:t>overnment</w:t>
      </w:r>
      <w:r w:rsidR="00172A59" w:rsidRPr="007F6332">
        <w:rPr>
          <w:rStyle w:val="normaltextrun"/>
          <w:rFonts w:cs="Arial"/>
          <w:color w:val="000000"/>
          <w:szCs w:val="22"/>
          <w:shd w:val="clear" w:color="auto" w:fill="FFFFFF"/>
        </w:rPr>
        <w:t>-</w:t>
      </w:r>
      <w:r w:rsidRPr="007F6332">
        <w:rPr>
          <w:rStyle w:val="normaltextrun"/>
          <w:rFonts w:cs="Arial"/>
          <w:color w:val="000000"/>
          <w:szCs w:val="22"/>
          <w:shd w:val="clear" w:color="auto" w:fill="FFFFFF"/>
        </w:rPr>
        <w:t>funded supports and the attainment of participant outcomes</w:t>
      </w:r>
      <w:r w:rsidR="007E1605" w:rsidRPr="007F6332">
        <w:rPr>
          <w:rStyle w:val="normaltextrun"/>
          <w:rFonts w:cs="Arial"/>
          <w:color w:val="000000"/>
          <w:szCs w:val="22"/>
          <w:shd w:val="clear" w:color="auto" w:fill="FFFFFF"/>
        </w:rPr>
        <w:t xml:space="preserve">. A pilot was established during 2022-23 to test analytical approaches, using a single cohort of participants aged 15-24 with intellectual disability (ID) and/or Down syndrome when they joined the NDIS. This cohort was selected following a process of internal consultation and prioritisation. </w:t>
      </w:r>
    </w:p>
    <w:p w14:paraId="6AD0006C" w14:textId="449345A0" w:rsidR="009352B3" w:rsidRPr="007F6332" w:rsidRDefault="00555C45" w:rsidP="00F57A04">
      <w:pPr>
        <w:pStyle w:val="FSRnormal"/>
        <w:rPr>
          <w:rFonts w:cs="Arial"/>
        </w:rPr>
        <w:sectPr w:rsidR="009352B3" w:rsidRPr="007F6332" w:rsidSect="00E53368">
          <w:pgSz w:w="11906" w:h="16838"/>
          <w:pgMar w:top="1440" w:right="1700" w:bottom="1440" w:left="1440" w:header="708" w:footer="680" w:gutter="0"/>
          <w:cols w:space="708"/>
          <w:titlePg/>
          <w:docGrid w:linePitch="360"/>
        </w:sectPr>
      </w:pPr>
      <w:r w:rsidRPr="007F6332">
        <w:rPr>
          <w:rStyle w:val="normaltextrun"/>
          <w:rFonts w:cs="Arial"/>
          <w:color w:val="000000"/>
          <w:szCs w:val="22"/>
          <w:shd w:val="clear" w:color="auto" w:fill="FFFFFF"/>
        </w:rPr>
        <w:t>Initial models from the pilot group have uncovered several positive relationships between certain payment categories and outcomes. Some were obvious, for example more Capacity Building payments for Daily Activity is associated with a better daily living outcome. While others were less so, for example more Core Transport payments are associated with better ‘Home’ outcomes. Further work is ongoing to validate the findings of the analysis.</w:t>
      </w:r>
    </w:p>
    <w:p w14:paraId="0A70DD2A" w14:textId="77777777" w:rsidR="003A75CB" w:rsidRPr="007F6332" w:rsidRDefault="003A75CB" w:rsidP="00CE7E91">
      <w:pPr>
        <w:pStyle w:val="Heading2"/>
        <w:numPr>
          <w:ilvl w:val="0"/>
          <w:numId w:val="17"/>
        </w:numPr>
        <w:ind w:left="709"/>
        <w:rPr>
          <w:rFonts w:cs="Arial"/>
        </w:rPr>
      </w:pPr>
      <w:bookmarkStart w:id="17" w:name="_Toc83220837"/>
      <w:bookmarkStart w:id="18" w:name="_Toc118460185"/>
      <w:bookmarkStart w:id="19" w:name="_Toc146286140"/>
      <w:bookmarkStart w:id="20" w:name="_Toc152614960"/>
      <w:r w:rsidRPr="007F6332">
        <w:rPr>
          <w:rFonts w:cs="Arial"/>
        </w:rPr>
        <w:lastRenderedPageBreak/>
        <w:t>Introduction</w:t>
      </w:r>
      <w:bookmarkEnd w:id="17"/>
      <w:bookmarkEnd w:id="18"/>
      <w:bookmarkEnd w:id="19"/>
      <w:bookmarkEnd w:id="20"/>
    </w:p>
    <w:p w14:paraId="74F24CE0" w14:textId="77777777" w:rsidR="00657B3F" w:rsidRPr="007F6332" w:rsidRDefault="00657B3F" w:rsidP="00657B3F">
      <w:pPr>
        <w:pStyle w:val="FSRnormal"/>
        <w:rPr>
          <w:rFonts w:cs="Arial"/>
        </w:rPr>
      </w:pPr>
      <w:r w:rsidRPr="007F6332">
        <w:rPr>
          <w:rFonts w:cs="Arial"/>
        </w:rPr>
        <w:t xml:space="preserve">An annual financial sustainability report (AFSR) is required under section 180B of the NDIS Act and provides an assessment of the financial sustainability of the National Disability Insurance Scheme (“the Scheme”, or NDIS). </w:t>
      </w:r>
    </w:p>
    <w:p w14:paraId="0E7C2ACF" w14:textId="77777777" w:rsidR="00657B3F" w:rsidRPr="007F6332" w:rsidRDefault="00657B3F" w:rsidP="00657B3F">
      <w:pPr>
        <w:pStyle w:val="FSRnormal"/>
        <w:rPr>
          <w:rFonts w:cs="Arial"/>
        </w:rPr>
      </w:pPr>
      <w:r w:rsidRPr="007F6332">
        <w:rPr>
          <w:rFonts w:cs="Arial"/>
        </w:rPr>
        <w:t>The AFSR is produced using data at 30 June each year and a summary of each year’s AFSR has been included in the NDIA annual report. This 2022-23 AFSR uses data to 30 June 2023 to project future Scheme expenses and these results are referred to as the “June 2023 projections”.</w:t>
      </w:r>
    </w:p>
    <w:p w14:paraId="4BD2BCE2" w14:textId="5E0CCE98" w:rsidR="003A75CB" w:rsidRPr="007F6332" w:rsidRDefault="00657B3F" w:rsidP="00657B3F">
      <w:pPr>
        <w:pStyle w:val="FSRnormal"/>
        <w:rPr>
          <w:rFonts w:cs="Arial"/>
        </w:rPr>
      </w:pPr>
      <w:r w:rsidRPr="007F6332">
        <w:rPr>
          <w:rFonts w:cs="Arial"/>
        </w:rPr>
        <w:t>The previous report was the AFSR released on 7 November 2022 (the “2021-22 AFSR”)</w:t>
      </w:r>
      <w:r w:rsidRPr="007F6332">
        <w:rPr>
          <w:rStyle w:val="FootnoteReference"/>
          <w:rFonts w:cs="Arial"/>
        </w:rPr>
        <w:footnoteReference w:id="34"/>
      </w:r>
      <w:r w:rsidR="00BF40B1" w:rsidRPr="007F6332">
        <w:rPr>
          <w:rFonts w:cs="Arial"/>
        </w:rPr>
        <w:t>.</w:t>
      </w:r>
      <w:r w:rsidRPr="007F6332">
        <w:rPr>
          <w:rFonts w:cs="Arial"/>
        </w:rPr>
        <w:t xml:space="preserve"> It was based on data to 30 June 2022, with commentary about experience to 30 June 2022 (the “previous review”). References to the previous review refer to results contained within that report, referred to as the “June 2022 projections”.</w:t>
      </w:r>
    </w:p>
    <w:p w14:paraId="4AF9CD35" w14:textId="125AEC3A" w:rsidR="003A75CB" w:rsidRPr="007F6332" w:rsidRDefault="00657B3F" w:rsidP="00CD33D0">
      <w:pPr>
        <w:pStyle w:val="Heading3"/>
        <w:ind w:left="709" w:hanging="709"/>
        <w:rPr>
          <w:rFonts w:cs="Arial"/>
        </w:rPr>
      </w:pPr>
      <w:bookmarkStart w:id="21" w:name="_Toc152614961"/>
      <w:r w:rsidRPr="007F6332">
        <w:rPr>
          <w:rFonts w:cs="Arial"/>
        </w:rPr>
        <w:t>Purpose of the NDIS</w:t>
      </w:r>
      <w:bookmarkEnd w:id="21"/>
    </w:p>
    <w:p w14:paraId="6C423C00" w14:textId="4FA495F7" w:rsidR="003A75CB" w:rsidRPr="007F6332" w:rsidRDefault="003A75CB" w:rsidP="003A75CB">
      <w:pPr>
        <w:pStyle w:val="FSRnormal"/>
        <w:rPr>
          <w:rFonts w:cs="Arial"/>
        </w:rPr>
      </w:pPr>
      <w:r w:rsidRPr="007F6332">
        <w:rPr>
          <w:rFonts w:cs="Arial"/>
        </w:rPr>
        <w:t xml:space="preserve">The purpose of the NDIS is to provide reasonable and necessary funding to people with a permanent and significant disability </w:t>
      </w:r>
      <w:r w:rsidR="00DD15E4" w:rsidRPr="007F6332">
        <w:rPr>
          <w:rFonts w:cs="Arial"/>
        </w:rPr>
        <w:t>allowing them to have</w:t>
      </w:r>
      <w:r w:rsidRPr="007F6332">
        <w:rPr>
          <w:rFonts w:cs="Arial"/>
        </w:rPr>
        <w:t xml:space="preserve"> choice</w:t>
      </w:r>
      <w:r w:rsidR="00DD15E4" w:rsidRPr="007F6332">
        <w:rPr>
          <w:rFonts w:cs="Arial"/>
        </w:rPr>
        <w:t>s</w:t>
      </w:r>
      <w:r w:rsidRPr="007F6332">
        <w:rPr>
          <w:rFonts w:cs="Arial"/>
        </w:rPr>
        <w:t xml:space="preserve"> and control over the supports and services they need to pursue an ordinary life. A key cornerstone underlying the operation of the Scheme is strong insurance principles, where evidence-based decisions on access and planning are made by drawing on objective information on individuals and the longitudinal data that is collected on participants in the Scheme. Experience is closely and regularly monitored to allow emerging risks and issues to be identified and where required, remediation strategies to be implemented.</w:t>
      </w:r>
    </w:p>
    <w:p w14:paraId="4404AC5C" w14:textId="77777777" w:rsidR="003A75CB" w:rsidRPr="007F6332" w:rsidRDefault="003A75CB" w:rsidP="003A75CB">
      <w:pPr>
        <w:pStyle w:val="FSRnormal"/>
        <w:rPr>
          <w:rFonts w:cs="Arial"/>
        </w:rPr>
      </w:pPr>
      <w:r w:rsidRPr="007F6332">
        <w:rPr>
          <w:rFonts w:cs="Arial"/>
        </w:rPr>
        <w:t xml:space="preserve">The Scheme has a lifetime, person-centric approach to its model of support for people with disability, where early investment in core, capacity building and capital supports are anticipated to drive better outcomes for participants and their family/carers over their lifetime. </w:t>
      </w:r>
    </w:p>
    <w:p w14:paraId="7BFF4330" w14:textId="77777777" w:rsidR="00657B3F" w:rsidRPr="007F6332" w:rsidRDefault="00657B3F" w:rsidP="00657B3F">
      <w:pPr>
        <w:pStyle w:val="FSRnormal"/>
        <w:rPr>
          <w:rFonts w:cs="Arial"/>
        </w:rPr>
      </w:pPr>
      <w:r w:rsidRPr="007F6332">
        <w:rPr>
          <w:rFonts w:cs="Arial"/>
        </w:rPr>
        <w:t>Since inception, the National Disability Insurance Agency (“the Agency”, or NDIA) has had an increasing focus on improving participant experience. The Participant Service Charter</w:t>
      </w:r>
      <w:r w:rsidRPr="007F6332">
        <w:rPr>
          <w:rStyle w:val="FootnoteReference"/>
          <w:rFonts w:cs="Arial"/>
        </w:rPr>
        <w:footnoteReference w:id="35"/>
      </w:r>
      <w:r w:rsidRPr="007F6332">
        <w:rPr>
          <w:rFonts w:cs="Arial"/>
        </w:rPr>
        <w:t xml:space="preserve"> sets out what participants can expect from the NDIA. It is being actioned under the Participant Service Improvement Plan 2022-23</w:t>
      </w:r>
      <w:r w:rsidRPr="007F6332">
        <w:rPr>
          <w:rStyle w:val="FootnoteReference"/>
          <w:rFonts w:cs="Arial"/>
        </w:rPr>
        <w:footnoteReference w:id="36"/>
      </w:r>
      <w:r w:rsidRPr="007F6332">
        <w:rPr>
          <w:rFonts w:cs="Arial"/>
        </w:rPr>
        <w:t xml:space="preserve"> which sets out how the Agency works towards increased consistency and transparency of decision making with better operational procedures, guidelines and controls. The Agency is designing and building a new Information and Communication Technology (ICT) system to provide an enhanced </w:t>
      </w:r>
      <w:r w:rsidRPr="007F6332">
        <w:rPr>
          <w:rFonts w:cs="Arial"/>
        </w:rPr>
        <w:lastRenderedPageBreak/>
        <w:t>Customer Relationship Management system and improve the end-to-end participant pathway.</w:t>
      </w:r>
    </w:p>
    <w:p w14:paraId="0033821E" w14:textId="1AD1C1A9" w:rsidR="00657B3F" w:rsidRPr="007F6332" w:rsidRDefault="00657B3F" w:rsidP="00CD33D0">
      <w:pPr>
        <w:pStyle w:val="Heading3"/>
        <w:ind w:left="709" w:hanging="709"/>
        <w:rPr>
          <w:rFonts w:cs="Arial"/>
        </w:rPr>
      </w:pPr>
      <w:bookmarkStart w:id="22" w:name="_Toc152614962"/>
      <w:r w:rsidRPr="007F6332">
        <w:rPr>
          <w:rFonts w:cs="Arial"/>
        </w:rPr>
        <w:t>Definition of financial sustainability</w:t>
      </w:r>
      <w:bookmarkEnd w:id="22"/>
    </w:p>
    <w:p w14:paraId="02550FAE" w14:textId="059A0160" w:rsidR="003A75CB" w:rsidRPr="007F6332" w:rsidRDefault="003A75CB" w:rsidP="003A75CB">
      <w:pPr>
        <w:pStyle w:val="FSRnormal"/>
        <w:rPr>
          <w:rFonts w:cs="Arial"/>
        </w:rPr>
      </w:pPr>
      <w:r w:rsidRPr="007F6332">
        <w:rPr>
          <w:rFonts w:cs="Arial"/>
        </w:rPr>
        <w:t xml:space="preserve">The </w:t>
      </w:r>
      <w:r w:rsidRPr="007F6332">
        <w:rPr>
          <w:rFonts w:cs="Arial"/>
          <w:i/>
          <w:iCs/>
        </w:rPr>
        <w:t>NDIS Insurance Principles and Financial Sustainability Manual</w:t>
      </w:r>
      <w:r w:rsidRPr="007F6332">
        <w:rPr>
          <w:rStyle w:val="FootnoteReference"/>
          <w:rFonts w:cs="Arial"/>
        </w:rPr>
        <w:footnoteReference w:id="37"/>
      </w:r>
      <w:r w:rsidRPr="007F6332">
        <w:rPr>
          <w:rFonts w:cs="Arial"/>
        </w:rPr>
        <w:t xml:space="preserve"> outlines the insurance model in detail and defines financial sustainability as the state where:</w:t>
      </w:r>
    </w:p>
    <w:p w14:paraId="144739EA" w14:textId="3D92B818" w:rsidR="003A75CB" w:rsidRPr="007F6332" w:rsidRDefault="00DD15E4" w:rsidP="003A75CB">
      <w:pPr>
        <w:pStyle w:val="FSRlist"/>
        <w:rPr>
          <w:rFonts w:cs="Arial"/>
          <w:i/>
          <w:iCs/>
        </w:rPr>
      </w:pPr>
      <w:r w:rsidRPr="007F6332">
        <w:rPr>
          <w:rFonts w:cs="Arial"/>
          <w:i/>
          <w:iCs/>
        </w:rPr>
        <w:t>T</w:t>
      </w:r>
      <w:r w:rsidR="003A75CB" w:rsidRPr="007F6332">
        <w:rPr>
          <w:rFonts w:cs="Arial"/>
          <w:i/>
          <w:iCs/>
        </w:rPr>
        <w: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0B85863A" w14:textId="3C3CC609" w:rsidR="003A75CB" w:rsidRPr="007F6332" w:rsidRDefault="00DD15E4" w:rsidP="003A75CB">
      <w:pPr>
        <w:pStyle w:val="FSRlist"/>
        <w:rPr>
          <w:rFonts w:cs="Arial"/>
          <w:i/>
          <w:iCs/>
        </w:rPr>
      </w:pPr>
      <w:r w:rsidRPr="007F6332">
        <w:rPr>
          <w:rFonts w:cs="Arial"/>
          <w:i/>
          <w:iCs/>
        </w:rPr>
        <w:t>C</w:t>
      </w:r>
      <w:r w:rsidR="003A75CB" w:rsidRPr="007F6332">
        <w:rPr>
          <w:rFonts w:cs="Arial"/>
          <w:i/>
          <w:iCs/>
        </w:rPr>
        <w:t>ontributors think the cost is and will continue to be affordable, under control, represents value for money and, therefore, remain willing to contribute.</w:t>
      </w:r>
    </w:p>
    <w:p w14:paraId="1C7B1CBD" w14:textId="688E95E6" w:rsidR="003A75CB" w:rsidRPr="007F6332" w:rsidRDefault="003A75CB" w:rsidP="003A75CB">
      <w:pPr>
        <w:pStyle w:val="FSRnormal"/>
        <w:rPr>
          <w:rFonts w:cs="Arial"/>
        </w:rPr>
      </w:pPr>
      <w:r w:rsidRPr="007F6332">
        <w:rPr>
          <w:rFonts w:cs="Arial"/>
        </w:rPr>
        <w:t xml:space="preserve">The current government expectation of Scheme expenses is included in the annual Portfolio Budget Statements </w:t>
      </w:r>
      <w:r w:rsidR="00624299" w:rsidRPr="007F6332">
        <w:rPr>
          <w:rFonts w:cs="Arial"/>
        </w:rPr>
        <w:t>(the Budget</w:t>
      </w:r>
      <w:r w:rsidRPr="007F6332">
        <w:rPr>
          <w:rFonts w:cs="Arial"/>
        </w:rPr>
        <w:t>), noting it is not only the financial cost of the Scheme that is important within the context of financial sustainability, but also the outcomes for participants achieved by the Scheme.</w:t>
      </w:r>
    </w:p>
    <w:p w14:paraId="3A0A44F2" w14:textId="77777777" w:rsidR="003A75CB" w:rsidRPr="007F6332" w:rsidRDefault="003A75CB" w:rsidP="003A75CB">
      <w:pPr>
        <w:pStyle w:val="FSRnormal"/>
        <w:rPr>
          <w:rFonts w:cs="Arial"/>
        </w:rPr>
      </w:pPr>
      <w:r w:rsidRPr="007F6332">
        <w:rPr>
          <w:rFonts w:cs="Arial"/>
        </w:rPr>
        <w:t>Outcomes for participants and their families/carers are reported regularly in the NDIA’s Quarterly Reports to Disability Ministers</w:t>
      </w:r>
      <w:r w:rsidRPr="007F6332">
        <w:rPr>
          <w:rStyle w:val="FootnoteReference"/>
          <w:rFonts w:cs="Arial"/>
        </w:rPr>
        <w:footnoteReference w:id="38"/>
      </w:r>
      <w:r w:rsidRPr="007F6332">
        <w:rPr>
          <w:rFonts w:cs="Arial"/>
        </w:rPr>
        <w:t>, and more detailed analysis and data is available on the NDIA Data and Insights website.</w:t>
      </w:r>
      <w:r w:rsidRPr="007F6332">
        <w:rPr>
          <w:rStyle w:val="FootnoteReference"/>
          <w:rFonts w:cs="Arial"/>
        </w:rPr>
        <w:footnoteReference w:id="39"/>
      </w:r>
      <w:r w:rsidRPr="007F6332">
        <w:rPr>
          <w:rFonts w:cs="Arial"/>
        </w:rPr>
        <w:t xml:space="preserve"> Section 7 of this report contains key information relating to outcomes measurement and recent results of the outcomes being achieved by Scheme participants, their families and carers.</w:t>
      </w:r>
    </w:p>
    <w:p w14:paraId="6EE63E83" w14:textId="77777777" w:rsidR="00280794" w:rsidRPr="007F6332" w:rsidRDefault="00280794" w:rsidP="00280794">
      <w:pPr>
        <w:pStyle w:val="FSRnormal"/>
        <w:rPr>
          <w:rFonts w:cs="Arial"/>
        </w:rPr>
      </w:pPr>
      <w:r w:rsidRPr="007F6332">
        <w:rPr>
          <w:rFonts w:cs="Arial"/>
        </w:rPr>
        <w:t xml:space="preserve">The NDIS has operated since 1 July 2013. The first three years of the Scheme were a trial period, and this was followed by the transition period which commenced on 1 July 2016, with the Scheme progressively rolled out across the country over four years. While the Scheme has now operated in all regions of Australia for three years, it is still relatively immature. The numbers of participants entering the Scheme each year have not stabilised, and growth in expenses for participant supports continue to grow at a rate higher than general inflation. Pressures on the financial sustainability of the Scheme remain which is reflected in the upward revision of projected Scheme expenses in previous AFSRs and Budget estimates. </w:t>
      </w:r>
    </w:p>
    <w:p w14:paraId="4B0D72E3" w14:textId="77777777" w:rsidR="00280794" w:rsidRPr="007F6332" w:rsidRDefault="00280794" w:rsidP="00280794">
      <w:pPr>
        <w:pStyle w:val="FSRnormal"/>
        <w:rPr>
          <w:rFonts w:cs="Arial"/>
        </w:rPr>
        <w:sectPr w:rsidR="00280794" w:rsidRPr="007F6332" w:rsidSect="00CE7E91">
          <w:pgSz w:w="11906" w:h="16838"/>
          <w:pgMar w:top="1440" w:right="1700" w:bottom="1440" w:left="1440" w:header="708" w:footer="850" w:gutter="0"/>
          <w:cols w:space="708"/>
          <w:titlePg/>
          <w:docGrid w:linePitch="360"/>
        </w:sectPr>
      </w:pPr>
    </w:p>
    <w:p w14:paraId="5DFB595F" w14:textId="77777777" w:rsidR="00280794" w:rsidRPr="007F6332" w:rsidRDefault="00280794" w:rsidP="00CD33D0">
      <w:pPr>
        <w:pStyle w:val="Heading3"/>
        <w:ind w:left="709" w:hanging="709"/>
        <w:rPr>
          <w:rFonts w:cs="Arial"/>
        </w:rPr>
      </w:pPr>
      <w:bookmarkStart w:id="23" w:name="_Toc146902141"/>
      <w:bookmarkStart w:id="24" w:name="_Toc152614963"/>
      <w:bookmarkStart w:id="25" w:name="_Ref17800025"/>
      <w:r w:rsidRPr="007F6332">
        <w:rPr>
          <w:rFonts w:cs="Arial"/>
        </w:rPr>
        <w:lastRenderedPageBreak/>
        <w:t>Context for 2022-23 AFSR</w:t>
      </w:r>
      <w:bookmarkEnd w:id="23"/>
      <w:bookmarkEnd w:id="24"/>
    </w:p>
    <w:bookmarkEnd w:id="25"/>
    <w:p w14:paraId="6AA6DD03" w14:textId="1A4EE7AE" w:rsidR="00657B3F" w:rsidRPr="007F6332" w:rsidRDefault="00657B3F" w:rsidP="00657B3F">
      <w:pPr>
        <w:pStyle w:val="FSRnormal"/>
        <w:rPr>
          <w:rFonts w:cs="Arial"/>
        </w:rPr>
      </w:pPr>
      <w:r w:rsidRPr="007F6332">
        <w:rPr>
          <w:rFonts w:cs="Arial"/>
        </w:rPr>
        <w:t>Since the previous review, mid-year Scheme projections were undertaken, and are referred to as the “December 2022 projections”. These were used as the basis for the 2023-24 Budget and included allowances for the expected impact of the measures announced to lift the NDIA’s capability, capacity, and systems to better support participants (“Budget measures”)</w:t>
      </w:r>
      <w:r w:rsidRPr="007F6332">
        <w:rPr>
          <w:rStyle w:val="FootnoteReference"/>
          <w:rFonts w:cs="Arial"/>
        </w:rPr>
        <w:footnoteReference w:id="40"/>
      </w:r>
      <w:r w:rsidRPr="007F6332">
        <w:rPr>
          <w:rFonts w:cs="Arial"/>
        </w:rPr>
        <w:t>. The 2023-24 Budget differs from the December 2022 projections in 2026-27 and later, as the Budget assumes growth in Scheme expenses from 2025-26 to 2026-27 of 8%, moderating thereafter. The NDIS Financial Sustainability Framework</w:t>
      </w:r>
      <w:r w:rsidRPr="007F6332">
        <w:rPr>
          <w:rStyle w:val="FootnoteReference"/>
          <w:rFonts w:cs="Arial"/>
        </w:rPr>
        <w:footnoteReference w:id="41"/>
      </w:r>
      <w:r w:rsidRPr="007F6332">
        <w:rPr>
          <w:rFonts w:cs="Arial"/>
        </w:rPr>
        <w:t>, which is outside the scope of the 2022-23 AFSR, was agreed by National Cabinet as part of the 2023-24 Budget to achieve this 8% growth target.</w:t>
      </w:r>
    </w:p>
    <w:p w14:paraId="1E79A511" w14:textId="70FC771E" w:rsidR="00657B3F" w:rsidRPr="007F6332" w:rsidRDefault="00657B3F" w:rsidP="00657B3F">
      <w:pPr>
        <w:pStyle w:val="FSRnormal"/>
        <w:rPr>
          <w:rFonts w:cs="Arial"/>
        </w:rPr>
      </w:pPr>
      <w:r w:rsidRPr="007F6332">
        <w:rPr>
          <w:rFonts w:cs="Arial"/>
        </w:rPr>
        <w:t>The Budget measures are aimed to support participant outcomes and the effective and sustainable operation of the Scheme, with the NDIA to implement a program of initiatives (“</w:t>
      </w:r>
      <w:r w:rsidR="002D6881" w:rsidRPr="007F6332">
        <w:rPr>
          <w:rFonts w:cs="Arial"/>
        </w:rPr>
        <w:t>Budget initiatives</w:t>
      </w:r>
      <w:r w:rsidRPr="007F6332">
        <w:rPr>
          <w:rFonts w:cs="Arial"/>
        </w:rPr>
        <w:t xml:space="preserve">”) designed to: improve early intervention outcomes for children in the Scheme, improve participant planning processes, and </w:t>
      </w:r>
      <w:r w:rsidR="00172A59" w:rsidRPr="007F6332">
        <w:rPr>
          <w:rFonts w:cs="Arial"/>
        </w:rPr>
        <w:t xml:space="preserve">improve </w:t>
      </w:r>
      <w:r w:rsidRPr="007F6332">
        <w:rPr>
          <w:rFonts w:cs="Arial"/>
        </w:rPr>
        <w:t xml:space="preserve">consistency in Home and Living eligibility decisions for participants with complex and high support needs. The NDIA is using a co-design approach to develop the initiatives, working closely with participants, the Independent Advisory Council, Disability Representative and Carer Organisations and the disability sector more broadly. The initiatives are expected to drive moderated numbers of participants with developmental delay, greater participant trust in the NDIS supporting them over time, in turn leading to a moderation of future growth in participant plans, and stabilisation of numbers of participants with Supported Independent Living arrangements. </w:t>
      </w:r>
    </w:p>
    <w:p w14:paraId="3BBE4302" w14:textId="77777777" w:rsidR="00657B3F" w:rsidRPr="007F6332" w:rsidRDefault="00657B3F" w:rsidP="00657B3F">
      <w:pPr>
        <w:pStyle w:val="FSRnormal"/>
        <w:rPr>
          <w:rFonts w:cs="Arial"/>
        </w:rPr>
      </w:pPr>
      <w:r w:rsidRPr="007F6332">
        <w:rPr>
          <w:rFonts w:cs="Arial"/>
        </w:rPr>
        <w:t>Separately, the 2023 Intergenerational Report</w:t>
      </w:r>
      <w:r w:rsidRPr="007F6332">
        <w:rPr>
          <w:rStyle w:val="FootnoteReference"/>
          <w:rFonts w:cs="Arial"/>
        </w:rPr>
        <w:footnoteReference w:id="42"/>
      </w:r>
      <w:r w:rsidRPr="007F6332">
        <w:rPr>
          <w:rFonts w:cs="Arial"/>
        </w:rPr>
        <w:t xml:space="preserve"> (IGR) was published in August 2023, which is based on the 2023-24 Budget projections, allowing for the growth target of 8% in 2026-27, moderating thereafter. </w:t>
      </w:r>
    </w:p>
    <w:p w14:paraId="1076E068" w14:textId="36BC9EC8" w:rsidR="00280794" w:rsidRPr="007F6332" w:rsidRDefault="00280794" w:rsidP="00280794">
      <w:pPr>
        <w:pStyle w:val="FSRnormal"/>
        <w:rPr>
          <w:rFonts w:cs="Arial"/>
        </w:rPr>
      </w:pPr>
      <w:bookmarkStart w:id="26" w:name="_Hlk150365848"/>
      <w:r w:rsidRPr="007F6332">
        <w:rPr>
          <w:rFonts w:cs="Arial"/>
        </w:rPr>
        <w:t xml:space="preserve">In October 2022, the Minister for the NDIS announced a review of the Scheme </w:t>
      </w:r>
      <w:r w:rsidR="00172A59" w:rsidRPr="007F6332">
        <w:rPr>
          <w:rFonts w:cs="Arial"/>
        </w:rPr>
        <w:t xml:space="preserve">(“NDIS Review”) </w:t>
      </w:r>
      <w:r w:rsidRPr="007F6332">
        <w:rPr>
          <w:rFonts w:cs="Arial"/>
        </w:rPr>
        <w:t xml:space="preserve">to be conducted by </w:t>
      </w:r>
      <w:bookmarkEnd w:id="26"/>
      <w:r w:rsidRPr="007F6332">
        <w:rPr>
          <w:rFonts w:cs="Arial"/>
        </w:rPr>
        <w:t>an Independent Review Panel</w:t>
      </w:r>
      <w:r w:rsidRPr="007F6332">
        <w:rPr>
          <w:rStyle w:val="FootnoteReference"/>
          <w:rFonts w:cs="Arial"/>
        </w:rPr>
        <w:footnoteReference w:id="43"/>
      </w:r>
      <w:r w:rsidRPr="007F6332">
        <w:rPr>
          <w:rFonts w:cs="Arial"/>
        </w:rPr>
        <w:t xml:space="preserve">. The scope of the </w:t>
      </w:r>
      <w:r w:rsidR="00172A59" w:rsidRPr="007F6332">
        <w:rPr>
          <w:rFonts w:cs="Arial"/>
        </w:rPr>
        <w:t>NDIS R</w:t>
      </w:r>
      <w:r w:rsidRPr="007F6332">
        <w:rPr>
          <w:rFonts w:cs="Arial"/>
        </w:rPr>
        <w:t>eview includes the design, operations, and sustainability of the NDIS as well as ways to build a more responsive, supportive, and sustainable market and workforce. The Independent Review Panel provide</w:t>
      </w:r>
      <w:r w:rsidR="00B06458" w:rsidRPr="007F6332">
        <w:rPr>
          <w:rFonts w:cs="Arial"/>
        </w:rPr>
        <w:t>d</w:t>
      </w:r>
      <w:r w:rsidRPr="007F6332">
        <w:rPr>
          <w:rFonts w:cs="Arial"/>
        </w:rPr>
        <w:t xml:space="preserve"> a final report to the Disability Reform Ministers' Meeting in </w:t>
      </w:r>
      <w:r w:rsidR="00B06458" w:rsidRPr="007F6332">
        <w:rPr>
          <w:rFonts w:cs="Arial"/>
        </w:rPr>
        <w:t>November</w:t>
      </w:r>
      <w:r w:rsidRPr="007F6332">
        <w:rPr>
          <w:rFonts w:cs="Arial"/>
        </w:rPr>
        <w:t xml:space="preserve"> 2023. This AFSR, and the projections documented in it, do not allow for the impact of any future changes to the Scheme as a result of the recommendations made by the Independent Review Panel. It is noted changes in legislative and policy settings arising from NDIS Review recommendations are anticipated to lead to further moderation in Scheme growth relative to those shown in this report</w:t>
      </w:r>
      <w:r w:rsidR="00B06458" w:rsidRPr="007F6332">
        <w:rPr>
          <w:rFonts w:cs="Arial"/>
        </w:rPr>
        <w:t xml:space="preserve"> from </w:t>
      </w:r>
      <w:r w:rsidR="00B06458" w:rsidRPr="007F6332">
        <w:rPr>
          <w:rFonts w:cs="Arial"/>
        </w:rPr>
        <w:lastRenderedPageBreak/>
        <w:t>2026-27 onwards</w:t>
      </w:r>
      <w:r w:rsidRPr="007F6332">
        <w:rPr>
          <w:rFonts w:cs="Arial"/>
        </w:rPr>
        <w:t xml:space="preserve">, to achieve the target set by National Cabinet which is consistent with the 2023 IGR. </w:t>
      </w:r>
    </w:p>
    <w:p w14:paraId="118958BD" w14:textId="22A0032F" w:rsidR="003A75CB" w:rsidRPr="007F6332" w:rsidRDefault="00657B3F" w:rsidP="00CD33D0">
      <w:pPr>
        <w:pStyle w:val="Heading3"/>
        <w:ind w:left="709" w:hanging="709"/>
        <w:rPr>
          <w:rFonts w:cs="Arial"/>
        </w:rPr>
      </w:pPr>
      <w:bookmarkStart w:id="27" w:name="_Toc152614964"/>
      <w:r w:rsidRPr="007F6332">
        <w:rPr>
          <w:rFonts w:cs="Arial"/>
        </w:rPr>
        <w:t>Reliance and limitations</w:t>
      </w:r>
      <w:bookmarkEnd w:id="27"/>
    </w:p>
    <w:p w14:paraId="358365FB" w14:textId="77777777" w:rsidR="00657B3F" w:rsidRPr="007F6332" w:rsidRDefault="00657B3F" w:rsidP="00657B3F">
      <w:pPr>
        <w:pStyle w:val="FSRnormal"/>
        <w:rPr>
          <w:rFonts w:cs="Arial"/>
        </w:rPr>
      </w:pPr>
      <w:bookmarkStart w:id="28" w:name="_Ref47594314"/>
      <w:r w:rsidRPr="007F6332">
        <w:rPr>
          <w:rFonts w:cs="Arial"/>
        </w:rPr>
        <w:t>It is the responsibility of the Agency and other parties to ensure recipients of copies of, or extracts from, this document understand the reliances on which any conclusions in this document are based.</w:t>
      </w:r>
    </w:p>
    <w:p w14:paraId="0CEC131F" w14:textId="77777777" w:rsidR="00657B3F" w:rsidRPr="007F6332" w:rsidRDefault="00657B3F" w:rsidP="00657B3F">
      <w:pPr>
        <w:pStyle w:val="FSRnormal"/>
        <w:rPr>
          <w:rFonts w:cs="Arial"/>
        </w:rPr>
      </w:pPr>
      <w:r w:rsidRPr="007F6332">
        <w:rPr>
          <w:rFonts w:cs="Arial"/>
        </w:rPr>
        <w:t xml:space="preserve">Given the long-term nature of the Scheme, experience continues to be relatively immature, and many aspects remain difficult to interpret. Specifically, estimation of future expenditure based on experience is inherently challenging given the relative size, complexity, and immaturity of the Scheme, meaning there is significant uncertainty in the projection. In addition, within emerging experience to date, issues have been identified with the current resource allocation process, and in particular the lack of a mechanism for robust assessments of support need. As the Scheme continues to mature, and staff, operational and governance capabilities improve, there is an expectation the Scheme experience will change, perhaps materially, and this would affect the eventual trajectory of Scheme Expense. </w:t>
      </w:r>
    </w:p>
    <w:p w14:paraId="57A643EF" w14:textId="77777777" w:rsidR="00657B3F" w:rsidRPr="007F6332" w:rsidRDefault="00657B3F" w:rsidP="00657B3F">
      <w:pPr>
        <w:pStyle w:val="FSRnormal"/>
        <w:rPr>
          <w:rFonts w:eastAsia="Times New Roman" w:cs="Arial"/>
          <w:szCs w:val="20"/>
        </w:rPr>
      </w:pPr>
      <w:bookmarkStart w:id="29" w:name="_Hlk145075893"/>
      <w:r w:rsidRPr="007F6332">
        <w:rPr>
          <w:rFonts w:cs="Arial"/>
        </w:rPr>
        <w:t>Future events cannot be predicted, and they may lead to unexpected impacts on Scheme experience which differ from the projections in this report. Examples of events with the potential to have a significant impact on future Scheme experience include another pandemic, unexpected changes in global inflationary pressures and changes to economic conditions which cause further workforce shortages in the disability sector.</w:t>
      </w:r>
    </w:p>
    <w:bookmarkEnd w:id="29"/>
    <w:p w14:paraId="20890018" w14:textId="77777777" w:rsidR="00657B3F" w:rsidRPr="007F6332" w:rsidRDefault="00657B3F" w:rsidP="00657B3F">
      <w:pPr>
        <w:pStyle w:val="FSRnormal"/>
        <w:rPr>
          <w:rFonts w:cs="Arial"/>
        </w:rPr>
      </w:pPr>
      <w:r w:rsidRPr="007F6332">
        <w:rPr>
          <w:rFonts w:cs="Arial"/>
        </w:rPr>
        <w:t>Lastly, more data on Scheme experience is available in NDIA quarterly reports and on the NDIA Data and Insights website.</w:t>
      </w:r>
      <w:r w:rsidRPr="007F6332">
        <w:rPr>
          <w:rStyle w:val="FootnoteReference"/>
          <w:rFonts w:cs="Arial"/>
        </w:rPr>
        <w:footnoteReference w:id="44"/>
      </w:r>
      <w:bookmarkEnd w:id="28"/>
    </w:p>
    <w:p w14:paraId="27BF8FF7" w14:textId="77777777" w:rsidR="005519AA" w:rsidRPr="007F6332" w:rsidRDefault="005519AA" w:rsidP="003A75CB">
      <w:pPr>
        <w:pStyle w:val="FSRnormal"/>
        <w:rPr>
          <w:rFonts w:cs="Arial"/>
        </w:rPr>
      </w:pPr>
    </w:p>
    <w:p w14:paraId="795CE13B" w14:textId="77777777" w:rsidR="00657B3F" w:rsidRPr="007F6332" w:rsidRDefault="00657B3F" w:rsidP="003A75CB">
      <w:pPr>
        <w:pStyle w:val="FSRnormal"/>
        <w:rPr>
          <w:rFonts w:cs="Arial"/>
        </w:rPr>
      </w:pPr>
    </w:p>
    <w:p w14:paraId="24FA227B" w14:textId="77777777" w:rsidR="00657B3F" w:rsidRPr="007F6332" w:rsidRDefault="00657B3F" w:rsidP="003A75CB">
      <w:pPr>
        <w:pStyle w:val="FSRnormal"/>
        <w:rPr>
          <w:rFonts w:cs="Arial"/>
        </w:rPr>
      </w:pPr>
    </w:p>
    <w:p w14:paraId="2B6D8333" w14:textId="77777777" w:rsidR="00657B3F" w:rsidRPr="007F6332" w:rsidRDefault="00657B3F" w:rsidP="003A75CB">
      <w:pPr>
        <w:pStyle w:val="FSRnormal"/>
        <w:rPr>
          <w:rFonts w:cs="Arial"/>
        </w:rPr>
      </w:pPr>
    </w:p>
    <w:p w14:paraId="283933C2" w14:textId="77777777" w:rsidR="00657B3F" w:rsidRPr="007F6332" w:rsidRDefault="00657B3F" w:rsidP="003A75CB">
      <w:pPr>
        <w:pStyle w:val="FSRnormal"/>
        <w:rPr>
          <w:rFonts w:cs="Arial"/>
        </w:rPr>
      </w:pPr>
    </w:p>
    <w:p w14:paraId="2D3B02F1" w14:textId="77777777" w:rsidR="00657B3F" w:rsidRPr="007F6332" w:rsidRDefault="00657B3F" w:rsidP="003A75CB">
      <w:pPr>
        <w:pStyle w:val="FSRnormal"/>
        <w:rPr>
          <w:rFonts w:cs="Arial"/>
        </w:rPr>
        <w:sectPr w:rsidR="00657B3F" w:rsidRPr="007F6332" w:rsidSect="00CE7E91">
          <w:pgSz w:w="11906" w:h="16838"/>
          <w:pgMar w:top="1440" w:right="1700" w:bottom="1440" w:left="1440" w:header="708" w:footer="850" w:gutter="0"/>
          <w:cols w:space="708"/>
          <w:titlePg/>
          <w:docGrid w:linePitch="360"/>
        </w:sectPr>
      </w:pPr>
    </w:p>
    <w:p w14:paraId="53134D1F" w14:textId="1754FDE9" w:rsidR="00C836D8" w:rsidRPr="007F6332" w:rsidRDefault="00C836D8" w:rsidP="00C836D8">
      <w:pPr>
        <w:pStyle w:val="Heading2"/>
        <w:ind w:left="709"/>
        <w:rPr>
          <w:rFonts w:cs="Arial"/>
        </w:rPr>
      </w:pPr>
      <w:bookmarkStart w:id="30" w:name="_Toc146286144"/>
      <w:bookmarkStart w:id="31" w:name="_Toc152614965"/>
      <w:r w:rsidRPr="007F6332">
        <w:rPr>
          <w:rFonts w:cs="Arial"/>
        </w:rPr>
        <w:lastRenderedPageBreak/>
        <w:t>Information and data integrity</w:t>
      </w:r>
      <w:bookmarkEnd w:id="30"/>
      <w:bookmarkEnd w:id="31"/>
    </w:p>
    <w:p w14:paraId="02DDEE21" w14:textId="77777777" w:rsidR="00D823B0" w:rsidRPr="007F6332" w:rsidRDefault="00D823B0" w:rsidP="00D823B0">
      <w:pPr>
        <w:pStyle w:val="FSRnormal"/>
        <w:rPr>
          <w:rFonts w:cs="Arial"/>
        </w:rPr>
      </w:pPr>
      <w:r w:rsidRPr="007F6332">
        <w:rPr>
          <w:rFonts w:cs="Arial"/>
        </w:rPr>
        <w:t xml:space="preserve">An integral part of an insurance model is the collection of accurate data in a timely manner. This is because quality data drives the ability of the Agency to monitor emerging experience, perform meaningful analyses, project the financial position of the Scheme and, hence make consistent evidence-based decisions to support Scheme objectives. The success of the Scheme is dependent on the availability and quality of the data and information collected.  </w:t>
      </w:r>
    </w:p>
    <w:p w14:paraId="170519D2" w14:textId="5E9FBA7C" w:rsidR="00D823B0" w:rsidRPr="007F6332" w:rsidRDefault="00D823B0" w:rsidP="00D823B0">
      <w:pPr>
        <w:pStyle w:val="FSRnormal"/>
        <w:rPr>
          <w:rFonts w:cs="Arial"/>
        </w:rPr>
      </w:pPr>
      <w:r w:rsidRPr="007F6332">
        <w:rPr>
          <w:rFonts w:cs="Arial"/>
        </w:rPr>
        <w:t xml:space="preserve">The data collected by the Agency is varied and broad-reaching and covers information across each step of the participant pathway, from Scheme access and eligibility to participant plan approval, plan implementation and plan </w:t>
      </w:r>
      <w:r w:rsidR="00657B3F" w:rsidRPr="007F6332">
        <w:rPr>
          <w:rFonts w:cs="Arial"/>
        </w:rPr>
        <w:t>reassessment.</w:t>
      </w:r>
      <w:r w:rsidRPr="007F6332">
        <w:rPr>
          <w:rFonts w:cs="Arial"/>
        </w:rPr>
        <w:t xml:space="preserve"> Payments for disability supports and the outcomes for participants and their family/carers are also collected regularly to track progress of participants and the Scheme. The information being collected enables the Agency to continually build one of the most comprehensive, longitudinal data sources on disability in the world. </w:t>
      </w:r>
    </w:p>
    <w:p w14:paraId="39BC38C0" w14:textId="77777777" w:rsidR="00D823B0" w:rsidRPr="007F6332" w:rsidRDefault="00D823B0" w:rsidP="00CD33D0">
      <w:pPr>
        <w:pStyle w:val="Heading3"/>
        <w:ind w:left="709" w:hanging="709"/>
        <w:rPr>
          <w:rFonts w:cs="Arial"/>
        </w:rPr>
      </w:pPr>
      <w:bookmarkStart w:id="32" w:name="_Toc146286145"/>
      <w:bookmarkStart w:id="33" w:name="_Toc152614966"/>
      <w:r w:rsidRPr="007F6332">
        <w:rPr>
          <w:rFonts w:cs="Arial"/>
        </w:rPr>
        <w:t>Information and data used for analysis</w:t>
      </w:r>
      <w:bookmarkEnd w:id="32"/>
      <w:bookmarkEnd w:id="33"/>
    </w:p>
    <w:p w14:paraId="04D9F5B8" w14:textId="05116E5E" w:rsidR="00D823B0" w:rsidRPr="007F6332" w:rsidRDefault="00D823B0" w:rsidP="00D823B0">
      <w:pPr>
        <w:pStyle w:val="FSRnormal"/>
        <w:rPr>
          <w:rFonts w:cs="Arial"/>
        </w:rPr>
      </w:pPr>
      <w:bookmarkStart w:id="34" w:name="_Ref16673933"/>
      <w:r w:rsidRPr="007F6332">
        <w:rPr>
          <w:rFonts w:cs="Arial"/>
        </w:rPr>
        <w:t xml:space="preserve">Table 2.1 summarises the sources of data used for the actuarial analysis underpinning this </w:t>
      </w:r>
      <w:r w:rsidR="00657B3F" w:rsidRPr="007F6332">
        <w:rPr>
          <w:rFonts w:cs="Arial"/>
        </w:rPr>
        <w:t>AFSR</w:t>
      </w:r>
      <w:r w:rsidRPr="007F6332">
        <w:rPr>
          <w:rFonts w:cs="Arial"/>
        </w:rPr>
        <w:t>, which relies upon the Agency’s case management system, finance system and data warehouse, as well as external sources. The analysis in this report is based on data at 30 June 2023, unless stated otherwise.</w:t>
      </w:r>
    </w:p>
    <w:p w14:paraId="38B450C3" w14:textId="2FC4E817" w:rsidR="00D823B0" w:rsidRPr="007F6332" w:rsidRDefault="00D823B0" w:rsidP="00D823B0">
      <w:pPr>
        <w:pStyle w:val="FSRnormal"/>
        <w:rPr>
          <w:rFonts w:cs="Arial"/>
        </w:rPr>
      </w:pPr>
      <w:r w:rsidRPr="007F6332">
        <w:rPr>
          <w:rFonts w:cs="Arial"/>
        </w:rPr>
        <w:t>The</w:t>
      </w:r>
      <w:r w:rsidRPr="007F6332" w:rsidDel="00605041">
        <w:rPr>
          <w:rFonts w:cs="Arial"/>
        </w:rPr>
        <w:t xml:space="preserve"> Client Relationship Management (CRM) system</w:t>
      </w:r>
      <w:r w:rsidRPr="007F6332">
        <w:rPr>
          <w:rFonts w:cs="Arial"/>
        </w:rPr>
        <w:t xml:space="preserve"> provides a substantial amount of participant data, including details about participant plans. This year a new CRM system, PACE, has been piloted in Tasmania since November 2022, with an expected national roll-out by the end of 2023. The transition to the new CRM system for Tasmania participants had no material impact to Scheme experience analyses for the 12 months ending 30 June 2023, or the </w:t>
      </w:r>
      <w:r w:rsidR="00657B3F" w:rsidRPr="007F6332">
        <w:rPr>
          <w:rFonts w:cs="Arial"/>
        </w:rPr>
        <w:t>June 2023</w:t>
      </w:r>
      <w:r w:rsidRPr="007F6332">
        <w:rPr>
          <w:rFonts w:cs="Arial"/>
        </w:rPr>
        <w:t xml:space="preserve"> Scheme projections.</w:t>
      </w:r>
    </w:p>
    <w:p w14:paraId="1BBDB0DD" w14:textId="77777777" w:rsidR="00092FF7" w:rsidRPr="007F6332" w:rsidRDefault="00D823B0" w:rsidP="00280794">
      <w:pPr>
        <w:rPr>
          <w:rFonts w:cs="Arial"/>
        </w:rPr>
      </w:pPr>
      <w:bookmarkStart w:id="35" w:name="_Ref80259912"/>
      <w:bookmarkStart w:id="36" w:name="_Ref111805552"/>
      <w:r w:rsidRPr="007F6332">
        <w:rPr>
          <w:rFonts w:cs="Arial"/>
        </w:rPr>
        <w:t xml:space="preserve">Where data is used to conduct actuarial analyses, it is important to acknowledge any limitations associated with the data that could give rise to uncertainty in the results. </w:t>
      </w:r>
      <w:r w:rsidR="00280794" w:rsidRPr="007F6332">
        <w:rPr>
          <w:rFonts w:cs="Arial"/>
        </w:rPr>
        <w:t>One particular area relates to participants with Supported Independent Living (SIL) arrangements</w:t>
      </w:r>
      <w:r w:rsidR="00881879" w:rsidRPr="007F6332">
        <w:rPr>
          <w:rFonts w:cs="Arial"/>
        </w:rPr>
        <w:t xml:space="preserve">, where </w:t>
      </w:r>
      <w:r w:rsidR="00280794" w:rsidRPr="007F6332">
        <w:rPr>
          <w:rFonts w:cs="Arial"/>
        </w:rPr>
        <w:t xml:space="preserve">there is no single flag of SIL usage available to </w:t>
      </w:r>
      <w:r w:rsidR="00881879" w:rsidRPr="007F6332">
        <w:rPr>
          <w:rFonts w:cs="Arial"/>
        </w:rPr>
        <w:t xml:space="preserve">accurately </w:t>
      </w:r>
      <w:r w:rsidR="00280794" w:rsidRPr="007F6332">
        <w:rPr>
          <w:rFonts w:cs="Arial"/>
        </w:rPr>
        <w:t>identify participants with SIL supports.</w:t>
      </w:r>
    </w:p>
    <w:p w14:paraId="21D053A6" w14:textId="46232B85" w:rsidR="00142D07" w:rsidRPr="007F6332" w:rsidRDefault="00706917" w:rsidP="00280794">
      <w:pPr>
        <w:rPr>
          <w:rFonts w:cs="Arial"/>
        </w:rPr>
        <w:sectPr w:rsidR="00142D07" w:rsidRPr="007F6332" w:rsidSect="00CE7E91">
          <w:pgSz w:w="11906" w:h="16838"/>
          <w:pgMar w:top="1440" w:right="1700" w:bottom="1440" w:left="1440" w:header="708" w:footer="850" w:gutter="0"/>
          <w:cols w:space="708"/>
          <w:titlePg/>
          <w:docGrid w:linePitch="360"/>
        </w:sectPr>
      </w:pPr>
      <w:r w:rsidRPr="007F6332">
        <w:rPr>
          <w:rFonts w:cs="Arial"/>
        </w:rPr>
        <w:t>A combination of participants</w:t>
      </w:r>
      <w:r w:rsidR="00172A59" w:rsidRPr="007F6332">
        <w:rPr>
          <w:rFonts w:cs="Arial"/>
        </w:rPr>
        <w:t>’</w:t>
      </w:r>
      <w:r w:rsidRPr="007F6332">
        <w:rPr>
          <w:rFonts w:cs="Arial"/>
        </w:rPr>
        <w:t xml:space="preserve"> prior access to SIL supports</w:t>
      </w:r>
      <w:r w:rsidR="00142D07" w:rsidRPr="007F6332">
        <w:rPr>
          <w:rFonts w:cs="Arial"/>
        </w:rPr>
        <w:t>,</w:t>
      </w:r>
      <w:r w:rsidRPr="007F6332">
        <w:rPr>
          <w:rFonts w:cs="Arial"/>
        </w:rPr>
        <w:t xml:space="preserve"> and their recent payments experience, is used to estimate numbers of p</w:t>
      </w:r>
      <w:r w:rsidR="00280794" w:rsidRPr="007F6332">
        <w:rPr>
          <w:rFonts w:cs="Arial"/>
        </w:rPr>
        <w:t>articipants with SIL supports</w:t>
      </w:r>
      <w:r w:rsidRPr="007F6332">
        <w:rPr>
          <w:rFonts w:cs="Arial"/>
        </w:rPr>
        <w:t>.</w:t>
      </w:r>
      <w:r w:rsidR="00280794" w:rsidRPr="007F6332">
        <w:rPr>
          <w:rFonts w:cs="Arial"/>
        </w:rPr>
        <w:t xml:space="preserve"> </w:t>
      </w:r>
      <w:r w:rsidRPr="007F6332">
        <w:rPr>
          <w:rFonts w:cs="Arial"/>
        </w:rPr>
        <w:t>I</w:t>
      </w:r>
      <w:r w:rsidR="00280794" w:rsidRPr="007F6332">
        <w:rPr>
          <w:rFonts w:cs="Arial"/>
        </w:rPr>
        <w:t>mperfections</w:t>
      </w:r>
      <w:r w:rsidRPr="007F6332">
        <w:rPr>
          <w:rFonts w:cs="Arial"/>
        </w:rPr>
        <w:t xml:space="preserve"> exist with this solution, </w:t>
      </w:r>
      <w:r w:rsidR="00280794" w:rsidRPr="007F6332">
        <w:rPr>
          <w:rFonts w:cs="Arial"/>
        </w:rPr>
        <w:t>introduc</w:t>
      </w:r>
      <w:r w:rsidRPr="007F6332">
        <w:rPr>
          <w:rFonts w:cs="Arial"/>
        </w:rPr>
        <w:t>ing</w:t>
      </w:r>
      <w:r w:rsidR="00280794" w:rsidRPr="007F6332">
        <w:rPr>
          <w:rFonts w:cs="Arial"/>
        </w:rPr>
        <w:t xml:space="preserve"> systemic variability in the number of participants with SIL arrangements in a given month, and the analyses used to inform the transition of participants to SIL arrangements.</w:t>
      </w:r>
      <w:r w:rsidR="00142D07" w:rsidRPr="007F6332">
        <w:rPr>
          <w:rFonts w:cs="Arial"/>
        </w:rPr>
        <w:t xml:space="preserve"> </w:t>
      </w:r>
      <w:r w:rsidR="002F3CA7" w:rsidRPr="007F6332">
        <w:rPr>
          <w:rFonts w:cs="Arial"/>
        </w:rPr>
        <w:t>D</w:t>
      </w:r>
      <w:r w:rsidR="00142D07" w:rsidRPr="007F6332">
        <w:rPr>
          <w:rFonts w:cs="Arial"/>
        </w:rPr>
        <w:t>espite this variability</w:t>
      </w:r>
      <w:r w:rsidR="002F3CA7" w:rsidRPr="007F6332">
        <w:rPr>
          <w:rFonts w:cs="Arial"/>
        </w:rPr>
        <w:t>, the numbers of participants with SIL and associated experience analyses, used to inform setting of assumptions for Scheme projections are robust.</w:t>
      </w:r>
      <w:r w:rsidR="00142D07" w:rsidRPr="007F6332">
        <w:rPr>
          <w:rFonts w:cs="Arial"/>
        </w:rPr>
        <w:t xml:space="preserve"> </w:t>
      </w:r>
    </w:p>
    <w:p w14:paraId="099029D4" w14:textId="31B3E8E6" w:rsidR="00D823B0" w:rsidRPr="007F6332" w:rsidRDefault="00D823B0" w:rsidP="00D93505">
      <w:pPr>
        <w:pStyle w:val="FiguresandTablesHeading4"/>
      </w:pPr>
      <w:bookmarkStart w:id="37" w:name="_Ref111888701"/>
      <w:r w:rsidRPr="007F6332">
        <w:lastRenderedPageBreak/>
        <w:t xml:space="preserve">Table </w:t>
      </w:r>
      <w:r w:rsidR="007F174A" w:rsidRPr="007F6332">
        <w:fldChar w:fldCharType="begin"/>
      </w:r>
      <w:r w:rsidR="007F174A" w:rsidRPr="007F6332">
        <w:instrText xml:space="preserve"> STYLEREF 2 \s </w:instrText>
      </w:r>
      <w:r w:rsidR="007F174A" w:rsidRPr="007F6332">
        <w:fldChar w:fldCharType="separate"/>
      </w:r>
      <w:r w:rsidR="00D82E58" w:rsidRPr="007F6332">
        <w:rPr>
          <w:noProof/>
        </w:rPr>
        <w:t>2</w:t>
      </w:r>
      <w:r w:rsidR="007F174A" w:rsidRPr="007F6332">
        <w:rPr>
          <w:noProof/>
        </w:rPr>
        <w:fldChar w:fldCharType="end"/>
      </w:r>
      <w:r w:rsidRPr="007F6332">
        <w:t>.</w:t>
      </w:r>
      <w:r w:rsidR="007F174A" w:rsidRPr="007F6332">
        <w:fldChar w:fldCharType="begin"/>
      </w:r>
      <w:r w:rsidR="007F174A" w:rsidRPr="007F6332">
        <w:instrText xml:space="preserve"> SEQ Table \* ARABIC \s 2 </w:instrText>
      </w:r>
      <w:r w:rsidR="007F174A" w:rsidRPr="007F6332">
        <w:fldChar w:fldCharType="separate"/>
      </w:r>
      <w:r w:rsidR="00D82E58" w:rsidRPr="007F6332">
        <w:rPr>
          <w:noProof/>
        </w:rPr>
        <w:t>1</w:t>
      </w:r>
      <w:r w:rsidR="007F174A" w:rsidRPr="007F6332">
        <w:rPr>
          <w:noProof/>
        </w:rPr>
        <w:fldChar w:fldCharType="end"/>
      </w:r>
      <w:bookmarkEnd w:id="34"/>
      <w:bookmarkEnd w:id="35"/>
      <w:bookmarkEnd w:id="36"/>
      <w:bookmarkEnd w:id="37"/>
      <w:r w:rsidRPr="007F6332">
        <w:t>: Summary of data utilised for actuarial analysis</w:t>
      </w:r>
    </w:p>
    <w:tbl>
      <w:tblPr>
        <w:tblStyle w:val="ListTable2"/>
        <w:tblW w:w="9214" w:type="dxa"/>
        <w:tblBorders>
          <w:top w:val="none" w:sz="0" w:space="0" w:color="auto"/>
          <w:bottom w:val="none" w:sz="0" w:space="0" w:color="auto"/>
          <w:insideH w:val="none" w:sz="0" w:space="0" w:color="auto"/>
        </w:tblBorders>
        <w:tblLook w:val="04A0" w:firstRow="1" w:lastRow="0" w:firstColumn="1" w:lastColumn="0" w:noHBand="0" w:noVBand="1"/>
      </w:tblPr>
      <w:tblGrid>
        <w:gridCol w:w="2689"/>
        <w:gridCol w:w="6525"/>
      </w:tblGrid>
      <w:tr w:rsidR="00D823B0" w:rsidRPr="007F6332" w14:paraId="2C7D82FF" w14:textId="77777777" w:rsidTr="00F6713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shd w:val="clear" w:color="auto" w:fill="6B2976"/>
            <w:vAlign w:val="center"/>
            <w:hideMark/>
          </w:tcPr>
          <w:p w14:paraId="7AA16701" w14:textId="77777777" w:rsidR="00D823B0" w:rsidRPr="007F6332" w:rsidRDefault="00D823B0" w:rsidP="00793484">
            <w:pPr>
              <w:rPr>
                <w:rFonts w:cs="Arial"/>
                <w:b w:val="0"/>
                <w:bCs w:val="0"/>
                <w:color w:val="FFFFFF" w:themeColor="background1"/>
                <w:sz w:val="18"/>
                <w:szCs w:val="18"/>
              </w:rPr>
            </w:pPr>
            <w:r w:rsidRPr="007F6332">
              <w:rPr>
                <w:rFonts w:cs="Arial"/>
                <w:color w:val="FFFFFF" w:themeColor="background1"/>
                <w:sz w:val="18"/>
                <w:szCs w:val="18"/>
              </w:rPr>
              <w:t>Data</w:t>
            </w:r>
          </w:p>
        </w:tc>
        <w:tc>
          <w:tcPr>
            <w:tcW w:w="6525" w:type="dxa"/>
            <w:shd w:val="clear" w:color="auto" w:fill="6B2976"/>
            <w:vAlign w:val="center"/>
            <w:hideMark/>
          </w:tcPr>
          <w:p w14:paraId="1CF98C06" w14:textId="77777777" w:rsidR="00D823B0" w:rsidRPr="007F6332" w:rsidRDefault="00D823B0" w:rsidP="00793484">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7F6332">
              <w:rPr>
                <w:rFonts w:cs="Arial"/>
                <w:color w:val="FFFFFF" w:themeColor="background1"/>
                <w:sz w:val="18"/>
                <w:szCs w:val="18"/>
              </w:rPr>
              <w:t>Description</w:t>
            </w:r>
          </w:p>
        </w:tc>
      </w:tr>
      <w:tr w:rsidR="00D823B0" w:rsidRPr="007F6332" w14:paraId="0861A126" w14:textId="77777777" w:rsidTr="00F6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hideMark/>
          </w:tcPr>
          <w:p w14:paraId="661728AE" w14:textId="77777777" w:rsidR="00D823B0" w:rsidRPr="007F6332" w:rsidRDefault="00D823B0" w:rsidP="00793484">
            <w:pPr>
              <w:rPr>
                <w:rFonts w:cs="Arial"/>
                <w:b w:val="0"/>
                <w:bCs w:val="0"/>
                <w:color w:val="000000"/>
                <w:sz w:val="18"/>
                <w:szCs w:val="18"/>
              </w:rPr>
            </w:pPr>
            <w:r w:rsidRPr="007F6332">
              <w:rPr>
                <w:rFonts w:cs="Arial"/>
                <w:color w:val="000000"/>
                <w:sz w:val="18"/>
                <w:szCs w:val="18"/>
              </w:rPr>
              <w:t>Access requests to the NDIS</w:t>
            </w:r>
          </w:p>
        </w:tc>
        <w:tc>
          <w:tcPr>
            <w:tcW w:w="6525" w:type="dxa"/>
            <w:shd w:val="clear" w:color="auto" w:fill="auto"/>
            <w:vAlign w:val="center"/>
            <w:hideMark/>
          </w:tcPr>
          <w:p w14:paraId="21809652" w14:textId="77777777" w:rsidR="00D823B0" w:rsidRPr="007F6332" w:rsidRDefault="00D823B0" w:rsidP="00CE7E91">
            <w:pPr>
              <w:pStyle w:val="ListParagraph"/>
              <w:numPr>
                <w:ilvl w:val="0"/>
                <w:numId w:val="19"/>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Demographic information (age, gender, disability, geographic location, living arrangements and other participant profile information)</w:t>
            </w:r>
          </w:p>
          <w:p w14:paraId="5D138BF9" w14:textId="77777777" w:rsidR="00D823B0" w:rsidRPr="007F6332" w:rsidRDefault="00D823B0" w:rsidP="00CE7E91">
            <w:pPr>
              <w:pStyle w:val="ListParagraph"/>
              <w:numPr>
                <w:ilvl w:val="0"/>
                <w:numId w:val="19"/>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Contact details</w:t>
            </w:r>
          </w:p>
          <w:p w14:paraId="51EDB489" w14:textId="77777777" w:rsidR="00D823B0" w:rsidRPr="007F6332" w:rsidRDefault="00D823B0" w:rsidP="00CE7E91">
            <w:pPr>
              <w:pStyle w:val="ListParagraph"/>
              <w:numPr>
                <w:ilvl w:val="0"/>
                <w:numId w:val="19"/>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Access request date</w:t>
            </w:r>
          </w:p>
          <w:p w14:paraId="2733C6E2" w14:textId="77777777" w:rsidR="00D823B0" w:rsidRPr="007F6332" w:rsidRDefault="00D823B0" w:rsidP="00CE7E91">
            <w:pPr>
              <w:pStyle w:val="ListParagraph"/>
              <w:numPr>
                <w:ilvl w:val="0"/>
                <w:numId w:val="19"/>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Outcome of request (for example: eligible, ineligible)</w:t>
            </w:r>
          </w:p>
        </w:tc>
      </w:tr>
      <w:tr w:rsidR="00D823B0" w:rsidRPr="007F6332" w14:paraId="79BCEE18" w14:textId="77777777" w:rsidTr="00F6713E">
        <w:tc>
          <w:tcPr>
            <w:cnfStyle w:val="001000000000" w:firstRow="0" w:lastRow="0" w:firstColumn="1" w:lastColumn="0" w:oddVBand="0" w:evenVBand="0" w:oddHBand="0" w:evenHBand="0" w:firstRowFirstColumn="0" w:firstRowLastColumn="0" w:lastRowFirstColumn="0" w:lastRowLastColumn="0"/>
            <w:tcW w:w="2689" w:type="dxa"/>
            <w:shd w:val="clear" w:color="000000" w:fill="A7A9AC"/>
            <w:vAlign w:val="center"/>
          </w:tcPr>
          <w:p w14:paraId="246FE880" w14:textId="77777777" w:rsidR="00D823B0" w:rsidRPr="007F6332" w:rsidRDefault="00D823B0" w:rsidP="00793484">
            <w:pPr>
              <w:rPr>
                <w:rFonts w:cs="Arial"/>
                <w:b w:val="0"/>
                <w:bCs w:val="0"/>
                <w:color w:val="000000"/>
                <w:sz w:val="18"/>
                <w:szCs w:val="18"/>
              </w:rPr>
            </w:pPr>
            <w:r w:rsidRPr="007F6332">
              <w:rPr>
                <w:rFonts w:cs="Arial"/>
                <w:color w:val="000000"/>
                <w:sz w:val="18"/>
                <w:szCs w:val="18"/>
              </w:rPr>
              <w:t>Payments to service providers</w:t>
            </w:r>
          </w:p>
        </w:tc>
        <w:tc>
          <w:tcPr>
            <w:tcW w:w="6525" w:type="dxa"/>
            <w:shd w:val="clear" w:color="000000" w:fill="A7A9AC"/>
            <w:vAlign w:val="center"/>
          </w:tcPr>
          <w:p w14:paraId="74374B17" w14:textId="77777777" w:rsidR="00D823B0" w:rsidRPr="007F6332" w:rsidRDefault="00D823B0" w:rsidP="00CE7E91">
            <w:pPr>
              <w:pStyle w:val="ListParagraph"/>
              <w:numPr>
                <w:ilvl w:val="0"/>
                <w:numId w:val="20"/>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Service provider submitting the claim for payment</w:t>
            </w:r>
          </w:p>
          <w:p w14:paraId="0848B455" w14:textId="77777777" w:rsidR="00D823B0" w:rsidRPr="007F6332" w:rsidRDefault="00D823B0" w:rsidP="00CE7E91">
            <w:pPr>
              <w:pStyle w:val="ListParagraph"/>
              <w:numPr>
                <w:ilvl w:val="0"/>
                <w:numId w:val="20"/>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Participant for whom the support was provided</w:t>
            </w:r>
          </w:p>
          <w:p w14:paraId="683AE7D5" w14:textId="77777777" w:rsidR="00D823B0" w:rsidRPr="007F6332" w:rsidRDefault="00D823B0" w:rsidP="00CE7E91">
            <w:pPr>
              <w:pStyle w:val="ListParagraph"/>
              <w:numPr>
                <w:ilvl w:val="0"/>
                <w:numId w:val="20"/>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The support item and cost of support provided</w:t>
            </w:r>
          </w:p>
          <w:p w14:paraId="36DCD71B" w14:textId="77777777" w:rsidR="00D823B0" w:rsidRPr="007F6332" w:rsidRDefault="00D823B0" w:rsidP="00CE7E91">
            <w:pPr>
              <w:pStyle w:val="ListParagraph"/>
              <w:numPr>
                <w:ilvl w:val="0"/>
                <w:numId w:val="20"/>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Dates of when the support was provided</w:t>
            </w:r>
          </w:p>
          <w:p w14:paraId="513502E5" w14:textId="77777777" w:rsidR="00D823B0" w:rsidRPr="007F6332" w:rsidRDefault="00D823B0" w:rsidP="00CE7E91">
            <w:pPr>
              <w:pStyle w:val="ListParagraph"/>
              <w:numPr>
                <w:ilvl w:val="0"/>
                <w:numId w:val="20"/>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eastAsia="Yu Mincho" w:cs="Arial"/>
                <w:color w:val="000000"/>
                <w:sz w:val="18"/>
                <w:szCs w:val="18"/>
              </w:rPr>
              <w:t>Method of plan management used</w:t>
            </w:r>
          </w:p>
        </w:tc>
      </w:tr>
      <w:tr w:rsidR="00D823B0" w:rsidRPr="007F6332" w14:paraId="19F67009" w14:textId="77777777" w:rsidTr="00F6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600705EE" w14:textId="77777777" w:rsidR="00D823B0" w:rsidRPr="007F6332" w:rsidRDefault="00D823B0" w:rsidP="00793484">
            <w:pPr>
              <w:rPr>
                <w:rFonts w:cs="Arial"/>
                <w:b w:val="0"/>
                <w:bCs w:val="0"/>
                <w:color w:val="000000"/>
                <w:sz w:val="18"/>
                <w:szCs w:val="18"/>
              </w:rPr>
            </w:pPr>
            <w:r w:rsidRPr="007F6332">
              <w:rPr>
                <w:rFonts w:cs="Arial"/>
                <w:color w:val="000000"/>
                <w:sz w:val="18"/>
                <w:szCs w:val="18"/>
              </w:rPr>
              <w:t>Payments to participants</w:t>
            </w:r>
          </w:p>
        </w:tc>
        <w:tc>
          <w:tcPr>
            <w:tcW w:w="6525" w:type="dxa"/>
            <w:shd w:val="clear" w:color="auto" w:fill="auto"/>
            <w:vAlign w:val="center"/>
          </w:tcPr>
          <w:p w14:paraId="087B5501" w14:textId="77777777" w:rsidR="00D823B0" w:rsidRPr="007F6332" w:rsidRDefault="00D823B0" w:rsidP="00CE7E91">
            <w:pPr>
              <w:pStyle w:val="ListParagraph"/>
              <w:numPr>
                <w:ilvl w:val="0"/>
                <w:numId w:val="21"/>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Participant submitting the claim for payment</w:t>
            </w:r>
          </w:p>
          <w:p w14:paraId="7E78BD29" w14:textId="77777777" w:rsidR="00D823B0" w:rsidRPr="007F6332" w:rsidRDefault="00D823B0" w:rsidP="00CE7E91">
            <w:pPr>
              <w:pStyle w:val="ListParagraph"/>
              <w:numPr>
                <w:ilvl w:val="0"/>
                <w:numId w:val="21"/>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The support category provided</w:t>
            </w:r>
          </w:p>
          <w:p w14:paraId="78FDB7C4" w14:textId="5854734E" w:rsidR="00D823B0" w:rsidRPr="007F6332" w:rsidRDefault="00D823B0" w:rsidP="00CE7E91">
            <w:pPr>
              <w:pStyle w:val="ListParagraph"/>
              <w:numPr>
                <w:ilvl w:val="0"/>
                <w:numId w:val="21"/>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Total amount spen</w:t>
            </w:r>
            <w:r w:rsidR="007E1A8F" w:rsidRPr="007F6332">
              <w:rPr>
                <w:rFonts w:cs="Arial"/>
                <w:color w:val="000000"/>
                <w:sz w:val="18"/>
                <w:szCs w:val="18"/>
              </w:rPr>
              <w:t>t by</w:t>
            </w:r>
            <w:r w:rsidRPr="007F6332">
              <w:rPr>
                <w:rFonts w:cs="Arial"/>
                <w:color w:val="000000"/>
                <w:sz w:val="18"/>
                <w:szCs w:val="18"/>
              </w:rPr>
              <w:t xml:space="preserve"> support category</w:t>
            </w:r>
          </w:p>
          <w:p w14:paraId="387FCD5E" w14:textId="77777777" w:rsidR="00D823B0" w:rsidRPr="007F6332" w:rsidRDefault="00D823B0" w:rsidP="00CE7E91">
            <w:pPr>
              <w:pStyle w:val="ListParagraph"/>
              <w:numPr>
                <w:ilvl w:val="0"/>
                <w:numId w:val="21"/>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Period of reimbursement</w:t>
            </w:r>
          </w:p>
        </w:tc>
      </w:tr>
      <w:tr w:rsidR="00D823B0" w:rsidRPr="007F6332" w14:paraId="0714C5D3" w14:textId="77777777" w:rsidTr="00F6713E">
        <w:tc>
          <w:tcPr>
            <w:cnfStyle w:val="001000000000" w:firstRow="0" w:lastRow="0" w:firstColumn="1" w:lastColumn="0" w:oddVBand="0" w:evenVBand="0" w:oddHBand="0" w:evenHBand="0" w:firstRowFirstColumn="0" w:firstRowLastColumn="0" w:lastRowFirstColumn="0" w:lastRowLastColumn="0"/>
            <w:tcW w:w="2689" w:type="dxa"/>
            <w:shd w:val="clear" w:color="000000" w:fill="A7A9AC"/>
            <w:vAlign w:val="center"/>
            <w:hideMark/>
          </w:tcPr>
          <w:p w14:paraId="1E34B76E" w14:textId="77777777" w:rsidR="00D823B0" w:rsidRPr="007F6332" w:rsidRDefault="00D823B0" w:rsidP="00793484">
            <w:pPr>
              <w:rPr>
                <w:rFonts w:cs="Arial"/>
                <w:b w:val="0"/>
                <w:bCs w:val="0"/>
                <w:color w:val="000000"/>
                <w:sz w:val="18"/>
                <w:szCs w:val="18"/>
              </w:rPr>
            </w:pPr>
            <w:r w:rsidRPr="007F6332">
              <w:rPr>
                <w:rFonts w:cs="Arial"/>
                <w:color w:val="000000"/>
                <w:sz w:val="18"/>
                <w:szCs w:val="18"/>
              </w:rPr>
              <w:t>NDIS participant plans</w:t>
            </w:r>
          </w:p>
        </w:tc>
        <w:tc>
          <w:tcPr>
            <w:tcW w:w="6525" w:type="dxa"/>
            <w:shd w:val="clear" w:color="000000" w:fill="A7A9AC"/>
            <w:vAlign w:val="center"/>
            <w:hideMark/>
          </w:tcPr>
          <w:p w14:paraId="676DA63D" w14:textId="77777777" w:rsidR="00D823B0" w:rsidRPr="007F6332" w:rsidRDefault="00D823B0" w:rsidP="00CE7E91">
            <w:pPr>
              <w:pStyle w:val="ListParagraph"/>
              <w:numPr>
                <w:ilvl w:val="0"/>
                <w:numId w:val="22"/>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Plan approval date</w:t>
            </w:r>
          </w:p>
          <w:p w14:paraId="748F6399" w14:textId="77777777" w:rsidR="00D823B0" w:rsidRPr="007F6332" w:rsidRDefault="00D823B0" w:rsidP="00CE7E91">
            <w:pPr>
              <w:pStyle w:val="ListParagraph"/>
              <w:numPr>
                <w:ilvl w:val="0"/>
                <w:numId w:val="22"/>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Length of plan</w:t>
            </w:r>
          </w:p>
          <w:p w14:paraId="3BECE4EF" w14:textId="77777777" w:rsidR="00D823B0" w:rsidRPr="007F6332" w:rsidRDefault="00D823B0" w:rsidP="00CE7E91">
            <w:pPr>
              <w:pStyle w:val="ListParagraph"/>
              <w:numPr>
                <w:ilvl w:val="0"/>
                <w:numId w:val="22"/>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All plan budgets included in the plan</w:t>
            </w:r>
          </w:p>
          <w:p w14:paraId="43434758" w14:textId="0AC5BC0A" w:rsidR="00D823B0" w:rsidRPr="007F6332" w:rsidRDefault="00D823B0" w:rsidP="00CE7E91">
            <w:pPr>
              <w:pStyle w:val="ListParagraph"/>
              <w:numPr>
                <w:ilvl w:val="0"/>
                <w:numId w:val="22"/>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Level of function</w:t>
            </w:r>
          </w:p>
        </w:tc>
      </w:tr>
      <w:tr w:rsidR="00D823B0" w:rsidRPr="007F6332" w14:paraId="46D57317" w14:textId="77777777" w:rsidTr="00F6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2F5F4BD" w14:textId="77777777" w:rsidR="00D823B0" w:rsidRPr="007F6332" w:rsidRDefault="00D823B0" w:rsidP="00793484">
            <w:pPr>
              <w:rPr>
                <w:rFonts w:cs="Arial"/>
                <w:b w:val="0"/>
                <w:bCs w:val="0"/>
                <w:color w:val="000000"/>
                <w:sz w:val="18"/>
                <w:szCs w:val="18"/>
              </w:rPr>
            </w:pPr>
            <w:r w:rsidRPr="007F6332">
              <w:rPr>
                <w:rFonts w:cs="Arial"/>
                <w:color w:val="000000"/>
                <w:sz w:val="18"/>
                <w:szCs w:val="18"/>
              </w:rPr>
              <w:t>In-kind supports data</w:t>
            </w:r>
          </w:p>
        </w:tc>
        <w:tc>
          <w:tcPr>
            <w:tcW w:w="6525" w:type="dxa"/>
            <w:shd w:val="clear" w:color="auto" w:fill="auto"/>
            <w:vAlign w:val="center"/>
          </w:tcPr>
          <w:p w14:paraId="70BABC44" w14:textId="77777777" w:rsidR="00D823B0" w:rsidRPr="007F6332" w:rsidRDefault="00D823B0" w:rsidP="00CE7E91">
            <w:pPr>
              <w:pStyle w:val="ListParagraph"/>
              <w:numPr>
                <w:ilvl w:val="0"/>
                <w:numId w:val="24"/>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Unit record in-kind support details from State/Territory programs including details on support type, level and duration of coverage.</w:t>
            </w:r>
          </w:p>
        </w:tc>
      </w:tr>
      <w:tr w:rsidR="00D823B0" w:rsidRPr="007F6332" w14:paraId="2518E192" w14:textId="77777777" w:rsidTr="00F6713E">
        <w:tc>
          <w:tcPr>
            <w:cnfStyle w:val="001000000000" w:firstRow="0" w:lastRow="0" w:firstColumn="1" w:lastColumn="0" w:oddVBand="0" w:evenVBand="0" w:oddHBand="0" w:evenHBand="0" w:firstRowFirstColumn="0" w:firstRowLastColumn="0" w:lastRowFirstColumn="0" w:lastRowLastColumn="0"/>
            <w:tcW w:w="2689" w:type="dxa"/>
            <w:shd w:val="clear" w:color="000000" w:fill="A7A9AC"/>
            <w:vAlign w:val="center"/>
          </w:tcPr>
          <w:p w14:paraId="05AD12E6" w14:textId="77777777" w:rsidR="00D823B0" w:rsidRPr="007F6332" w:rsidRDefault="00D823B0" w:rsidP="00793484">
            <w:pPr>
              <w:rPr>
                <w:rFonts w:cs="Arial"/>
                <w:b w:val="0"/>
                <w:bCs w:val="0"/>
                <w:color w:val="000000"/>
                <w:sz w:val="18"/>
                <w:szCs w:val="18"/>
              </w:rPr>
            </w:pPr>
            <w:r w:rsidRPr="007F6332">
              <w:rPr>
                <w:rFonts w:cs="Arial"/>
                <w:color w:val="000000"/>
                <w:sz w:val="18"/>
                <w:szCs w:val="18"/>
              </w:rPr>
              <w:t>Data on outcomes</w:t>
            </w:r>
          </w:p>
        </w:tc>
        <w:tc>
          <w:tcPr>
            <w:tcW w:w="6525" w:type="dxa"/>
            <w:shd w:val="clear" w:color="000000" w:fill="A7A9AC"/>
            <w:vAlign w:val="center"/>
          </w:tcPr>
          <w:p w14:paraId="5BBAB75A" w14:textId="3B83A727" w:rsidR="00D823B0" w:rsidRPr="007F6332" w:rsidRDefault="00D823B0" w:rsidP="00CE7E91">
            <w:pPr>
              <w:pStyle w:val="ListParagraph"/>
              <w:numPr>
                <w:ilvl w:val="0"/>
                <w:numId w:val="25"/>
              </w:numPr>
              <w:spacing w:line="240" w:lineRule="auto"/>
              <w:ind w:hanging="36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Information collected from surveys of participants and their families and carers about how they are doing in different areas of their lives and</w:t>
            </w:r>
            <w:r w:rsidR="00912E79" w:rsidRPr="007F6332">
              <w:rPr>
                <w:rFonts w:cs="Arial"/>
                <w:color w:val="000000"/>
                <w:sz w:val="18"/>
                <w:szCs w:val="18"/>
              </w:rPr>
              <w:t xml:space="preserve"> </w:t>
            </w:r>
            <w:r w:rsidRPr="007F6332">
              <w:rPr>
                <w:rFonts w:cs="Arial"/>
                <w:color w:val="000000"/>
                <w:sz w:val="18"/>
                <w:szCs w:val="18"/>
              </w:rPr>
              <w:t>how they are progressing over their time in the NDIS.</w:t>
            </w:r>
          </w:p>
        </w:tc>
      </w:tr>
      <w:tr w:rsidR="00D823B0" w:rsidRPr="007F6332" w14:paraId="551266AB" w14:textId="77777777" w:rsidTr="00F6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6926AC4" w14:textId="77777777" w:rsidR="00D823B0" w:rsidRPr="007F6332" w:rsidRDefault="00D823B0" w:rsidP="00793484">
            <w:pPr>
              <w:rPr>
                <w:rFonts w:cs="Arial"/>
                <w:b w:val="0"/>
                <w:bCs w:val="0"/>
                <w:color w:val="000000"/>
                <w:sz w:val="18"/>
                <w:szCs w:val="18"/>
              </w:rPr>
            </w:pPr>
            <w:r w:rsidRPr="007F6332">
              <w:rPr>
                <w:rFonts w:cs="Arial"/>
                <w:color w:val="000000"/>
                <w:sz w:val="18"/>
                <w:szCs w:val="18"/>
              </w:rPr>
              <w:t>Financial information</w:t>
            </w:r>
          </w:p>
        </w:tc>
        <w:tc>
          <w:tcPr>
            <w:tcW w:w="6525" w:type="dxa"/>
            <w:shd w:val="clear" w:color="auto" w:fill="auto"/>
            <w:vAlign w:val="center"/>
          </w:tcPr>
          <w:p w14:paraId="7A16BB0A" w14:textId="468FF84C" w:rsidR="00D823B0" w:rsidRPr="007F6332" w:rsidRDefault="00D823B0" w:rsidP="00CE7E91">
            <w:pPr>
              <w:pStyle w:val="ListParagraph"/>
              <w:numPr>
                <w:ilvl w:val="0"/>
                <w:numId w:val="26"/>
              </w:numPr>
              <w:spacing w:line="240" w:lineRule="auto"/>
              <w:ind w:hanging="36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Data from the SAP</w:t>
            </w:r>
            <w:r w:rsidRPr="007F6332">
              <w:rPr>
                <w:rStyle w:val="FootnoteReference"/>
                <w:rFonts w:cs="Arial"/>
                <w:color w:val="000000"/>
                <w:sz w:val="18"/>
                <w:szCs w:val="18"/>
              </w:rPr>
              <w:footnoteReference w:id="45"/>
            </w:r>
            <w:r w:rsidRPr="007F6332">
              <w:rPr>
                <w:rFonts w:cs="Arial"/>
                <w:color w:val="000000"/>
                <w:sz w:val="18"/>
                <w:szCs w:val="18"/>
              </w:rPr>
              <w:t xml:space="preserve"> CRM system </w:t>
            </w:r>
            <w:r w:rsidR="00043BF8" w:rsidRPr="007F6332">
              <w:rPr>
                <w:rFonts w:cs="Arial"/>
                <w:color w:val="000000"/>
                <w:sz w:val="18"/>
                <w:szCs w:val="18"/>
              </w:rPr>
              <w:t>was</w:t>
            </w:r>
            <w:r w:rsidRPr="007F6332">
              <w:rPr>
                <w:rFonts w:cs="Arial"/>
                <w:color w:val="000000"/>
                <w:sz w:val="18"/>
                <w:szCs w:val="18"/>
              </w:rPr>
              <w:t xml:space="preserve"> reconciled with financial information in SAP.</w:t>
            </w:r>
          </w:p>
        </w:tc>
      </w:tr>
      <w:tr w:rsidR="00D823B0" w:rsidRPr="007F6332" w14:paraId="3D914376" w14:textId="77777777" w:rsidTr="00F6713E">
        <w:tc>
          <w:tcPr>
            <w:cnfStyle w:val="001000000000" w:firstRow="0" w:lastRow="0" w:firstColumn="1" w:lastColumn="0" w:oddVBand="0" w:evenVBand="0" w:oddHBand="0" w:evenHBand="0" w:firstRowFirstColumn="0" w:firstRowLastColumn="0" w:lastRowFirstColumn="0" w:lastRowLastColumn="0"/>
            <w:tcW w:w="2689" w:type="dxa"/>
            <w:shd w:val="clear" w:color="000000" w:fill="A7A9AC"/>
            <w:vAlign w:val="center"/>
          </w:tcPr>
          <w:p w14:paraId="3DF987A9" w14:textId="77777777" w:rsidR="00D823B0" w:rsidRPr="007F6332" w:rsidRDefault="00D823B0" w:rsidP="00793484">
            <w:pPr>
              <w:rPr>
                <w:rFonts w:cs="Arial"/>
                <w:b w:val="0"/>
                <w:bCs w:val="0"/>
                <w:color w:val="000000"/>
                <w:sz w:val="18"/>
                <w:szCs w:val="18"/>
              </w:rPr>
            </w:pPr>
            <w:r w:rsidRPr="007F6332">
              <w:rPr>
                <w:rFonts w:cs="Arial"/>
                <w:color w:val="000000"/>
                <w:sz w:val="18"/>
                <w:szCs w:val="18"/>
              </w:rPr>
              <w:t>ABS Survey of Disability, Ageing and Carers</w:t>
            </w:r>
          </w:p>
        </w:tc>
        <w:tc>
          <w:tcPr>
            <w:tcW w:w="6525" w:type="dxa"/>
            <w:shd w:val="clear" w:color="000000" w:fill="A7A9AC"/>
            <w:vAlign w:val="center"/>
          </w:tcPr>
          <w:p w14:paraId="28D63A8F" w14:textId="77777777" w:rsidR="00D823B0" w:rsidRPr="007F6332" w:rsidRDefault="00D823B0" w:rsidP="00CE7E91">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Prevalence of disability in Australia, including demographic and socioeconomic profile of people with disabilities.</w:t>
            </w:r>
          </w:p>
        </w:tc>
      </w:tr>
      <w:tr w:rsidR="00D823B0" w:rsidRPr="007F6332" w14:paraId="36242EA7" w14:textId="77777777" w:rsidTr="00F6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08D5D299" w14:textId="77777777" w:rsidR="00D823B0" w:rsidRPr="007F6332" w:rsidRDefault="00D823B0" w:rsidP="00793484">
            <w:pPr>
              <w:rPr>
                <w:rFonts w:cs="Arial"/>
                <w:b w:val="0"/>
                <w:bCs w:val="0"/>
                <w:color w:val="000000"/>
                <w:sz w:val="18"/>
                <w:szCs w:val="18"/>
              </w:rPr>
            </w:pPr>
            <w:r w:rsidRPr="007F6332">
              <w:rPr>
                <w:rFonts w:cs="Arial"/>
                <w:color w:val="000000"/>
                <w:sz w:val="18"/>
                <w:szCs w:val="18"/>
              </w:rPr>
              <w:t>Economic information</w:t>
            </w:r>
          </w:p>
        </w:tc>
        <w:tc>
          <w:tcPr>
            <w:tcW w:w="6525" w:type="dxa"/>
            <w:shd w:val="clear" w:color="auto" w:fill="auto"/>
            <w:vAlign w:val="center"/>
          </w:tcPr>
          <w:p w14:paraId="0DFCEB10" w14:textId="77777777" w:rsidR="00D823B0" w:rsidRPr="007F6332" w:rsidRDefault="00D823B0" w:rsidP="00CE7E91">
            <w:pPr>
              <w:pStyle w:val="ListParagraph"/>
              <w:numPr>
                <w:ilvl w:val="0"/>
                <w:numId w:val="18"/>
              </w:num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Government economic forecasts for GDP</w:t>
            </w:r>
          </w:p>
          <w:p w14:paraId="3AD2701F" w14:textId="77777777" w:rsidR="00D823B0" w:rsidRPr="007F6332" w:rsidRDefault="00D823B0" w:rsidP="00CE7E91">
            <w:pPr>
              <w:pStyle w:val="ListParagraph"/>
              <w:numPr>
                <w:ilvl w:val="0"/>
                <w:numId w:val="18"/>
              </w:num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7F6332">
              <w:rPr>
                <w:rFonts w:cs="Arial"/>
                <w:color w:val="000000"/>
                <w:sz w:val="18"/>
                <w:szCs w:val="18"/>
              </w:rPr>
              <w:t>Inflation indicators</w:t>
            </w:r>
          </w:p>
        </w:tc>
      </w:tr>
      <w:tr w:rsidR="00D823B0" w:rsidRPr="007F6332" w14:paraId="6A130313" w14:textId="77777777" w:rsidTr="00F6713E">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auto"/>
            </w:tcBorders>
            <w:shd w:val="clear" w:color="000000" w:fill="A7A9AC"/>
            <w:vAlign w:val="center"/>
          </w:tcPr>
          <w:p w14:paraId="251E8AE5" w14:textId="77777777" w:rsidR="00D823B0" w:rsidRPr="007F6332" w:rsidRDefault="00D823B0" w:rsidP="00793484">
            <w:pPr>
              <w:rPr>
                <w:rFonts w:eastAsia="Yu Mincho" w:cs="Arial"/>
                <w:color w:val="000000"/>
                <w:sz w:val="18"/>
                <w:szCs w:val="18"/>
              </w:rPr>
            </w:pPr>
            <w:r w:rsidRPr="007F6332">
              <w:rPr>
                <w:rFonts w:eastAsia="Yu Mincho" w:cs="Arial"/>
                <w:color w:val="000000"/>
                <w:sz w:val="18"/>
                <w:szCs w:val="18"/>
              </w:rPr>
              <w:t>Demographic information</w:t>
            </w:r>
          </w:p>
        </w:tc>
        <w:tc>
          <w:tcPr>
            <w:tcW w:w="6525" w:type="dxa"/>
            <w:tcBorders>
              <w:bottom w:val="single" w:sz="4" w:space="0" w:color="auto"/>
            </w:tcBorders>
            <w:shd w:val="clear" w:color="000000" w:fill="A7A9AC"/>
            <w:vAlign w:val="center"/>
          </w:tcPr>
          <w:p w14:paraId="1FC33EF2" w14:textId="77777777" w:rsidR="00D823B0" w:rsidRPr="007F6332" w:rsidRDefault="00D823B0" w:rsidP="00CE7E91">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Australian Life Tables 2018-2020 – published in November 2021</w:t>
            </w:r>
          </w:p>
          <w:p w14:paraId="205295E5" w14:textId="77777777" w:rsidR="00D823B0" w:rsidRPr="007F6332" w:rsidRDefault="00D823B0" w:rsidP="00CE7E91">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Budget 2023-24: population projections, Australia, 2022-23 to 2033-34 from the Centre for Population Projections</w:t>
            </w:r>
          </w:p>
          <w:p w14:paraId="1B4D2CB7" w14:textId="176C1255" w:rsidR="00D823B0" w:rsidRPr="007F6332" w:rsidRDefault="00D823B0" w:rsidP="00CE7E91">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Population forecasts beyond 203</w:t>
            </w:r>
            <w:r w:rsidR="007E1A8F" w:rsidRPr="007F6332">
              <w:rPr>
                <w:rFonts w:cs="Arial"/>
                <w:color w:val="000000"/>
                <w:sz w:val="18"/>
                <w:szCs w:val="18"/>
              </w:rPr>
              <w:t>3-34</w:t>
            </w:r>
            <w:r w:rsidRPr="007F6332">
              <w:rPr>
                <w:rFonts w:cs="Arial"/>
                <w:color w:val="000000"/>
                <w:sz w:val="18"/>
                <w:szCs w:val="18"/>
              </w:rPr>
              <w:t xml:space="preserve"> – 2023 Intergenerational Report</w:t>
            </w:r>
          </w:p>
          <w:p w14:paraId="7AB916A2" w14:textId="6CD03942" w:rsidR="00D823B0" w:rsidRPr="007F6332" w:rsidRDefault="00D823B0" w:rsidP="00CE7E91">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 xml:space="preserve">Estimated Resident Population </w:t>
            </w:r>
            <w:r w:rsidR="007E1A8F" w:rsidRPr="007F6332">
              <w:rPr>
                <w:rFonts w:cs="Arial"/>
                <w:color w:val="000000"/>
                <w:sz w:val="18"/>
                <w:szCs w:val="18"/>
              </w:rPr>
              <w:t>data up to 30 June 2022</w:t>
            </w:r>
            <w:r w:rsidRPr="007F6332">
              <w:rPr>
                <w:rFonts w:cs="Arial"/>
                <w:color w:val="000000"/>
                <w:sz w:val="18"/>
                <w:szCs w:val="18"/>
              </w:rPr>
              <w:t xml:space="preserve"> – published</w:t>
            </w:r>
            <w:r w:rsidR="007E1A8F" w:rsidRPr="007F6332">
              <w:rPr>
                <w:rFonts w:cs="Arial"/>
                <w:color w:val="000000"/>
                <w:sz w:val="18"/>
                <w:szCs w:val="18"/>
              </w:rPr>
              <w:t xml:space="preserve"> by the Australian Bureau of Statistics</w:t>
            </w:r>
            <w:r w:rsidR="00034135" w:rsidRPr="007F6332">
              <w:rPr>
                <w:rFonts w:cs="Arial"/>
                <w:color w:val="000000"/>
                <w:sz w:val="18"/>
                <w:szCs w:val="18"/>
              </w:rPr>
              <w:t xml:space="preserve"> (ABS)</w:t>
            </w:r>
            <w:r w:rsidRPr="007F6332">
              <w:rPr>
                <w:rFonts w:cs="Arial"/>
                <w:color w:val="000000"/>
                <w:sz w:val="18"/>
                <w:szCs w:val="18"/>
              </w:rPr>
              <w:t>, and information on immigration changes</w:t>
            </w:r>
            <w:r w:rsidRPr="007F6332">
              <w:rPr>
                <w:rStyle w:val="FootnoteReference"/>
                <w:rFonts w:cs="Arial"/>
                <w:color w:val="000000"/>
                <w:sz w:val="18"/>
                <w:szCs w:val="18"/>
              </w:rPr>
              <w:footnoteReference w:id="46"/>
            </w:r>
            <w:r w:rsidRPr="007F6332">
              <w:rPr>
                <w:rFonts w:cs="Arial"/>
                <w:color w:val="000000"/>
                <w:sz w:val="18"/>
                <w:szCs w:val="18"/>
              </w:rPr>
              <w:t xml:space="preserve"> from </w:t>
            </w:r>
            <w:r w:rsidR="00AD65E3" w:rsidRPr="007F6332">
              <w:rPr>
                <w:rFonts w:cs="Arial"/>
                <w:color w:val="000000"/>
                <w:sz w:val="18"/>
                <w:szCs w:val="18"/>
              </w:rPr>
              <w:t xml:space="preserve">the Department of </w:t>
            </w:r>
            <w:r w:rsidRPr="007F6332">
              <w:rPr>
                <w:rFonts w:cs="Arial"/>
                <w:color w:val="000000"/>
                <w:sz w:val="18"/>
                <w:szCs w:val="18"/>
              </w:rPr>
              <w:t>Home Affairs</w:t>
            </w:r>
          </w:p>
          <w:p w14:paraId="29A640DC" w14:textId="5A701F80" w:rsidR="00D823B0" w:rsidRPr="007F6332" w:rsidRDefault="00AD65E3" w:rsidP="00CE7E91">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7F6332">
              <w:rPr>
                <w:rFonts w:cs="Arial"/>
                <w:color w:val="000000"/>
                <w:sz w:val="18"/>
                <w:szCs w:val="18"/>
              </w:rPr>
              <w:t xml:space="preserve">New </w:t>
            </w:r>
            <w:r w:rsidR="00D823B0" w:rsidRPr="007F6332">
              <w:rPr>
                <w:rFonts w:cs="Arial"/>
                <w:color w:val="000000"/>
                <w:sz w:val="18"/>
                <w:szCs w:val="18"/>
              </w:rPr>
              <w:t>Z</w:t>
            </w:r>
            <w:r w:rsidRPr="007F6332">
              <w:rPr>
                <w:rFonts w:cs="Arial"/>
                <w:color w:val="000000"/>
                <w:sz w:val="18"/>
                <w:szCs w:val="18"/>
              </w:rPr>
              <w:t>ealand</w:t>
            </w:r>
            <w:r w:rsidR="00D823B0" w:rsidRPr="007F6332">
              <w:rPr>
                <w:rFonts w:cs="Arial"/>
                <w:color w:val="000000"/>
                <w:sz w:val="18"/>
                <w:szCs w:val="18"/>
              </w:rPr>
              <w:t xml:space="preserve"> residents in Australia projections</w:t>
            </w:r>
            <w:r w:rsidR="00D823B0" w:rsidRPr="007F6332">
              <w:rPr>
                <w:rStyle w:val="FootnoteReference"/>
                <w:rFonts w:cs="Arial"/>
                <w:color w:val="000000"/>
                <w:sz w:val="18"/>
                <w:szCs w:val="18"/>
              </w:rPr>
              <w:footnoteReference w:id="47"/>
            </w:r>
            <w:r w:rsidR="00D823B0" w:rsidRPr="007F6332">
              <w:rPr>
                <w:rFonts w:cs="Arial"/>
                <w:color w:val="000000"/>
                <w:sz w:val="18"/>
                <w:szCs w:val="18"/>
              </w:rPr>
              <w:t xml:space="preserve"> provided by the Department of Social Services as part of 2023-24 Budget</w:t>
            </w:r>
          </w:p>
        </w:tc>
      </w:tr>
    </w:tbl>
    <w:p w14:paraId="54ECFD27" w14:textId="77777777" w:rsidR="0077688B" w:rsidRPr="007F6332" w:rsidRDefault="0077688B" w:rsidP="0077688B">
      <w:pPr>
        <w:pStyle w:val="Heading3"/>
        <w:ind w:left="709" w:hanging="709"/>
        <w:rPr>
          <w:rFonts w:cs="Arial"/>
        </w:rPr>
        <w:sectPr w:rsidR="0077688B" w:rsidRPr="007F6332" w:rsidSect="00CE7E91">
          <w:pgSz w:w="11906" w:h="16838"/>
          <w:pgMar w:top="1440" w:right="1700" w:bottom="1440" w:left="1440" w:header="708" w:footer="850" w:gutter="0"/>
          <w:cols w:space="708"/>
          <w:titlePg/>
          <w:docGrid w:linePitch="360"/>
        </w:sectPr>
      </w:pPr>
      <w:bookmarkStart w:id="38" w:name="_Toc152614967"/>
    </w:p>
    <w:p w14:paraId="2F5818C6" w14:textId="05951CF5" w:rsidR="00D85383" w:rsidRPr="007F6332" w:rsidRDefault="00D85383" w:rsidP="00CD33D0">
      <w:pPr>
        <w:pStyle w:val="Heading3"/>
        <w:ind w:left="709" w:hanging="709"/>
        <w:rPr>
          <w:rFonts w:cs="Arial"/>
        </w:rPr>
      </w:pPr>
      <w:r w:rsidRPr="007F6332">
        <w:rPr>
          <w:rFonts w:cs="Arial"/>
        </w:rPr>
        <w:lastRenderedPageBreak/>
        <w:t>Information systems overview</w:t>
      </w:r>
      <w:bookmarkEnd w:id="38"/>
    </w:p>
    <w:p w14:paraId="61BB2989" w14:textId="18A64C66" w:rsidR="00D85383" w:rsidRPr="007F6332" w:rsidRDefault="00D85383" w:rsidP="00D85383">
      <w:pPr>
        <w:pStyle w:val="FSRnormal"/>
        <w:rPr>
          <w:rFonts w:cs="Arial"/>
        </w:rPr>
      </w:pPr>
      <w:r w:rsidRPr="007F6332">
        <w:rPr>
          <w:rFonts w:cs="Arial"/>
        </w:rPr>
        <w:t xml:space="preserve">The </w:t>
      </w:r>
      <w:r w:rsidR="00034135" w:rsidRPr="007F6332">
        <w:rPr>
          <w:rFonts w:cs="Arial"/>
        </w:rPr>
        <w:t>A</w:t>
      </w:r>
      <w:r w:rsidRPr="007F6332">
        <w:rPr>
          <w:rFonts w:cs="Arial"/>
        </w:rPr>
        <w:t xml:space="preserve">gency’s Information systems (comprising case management, finance and data warehouse) are important infrastructure in the ongoing financial sustainability of the Scheme.  </w:t>
      </w:r>
    </w:p>
    <w:p w14:paraId="64356328" w14:textId="2FD121E1" w:rsidR="00D85383" w:rsidRPr="007F6332" w:rsidRDefault="00D85383" w:rsidP="00CD33D0">
      <w:pPr>
        <w:pStyle w:val="Heading4"/>
        <w:ind w:left="851" w:hanging="851"/>
        <w:rPr>
          <w:rFonts w:cs="Arial"/>
        </w:rPr>
      </w:pPr>
      <w:bookmarkStart w:id="39" w:name="_Ref48882434"/>
      <w:bookmarkStart w:id="40" w:name="_Hlk146793978"/>
      <w:r w:rsidRPr="007F6332">
        <w:rPr>
          <w:rFonts w:cs="Arial"/>
        </w:rPr>
        <w:t>Case management systems</w:t>
      </w:r>
      <w:bookmarkEnd w:id="39"/>
    </w:p>
    <w:p w14:paraId="6F29CF11" w14:textId="77777777" w:rsidR="00D85383" w:rsidRPr="007F6332" w:rsidRDefault="00D85383" w:rsidP="00D85383">
      <w:pPr>
        <w:pStyle w:val="FSRnormal"/>
        <w:rPr>
          <w:rFonts w:cs="Arial"/>
        </w:rPr>
      </w:pPr>
      <w:r w:rsidRPr="007F6332">
        <w:rPr>
          <w:rFonts w:cs="Arial"/>
        </w:rPr>
        <w:t xml:space="preserve">The Agency uses SAP </w:t>
      </w:r>
      <w:r w:rsidRPr="007F6332">
        <w:rPr>
          <w:rFonts w:cs="Arial"/>
          <w:lang w:val="en-GB"/>
        </w:rPr>
        <w:t xml:space="preserve">Customer Relationship Management (CRM) </w:t>
      </w:r>
      <w:r w:rsidRPr="007F6332">
        <w:rPr>
          <w:rFonts w:cs="Arial"/>
        </w:rPr>
        <w:t xml:space="preserve">as its case management system. </w:t>
      </w:r>
      <w:r w:rsidRPr="007F6332">
        <w:rPr>
          <w:rFonts w:cs="Arial"/>
          <w:lang w:val="en-GB"/>
        </w:rPr>
        <w:t xml:space="preserve">The CRM system was deployed on 1 July 2016 and is hosted and maintained by Services Australia. The primary objective of this delivery was to enable critical operational activities, such as plan approvals and payments. </w:t>
      </w:r>
    </w:p>
    <w:p w14:paraId="65BD3B3B" w14:textId="48090BAF" w:rsidR="00280794" w:rsidRPr="007F6332" w:rsidRDefault="00280794" w:rsidP="00292238">
      <w:pPr>
        <w:pStyle w:val="FSRnormal"/>
        <w:rPr>
          <w:rFonts w:cs="Arial"/>
        </w:rPr>
      </w:pPr>
      <w:r w:rsidRPr="007F6332">
        <w:rPr>
          <w:rFonts w:cs="Arial"/>
        </w:rPr>
        <w:t xml:space="preserve">The Agency has launched a new CRM, PACE, replacing the existing SAP CRM over time. PACE is designed </w:t>
      </w:r>
      <w:r w:rsidR="00034135" w:rsidRPr="007F6332">
        <w:rPr>
          <w:rFonts w:cs="Arial"/>
        </w:rPr>
        <w:t xml:space="preserve">to </w:t>
      </w:r>
      <w:r w:rsidRPr="007F6332">
        <w:rPr>
          <w:rFonts w:cs="Arial"/>
        </w:rPr>
        <w:t>save time, reduce the number of workarounds and off system processes, and give staff more time for quality interactions with participants. PACE is expected to deliver:</w:t>
      </w:r>
    </w:p>
    <w:p w14:paraId="2796436A" w14:textId="3ECDB2AE" w:rsidR="00280794" w:rsidRPr="007F6332" w:rsidRDefault="00034135" w:rsidP="00C1755E">
      <w:pPr>
        <w:pStyle w:val="FSRlist"/>
        <w:rPr>
          <w:rFonts w:cs="Arial"/>
        </w:rPr>
      </w:pPr>
      <w:r w:rsidRPr="007F6332">
        <w:rPr>
          <w:rFonts w:cs="Arial"/>
        </w:rPr>
        <w:t>A</w:t>
      </w:r>
      <w:r w:rsidR="00177A3E" w:rsidRPr="007F6332">
        <w:rPr>
          <w:rFonts w:cs="Arial"/>
        </w:rPr>
        <w:t xml:space="preserve"> </w:t>
      </w:r>
      <w:r w:rsidRPr="007F6332">
        <w:rPr>
          <w:rFonts w:cs="Arial"/>
        </w:rPr>
        <w:t>h</w:t>
      </w:r>
      <w:r w:rsidR="00177A3E" w:rsidRPr="007F6332">
        <w:rPr>
          <w:rFonts w:cs="Arial"/>
        </w:rPr>
        <w:t>igh-quality business system is provided, ensuring efficiency and effectiveness</w:t>
      </w:r>
      <w:r w:rsidR="00292238" w:rsidRPr="007F6332">
        <w:rPr>
          <w:rFonts w:cs="Arial"/>
        </w:rPr>
        <w:t>.</w:t>
      </w:r>
    </w:p>
    <w:p w14:paraId="4AA51273" w14:textId="744C9DF1" w:rsidR="00280794" w:rsidRPr="007F6332" w:rsidRDefault="00177A3E" w:rsidP="00C1755E">
      <w:pPr>
        <w:pStyle w:val="FSRlist"/>
        <w:rPr>
          <w:rFonts w:cs="Arial"/>
        </w:rPr>
      </w:pPr>
      <w:r w:rsidRPr="007F6332">
        <w:rPr>
          <w:rFonts w:cs="Arial"/>
        </w:rPr>
        <w:t>Built-in quality and integrity controls incorporated into the system</w:t>
      </w:r>
      <w:r w:rsidR="00292238" w:rsidRPr="007F6332">
        <w:rPr>
          <w:rFonts w:cs="Arial"/>
        </w:rPr>
        <w:t>.</w:t>
      </w:r>
    </w:p>
    <w:p w14:paraId="39C1908E" w14:textId="3A54137F" w:rsidR="00280794" w:rsidRPr="007F6332" w:rsidRDefault="00034135" w:rsidP="00C1755E">
      <w:pPr>
        <w:pStyle w:val="FSRlist"/>
        <w:rPr>
          <w:rFonts w:cs="Arial"/>
        </w:rPr>
      </w:pPr>
      <w:r w:rsidRPr="007F6332">
        <w:rPr>
          <w:rFonts w:cs="Arial"/>
        </w:rPr>
        <w:t>I</w:t>
      </w:r>
      <w:r w:rsidR="00177A3E" w:rsidRPr="007F6332">
        <w:rPr>
          <w:rFonts w:cs="Arial"/>
        </w:rPr>
        <w:t>ncreased flexibility and capability to implement co-design and consultation outcomes.</w:t>
      </w:r>
    </w:p>
    <w:p w14:paraId="51D37C10" w14:textId="467CCD2C" w:rsidR="00280794" w:rsidRPr="007F6332" w:rsidRDefault="00177A3E" w:rsidP="00C1755E">
      <w:pPr>
        <w:pStyle w:val="FSRlist"/>
        <w:rPr>
          <w:rFonts w:cs="Arial"/>
        </w:rPr>
      </w:pPr>
      <w:r w:rsidRPr="007F6332">
        <w:rPr>
          <w:rFonts w:cs="Arial"/>
        </w:rPr>
        <w:t>Simpler internal processes to assist the NDIA in supporting participants</w:t>
      </w:r>
      <w:r w:rsidR="00292238" w:rsidRPr="007F6332">
        <w:rPr>
          <w:rFonts w:cs="Arial"/>
        </w:rPr>
        <w:t>.</w:t>
      </w:r>
    </w:p>
    <w:p w14:paraId="394B61E8" w14:textId="3CD7E940" w:rsidR="00280794" w:rsidRPr="007F6332" w:rsidRDefault="00177A3E" w:rsidP="00C1755E">
      <w:pPr>
        <w:pStyle w:val="FSRlist"/>
        <w:rPr>
          <w:rFonts w:cs="Arial"/>
        </w:rPr>
      </w:pPr>
      <w:r w:rsidRPr="007F6332">
        <w:rPr>
          <w:rFonts w:cs="Arial"/>
        </w:rPr>
        <w:t>Platforms and systems to facilitate the collaboration between planners and partners</w:t>
      </w:r>
      <w:r w:rsidR="00292238" w:rsidRPr="007F6332">
        <w:rPr>
          <w:rFonts w:cs="Arial"/>
        </w:rPr>
        <w:t>.</w:t>
      </w:r>
    </w:p>
    <w:p w14:paraId="7F24BEB2" w14:textId="421C150A" w:rsidR="00177A3E" w:rsidRPr="007F6332" w:rsidRDefault="00177A3E" w:rsidP="00C1755E">
      <w:pPr>
        <w:pStyle w:val="FSRlist"/>
        <w:rPr>
          <w:rFonts w:cs="Arial"/>
        </w:rPr>
      </w:pPr>
      <w:r w:rsidRPr="007F6332">
        <w:rPr>
          <w:rFonts w:cs="Arial"/>
        </w:rPr>
        <w:t>The full implementation of the 2022 amendments to the NDIS Act</w:t>
      </w:r>
      <w:r w:rsidR="00292238" w:rsidRPr="007F6332">
        <w:rPr>
          <w:rFonts w:cs="Arial"/>
        </w:rPr>
        <w:t>.</w:t>
      </w:r>
    </w:p>
    <w:p w14:paraId="74C4677E" w14:textId="4A6003D6" w:rsidR="005D0964" w:rsidRPr="007F6332" w:rsidRDefault="00177A3E" w:rsidP="00177A3E">
      <w:pPr>
        <w:rPr>
          <w:rFonts w:cs="Arial"/>
        </w:rPr>
      </w:pPr>
      <w:r w:rsidRPr="007F6332">
        <w:rPr>
          <w:rFonts w:cs="Arial"/>
        </w:rPr>
        <w:t>PACE was launched in Tasmania in November of 202</w:t>
      </w:r>
      <w:r w:rsidR="00034135" w:rsidRPr="007F6332">
        <w:rPr>
          <w:rFonts w:cs="Arial"/>
        </w:rPr>
        <w:t>2</w:t>
      </w:r>
      <w:r w:rsidRPr="007F6332">
        <w:rPr>
          <w:rFonts w:cs="Arial"/>
        </w:rPr>
        <w:t xml:space="preserve">. Improvements have been made to PACE based on the experience of Tasmanian participants, their families and carers, providers, NDIA and Partners in The Community staff. </w:t>
      </w:r>
    </w:p>
    <w:p w14:paraId="6F51F04D" w14:textId="77777777" w:rsidR="00034135" w:rsidRPr="007F6332" w:rsidRDefault="00034135" w:rsidP="00034135">
      <w:pPr>
        <w:rPr>
          <w:rFonts w:cs="Arial"/>
        </w:rPr>
      </w:pPr>
      <w:bookmarkStart w:id="41" w:name="_Hlk150366030"/>
      <w:r w:rsidRPr="007F6332">
        <w:rPr>
          <w:rFonts w:cs="Arial"/>
        </w:rPr>
        <w:t xml:space="preserve">National expansion of PACE to the rest of Australia is expected to commence before the end of 2023. </w:t>
      </w:r>
    </w:p>
    <w:bookmarkEnd w:id="41"/>
    <w:p w14:paraId="144857DB" w14:textId="7297CFBF" w:rsidR="00D85383" w:rsidRPr="007F6332" w:rsidRDefault="00D85383" w:rsidP="00CD33D0">
      <w:pPr>
        <w:pStyle w:val="Heading4"/>
        <w:ind w:left="851" w:hanging="851"/>
        <w:rPr>
          <w:rFonts w:cs="Arial"/>
        </w:rPr>
      </w:pPr>
      <w:r w:rsidRPr="007F6332">
        <w:rPr>
          <w:rFonts w:cs="Arial"/>
        </w:rPr>
        <w:t>Finance systems</w:t>
      </w:r>
    </w:p>
    <w:p w14:paraId="365F1732" w14:textId="77777777" w:rsidR="00D85383" w:rsidRPr="007F6332" w:rsidRDefault="00D85383" w:rsidP="00D85383">
      <w:pPr>
        <w:pStyle w:val="FSRnormal"/>
        <w:rPr>
          <w:rFonts w:cs="Arial"/>
        </w:rPr>
      </w:pPr>
      <w:r w:rsidRPr="007F6332">
        <w:rPr>
          <w:rFonts w:cs="Arial"/>
        </w:rPr>
        <w:t>SAP Finance is the Agency’s finance system and was introduced on 1 July 2016. All payments to and from the Agency are made using SAP Finance. In line with Services Australia’s practice, the Agency uses the SAP Public Sector Collection and Disbursement (SAP PSCD) system as an intermediary between the SAP CRM and SAP Finance (operated by Services Australia as a shared service). Work is being undertaken to design and implement additions to the Agency’s claims and payment functionalities to include e-invoicing and real-time payments capabilities.</w:t>
      </w:r>
    </w:p>
    <w:p w14:paraId="6750E9F9" w14:textId="77777777" w:rsidR="00E20202" w:rsidRPr="007F6332" w:rsidRDefault="00E20202" w:rsidP="00AE6A5C">
      <w:pPr>
        <w:pStyle w:val="FSRnormal"/>
        <w:rPr>
          <w:rFonts w:cs="Arial"/>
        </w:rPr>
      </w:pPr>
      <w:bookmarkStart w:id="42" w:name="_Ref17453334"/>
      <w:r w:rsidRPr="007F6332">
        <w:rPr>
          <w:rFonts w:cs="Arial"/>
        </w:rPr>
        <w:br w:type="page"/>
      </w:r>
    </w:p>
    <w:p w14:paraId="79099A33" w14:textId="14359990" w:rsidR="00D85383" w:rsidRPr="007F6332" w:rsidRDefault="00D85383" w:rsidP="00AE6A5C">
      <w:pPr>
        <w:pStyle w:val="Heading4"/>
        <w:ind w:left="851" w:hanging="851"/>
        <w:rPr>
          <w:rFonts w:cs="Arial"/>
        </w:rPr>
      </w:pPr>
      <w:r w:rsidRPr="007F6332">
        <w:rPr>
          <w:rFonts w:cs="Arial"/>
        </w:rPr>
        <w:lastRenderedPageBreak/>
        <w:t>Data warehouse</w:t>
      </w:r>
      <w:bookmarkEnd w:id="42"/>
    </w:p>
    <w:p w14:paraId="006D89D9" w14:textId="2CC43F36" w:rsidR="00D85383" w:rsidRPr="007F6332" w:rsidRDefault="00D85383" w:rsidP="00D85383">
      <w:pPr>
        <w:pStyle w:val="FSRnormal"/>
        <w:rPr>
          <w:rFonts w:cs="Arial"/>
        </w:rPr>
      </w:pPr>
      <w:r w:rsidRPr="007F6332">
        <w:rPr>
          <w:rFonts w:cs="Arial"/>
        </w:rPr>
        <w:t xml:space="preserve">The strategic Enterprise Data Warehouse (EDW) integrates and presents NDIS </w:t>
      </w:r>
      <w:r w:rsidR="00034135" w:rsidRPr="007F6332">
        <w:rPr>
          <w:rFonts w:cs="Arial"/>
        </w:rPr>
        <w:t>S</w:t>
      </w:r>
      <w:r w:rsidRPr="007F6332">
        <w:rPr>
          <w:rFonts w:cs="Arial"/>
        </w:rPr>
        <w:t xml:space="preserve">cheme data across Person, Access, Plans, Budget, Claims, Payments and other </w:t>
      </w:r>
      <w:r w:rsidR="005D0964" w:rsidRPr="007F6332">
        <w:rPr>
          <w:rFonts w:cs="Arial"/>
        </w:rPr>
        <w:t>domains</w:t>
      </w:r>
      <w:r w:rsidRPr="007F6332">
        <w:rPr>
          <w:rFonts w:cs="Arial"/>
        </w:rPr>
        <w:t>. Data is sourced from operational Business systems and integrated into a single data model. The EDW supports legislated reporting, business operational reporting, analytics services, deep dive analysis, and ad hoc reporting requests.</w:t>
      </w:r>
    </w:p>
    <w:p w14:paraId="054DEBEE" w14:textId="77777777" w:rsidR="00D85383" w:rsidRPr="007F6332" w:rsidRDefault="00D85383" w:rsidP="00D85383">
      <w:pPr>
        <w:pStyle w:val="FSRnormal"/>
        <w:rPr>
          <w:rFonts w:cs="Arial"/>
        </w:rPr>
      </w:pPr>
      <w:r w:rsidRPr="007F6332">
        <w:rPr>
          <w:rFonts w:cs="Arial"/>
        </w:rPr>
        <w:t>The main areas of focus for the EDW team over 2023-24 are:</w:t>
      </w:r>
    </w:p>
    <w:p w14:paraId="1960AF61" w14:textId="77777777" w:rsidR="00D85383" w:rsidRPr="007F6332" w:rsidRDefault="00D85383" w:rsidP="00CE7E91">
      <w:pPr>
        <w:pStyle w:val="FSRlist"/>
        <w:numPr>
          <w:ilvl w:val="0"/>
          <w:numId w:val="46"/>
        </w:numPr>
        <w:rPr>
          <w:rFonts w:cs="Arial"/>
        </w:rPr>
      </w:pPr>
      <w:r w:rsidRPr="007F6332">
        <w:rPr>
          <w:rFonts w:cs="Arial"/>
          <w:lang w:eastAsia="en-US"/>
        </w:rPr>
        <w:t>Maintain integrated data and reporting service through the national transition to the new PACE CRM.</w:t>
      </w:r>
    </w:p>
    <w:p w14:paraId="2D34D7C4" w14:textId="5BD49F0E" w:rsidR="00D85383" w:rsidRPr="007F6332" w:rsidRDefault="00D85383" w:rsidP="00CE7E91">
      <w:pPr>
        <w:pStyle w:val="FSRlist"/>
        <w:numPr>
          <w:ilvl w:val="0"/>
          <w:numId w:val="46"/>
        </w:numPr>
        <w:rPr>
          <w:rFonts w:cs="Arial"/>
        </w:rPr>
      </w:pPr>
      <w:r w:rsidRPr="007F6332">
        <w:rPr>
          <w:rFonts w:cs="Arial"/>
        </w:rPr>
        <w:t>Continued improvement to data governance systems and processes through the Data Management Committee (DMC)</w:t>
      </w:r>
      <w:r w:rsidR="00034135" w:rsidRPr="007F6332">
        <w:rPr>
          <w:rFonts w:cs="Arial"/>
        </w:rPr>
        <w:t>.</w:t>
      </w:r>
    </w:p>
    <w:p w14:paraId="5F464543" w14:textId="77777777" w:rsidR="00D85383" w:rsidRPr="007F6332" w:rsidRDefault="00D85383" w:rsidP="00CE7E91">
      <w:pPr>
        <w:pStyle w:val="FSRlist"/>
        <w:numPr>
          <w:ilvl w:val="0"/>
          <w:numId w:val="46"/>
        </w:numPr>
        <w:rPr>
          <w:rFonts w:cs="Arial"/>
        </w:rPr>
      </w:pPr>
      <w:r w:rsidRPr="007F6332">
        <w:rPr>
          <w:rFonts w:cs="Arial"/>
        </w:rPr>
        <w:t>Embed the role of the Business Data Owner in the uplift of business data quality management.</w:t>
      </w:r>
    </w:p>
    <w:p w14:paraId="25DBFD33" w14:textId="77777777" w:rsidR="00D85383" w:rsidRPr="007F6332" w:rsidRDefault="00D85383" w:rsidP="00CE7E91">
      <w:pPr>
        <w:pStyle w:val="FSRlist"/>
        <w:numPr>
          <w:ilvl w:val="0"/>
          <w:numId w:val="46"/>
        </w:numPr>
        <w:rPr>
          <w:rFonts w:cs="Arial"/>
        </w:rPr>
      </w:pPr>
      <w:r w:rsidRPr="007F6332">
        <w:rPr>
          <w:rFonts w:cs="Arial"/>
        </w:rPr>
        <w:t>Review of current data architecture design to improve end-user experience and efficiency of the platform.</w:t>
      </w:r>
    </w:p>
    <w:p w14:paraId="038D498D" w14:textId="77777777" w:rsidR="00D85383" w:rsidRPr="007F6332" w:rsidRDefault="00D85383" w:rsidP="00CE7E91">
      <w:pPr>
        <w:pStyle w:val="FSRlist"/>
        <w:numPr>
          <w:ilvl w:val="0"/>
          <w:numId w:val="46"/>
        </w:numPr>
        <w:rPr>
          <w:rFonts w:cs="Arial"/>
        </w:rPr>
      </w:pPr>
      <w:r w:rsidRPr="007F6332">
        <w:rPr>
          <w:rFonts w:cs="Arial"/>
        </w:rPr>
        <w:t>Preparation for a move of data and reporting platform to cloud services.</w:t>
      </w:r>
      <w:bookmarkEnd w:id="40"/>
    </w:p>
    <w:p w14:paraId="6017402E" w14:textId="77777777" w:rsidR="00D823B0" w:rsidRPr="007F6332" w:rsidRDefault="00D823B0" w:rsidP="005519AA">
      <w:pPr>
        <w:rPr>
          <w:rFonts w:cs="Arial"/>
        </w:rPr>
        <w:sectPr w:rsidR="00D823B0" w:rsidRPr="007F6332" w:rsidSect="00CE7E91">
          <w:pgSz w:w="11906" w:h="16838"/>
          <w:pgMar w:top="1440" w:right="1700" w:bottom="1440" w:left="1440" w:header="708" w:footer="850" w:gutter="0"/>
          <w:cols w:space="708"/>
          <w:titlePg/>
          <w:docGrid w:linePitch="360"/>
        </w:sectPr>
      </w:pPr>
    </w:p>
    <w:p w14:paraId="6F3711A1" w14:textId="478CE57B" w:rsidR="00C836D8" w:rsidRPr="007F6332" w:rsidRDefault="00C836D8" w:rsidP="00C836D8">
      <w:pPr>
        <w:pStyle w:val="Heading2"/>
        <w:ind w:left="709"/>
        <w:rPr>
          <w:rFonts w:cs="Arial"/>
        </w:rPr>
      </w:pPr>
      <w:bookmarkStart w:id="43" w:name="_Toc146286146"/>
      <w:bookmarkStart w:id="44" w:name="_Toc152614968"/>
      <w:r w:rsidRPr="007F6332">
        <w:rPr>
          <w:rFonts w:cs="Arial"/>
        </w:rPr>
        <w:lastRenderedPageBreak/>
        <w:t>Modelling approach</w:t>
      </w:r>
      <w:bookmarkEnd w:id="43"/>
      <w:bookmarkEnd w:id="44"/>
    </w:p>
    <w:p w14:paraId="0E3971D3" w14:textId="77777777" w:rsidR="005D0964" w:rsidRPr="007F6332" w:rsidRDefault="005D0964" w:rsidP="005D0964">
      <w:pPr>
        <w:rPr>
          <w:rFonts w:cs="Arial"/>
        </w:rPr>
      </w:pPr>
      <w:r w:rsidRPr="007F6332">
        <w:rPr>
          <w:rFonts w:cs="Arial"/>
        </w:rPr>
        <w:t xml:space="preserve">An experience-based projection model is used to project Scheme participant numbers and Scheme expenses. To reflect the ongoing maturing of the Scheme, the latest developments in Scheme experience, and refinements to operational processes, enhancements to modelling techniques have been undertaken since the previous AFSR. </w:t>
      </w:r>
    </w:p>
    <w:p w14:paraId="4CD06426" w14:textId="77777777" w:rsidR="005D0964" w:rsidRPr="007F6332" w:rsidRDefault="005D0964" w:rsidP="005D0964">
      <w:pPr>
        <w:rPr>
          <w:rFonts w:cs="Arial"/>
        </w:rPr>
      </w:pPr>
      <w:r w:rsidRPr="007F6332">
        <w:rPr>
          <w:rFonts w:cs="Arial"/>
        </w:rPr>
        <w:t>As with previous AFSRs, the model used to produce the June 2023 projections documented in this 2022-23 AFSR is based on projecting average payments made for supports for 2,052 participant cohorts</w:t>
      </w:r>
      <w:r w:rsidRPr="007F6332">
        <w:rPr>
          <w:rStyle w:val="FootnoteReference"/>
          <w:rFonts w:cs="Arial"/>
        </w:rPr>
        <w:footnoteReference w:id="48"/>
      </w:r>
      <w:r w:rsidRPr="007F6332">
        <w:rPr>
          <w:rFonts w:cs="Arial"/>
        </w:rPr>
        <w:t>. The average payments for each cohort are then multiplied by projected participant numbers and summed across all cohorts to arrive at the total Scheme expenses.</w:t>
      </w:r>
    </w:p>
    <w:p w14:paraId="719EDDFE" w14:textId="29DC3C95" w:rsidR="005D0964" w:rsidRPr="007F6332" w:rsidRDefault="005D0964" w:rsidP="005D0964">
      <w:pPr>
        <w:rPr>
          <w:rFonts w:cs="Arial"/>
        </w:rPr>
      </w:pPr>
      <w:r w:rsidRPr="007F6332">
        <w:rPr>
          <w:rFonts w:cs="Arial"/>
        </w:rPr>
        <w:t xml:space="preserve">Complementing the total payment projections, a separate similar projection model performs a projection of future plan budgets and </w:t>
      </w:r>
      <w:r w:rsidR="00034135" w:rsidRPr="007F6332">
        <w:rPr>
          <w:rFonts w:cs="Arial"/>
        </w:rPr>
        <w:t xml:space="preserve">is </w:t>
      </w:r>
      <w:r w:rsidRPr="007F6332">
        <w:rPr>
          <w:rFonts w:cs="Arial"/>
        </w:rPr>
        <w:t>used to estimate future utilisation rates which are calculated as the ratio of the Scheme expense to these projected plan budgets.</w:t>
      </w:r>
    </w:p>
    <w:p w14:paraId="76B75175" w14:textId="5995C7AA" w:rsidR="005D0964" w:rsidRPr="007F6332" w:rsidRDefault="005D0964" w:rsidP="005D0964">
      <w:pPr>
        <w:rPr>
          <w:rFonts w:cs="Arial"/>
        </w:rPr>
      </w:pPr>
      <w:r w:rsidRPr="007F6332">
        <w:rPr>
          <w:rFonts w:cs="Arial"/>
        </w:rPr>
        <w:t xml:space="preserve">Assumptions have been set considering factors both internal and external to the Scheme. External factors include broader macroeconomic factors, to the extent they impact the Scheme. Internal factors include trends in past numbers of participants and payments per participant as well as the estimated impacts of the </w:t>
      </w:r>
      <w:r w:rsidR="002D6881" w:rsidRPr="007F6332">
        <w:rPr>
          <w:rFonts w:cs="Arial"/>
        </w:rPr>
        <w:t>Budget initiatives</w:t>
      </w:r>
      <w:r w:rsidRPr="007F6332">
        <w:rPr>
          <w:rFonts w:cs="Arial"/>
        </w:rPr>
        <w:t xml:space="preserve"> from 2023-24</w:t>
      </w:r>
      <w:r w:rsidR="00034135" w:rsidRPr="007F6332">
        <w:rPr>
          <w:rFonts w:cs="Arial"/>
        </w:rPr>
        <w:t>.</w:t>
      </w:r>
    </w:p>
    <w:p w14:paraId="7F0CDBF9" w14:textId="596A2F54" w:rsidR="000D5ED4" w:rsidRPr="007F6332" w:rsidRDefault="005D0964" w:rsidP="005D0964">
      <w:pPr>
        <w:rPr>
          <w:rFonts w:cs="Arial"/>
        </w:rPr>
      </w:pPr>
      <w:r w:rsidRPr="007F6332">
        <w:rPr>
          <w:rFonts w:cs="Arial"/>
        </w:rPr>
        <w:t>As with any projection, there is uncertainty in the results. This is particularly relevant given the systemic risk arising from the factors mentioned above. As the Scheme continues to mature, the expected trajectory of Scheme experience and projected expenses may change, possibly materially, resulting from the decisions and actions of the Government and Agency and the Australian and global economic climate. Two approaches have been used to illustrate the drivers of uncertainty and the estimated impacts those have on the projection results</w:t>
      </w:r>
      <w:r w:rsidR="000D5ED4" w:rsidRPr="007F6332">
        <w:rPr>
          <w:rFonts w:cs="Arial"/>
        </w:rPr>
        <w:t>:</w:t>
      </w:r>
    </w:p>
    <w:p w14:paraId="516BF505" w14:textId="7C5D3BC3" w:rsidR="003C710B" w:rsidRPr="007F6332" w:rsidRDefault="003C710B" w:rsidP="00CE7E91">
      <w:pPr>
        <w:pStyle w:val="FSRlist"/>
        <w:numPr>
          <w:ilvl w:val="0"/>
          <w:numId w:val="46"/>
        </w:numPr>
        <w:rPr>
          <w:rFonts w:cs="Arial"/>
          <w:lang w:eastAsia="en-US"/>
        </w:rPr>
      </w:pPr>
      <w:r w:rsidRPr="007F6332">
        <w:rPr>
          <w:rFonts w:cs="Arial"/>
          <w:lang w:eastAsia="en-US"/>
        </w:rPr>
        <w:t>Testing the sensitivity of projected Scheme expenses to changes in specific key assumptions via construction of a number of scenarios</w:t>
      </w:r>
      <w:r w:rsidR="00AD65E3" w:rsidRPr="007F6332">
        <w:rPr>
          <w:rFonts w:cs="Arial"/>
          <w:lang w:eastAsia="en-US"/>
        </w:rPr>
        <w:t>, included in Section 6.1</w:t>
      </w:r>
      <w:r w:rsidRPr="007F6332">
        <w:rPr>
          <w:rFonts w:cs="Arial"/>
          <w:lang w:eastAsia="en-US"/>
        </w:rPr>
        <w:t>.</w:t>
      </w:r>
    </w:p>
    <w:p w14:paraId="0687D588" w14:textId="77777777" w:rsidR="004D0430" w:rsidRPr="007F6332" w:rsidRDefault="003C710B" w:rsidP="00CE7E91">
      <w:pPr>
        <w:pStyle w:val="FSRlist"/>
        <w:numPr>
          <w:ilvl w:val="0"/>
          <w:numId w:val="46"/>
        </w:numPr>
        <w:rPr>
          <w:rFonts w:cs="Arial"/>
          <w:lang w:eastAsia="en-US"/>
        </w:rPr>
        <w:sectPr w:rsidR="004D0430" w:rsidRPr="007F6332" w:rsidSect="00CE7E91">
          <w:headerReference w:type="even" r:id="rId31"/>
          <w:headerReference w:type="default" r:id="rId32"/>
          <w:footerReference w:type="default" r:id="rId33"/>
          <w:headerReference w:type="first" r:id="rId34"/>
          <w:pgSz w:w="11906" w:h="16838"/>
          <w:pgMar w:top="1440" w:right="1440" w:bottom="1440" w:left="1440" w:header="709" w:footer="850" w:gutter="0"/>
          <w:cols w:space="708"/>
          <w:titlePg/>
          <w:docGrid w:linePitch="360"/>
        </w:sectPr>
      </w:pPr>
      <w:r w:rsidRPr="007F6332">
        <w:rPr>
          <w:rFonts w:cs="Arial"/>
          <w:lang w:eastAsia="en-US"/>
        </w:rPr>
        <w:t>Projecting Scheme expenses using a stochastic model</w:t>
      </w:r>
      <w:r w:rsidRPr="007F6332">
        <w:rPr>
          <w:rFonts w:cs="Arial"/>
          <w:lang w:eastAsia="en-US"/>
        </w:rPr>
        <w:footnoteReference w:id="49"/>
      </w:r>
      <w:r w:rsidRPr="007F6332">
        <w:rPr>
          <w:rFonts w:cs="Arial"/>
          <w:lang w:eastAsia="en-US"/>
        </w:rPr>
        <w:t xml:space="preserve"> which provides a quantification of the interaction between material risks facing the Scheme and the variability in these risk factors. The approach and results of this model are included in Section 6.2.</w:t>
      </w:r>
    </w:p>
    <w:p w14:paraId="6E8225BE" w14:textId="77777777" w:rsidR="000D5ED4" w:rsidRPr="007F6332" w:rsidRDefault="000D5ED4" w:rsidP="00CD33D0">
      <w:pPr>
        <w:pStyle w:val="Heading3"/>
        <w:ind w:left="709" w:hanging="709"/>
        <w:rPr>
          <w:rFonts w:cs="Arial"/>
        </w:rPr>
      </w:pPr>
      <w:bookmarkStart w:id="45" w:name="_Toc146286147"/>
      <w:bookmarkStart w:id="46" w:name="_Toc152614969"/>
      <w:r w:rsidRPr="007F6332">
        <w:rPr>
          <w:rFonts w:cs="Arial"/>
        </w:rPr>
        <w:lastRenderedPageBreak/>
        <w:t>Participant numbers</w:t>
      </w:r>
      <w:bookmarkEnd w:id="45"/>
      <w:bookmarkEnd w:id="46"/>
    </w:p>
    <w:p w14:paraId="06679DC7" w14:textId="77777777" w:rsidR="005D0964" w:rsidRPr="007F6332" w:rsidRDefault="005D0964" w:rsidP="00C1755E">
      <w:pPr>
        <w:pStyle w:val="FSRlist"/>
        <w:rPr>
          <w:rFonts w:cs="Arial"/>
        </w:rPr>
      </w:pPr>
      <w:r w:rsidRPr="007F6332">
        <w:rPr>
          <w:rFonts w:cs="Arial"/>
        </w:rPr>
        <w:t xml:space="preserve">Annual population projections are calculated by exact age and cohort by adding participant intake to the starting population at 30 June 2023, reducing intake due to mortality and participants leaving the Scheme, and ageing the remaining participants by one year. </w:t>
      </w:r>
    </w:p>
    <w:p w14:paraId="15014BCE" w14:textId="3AA63BC9" w:rsidR="000D5ED4" w:rsidRPr="007F6332" w:rsidRDefault="000D5ED4" w:rsidP="00C1755E">
      <w:pPr>
        <w:pStyle w:val="FSRlist"/>
        <w:rPr>
          <w:rFonts w:cs="Arial"/>
        </w:rPr>
      </w:pPr>
      <w:r w:rsidRPr="007F6332">
        <w:rPr>
          <w:rFonts w:cs="Arial"/>
        </w:rPr>
        <w:t>Each cohort is differentiated by age band (summarised into nine groups), primary disability and level of function (57 groups), gender (two groups) and whether a participant is accessing SIL supports (two groups). This leads to 2,052 unique cohorts.</w:t>
      </w:r>
    </w:p>
    <w:p w14:paraId="6DC5D02F" w14:textId="25C43390" w:rsidR="000D5ED4" w:rsidRPr="007F6332" w:rsidRDefault="000D5ED4" w:rsidP="00C1755E">
      <w:pPr>
        <w:pStyle w:val="FSRlist"/>
        <w:rPr>
          <w:rFonts w:cs="Arial"/>
        </w:rPr>
      </w:pPr>
      <w:r w:rsidRPr="007F6332">
        <w:rPr>
          <w:rFonts w:cs="Arial"/>
        </w:rPr>
        <w:t>The number and profile of participants expected to enter the Scheme in each projection year is based on the historic profile of new entrants, split between:</w:t>
      </w:r>
    </w:p>
    <w:p w14:paraId="58D09DAC" w14:textId="02BBB6B0" w:rsidR="000D5ED4" w:rsidRPr="007F6332" w:rsidRDefault="000D5ED4" w:rsidP="00C1755E">
      <w:pPr>
        <w:pStyle w:val="FSRlist"/>
        <w:numPr>
          <w:ilvl w:val="1"/>
          <w:numId w:val="56"/>
        </w:numPr>
        <w:rPr>
          <w:rFonts w:cs="Arial"/>
        </w:rPr>
      </w:pPr>
      <w:r w:rsidRPr="007F6332">
        <w:rPr>
          <w:rFonts w:cs="Arial"/>
        </w:rPr>
        <w:t>New incidence to disability</w:t>
      </w:r>
      <w:r w:rsidR="00760B67" w:rsidRPr="007F6332">
        <w:rPr>
          <w:rFonts w:cs="Arial"/>
        </w:rPr>
        <w:t>.</w:t>
      </w:r>
    </w:p>
    <w:p w14:paraId="563DC066" w14:textId="48CBC2EE" w:rsidR="000D5ED4" w:rsidRPr="007F6332" w:rsidRDefault="000D5ED4" w:rsidP="00C1755E">
      <w:pPr>
        <w:pStyle w:val="FSRlist"/>
        <w:numPr>
          <w:ilvl w:val="1"/>
          <w:numId w:val="56"/>
        </w:numPr>
        <w:rPr>
          <w:rFonts w:cs="Arial"/>
        </w:rPr>
      </w:pPr>
      <w:r w:rsidRPr="007F6332">
        <w:rPr>
          <w:rFonts w:cs="Arial"/>
        </w:rPr>
        <w:t xml:space="preserve">Previously unmet need for disability supports.  </w:t>
      </w:r>
    </w:p>
    <w:p w14:paraId="1A0AFEFF" w14:textId="30AE8E66" w:rsidR="000D5ED4" w:rsidRPr="007F6332" w:rsidRDefault="000D5ED4" w:rsidP="00C1755E">
      <w:pPr>
        <w:pStyle w:val="FSRlist"/>
        <w:rPr>
          <w:rFonts w:cs="Arial"/>
        </w:rPr>
      </w:pPr>
      <w:r w:rsidRPr="007F6332">
        <w:rPr>
          <w:rFonts w:cs="Arial"/>
        </w:rPr>
        <w:t xml:space="preserve">Prior to the </w:t>
      </w:r>
      <w:r w:rsidR="003C710B" w:rsidRPr="007F6332">
        <w:rPr>
          <w:rFonts w:cs="Arial"/>
        </w:rPr>
        <w:t>s</w:t>
      </w:r>
      <w:r w:rsidRPr="007F6332">
        <w:rPr>
          <w:rFonts w:cs="Arial"/>
        </w:rPr>
        <w:t xml:space="preserve">teady </w:t>
      </w:r>
      <w:r w:rsidR="003C710B" w:rsidRPr="007F6332">
        <w:rPr>
          <w:rFonts w:cs="Arial"/>
        </w:rPr>
        <w:t>i</w:t>
      </w:r>
      <w:r w:rsidRPr="007F6332">
        <w:rPr>
          <w:rFonts w:cs="Arial"/>
        </w:rPr>
        <w:t xml:space="preserve">ntake </w:t>
      </w:r>
      <w:r w:rsidR="003C710B" w:rsidRPr="007F6332">
        <w:rPr>
          <w:rFonts w:cs="Arial"/>
        </w:rPr>
        <w:t>d</w:t>
      </w:r>
      <w:r w:rsidRPr="007F6332">
        <w:rPr>
          <w:rFonts w:cs="Arial"/>
        </w:rPr>
        <w:t xml:space="preserve">ate of 30 June 2026, some allowance is made for participants with previous unmet need. Beyond the </w:t>
      </w:r>
      <w:r w:rsidR="003C710B" w:rsidRPr="007F6332">
        <w:rPr>
          <w:rFonts w:cs="Arial"/>
        </w:rPr>
        <w:t>s</w:t>
      </w:r>
      <w:r w:rsidRPr="007F6332">
        <w:rPr>
          <w:rFonts w:cs="Arial"/>
        </w:rPr>
        <w:t xml:space="preserve">teady </w:t>
      </w:r>
      <w:r w:rsidR="003C710B" w:rsidRPr="007F6332">
        <w:rPr>
          <w:rFonts w:cs="Arial"/>
        </w:rPr>
        <w:t>i</w:t>
      </w:r>
      <w:r w:rsidRPr="007F6332">
        <w:rPr>
          <w:rFonts w:cs="Arial"/>
        </w:rPr>
        <w:t xml:space="preserve">ntake </w:t>
      </w:r>
      <w:r w:rsidR="003C710B" w:rsidRPr="007F6332">
        <w:rPr>
          <w:rFonts w:cs="Arial"/>
        </w:rPr>
        <w:t>d</w:t>
      </w:r>
      <w:r w:rsidRPr="007F6332">
        <w:rPr>
          <w:rFonts w:cs="Arial"/>
        </w:rPr>
        <w:t xml:space="preserve">ate, the projected number of new entrants is based on the assumed new incidence to disability rate. </w:t>
      </w:r>
    </w:p>
    <w:p w14:paraId="1887207E" w14:textId="037FC575" w:rsidR="005D0964" w:rsidRPr="007F6332" w:rsidRDefault="005D0964" w:rsidP="00C1755E">
      <w:pPr>
        <w:pStyle w:val="FSRlist"/>
        <w:rPr>
          <w:rFonts w:cs="Arial"/>
        </w:rPr>
      </w:pPr>
      <w:r w:rsidRPr="007F6332">
        <w:rPr>
          <w:rFonts w:cs="Arial"/>
        </w:rPr>
        <w:t>There is a transition model to explicitly allow for participants who enter the Scheme with developmental delay but are later determined to have autism or an intellectual disability. Some participants with developmental delay will transition to another disability once a diagnosis has been made. These transfers typically happen between the ages of 5 to 8.</w:t>
      </w:r>
    </w:p>
    <w:p w14:paraId="5966474D" w14:textId="77777777" w:rsidR="009D3223" w:rsidRPr="007F6332" w:rsidRDefault="005D0964" w:rsidP="009D3223">
      <w:pPr>
        <w:pStyle w:val="FSRlist"/>
        <w:numPr>
          <w:ilvl w:val="0"/>
          <w:numId w:val="0"/>
        </w:numPr>
        <w:ind w:left="738"/>
        <w:rPr>
          <w:rFonts w:cs="Arial"/>
        </w:rPr>
      </w:pPr>
      <w:r w:rsidRPr="007F6332">
        <w:rPr>
          <w:rFonts w:cs="Arial"/>
        </w:rPr>
        <w:t>There is also a transition model to explicitly allow for participants transitioning into SIL arrangements. This is a revised approach compared with the projection model used for the</w:t>
      </w:r>
      <w:r w:rsidR="003757C9" w:rsidRPr="007F6332">
        <w:rPr>
          <w:rFonts w:cs="Arial"/>
        </w:rPr>
        <w:t xml:space="preserve"> previous review</w:t>
      </w:r>
      <w:r w:rsidRPr="007F6332">
        <w:rPr>
          <w:rFonts w:cs="Arial"/>
        </w:rPr>
        <w:t>. It is assumed participants do not leave SIL other than through death, apart from those aged 65 and over as they may leave the Scheme by entering Residential Aged Care. It is also assumed that no participants enter SIL in the first year of entering the Scheme. Although participants with SIL only represent 5% of Scheme participants they are modelled explicitly, as they contribute significantly to Scheme expenses (33% over 2022-23).</w:t>
      </w:r>
      <w:bookmarkStart w:id="47" w:name="_Toc152614970"/>
    </w:p>
    <w:p w14:paraId="25CD8282" w14:textId="56C83356" w:rsidR="007718D0" w:rsidRPr="007F6332" w:rsidRDefault="000D5ED4" w:rsidP="00CD33D0">
      <w:pPr>
        <w:pStyle w:val="Heading3"/>
        <w:ind w:left="709" w:hanging="709"/>
        <w:rPr>
          <w:rFonts w:cs="Arial"/>
        </w:rPr>
        <w:sectPr w:rsidR="007718D0" w:rsidRPr="007F6332" w:rsidSect="00CE7E91">
          <w:pgSz w:w="11906" w:h="16838"/>
          <w:pgMar w:top="1440" w:right="1440" w:bottom="1440" w:left="1440" w:header="709" w:footer="850" w:gutter="0"/>
          <w:cols w:space="708"/>
          <w:titlePg/>
          <w:docGrid w:linePitch="360"/>
        </w:sectPr>
      </w:pPr>
      <w:r w:rsidRPr="007F6332">
        <w:rPr>
          <w:rFonts w:cs="Arial"/>
        </w:rPr>
        <w:t>Scheme Expenses relating to participant supports</w:t>
      </w:r>
      <w:bookmarkEnd w:id="47"/>
    </w:p>
    <w:p w14:paraId="16E44A86" w14:textId="5FE4F764" w:rsidR="004F269A" w:rsidRPr="007F6332" w:rsidRDefault="004F269A" w:rsidP="00C1755E">
      <w:pPr>
        <w:pStyle w:val="FSRlist"/>
        <w:rPr>
          <w:rFonts w:cs="Arial"/>
        </w:rPr>
      </w:pPr>
      <w:r w:rsidRPr="007F6332">
        <w:rPr>
          <w:rFonts w:cs="Arial"/>
        </w:rPr>
        <w:t>Payments per participant</w:t>
      </w:r>
      <w:r w:rsidRPr="007F6332">
        <w:rPr>
          <w:rStyle w:val="FootnoteReference"/>
          <w:rFonts w:cs="Arial"/>
        </w:rPr>
        <w:footnoteReference w:id="50"/>
      </w:r>
      <w:r w:rsidRPr="007F6332">
        <w:rPr>
          <w:rFonts w:cs="Arial"/>
        </w:rPr>
        <w:t xml:space="preserve"> are estimated by cohort using annualised payment levels for the three months to 30 April 2023 for “active and mature” participants, i.e., participants who were had an approved plan at both 31 January 2023 and 30 April 2023, and had their first plan approved on or prior to 31 January 2022. Allowance is </w:t>
      </w:r>
      <w:r w:rsidRPr="007F6332">
        <w:rPr>
          <w:rFonts w:cs="Arial"/>
        </w:rPr>
        <w:lastRenderedPageBreak/>
        <w:t>made for monthly seasonality typically observed and payments in</w:t>
      </w:r>
      <w:r w:rsidR="005D0964" w:rsidRPr="007F6332">
        <w:rPr>
          <w:rFonts w:cs="Arial"/>
        </w:rPr>
        <w:t xml:space="preserve"> May and</w:t>
      </w:r>
      <w:r w:rsidRPr="007F6332">
        <w:rPr>
          <w:rFonts w:cs="Arial"/>
        </w:rPr>
        <w:t xml:space="preserve"> June 2023 are checked to ensure that they do not vary substantially from those assumed. </w:t>
      </w:r>
    </w:p>
    <w:p w14:paraId="7AA1AB6A" w14:textId="77777777" w:rsidR="007718D0" w:rsidRPr="007F6332" w:rsidRDefault="007718D0" w:rsidP="00C1755E">
      <w:pPr>
        <w:pStyle w:val="FSRlist"/>
        <w:rPr>
          <w:rFonts w:cs="Arial"/>
        </w:rPr>
      </w:pPr>
      <w:r w:rsidRPr="007F6332">
        <w:rPr>
          <w:rFonts w:cs="Arial"/>
        </w:rPr>
        <w:t>Explicit allowance is made for variance in average payment per participant for future new entrants, relative to the broader Scheme population.</w:t>
      </w:r>
    </w:p>
    <w:p w14:paraId="2739F799" w14:textId="77777777" w:rsidR="007718D0" w:rsidRPr="007F6332" w:rsidRDefault="007718D0" w:rsidP="00C1755E">
      <w:pPr>
        <w:pStyle w:val="FSRlist"/>
        <w:rPr>
          <w:rFonts w:cs="Arial"/>
        </w:rPr>
      </w:pPr>
      <w:r w:rsidRPr="007F6332">
        <w:rPr>
          <w:rFonts w:cs="Arial"/>
        </w:rPr>
        <w:t>Expenses are projected on a cash flow basis, representing the estimated rate of outflows from the Scheme (noting in-kind supports are expected to be used evenly throughout a participant’s plan). Scheme expenses are split between 15 different support categories</w:t>
      </w:r>
      <w:r w:rsidRPr="007F6332">
        <w:rPr>
          <w:rStyle w:val="FootnoteReference"/>
          <w:rFonts w:cs="Arial"/>
        </w:rPr>
        <w:footnoteReference w:id="51"/>
      </w:r>
      <w:r w:rsidRPr="007F6332">
        <w:rPr>
          <w:rFonts w:cs="Arial"/>
        </w:rPr>
        <w:t xml:space="preserve">. </w:t>
      </w:r>
    </w:p>
    <w:p w14:paraId="48DC9723" w14:textId="75DC663F" w:rsidR="000D5ED4" w:rsidRPr="007F6332" w:rsidRDefault="007718D0" w:rsidP="00C1755E">
      <w:pPr>
        <w:pStyle w:val="FSRlist"/>
        <w:rPr>
          <w:rFonts w:cs="Arial"/>
        </w:rPr>
      </w:pPr>
      <w:r w:rsidRPr="007F6332">
        <w:rPr>
          <w:rFonts w:cs="Arial"/>
        </w:rPr>
        <w:t>Growth in payments per participant is applied in future years from both normal inflationary sources and sources of additional growth</w:t>
      </w:r>
      <w:r w:rsidR="000D5ED4" w:rsidRPr="007F6332">
        <w:rPr>
          <w:rFonts w:cs="Arial"/>
        </w:rPr>
        <w:t>.</w:t>
      </w:r>
    </w:p>
    <w:p w14:paraId="519EED09" w14:textId="684D5C85" w:rsidR="000D5ED4" w:rsidRPr="007F6332" w:rsidRDefault="000D5ED4" w:rsidP="00C1755E">
      <w:pPr>
        <w:pStyle w:val="FSRlist"/>
        <w:rPr>
          <w:rFonts w:cs="Arial"/>
        </w:rPr>
      </w:pPr>
      <w:r w:rsidRPr="007F6332">
        <w:rPr>
          <w:rFonts w:cs="Arial"/>
        </w:rPr>
        <w:t>Accrual factors are derived for each of the 15 different support categories to convert the Scheme expenses from a cash basis to an accrual basis.</w:t>
      </w:r>
    </w:p>
    <w:p w14:paraId="63A9ABBB" w14:textId="075AD21E" w:rsidR="000D5ED4" w:rsidRPr="007F6332" w:rsidRDefault="000D5ED4" w:rsidP="00C1755E">
      <w:pPr>
        <w:pStyle w:val="FSRlist"/>
        <w:rPr>
          <w:rFonts w:cs="Arial"/>
        </w:rPr>
      </w:pPr>
      <w:r w:rsidRPr="007F6332">
        <w:rPr>
          <w:rFonts w:cs="Arial"/>
        </w:rPr>
        <w:t>The sensitivity of results is tested by varying key assumptions and recalculating the estimated total Scheme expenses. A stochastic projection model also varies assumptions relating to key risks to determine a distribution of total Scheme expenses.</w:t>
      </w:r>
    </w:p>
    <w:p w14:paraId="7F2E1685" w14:textId="77777777" w:rsidR="000D5ED4" w:rsidRPr="007F6332" w:rsidRDefault="000D5ED4" w:rsidP="00CD33D0">
      <w:pPr>
        <w:pStyle w:val="Heading3"/>
        <w:ind w:left="709" w:hanging="709"/>
        <w:rPr>
          <w:rFonts w:cs="Arial"/>
        </w:rPr>
      </w:pPr>
      <w:bookmarkStart w:id="48" w:name="_Toc152614971"/>
      <w:r w:rsidRPr="007F6332">
        <w:rPr>
          <w:rFonts w:cs="Arial"/>
        </w:rPr>
        <w:t>Projected plan budgets</w:t>
      </w:r>
      <w:bookmarkEnd w:id="48"/>
    </w:p>
    <w:p w14:paraId="24882978" w14:textId="323FCAD3" w:rsidR="003A01AF" w:rsidRPr="007F6332" w:rsidRDefault="003A01AF" w:rsidP="00C1755E">
      <w:pPr>
        <w:pStyle w:val="FSRlist"/>
        <w:rPr>
          <w:rFonts w:cs="Arial"/>
        </w:rPr>
      </w:pPr>
      <w:r w:rsidRPr="007F6332">
        <w:rPr>
          <w:rFonts w:cs="Arial"/>
        </w:rPr>
        <w:t>Projected plan budgets are estimated by cohort using annualised plan budget levels for the month of 30 June 2023 for “</w:t>
      </w:r>
      <w:r w:rsidR="00737BF0" w:rsidRPr="007F6332">
        <w:rPr>
          <w:rFonts w:cs="Arial"/>
        </w:rPr>
        <w:t xml:space="preserve">active and </w:t>
      </w:r>
      <w:r w:rsidRPr="007F6332">
        <w:rPr>
          <w:rFonts w:cs="Arial"/>
        </w:rPr>
        <w:t>mature participants”</w:t>
      </w:r>
      <w:r w:rsidR="00737BF0" w:rsidRPr="007F6332">
        <w:rPr>
          <w:rStyle w:val="FootnoteReference"/>
          <w:rFonts w:cs="Arial"/>
        </w:rPr>
        <w:footnoteReference w:id="52"/>
      </w:r>
      <w:r w:rsidRPr="007F6332">
        <w:rPr>
          <w:rFonts w:cs="Arial"/>
        </w:rPr>
        <w:t xml:space="preserve">. </w:t>
      </w:r>
    </w:p>
    <w:p w14:paraId="26F4E3C0" w14:textId="47095687" w:rsidR="000D5ED4" w:rsidRPr="007F6332" w:rsidRDefault="000D5ED4" w:rsidP="00C1755E">
      <w:pPr>
        <w:pStyle w:val="FSRlist"/>
        <w:rPr>
          <w:rFonts w:cs="Arial"/>
        </w:rPr>
      </w:pPr>
      <w:r w:rsidRPr="007F6332">
        <w:rPr>
          <w:rFonts w:cs="Arial"/>
        </w:rPr>
        <w:t>Explicit allowance is made for variance in average plan budgets for future new entrants, relative to the broader Scheme population.</w:t>
      </w:r>
    </w:p>
    <w:p w14:paraId="1BD2159E" w14:textId="318DB5D7" w:rsidR="000D5ED4" w:rsidRPr="007F6332" w:rsidRDefault="000D5ED4" w:rsidP="00C1755E">
      <w:pPr>
        <w:pStyle w:val="FSRlist"/>
        <w:rPr>
          <w:rFonts w:cs="Arial"/>
        </w:rPr>
      </w:pPr>
      <w:r w:rsidRPr="007F6332">
        <w:rPr>
          <w:rFonts w:cs="Arial"/>
        </w:rPr>
        <w:t>Projected plan budgets are split between 15 different support categories.</w:t>
      </w:r>
    </w:p>
    <w:p w14:paraId="681F167E" w14:textId="77777777" w:rsidR="007718D0" w:rsidRPr="007F6332" w:rsidRDefault="007718D0" w:rsidP="00C1755E">
      <w:pPr>
        <w:pStyle w:val="FSRlist"/>
        <w:rPr>
          <w:rFonts w:cs="Arial"/>
        </w:rPr>
      </w:pPr>
      <w:r w:rsidRPr="007F6332">
        <w:rPr>
          <w:rFonts w:cs="Arial"/>
        </w:rPr>
        <w:t>Growth in plan budgets per participant is added in future years from both normal inflationary sources and sources of additional growth.</w:t>
      </w:r>
    </w:p>
    <w:p w14:paraId="7C8B63DA" w14:textId="77777777" w:rsidR="000D5ED4" w:rsidRPr="007F6332" w:rsidRDefault="000D5ED4" w:rsidP="00CD33D0">
      <w:pPr>
        <w:pStyle w:val="Heading3"/>
        <w:ind w:left="709" w:hanging="709"/>
        <w:rPr>
          <w:rFonts w:cs="Arial"/>
        </w:rPr>
      </w:pPr>
      <w:bookmarkStart w:id="50" w:name="_Toc152614972"/>
      <w:r w:rsidRPr="007F6332">
        <w:rPr>
          <w:rFonts w:cs="Arial"/>
        </w:rPr>
        <w:t>Stochastic Model</w:t>
      </w:r>
      <w:bookmarkEnd w:id="50"/>
    </w:p>
    <w:p w14:paraId="1CF31AF3" w14:textId="4861A924" w:rsidR="004F269A" w:rsidRPr="007F6332" w:rsidRDefault="004F269A" w:rsidP="00CE7E91">
      <w:pPr>
        <w:spacing w:after="120"/>
        <w:rPr>
          <w:rFonts w:cs="Arial"/>
        </w:rPr>
      </w:pPr>
      <w:r w:rsidRPr="007F6332">
        <w:rPr>
          <w:rFonts w:cs="Arial"/>
        </w:rPr>
        <w:t>In addition to the deterministic projections</w:t>
      </w:r>
      <w:r w:rsidRPr="007F6332">
        <w:rPr>
          <w:rStyle w:val="FootnoteReference"/>
          <w:rFonts w:cs="Arial"/>
        </w:rPr>
        <w:footnoteReference w:id="53"/>
      </w:r>
      <w:r w:rsidRPr="007F6332">
        <w:rPr>
          <w:rFonts w:cs="Arial"/>
        </w:rPr>
        <w:t xml:space="preserve"> in this report, a stochastic projection model </w:t>
      </w:r>
      <w:r w:rsidR="00891A6E" w:rsidRPr="007F6332">
        <w:rPr>
          <w:rFonts w:cs="Arial"/>
        </w:rPr>
        <w:t xml:space="preserve">(‘Stochastic Model’) </w:t>
      </w:r>
      <w:r w:rsidRPr="007F6332">
        <w:rPr>
          <w:rFonts w:cs="Arial"/>
        </w:rPr>
        <w:t xml:space="preserve">was developed to quantify the level of overall uncertainty inherent in the Scheme projections by allowing for random variation in key risks over time. </w:t>
      </w:r>
    </w:p>
    <w:p w14:paraId="355DAFC0" w14:textId="709D762C" w:rsidR="004F269A" w:rsidRPr="007F6332" w:rsidRDefault="004F269A" w:rsidP="004F269A">
      <w:pPr>
        <w:rPr>
          <w:rFonts w:cs="Arial"/>
        </w:rPr>
      </w:pPr>
      <w:r w:rsidRPr="007F6332">
        <w:rPr>
          <w:rFonts w:cs="Arial"/>
        </w:rPr>
        <w:lastRenderedPageBreak/>
        <w:t xml:space="preserve">The risks underlying the projected expenses of the Scheme are continually monitored and analysed and the </w:t>
      </w:r>
      <w:r w:rsidR="00737BF0" w:rsidRPr="007F6332">
        <w:rPr>
          <w:rFonts w:cs="Arial"/>
        </w:rPr>
        <w:t>S</w:t>
      </w:r>
      <w:r w:rsidRPr="007F6332">
        <w:rPr>
          <w:rFonts w:cs="Arial"/>
        </w:rPr>
        <w:t xml:space="preserve">tochastic </w:t>
      </w:r>
      <w:r w:rsidR="00737BF0" w:rsidRPr="007F6332">
        <w:rPr>
          <w:rFonts w:cs="Arial"/>
        </w:rPr>
        <w:t>M</w:t>
      </w:r>
      <w:r w:rsidRPr="007F6332">
        <w:rPr>
          <w:rFonts w:cs="Arial"/>
        </w:rPr>
        <w:t xml:space="preserve">odel is used as a tool to measure the level of uncertainty relating to Scheme expenses. The </w:t>
      </w:r>
      <w:r w:rsidR="00891A6E" w:rsidRPr="007F6332">
        <w:rPr>
          <w:rFonts w:cs="Arial"/>
        </w:rPr>
        <w:t>S</w:t>
      </w:r>
      <w:r w:rsidRPr="007F6332">
        <w:rPr>
          <w:rFonts w:cs="Arial"/>
        </w:rPr>
        <w:t xml:space="preserve">tochastic </w:t>
      </w:r>
      <w:r w:rsidR="00891A6E" w:rsidRPr="007F6332">
        <w:rPr>
          <w:rFonts w:cs="Arial"/>
        </w:rPr>
        <w:t>M</w:t>
      </w:r>
      <w:r w:rsidRPr="007F6332">
        <w:rPr>
          <w:rFonts w:cs="Arial"/>
        </w:rPr>
        <w:t xml:space="preserve">odel generates 20,000 randomly varied assumptions of the June 2023 projection model relating to the key risks. These simulations were then combined to determine the probability distribution of expected future Scheme expense outcomes. </w:t>
      </w:r>
    </w:p>
    <w:p w14:paraId="662C1990" w14:textId="77777777" w:rsidR="004F269A" w:rsidRPr="007F6332" w:rsidRDefault="004F269A" w:rsidP="00CE7E91">
      <w:pPr>
        <w:spacing w:after="120"/>
        <w:rPr>
          <w:rFonts w:cs="Arial"/>
        </w:rPr>
      </w:pPr>
      <w:r w:rsidRPr="007F6332">
        <w:rPr>
          <w:rFonts w:cs="Arial"/>
        </w:rPr>
        <w:t>The methodology underlying the Stochastic Model can be described as follows:</w:t>
      </w:r>
    </w:p>
    <w:p w14:paraId="44DD87B9" w14:textId="519F8B66" w:rsidR="004F269A" w:rsidRPr="007F6332" w:rsidRDefault="004F269A" w:rsidP="00C1755E">
      <w:pPr>
        <w:pStyle w:val="FSRlist"/>
        <w:rPr>
          <w:rFonts w:cs="Arial"/>
        </w:rPr>
      </w:pPr>
      <w:r w:rsidRPr="007F6332">
        <w:rPr>
          <w:rFonts w:cs="Arial"/>
        </w:rPr>
        <w:t>The accuracy of the Stochastic Model has been enhanced since the previous review, as it no longer uses a condensed set of model points</w:t>
      </w:r>
      <w:r w:rsidRPr="007F6332">
        <w:rPr>
          <w:rStyle w:val="FootnoteReference"/>
          <w:rFonts w:cs="Arial"/>
          <w:vertAlign w:val="baseline"/>
        </w:rPr>
        <w:footnoteReference w:id="54"/>
      </w:r>
      <w:r w:rsidRPr="007F6332">
        <w:rPr>
          <w:rFonts w:cs="Arial"/>
        </w:rPr>
        <w:t xml:space="preserve">. The projection methodology underlying the Stochastic Model is a replication of the projection methodology in the June 2023 projection model. </w:t>
      </w:r>
    </w:p>
    <w:p w14:paraId="57949FE0" w14:textId="20FE2C22" w:rsidR="008D678E" w:rsidRPr="007F6332" w:rsidRDefault="003C710B" w:rsidP="00C1755E">
      <w:pPr>
        <w:pStyle w:val="FSRlist"/>
        <w:rPr>
          <w:rFonts w:cs="Arial"/>
        </w:rPr>
      </w:pPr>
      <w:r w:rsidRPr="007F6332">
        <w:rPr>
          <w:rFonts w:cs="Arial"/>
        </w:rPr>
        <w:t xml:space="preserve">Stochastic variation has then been applied to assumptions related to the key risks. The mean for each key assumption was calibrated to its future expectation in the June 2023 projections. The assumptions have been allowed to vary stochastically around the mean, based on a level of variation for each future projection year, which was set based on a combination of analysis of historical levels of volatility in Scheme experience, comparable historical indices, and actuarial judgement. </w:t>
      </w:r>
    </w:p>
    <w:p w14:paraId="7BC647D6" w14:textId="15269BD0" w:rsidR="008D678E" w:rsidRPr="007F6332" w:rsidRDefault="008D678E" w:rsidP="00C1755E">
      <w:pPr>
        <w:pStyle w:val="FSRlist"/>
        <w:rPr>
          <w:rFonts w:cs="Arial"/>
        </w:rPr>
      </w:pPr>
      <w:r w:rsidRPr="007F6332">
        <w:rPr>
          <w:rFonts w:cs="Arial"/>
        </w:rPr>
        <w:t>The addition of incremental volatility each year increases the overall uncertainty of Scheme expenses over time.</w:t>
      </w:r>
    </w:p>
    <w:p w14:paraId="190969EA" w14:textId="50F7DE41" w:rsidR="000D5ED4" w:rsidRPr="007F6332" w:rsidRDefault="008D678E" w:rsidP="00C1755E">
      <w:pPr>
        <w:pStyle w:val="FSRlist"/>
        <w:rPr>
          <w:rFonts w:cs="Arial"/>
        </w:rPr>
      </w:pPr>
      <w:r w:rsidRPr="007F6332">
        <w:rPr>
          <w:rFonts w:cs="Arial"/>
        </w:rPr>
        <w:t>The Stochastic Model does not assume any explicit correlation between the stochastically modelled risks</w:t>
      </w:r>
      <w:r w:rsidR="00702DEF" w:rsidRPr="007F6332">
        <w:rPr>
          <w:rFonts w:cs="Arial"/>
        </w:rPr>
        <w:t>,</w:t>
      </w:r>
      <w:r w:rsidR="006621E9" w:rsidRPr="007F6332">
        <w:rPr>
          <w:rFonts w:cs="Arial"/>
        </w:rPr>
        <w:t xml:space="preserve"> </w:t>
      </w:r>
      <w:r w:rsidR="00702DEF" w:rsidRPr="007F6332">
        <w:rPr>
          <w:rStyle w:val="ui-provider"/>
          <w:rFonts w:cs="Arial"/>
        </w:rPr>
        <w:t xml:space="preserve">noting </w:t>
      </w:r>
      <w:r w:rsidR="006621E9" w:rsidRPr="007F6332">
        <w:rPr>
          <w:rStyle w:val="ui-provider"/>
          <w:rFonts w:cs="Arial"/>
        </w:rPr>
        <w:t>any such correlations are likely to be relatively immaterial.</w:t>
      </w:r>
    </w:p>
    <w:p w14:paraId="0B712202" w14:textId="76D1A528" w:rsidR="007624D5" w:rsidRPr="007F6332" w:rsidRDefault="004F269A" w:rsidP="007624D5">
      <w:pPr>
        <w:pStyle w:val="FSRlist"/>
        <w:numPr>
          <w:ilvl w:val="0"/>
          <w:numId w:val="0"/>
        </w:numPr>
        <w:ind w:left="720" w:hanging="360"/>
        <w:rPr>
          <w:rFonts w:cs="Arial"/>
        </w:rPr>
      </w:pPr>
      <w:r w:rsidRPr="007F6332">
        <w:rPr>
          <w:rFonts w:cs="Arial"/>
        </w:rPr>
        <w:t>Figure 3.1 on the next page summarises the modelling approach in graphical format.</w:t>
      </w:r>
    </w:p>
    <w:p w14:paraId="0F7CCAEA" w14:textId="77777777" w:rsidR="00171709" w:rsidRPr="007F6332" w:rsidRDefault="00171709" w:rsidP="007624D5">
      <w:pPr>
        <w:pStyle w:val="FSRlist"/>
        <w:numPr>
          <w:ilvl w:val="0"/>
          <w:numId w:val="0"/>
        </w:numPr>
        <w:ind w:left="720" w:hanging="360"/>
        <w:rPr>
          <w:rFonts w:cs="Arial"/>
        </w:rPr>
        <w:sectPr w:rsidR="00171709" w:rsidRPr="007F6332" w:rsidSect="00E53368">
          <w:headerReference w:type="default" r:id="rId35"/>
          <w:footerReference w:type="default" r:id="rId36"/>
          <w:type w:val="continuous"/>
          <w:pgSz w:w="11906" w:h="16838"/>
          <w:pgMar w:top="1440" w:right="1440" w:bottom="1440" w:left="1440" w:header="709" w:footer="567" w:gutter="0"/>
          <w:cols w:space="708"/>
          <w:titlePg/>
          <w:docGrid w:linePitch="360"/>
        </w:sectPr>
      </w:pPr>
    </w:p>
    <w:p w14:paraId="33DDBB5F" w14:textId="53D04E7B" w:rsidR="007624D5" w:rsidRPr="007F6332" w:rsidRDefault="009B601D" w:rsidP="006B61AA">
      <w:pPr>
        <w:pStyle w:val="FiguresandTablesHeading4"/>
      </w:pPr>
      <w:bookmarkStart w:id="51" w:name="_Hlk151723449"/>
      <w:r w:rsidRPr="007F6332">
        <w:lastRenderedPageBreak/>
        <w:t>Figure 3.1: Schematic of modelling approach using the average payment-based model</w:t>
      </w:r>
      <w:bookmarkEnd w:id="51"/>
    </w:p>
    <w:p w14:paraId="6A565FA0" w14:textId="49D2FE0E" w:rsidR="007624D5" w:rsidRPr="007F6332" w:rsidRDefault="001C70E4" w:rsidP="001C70E4">
      <w:pPr>
        <w:pStyle w:val="FSRlist"/>
        <w:numPr>
          <w:ilvl w:val="0"/>
          <w:numId w:val="0"/>
        </w:numPr>
        <w:rPr>
          <w:rFonts w:cs="Arial"/>
        </w:rPr>
      </w:pPr>
      <w:r w:rsidRPr="007F6332">
        <w:rPr>
          <w:rFonts w:cs="Arial"/>
          <w:noProof/>
        </w:rPr>
        <w:drawing>
          <wp:inline distT="0" distB="0" distL="0" distR="0" wp14:anchorId="6948F809" wp14:editId="7A6115E0">
            <wp:extent cx="8961303" cy="4914900"/>
            <wp:effectExtent l="0" t="0" r="0" b="0"/>
            <wp:docPr id="594058345" name="Picture 5" descr="Figure 3.1 Schematic of modelling approach using the average payment-based model. Diagram describes the model approach. Participant numbers at the end of each year is equal to the starting participant population plus new entrants minus the number of participants leaving the Scheme. Base average payment assumptions are set by support category, with inflation and assumed growth rates applied in subsequent years to calculate future payment assumptions. Total Scheme expenses on participant supports is equal to number of participants multiplied by average payments per participant. Factors that affect the uncertainty of Scheme experience and the projection include: Agency policy initiatives, systematic and operational risks, numbers of participants with SIL arrangements and SIL support costs, heightened uncertainty in the global and local economic environment, unanticipated additional growth, new entrant levels, increased numbers of participants transitioning into SIL arrangements, impact of supply and demand for attendant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58345" name="Picture 5" descr="Figure 3.1 Schematic of modelling approach using the average payment-based model. Diagram describes the model approach. Participant numbers at the end of each year is equal to the starting participant population plus new entrants minus the number of participants leaving the Scheme. Base average payment assumptions are set by support category, with inflation and assumed growth rates applied in subsequent years to calculate future payment assumptions. Total Scheme expenses on participant supports is equal to number of participants multiplied by average payments per participant. Factors that affect the uncertainty of Scheme experience and the projection include: Agency policy initiatives, systematic and operational risks, numbers of participants with SIL arrangements and SIL support costs, heightened uncertainty in the global and local economic environment, unanticipated additional growth, new entrant levels, increased numbers of participants transitioning into SIL arrangements, impact of supply and demand for attendant carers."/>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30" t="525" r="1991" b="1443"/>
                    <a:stretch/>
                  </pic:blipFill>
                  <pic:spPr bwMode="auto">
                    <a:xfrm>
                      <a:off x="0" y="0"/>
                      <a:ext cx="8973738" cy="4921720"/>
                    </a:xfrm>
                    <a:prstGeom prst="rect">
                      <a:avLst/>
                    </a:prstGeom>
                    <a:noFill/>
                    <a:ln>
                      <a:noFill/>
                    </a:ln>
                    <a:extLst>
                      <a:ext uri="{53640926-AAD7-44D8-BBD7-CCE9431645EC}">
                        <a14:shadowObscured xmlns:a14="http://schemas.microsoft.com/office/drawing/2010/main"/>
                      </a:ext>
                    </a:extLst>
                  </pic:spPr>
                </pic:pic>
              </a:graphicData>
            </a:graphic>
          </wp:inline>
        </w:drawing>
      </w:r>
    </w:p>
    <w:p w14:paraId="2FB789DB" w14:textId="77777777" w:rsidR="009B601D" w:rsidRPr="007F6332" w:rsidRDefault="009B601D" w:rsidP="007624D5">
      <w:pPr>
        <w:pStyle w:val="FSRlist"/>
        <w:numPr>
          <w:ilvl w:val="0"/>
          <w:numId w:val="0"/>
        </w:numPr>
        <w:ind w:left="720" w:hanging="360"/>
        <w:rPr>
          <w:rFonts w:cs="Arial"/>
        </w:rPr>
      </w:pPr>
    </w:p>
    <w:p w14:paraId="0013CDEB" w14:textId="77777777" w:rsidR="001F220E" w:rsidRPr="007F6332" w:rsidRDefault="001F220E">
      <w:pPr>
        <w:spacing w:line="276" w:lineRule="auto"/>
        <w:rPr>
          <w:rFonts w:cs="Arial"/>
        </w:rPr>
        <w:sectPr w:rsidR="001F220E" w:rsidRPr="007F6332" w:rsidSect="00CE7E91">
          <w:headerReference w:type="first" r:id="rId38"/>
          <w:footerReference w:type="first" r:id="rId39"/>
          <w:pgSz w:w="16838" w:h="11906" w:orient="landscape"/>
          <w:pgMar w:top="1440" w:right="1440" w:bottom="1440" w:left="1440" w:header="709" w:footer="794" w:gutter="0"/>
          <w:cols w:space="708"/>
          <w:titlePg/>
          <w:docGrid w:linePitch="360"/>
        </w:sectPr>
      </w:pPr>
    </w:p>
    <w:p w14:paraId="1BF43429" w14:textId="1EF09CBA" w:rsidR="00BE632A" w:rsidRPr="007F6332" w:rsidRDefault="002867E7" w:rsidP="00C86AEF">
      <w:pPr>
        <w:pStyle w:val="Heading2"/>
        <w:ind w:left="709"/>
        <w:rPr>
          <w:rFonts w:cs="Arial"/>
        </w:rPr>
      </w:pPr>
      <w:bookmarkStart w:id="52" w:name="_Toc146286148"/>
      <w:bookmarkStart w:id="53" w:name="_Toc152614973"/>
      <w:bookmarkStart w:id="54" w:name="_Hlk145007801"/>
      <w:r w:rsidRPr="007F6332">
        <w:rPr>
          <w:rFonts w:cs="Arial"/>
        </w:rPr>
        <w:lastRenderedPageBreak/>
        <w:t>Scheme experience</w:t>
      </w:r>
      <w:bookmarkEnd w:id="52"/>
      <w:bookmarkEnd w:id="53"/>
    </w:p>
    <w:p w14:paraId="30B6DC16" w14:textId="0A5FD5DF" w:rsidR="00E426C3" w:rsidRPr="007F6332" w:rsidRDefault="00E426C3" w:rsidP="00E426C3">
      <w:pPr>
        <w:pStyle w:val="FSRnormal"/>
        <w:rPr>
          <w:rFonts w:cs="Arial"/>
        </w:rPr>
      </w:pPr>
      <w:r w:rsidRPr="007F6332">
        <w:rPr>
          <w:rFonts w:cs="Arial"/>
        </w:rPr>
        <w:t>This section includes trends in Scheme experience to 30 June 2023. Comparisons of actual experience are made to projections from the previous review relating to key drivers of Scheme expenses including participant numbers, average payment per participant, plan budgets, inflation experience and utilisation rates</w:t>
      </w:r>
      <w:r w:rsidR="00475977" w:rsidRPr="007F6332">
        <w:rPr>
          <w:rFonts w:cs="Arial"/>
        </w:rPr>
        <w:t>.</w:t>
      </w:r>
    </w:p>
    <w:p w14:paraId="11FD6903" w14:textId="1B589773" w:rsidR="002867E7" w:rsidRPr="007F6332" w:rsidRDefault="002867E7" w:rsidP="00CD33D0">
      <w:pPr>
        <w:pStyle w:val="Heading3"/>
        <w:numPr>
          <w:ilvl w:val="1"/>
          <w:numId w:val="105"/>
        </w:numPr>
        <w:ind w:left="709" w:hanging="709"/>
        <w:rPr>
          <w:rFonts w:cs="Arial"/>
        </w:rPr>
      </w:pPr>
      <w:bookmarkStart w:id="55" w:name="_Toc146286149"/>
      <w:bookmarkStart w:id="56" w:name="_Toc152614974"/>
      <w:r w:rsidRPr="007F6332">
        <w:rPr>
          <w:rFonts w:cs="Arial"/>
        </w:rPr>
        <w:t>Participant numbers</w:t>
      </w:r>
      <w:bookmarkEnd w:id="55"/>
      <w:bookmarkEnd w:id="56"/>
    </w:p>
    <w:p w14:paraId="01A8515F" w14:textId="325EFEC8" w:rsidR="00E426C3" w:rsidRPr="007F6332" w:rsidRDefault="00E426C3" w:rsidP="00E426C3">
      <w:pPr>
        <w:rPr>
          <w:rFonts w:cs="Arial"/>
        </w:rPr>
      </w:pPr>
      <w:bookmarkStart w:id="57" w:name="_Ref144317340"/>
      <w:bookmarkStart w:id="58" w:name="_Hlk145007826"/>
      <w:bookmarkEnd w:id="54"/>
      <w:r w:rsidRPr="007F6332">
        <w:rPr>
          <w:rFonts w:cs="Arial"/>
        </w:rPr>
        <w:t xml:space="preserve">The Scheme population continues to grow at a rapid rate, considerably more than population growth, with an increase of 14.2% in active participants compared to the Scheme population at 30 June 2022. The increase reflects the net effect of new entrants and participants leaving the Scheme over the past 12 months as shown in </w:t>
      </w:r>
      <w:r w:rsidR="00CF64E2" w:rsidRPr="007F6332">
        <w:rPr>
          <w:rFonts w:cs="Arial"/>
        </w:rPr>
        <w:t>Figure 4.1</w:t>
      </w:r>
      <w:r w:rsidRPr="007F6332">
        <w:rPr>
          <w:rFonts w:cs="Arial"/>
        </w:rPr>
        <w:t>.</w:t>
      </w:r>
    </w:p>
    <w:p w14:paraId="49D727A7" w14:textId="7A484991" w:rsidR="002867E7" w:rsidRPr="007F6332" w:rsidRDefault="00E672F5" w:rsidP="006B61AA">
      <w:pPr>
        <w:pStyle w:val="FiguresandTablesHeading4"/>
      </w:pPr>
      <w:bookmarkStart w:id="59" w:name="_Hlk151723694"/>
      <w:r w:rsidRPr="007F6332">
        <w:t xml:space="preserve">Figure </w:t>
      </w:r>
      <w:bookmarkEnd w:id="57"/>
      <w:r w:rsidR="00FB0E15" w:rsidRPr="007F6332">
        <w:t>4.1</w:t>
      </w:r>
      <w:r w:rsidR="006B11DA" w:rsidRPr="007F6332">
        <w:t xml:space="preserve">: </w:t>
      </w:r>
      <w:r w:rsidRPr="007F6332">
        <w:t xml:space="preserve">Active participants in the </w:t>
      </w:r>
      <w:r w:rsidR="00E13AC7" w:rsidRPr="007F6332">
        <w:t>S</w:t>
      </w:r>
      <w:r w:rsidRPr="007F6332">
        <w:t>cheme over the past 3 years</w:t>
      </w:r>
      <w:bookmarkEnd w:id="58"/>
      <w:r w:rsidR="005D0964" w:rsidRPr="007F6332">
        <w:t xml:space="preserve"> at</w:t>
      </w:r>
      <w:r w:rsidR="00F90748" w:rsidRPr="007F6332">
        <w:t xml:space="preserve"> 30</w:t>
      </w:r>
      <w:r w:rsidR="005D0964" w:rsidRPr="007F6332">
        <w:t xml:space="preserve"> June</w:t>
      </w:r>
    </w:p>
    <w:bookmarkEnd w:id="59"/>
    <w:p w14:paraId="2FE32C8B" w14:textId="646972ED" w:rsidR="008C7800" w:rsidRPr="007F6332" w:rsidRDefault="00E5754E" w:rsidP="00327305">
      <w:pPr>
        <w:pStyle w:val="Figures"/>
        <w:rPr>
          <w:rFonts w:cs="Arial"/>
        </w:rPr>
      </w:pPr>
      <w:r w:rsidRPr="007F6332">
        <w:rPr>
          <w:rFonts w:cs="Arial"/>
        </w:rPr>
        <w:drawing>
          <wp:inline distT="0" distB="0" distL="0" distR="0" wp14:anchorId="4B4192B6" wp14:editId="230BC109">
            <wp:extent cx="5781749" cy="3151990"/>
            <wp:effectExtent l="0" t="0" r="0" b="0"/>
            <wp:docPr id="1095575391" name="Picture 2" descr="Figure 4.1: Active participants in the Scheme over the past 3 years at 30 June shows Scheme population continues to grow at a higher rate than Australian population.&#10;30 June 2020 Scheme participant active numbers total was 391,999&#10;30 June 2020 to 30 June 2021 Scheme participant active numbers increase by 74,620 equal to +19.0% &#10;30 June 2021 Scheme participant active numbers total was 466,619.&#10;30 June 2021 to 30 June 2022 Scheme participant active numbers increase by 68,036 equal to +14.6% &#10;30 June 2022 Scheme participant active numbers total was 534,655&#10;30 June 2022 to 30 June 2023 Scheme participant active numbers increase by +75,847 equal to +14.2% &#10;30 June 2023 Scheme participant active numbers total was 610,50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75391" name="Picture 2" descr="Figure 4.1: Active participants in the Scheme over the past 3 years at 30 June shows Scheme population continues to grow at a higher rate than Australian population.&#10;30 June 2020 Scheme participant active numbers total was 391,999&#10;30 June 2020 to 30 June 2021 Scheme participant active numbers increase by 74,620 equal to +19.0% &#10;30 June 2021 Scheme participant active numbers total was 466,619.&#10;30 June 2021 to 30 June 2022 Scheme participant active numbers increase by 68,036 equal to +14.6% &#10;30 June 2022 Scheme participant active numbers total was 534,655&#10;30 June 2022 to 30 June 2023 Scheme participant active numbers increase by +75,847 equal to +14.2% &#10;30 June 2023 Scheme participant active numbers total was 610,502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02583" cy="3163348"/>
                    </a:xfrm>
                    <a:prstGeom prst="rect">
                      <a:avLst/>
                    </a:prstGeom>
                    <a:noFill/>
                  </pic:spPr>
                </pic:pic>
              </a:graphicData>
            </a:graphic>
          </wp:inline>
        </w:drawing>
      </w:r>
    </w:p>
    <w:p w14:paraId="240F9F83" w14:textId="66E156DA" w:rsidR="002867E7" w:rsidRPr="007F6332" w:rsidRDefault="002867E7" w:rsidP="00CD33D0">
      <w:pPr>
        <w:pStyle w:val="Heading3"/>
        <w:numPr>
          <w:ilvl w:val="1"/>
          <w:numId w:val="105"/>
        </w:numPr>
        <w:ind w:left="709" w:hanging="709"/>
        <w:rPr>
          <w:rFonts w:cs="Arial"/>
        </w:rPr>
      </w:pPr>
      <w:bookmarkStart w:id="60" w:name="_Toc146286150"/>
      <w:bookmarkStart w:id="61" w:name="_Toc152614975"/>
      <w:bookmarkStart w:id="62" w:name="_Hlk145007866"/>
      <w:r w:rsidRPr="007F6332">
        <w:rPr>
          <w:rFonts w:cs="Arial"/>
        </w:rPr>
        <w:t>Actual versus expected participant numbers</w:t>
      </w:r>
      <w:bookmarkEnd w:id="60"/>
      <w:bookmarkEnd w:id="61"/>
    </w:p>
    <w:p w14:paraId="70197D61" w14:textId="1DD086D5" w:rsidR="002867E7" w:rsidRPr="007F6332" w:rsidRDefault="002867E7" w:rsidP="00CD33D0">
      <w:pPr>
        <w:pStyle w:val="Heading4"/>
        <w:ind w:left="851" w:hanging="851"/>
        <w:rPr>
          <w:rFonts w:cs="Arial"/>
        </w:rPr>
      </w:pPr>
      <w:r w:rsidRPr="007F6332">
        <w:rPr>
          <w:rFonts w:cs="Arial"/>
        </w:rPr>
        <w:t>The net increase in Scheme participants was higher than expected</w:t>
      </w:r>
    </w:p>
    <w:bookmarkEnd w:id="62"/>
    <w:p w14:paraId="1E432F36" w14:textId="30190486" w:rsidR="00324561" w:rsidRPr="007F6332" w:rsidRDefault="00324561" w:rsidP="00324561">
      <w:pPr>
        <w:rPr>
          <w:rFonts w:cs="Arial"/>
        </w:rPr>
      </w:pPr>
      <w:r w:rsidRPr="007F6332">
        <w:rPr>
          <w:rFonts w:cs="Arial"/>
        </w:rPr>
        <w:t xml:space="preserve">As shown in Table 4.1 </w:t>
      </w:r>
      <w:r w:rsidR="00E426C3" w:rsidRPr="007F6332">
        <w:rPr>
          <w:rFonts w:cs="Arial"/>
        </w:rPr>
        <w:t>Scheme population of 610,502 active participants as at 30 June 2023 was</w:t>
      </w:r>
      <w:r w:rsidR="0027254E" w:rsidRPr="007F6332">
        <w:rPr>
          <w:rFonts w:cs="Arial"/>
        </w:rPr>
        <w:t xml:space="preserve"> </w:t>
      </w:r>
      <w:r w:rsidR="00E426C3" w:rsidRPr="007F6332">
        <w:rPr>
          <w:rFonts w:cs="Arial"/>
        </w:rPr>
        <w:t>18,2</w:t>
      </w:r>
      <w:r w:rsidR="0027254E" w:rsidRPr="007F6332">
        <w:rPr>
          <w:rFonts w:cs="Arial"/>
        </w:rPr>
        <w:t>08 (3.1%)</w:t>
      </w:r>
      <w:r w:rsidR="00E426C3" w:rsidRPr="007F6332">
        <w:rPr>
          <w:rFonts w:cs="Arial"/>
        </w:rPr>
        <w:t xml:space="preserve"> higher than expected from the previous review. The net increase in participants over the 12 months to 30 June 202</w:t>
      </w:r>
      <w:r w:rsidR="002E072F" w:rsidRPr="007F6332">
        <w:rPr>
          <w:rFonts w:cs="Arial"/>
        </w:rPr>
        <w:t>3</w:t>
      </w:r>
      <w:r w:rsidR="00E426C3" w:rsidRPr="007F6332">
        <w:rPr>
          <w:rFonts w:cs="Arial"/>
        </w:rPr>
        <w:t xml:space="preserve"> was 75,847 </w:t>
      </w:r>
      <w:r w:rsidR="008F459A" w:rsidRPr="007F6332">
        <w:rPr>
          <w:rFonts w:cs="Arial"/>
        </w:rPr>
        <w:t>(</w:t>
      </w:r>
      <w:r w:rsidR="00E426C3" w:rsidRPr="007F6332">
        <w:rPr>
          <w:rFonts w:cs="Arial"/>
        </w:rPr>
        <w:t>31.6%</w:t>
      </w:r>
      <w:r w:rsidR="008F459A" w:rsidRPr="007F6332">
        <w:rPr>
          <w:rFonts w:cs="Arial"/>
        </w:rPr>
        <w:t>)</w:t>
      </w:r>
      <w:r w:rsidR="00E426C3" w:rsidRPr="007F6332">
        <w:rPr>
          <w:rFonts w:cs="Arial"/>
        </w:rPr>
        <w:t xml:space="preserve"> higher than expected.</w:t>
      </w:r>
      <w:bookmarkStart w:id="63" w:name="_Ref144317330"/>
      <w:r w:rsidRPr="007F6332">
        <w:rPr>
          <w:rFonts w:cs="Arial"/>
        </w:rPr>
        <w:t xml:space="preserve"> </w:t>
      </w:r>
    </w:p>
    <w:p w14:paraId="5316D222" w14:textId="77777777" w:rsidR="0053380A" w:rsidRPr="007F6332" w:rsidRDefault="0053380A" w:rsidP="00324561">
      <w:pPr>
        <w:rPr>
          <w:rFonts w:cs="Arial"/>
          <w:b/>
          <w:bCs/>
        </w:rPr>
        <w:sectPr w:rsidR="0053380A" w:rsidRPr="007F6332" w:rsidSect="00E53368">
          <w:headerReference w:type="first" r:id="rId41"/>
          <w:footerReference w:type="first" r:id="rId42"/>
          <w:pgSz w:w="11906" w:h="16838"/>
          <w:pgMar w:top="1440" w:right="1133" w:bottom="1440" w:left="1440" w:header="708" w:footer="680" w:gutter="0"/>
          <w:cols w:space="708"/>
          <w:titlePg/>
          <w:docGrid w:linePitch="360"/>
        </w:sectPr>
      </w:pPr>
    </w:p>
    <w:p w14:paraId="1FC1DADD" w14:textId="05FB8C54" w:rsidR="008E7D15" w:rsidRPr="007F6332" w:rsidRDefault="008E7D15" w:rsidP="006B61AA">
      <w:pPr>
        <w:pStyle w:val="FiguresandTablesHeading5"/>
      </w:pPr>
      <w:r w:rsidRPr="007F6332">
        <w:lastRenderedPageBreak/>
        <w:t xml:space="preserve">Table </w:t>
      </w:r>
      <w:bookmarkEnd w:id="63"/>
      <w:r w:rsidR="00FB0E15" w:rsidRPr="007F6332">
        <w:t>4.1</w:t>
      </w:r>
      <w:r w:rsidR="006B11DA" w:rsidRPr="007F6332">
        <w:t xml:space="preserve">: </w:t>
      </w:r>
      <w:r w:rsidRPr="007F6332">
        <w:t>Actual versus expected total participant numbers and net increase at 30 June 2023</w:t>
      </w:r>
    </w:p>
    <w:tbl>
      <w:tblPr>
        <w:tblW w:w="9214" w:type="dxa"/>
        <w:tblLayout w:type="fixed"/>
        <w:tblLook w:val="04A0" w:firstRow="1" w:lastRow="0" w:firstColumn="1" w:lastColumn="0" w:noHBand="0" w:noVBand="1"/>
      </w:tblPr>
      <w:tblGrid>
        <w:gridCol w:w="2835"/>
        <w:gridCol w:w="1594"/>
        <w:gridCol w:w="1595"/>
        <w:gridCol w:w="1595"/>
        <w:gridCol w:w="1595"/>
      </w:tblGrid>
      <w:tr w:rsidR="008E7D15" w:rsidRPr="007F6332" w14:paraId="182A2895" w14:textId="77777777" w:rsidTr="00E53368">
        <w:trPr>
          <w:trHeight w:val="465"/>
          <w:tblHeader/>
        </w:trPr>
        <w:tc>
          <w:tcPr>
            <w:tcW w:w="2835" w:type="dxa"/>
            <w:tcBorders>
              <w:top w:val="nil"/>
              <w:left w:val="nil"/>
              <w:bottom w:val="nil"/>
              <w:right w:val="nil"/>
            </w:tcBorders>
            <w:shd w:val="clear" w:color="000000" w:fill="6B2976"/>
            <w:noWrap/>
            <w:vAlign w:val="center"/>
          </w:tcPr>
          <w:p w14:paraId="495616AB" w14:textId="77777777" w:rsidR="008E7D15" w:rsidRPr="007F6332" w:rsidRDefault="008E7D15" w:rsidP="00036C45">
            <w:pPr>
              <w:spacing w:after="0" w:line="240" w:lineRule="auto"/>
              <w:rPr>
                <w:rFonts w:eastAsia="Times New Roman" w:cs="Arial"/>
                <w:b/>
                <w:bCs/>
                <w:color w:val="FFFFFF"/>
                <w:szCs w:val="22"/>
              </w:rPr>
            </w:pPr>
            <w:r w:rsidRPr="007F6332">
              <w:rPr>
                <w:rFonts w:eastAsia="Times New Roman" w:cs="Arial"/>
                <w:b/>
                <w:bCs/>
                <w:color w:val="FFFFFF"/>
                <w:szCs w:val="22"/>
              </w:rPr>
              <w:t>As at 30 June 2023</w:t>
            </w:r>
          </w:p>
        </w:tc>
        <w:tc>
          <w:tcPr>
            <w:tcW w:w="1594" w:type="dxa"/>
            <w:tcBorders>
              <w:top w:val="nil"/>
              <w:left w:val="nil"/>
              <w:bottom w:val="nil"/>
              <w:right w:val="nil"/>
            </w:tcBorders>
            <w:shd w:val="clear" w:color="000000" w:fill="6B2976"/>
            <w:vAlign w:val="center"/>
          </w:tcPr>
          <w:p w14:paraId="06B07DA9" w14:textId="77777777" w:rsidR="008E7D15" w:rsidRPr="007F6332" w:rsidRDefault="008E7D15" w:rsidP="00036C45">
            <w:pPr>
              <w:spacing w:after="0" w:line="240" w:lineRule="auto"/>
              <w:jc w:val="right"/>
              <w:rPr>
                <w:rFonts w:eastAsia="Times New Roman" w:cs="Arial"/>
                <w:b/>
                <w:bCs/>
                <w:color w:val="FFFFFF"/>
                <w:szCs w:val="22"/>
              </w:rPr>
            </w:pPr>
            <w:r w:rsidRPr="007F6332">
              <w:rPr>
                <w:rFonts w:eastAsia="Times New Roman" w:cs="Arial"/>
                <w:b/>
                <w:bCs/>
                <w:color w:val="FFFFFF"/>
                <w:szCs w:val="22"/>
              </w:rPr>
              <w:t>Actual</w:t>
            </w:r>
          </w:p>
        </w:tc>
        <w:tc>
          <w:tcPr>
            <w:tcW w:w="1595" w:type="dxa"/>
            <w:tcBorders>
              <w:top w:val="nil"/>
              <w:left w:val="nil"/>
              <w:bottom w:val="nil"/>
              <w:right w:val="nil"/>
            </w:tcBorders>
            <w:shd w:val="clear" w:color="000000" w:fill="6B2976"/>
            <w:vAlign w:val="center"/>
          </w:tcPr>
          <w:p w14:paraId="3BD16036" w14:textId="77777777" w:rsidR="008E7D15" w:rsidRPr="007F6332" w:rsidRDefault="008E7D15" w:rsidP="00036C45">
            <w:pPr>
              <w:spacing w:after="0" w:line="240" w:lineRule="auto"/>
              <w:jc w:val="right"/>
              <w:rPr>
                <w:rFonts w:eastAsia="Times New Roman" w:cs="Arial"/>
                <w:b/>
                <w:bCs/>
                <w:color w:val="FFFFFF"/>
                <w:szCs w:val="22"/>
              </w:rPr>
            </w:pPr>
            <w:r w:rsidRPr="007F6332">
              <w:rPr>
                <w:rFonts w:eastAsia="Times New Roman" w:cs="Arial"/>
                <w:b/>
                <w:bCs/>
                <w:color w:val="FFFFFF"/>
                <w:szCs w:val="22"/>
              </w:rPr>
              <w:t>Expected</w:t>
            </w:r>
          </w:p>
        </w:tc>
        <w:tc>
          <w:tcPr>
            <w:tcW w:w="1595" w:type="dxa"/>
            <w:tcBorders>
              <w:top w:val="nil"/>
              <w:left w:val="nil"/>
              <w:bottom w:val="nil"/>
              <w:right w:val="nil"/>
            </w:tcBorders>
            <w:shd w:val="clear" w:color="000000" w:fill="6B2976"/>
            <w:vAlign w:val="center"/>
          </w:tcPr>
          <w:p w14:paraId="6A64CAB6" w14:textId="77777777" w:rsidR="008E7D15" w:rsidRPr="007F6332" w:rsidRDefault="008E7D15" w:rsidP="00036C45">
            <w:pPr>
              <w:spacing w:after="0" w:line="240" w:lineRule="auto"/>
              <w:jc w:val="right"/>
              <w:rPr>
                <w:rFonts w:eastAsia="Times New Roman" w:cs="Arial"/>
                <w:b/>
                <w:bCs/>
                <w:color w:val="FFFFFF"/>
                <w:szCs w:val="22"/>
              </w:rPr>
            </w:pPr>
            <w:r w:rsidRPr="007F6332">
              <w:rPr>
                <w:rFonts w:eastAsia="Times New Roman" w:cs="Arial"/>
                <w:b/>
                <w:bCs/>
                <w:color w:val="FFFFFF"/>
                <w:szCs w:val="22"/>
              </w:rPr>
              <w:t>Difference</w:t>
            </w:r>
          </w:p>
        </w:tc>
        <w:tc>
          <w:tcPr>
            <w:tcW w:w="1595" w:type="dxa"/>
            <w:tcBorders>
              <w:top w:val="nil"/>
              <w:left w:val="nil"/>
              <w:bottom w:val="nil"/>
              <w:right w:val="nil"/>
            </w:tcBorders>
            <w:shd w:val="clear" w:color="000000" w:fill="6B2976"/>
            <w:vAlign w:val="center"/>
          </w:tcPr>
          <w:p w14:paraId="37C192D1" w14:textId="77777777" w:rsidR="008E7D15" w:rsidRPr="007F6332" w:rsidRDefault="008E7D15" w:rsidP="00036C45">
            <w:pPr>
              <w:spacing w:after="0" w:line="240" w:lineRule="auto"/>
              <w:jc w:val="right"/>
              <w:rPr>
                <w:rFonts w:eastAsia="Times New Roman" w:cs="Arial"/>
                <w:b/>
                <w:bCs/>
                <w:color w:val="FFFFFF"/>
                <w:szCs w:val="22"/>
              </w:rPr>
            </w:pPr>
            <w:r w:rsidRPr="007F6332">
              <w:rPr>
                <w:rFonts w:eastAsia="Times New Roman" w:cs="Arial"/>
                <w:b/>
                <w:bCs/>
                <w:color w:val="FFFFFF"/>
                <w:szCs w:val="22"/>
              </w:rPr>
              <w:t>% Difference</w:t>
            </w:r>
          </w:p>
        </w:tc>
      </w:tr>
      <w:tr w:rsidR="008E7D15" w:rsidRPr="007F6332" w14:paraId="54316D33" w14:textId="77777777" w:rsidTr="00E53368">
        <w:trPr>
          <w:trHeight w:val="397"/>
          <w:tblHeader/>
        </w:trPr>
        <w:tc>
          <w:tcPr>
            <w:tcW w:w="2835" w:type="dxa"/>
            <w:tcBorders>
              <w:top w:val="nil"/>
              <w:left w:val="nil"/>
              <w:right w:val="nil"/>
            </w:tcBorders>
            <w:shd w:val="clear" w:color="auto" w:fill="auto"/>
            <w:noWrap/>
            <w:vAlign w:val="center"/>
          </w:tcPr>
          <w:p w14:paraId="246388A3" w14:textId="77777777" w:rsidR="008E7D15" w:rsidRPr="007F6332" w:rsidRDefault="008E7D15" w:rsidP="00036C45">
            <w:pPr>
              <w:spacing w:after="0" w:line="240" w:lineRule="auto"/>
              <w:rPr>
                <w:rFonts w:eastAsia="Times New Roman" w:cs="Arial"/>
                <w:color w:val="000000"/>
                <w:szCs w:val="22"/>
              </w:rPr>
            </w:pPr>
            <w:r w:rsidRPr="007F6332">
              <w:rPr>
                <w:rFonts w:eastAsia="Times New Roman" w:cs="Arial"/>
                <w:color w:val="000000"/>
                <w:szCs w:val="22"/>
              </w:rPr>
              <w:t>Participant Numbers</w:t>
            </w:r>
          </w:p>
        </w:tc>
        <w:tc>
          <w:tcPr>
            <w:tcW w:w="1594" w:type="dxa"/>
            <w:tcBorders>
              <w:top w:val="nil"/>
              <w:left w:val="nil"/>
              <w:right w:val="nil"/>
            </w:tcBorders>
            <w:shd w:val="clear" w:color="auto" w:fill="auto"/>
            <w:noWrap/>
            <w:vAlign w:val="center"/>
          </w:tcPr>
          <w:p w14:paraId="197DAB03"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610,502</w:t>
            </w:r>
          </w:p>
        </w:tc>
        <w:tc>
          <w:tcPr>
            <w:tcW w:w="1595" w:type="dxa"/>
            <w:tcBorders>
              <w:top w:val="nil"/>
              <w:left w:val="nil"/>
              <w:right w:val="nil"/>
            </w:tcBorders>
            <w:shd w:val="clear" w:color="auto" w:fill="auto"/>
            <w:noWrap/>
            <w:vAlign w:val="center"/>
          </w:tcPr>
          <w:p w14:paraId="051644BF"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592,294</w:t>
            </w:r>
          </w:p>
        </w:tc>
        <w:tc>
          <w:tcPr>
            <w:tcW w:w="1595" w:type="dxa"/>
            <w:tcBorders>
              <w:top w:val="nil"/>
              <w:left w:val="nil"/>
              <w:right w:val="nil"/>
            </w:tcBorders>
            <w:shd w:val="clear" w:color="auto" w:fill="auto"/>
            <w:noWrap/>
            <w:vAlign w:val="center"/>
          </w:tcPr>
          <w:p w14:paraId="4257FEC5"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18,208</w:t>
            </w:r>
          </w:p>
        </w:tc>
        <w:tc>
          <w:tcPr>
            <w:tcW w:w="1595" w:type="dxa"/>
            <w:tcBorders>
              <w:top w:val="nil"/>
              <w:left w:val="nil"/>
              <w:right w:val="nil"/>
            </w:tcBorders>
            <w:shd w:val="clear" w:color="auto" w:fill="auto"/>
            <w:noWrap/>
            <w:vAlign w:val="center"/>
          </w:tcPr>
          <w:p w14:paraId="44D5ABED"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3.1%</w:t>
            </w:r>
          </w:p>
        </w:tc>
      </w:tr>
      <w:tr w:rsidR="008E7D15" w:rsidRPr="007F6332" w14:paraId="28626F2E" w14:textId="77777777" w:rsidTr="00E53368">
        <w:trPr>
          <w:trHeight w:val="285"/>
          <w:tblHeader/>
        </w:trPr>
        <w:tc>
          <w:tcPr>
            <w:tcW w:w="2835" w:type="dxa"/>
            <w:tcBorders>
              <w:top w:val="nil"/>
              <w:left w:val="nil"/>
              <w:bottom w:val="single" w:sz="4" w:space="0" w:color="auto"/>
              <w:right w:val="nil"/>
            </w:tcBorders>
            <w:shd w:val="clear" w:color="000000" w:fill="A7A9AC"/>
            <w:noWrap/>
            <w:vAlign w:val="center"/>
          </w:tcPr>
          <w:p w14:paraId="07373006" w14:textId="77777777" w:rsidR="008E7D15" w:rsidRPr="007F6332" w:rsidRDefault="008E7D15" w:rsidP="00036C45">
            <w:pPr>
              <w:spacing w:after="0" w:line="240" w:lineRule="auto"/>
              <w:rPr>
                <w:rFonts w:eastAsia="Times New Roman" w:cs="Arial"/>
                <w:b/>
                <w:bCs/>
                <w:color w:val="000000"/>
                <w:szCs w:val="22"/>
              </w:rPr>
            </w:pPr>
            <w:r w:rsidRPr="007F6332">
              <w:rPr>
                <w:rFonts w:eastAsia="Times New Roman" w:cs="Arial"/>
                <w:b/>
                <w:bCs/>
                <w:color w:val="000000"/>
                <w:szCs w:val="22"/>
              </w:rPr>
              <w:t>Net Increase over past 12 months</w:t>
            </w:r>
          </w:p>
        </w:tc>
        <w:tc>
          <w:tcPr>
            <w:tcW w:w="1594" w:type="dxa"/>
            <w:tcBorders>
              <w:top w:val="nil"/>
              <w:left w:val="nil"/>
              <w:bottom w:val="single" w:sz="4" w:space="0" w:color="auto"/>
              <w:right w:val="nil"/>
            </w:tcBorders>
            <w:shd w:val="clear" w:color="000000" w:fill="A7A9AC"/>
            <w:noWrap/>
            <w:vAlign w:val="center"/>
          </w:tcPr>
          <w:p w14:paraId="6B39F845" w14:textId="77777777" w:rsidR="008E7D15" w:rsidRPr="007F6332" w:rsidRDefault="008E7D15" w:rsidP="00036C45">
            <w:pPr>
              <w:spacing w:after="0" w:line="240" w:lineRule="auto"/>
              <w:jc w:val="right"/>
              <w:rPr>
                <w:rFonts w:eastAsia="Times New Roman" w:cs="Arial"/>
                <w:b/>
                <w:bCs/>
                <w:color w:val="000000"/>
                <w:szCs w:val="22"/>
              </w:rPr>
            </w:pPr>
            <w:r w:rsidRPr="007F6332">
              <w:rPr>
                <w:rFonts w:cs="Arial"/>
                <w:b/>
                <w:bCs/>
                <w:color w:val="000000"/>
                <w:szCs w:val="22"/>
              </w:rPr>
              <w:t>75,847</w:t>
            </w:r>
          </w:p>
        </w:tc>
        <w:tc>
          <w:tcPr>
            <w:tcW w:w="1595" w:type="dxa"/>
            <w:tcBorders>
              <w:top w:val="nil"/>
              <w:left w:val="nil"/>
              <w:bottom w:val="single" w:sz="4" w:space="0" w:color="auto"/>
              <w:right w:val="nil"/>
            </w:tcBorders>
            <w:shd w:val="clear" w:color="000000" w:fill="A7A9AC"/>
            <w:noWrap/>
            <w:vAlign w:val="center"/>
          </w:tcPr>
          <w:p w14:paraId="29F661B5" w14:textId="77777777" w:rsidR="008E7D15" w:rsidRPr="007F6332" w:rsidRDefault="008E7D15" w:rsidP="00036C45">
            <w:pPr>
              <w:spacing w:after="0" w:line="240" w:lineRule="auto"/>
              <w:jc w:val="right"/>
              <w:rPr>
                <w:rFonts w:eastAsia="Times New Roman" w:cs="Arial"/>
                <w:b/>
                <w:bCs/>
                <w:color w:val="000000"/>
                <w:szCs w:val="22"/>
              </w:rPr>
            </w:pPr>
            <w:r w:rsidRPr="007F6332">
              <w:rPr>
                <w:rFonts w:cs="Arial"/>
                <w:b/>
                <w:bCs/>
                <w:color w:val="000000"/>
                <w:szCs w:val="22"/>
              </w:rPr>
              <w:t>57,639</w:t>
            </w:r>
          </w:p>
        </w:tc>
        <w:tc>
          <w:tcPr>
            <w:tcW w:w="1595" w:type="dxa"/>
            <w:tcBorders>
              <w:top w:val="nil"/>
              <w:left w:val="nil"/>
              <w:bottom w:val="single" w:sz="4" w:space="0" w:color="auto"/>
              <w:right w:val="nil"/>
            </w:tcBorders>
            <w:shd w:val="clear" w:color="000000" w:fill="A7A9AC"/>
            <w:noWrap/>
            <w:vAlign w:val="center"/>
          </w:tcPr>
          <w:p w14:paraId="6C0F334B" w14:textId="77777777" w:rsidR="008E7D15" w:rsidRPr="007F6332" w:rsidRDefault="008E7D15" w:rsidP="00036C45">
            <w:pPr>
              <w:spacing w:after="0" w:line="240" w:lineRule="auto"/>
              <w:jc w:val="right"/>
              <w:rPr>
                <w:rFonts w:eastAsia="Times New Roman" w:cs="Arial"/>
                <w:b/>
                <w:bCs/>
                <w:color w:val="000000"/>
                <w:szCs w:val="22"/>
              </w:rPr>
            </w:pPr>
            <w:r w:rsidRPr="007F6332">
              <w:rPr>
                <w:rFonts w:cs="Arial"/>
                <w:b/>
                <w:bCs/>
                <w:color w:val="000000"/>
                <w:szCs w:val="22"/>
              </w:rPr>
              <w:t>18,208</w:t>
            </w:r>
          </w:p>
        </w:tc>
        <w:tc>
          <w:tcPr>
            <w:tcW w:w="1595" w:type="dxa"/>
            <w:tcBorders>
              <w:top w:val="nil"/>
              <w:left w:val="nil"/>
              <w:bottom w:val="single" w:sz="4" w:space="0" w:color="auto"/>
              <w:right w:val="nil"/>
            </w:tcBorders>
            <w:shd w:val="clear" w:color="000000" w:fill="A7A9AC"/>
            <w:noWrap/>
            <w:vAlign w:val="center"/>
          </w:tcPr>
          <w:p w14:paraId="1E2FBC95" w14:textId="77777777" w:rsidR="008E7D15" w:rsidRPr="007F6332" w:rsidRDefault="008E7D15" w:rsidP="00036C45">
            <w:pPr>
              <w:spacing w:after="0" w:line="240" w:lineRule="auto"/>
              <w:jc w:val="right"/>
              <w:rPr>
                <w:rFonts w:eastAsia="Times New Roman" w:cs="Arial"/>
                <w:b/>
                <w:bCs/>
                <w:color w:val="000000"/>
                <w:szCs w:val="22"/>
              </w:rPr>
            </w:pPr>
            <w:r w:rsidRPr="007F6332">
              <w:rPr>
                <w:rFonts w:cs="Arial"/>
                <w:b/>
                <w:bCs/>
                <w:color w:val="000000"/>
                <w:szCs w:val="22"/>
              </w:rPr>
              <w:t>31.6%</w:t>
            </w:r>
          </w:p>
        </w:tc>
      </w:tr>
    </w:tbl>
    <w:p w14:paraId="22D3FA7A" w14:textId="08F0F69A" w:rsidR="008E7D15" w:rsidRPr="007F6332" w:rsidRDefault="008E7D15" w:rsidP="008E7D15">
      <w:pPr>
        <w:pStyle w:val="FSRnormal"/>
        <w:rPr>
          <w:rFonts w:cs="Arial"/>
        </w:rPr>
      </w:pPr>
      <w:r w:rsidRPr="007F6332">
        <w:rPr>
          <w:rFonts w:cs="Arial"/>
        </w:rPr>
        <w:t>The comparison of actual net increase in participants to that expected from the previous review is shown in</w:t>
      </w:r>
      <w:r w:rsidR="001670F4" w:rsidRPr="007F6332">
        <w:rPr>
          <w:rFonts w:cs="Arial"/>
        </w:rPr>
        <w:t xml:space="preserve"> Table 4.2, </w:t>
      </w:r>
      <w:r w:rsidR="00AC67FC" w:rsidRPr="007F6332">
        <w:rPr>
          <w:rFonts w:cs="Arial"/>
        </w:rPr>
        <w:t xml:space="preserve">Table </w:t>
      </w:r>
      <w:r w:rsidR="00994C03" w:rsidRPr="007F6332">
        <w:rPr>
          <w:rFonts w:cs="Arial"/>
        </w:rPr>
        <w:t>4.3</w:t>
      </w:r>
      <w:r w:rsidR="00AC67FC" w:rsidRPr="007F6332">
        <w:rPr>
          <w:rFonts w:cs="Arial"/>
        </w:rPr>
        <w:t>, Table 4.4</w:t>
      </w:r>
      <w:r w:rsidR="00C86AEF" w:rsidRPr="007F6332">
        <w:rPr>
          <w:rFonts w:cs="Arial"/>
        </w:rPr>
        <w:t xml:space="preserve"> and</w:t>
      </w:r>
      <w:r w:rsidR="00B86BFD" w:rsidRPr="007F6332">
        <w:rPr>
          <w:rFonts w:cs="Arial"/>
        </w:rPr>
        <w:t xml:space="preserve"> </w:t>
      </w:r>
      <w:r w:rsidR="00F34BEC" w:rsidRPr="007F6332">
        <w:rPr>
          <w:rFonts w:cs="Arial"/>
        </w:rPr>
        <w:t>Table 4.5</w:t>
      </w:r>
      <w:r w:rsidR="003F4D5C" w:rsidRPr="007F6332">
        <w:rPr>
          <w:rFonts w:cs="Arial"/>
        </w:rPr>
        <w:t xml:space="preserve"> </w:t>
      </w:r>
      <w:r w:rsidRPr="007F6332">
        <w:rPr>
          <w:rFonts w:cs="Arial"/>
        </w:rPr>
        <w:t>by key participant characteristics (participants with SIL and without SIL supports, age group, primary disability group and reported level of function respectively).</w:t>
      </w:r>
    </w:p>
    <w:p w14:paraId="393CE8EC" w14:textId="3C52002E" w:rsidR="008E7D15" w:rsidRPr="007F6332" w:rsidRDefault="00994C03" w:rsidP="008E7D15">
      <w:pPr>
        <w:pStyle w:val="FSRnormal"/>
        <w:rPr>
          <w:rFonts w:cs="Arial"/>
        </w:rPr>
      </w:pPr>
      <w:r w:rsidRPr="007F6332">
        <w:rPr>
          <w:rFonts w:cs="Arial"/>
        </w:rPr>
        <w:t xml:space="preserve">Table 4.2 </w:t>
      </w:r>
      <w:r w:rsidR="008E7D15" w:rsidRPr="007F6332">
        <w:rPr>
          <w:rFonts w:cs="Arial"/>
        </w:rPr>
        <w:t>illustrates:</w:t>
      </w:r>
    </w:p>
    <w:p w14:paraId="54B1EB7E" w14:textId="29D316A0" w:rsidR="00853B01" w:rsidRPr="007F6332" w:rsidRDefault="00F90748" w:rsidP="00C1755E">
      <w:pPr>
        <w:pStyle w:val="FSRlist"/>
        <w:rPr>
          <w:rFonts w:cs="Arial"/>
        </w:rPr>
      </w:pPr>
      <w:r w:rsidRPr="007F6332">
        <w:rPr>
          <w:rFonts w:cs="Arial"/>
        </w:rPr>
        <w:t>The net increase of participants with SIL supports was 3,507 greater than expected from the previous review (or 25</w:t>
      </w:r>
      <w:r w:rsidR="00891A6E" w:rsidRPr="007F6332">
        <w:rPr>
          <w:rFonts w:cs="Arial"/>
        </w:rPr>
        <w:t>7.8</w:t>
      </w:r>
      <w:r w:rsidRPr="007F6332">
        <w:rPr>
          <w:rFonts w:cs="Arial"/>
        </w:rPr>
        <w:t>%). The high number</w:t>
      </w:r>
      <w:r w:rsidR="00737BF0" w:rsidRPr="007F6332">
        <w:rPr>
          <w:rFonts w:cs="Arial"/>
        </w:rPr>
        <w:t xml:space="preserve"> of participants</w:t>
      </w:r>
      <w:r w:rsidRPr="007F6332">
        <w:rPr>
          <w:rFonts w:cs="Arial"/>
        </w:rPr>
        <w:t xml:space="preserve"> with SIL was driven by </w:t>
      </w:r>
      <w:r w:rsidR="00E6626E" w:rsidRPr="007F6332">
        <w:rPr>
          <w:rFonts w:cs="Arial"/>
        </w:rPr>
        <w:t>changes to the Agency’s processes</w:t>
      </w:r>
      <w:r w:rsidRPr="007F6332">
        <w:rPr>
          <w:rFonts w:cs="Arial"/>
        </w:rPr>
        <w:t xml:space="preserve">, resulting in a large number of applications </w:t>
      </w:r>
      <w:r w:rsidR="009A3AAB" w:rsidRPr="007F6332">
        <w:rPr>
          <w:rFonts w:cs="Arial"/>
        </w:rPr>
        <w:t>for Home and Livi</w:t>
      </w:r>
      <w:r w:rsidR="00737BF0" w:rsidRPr="007F6332">
        <w:rPr>
          <w:rFonts w:cs="Arial"/>
        </w:rPr>
        <w:t>ng</w:t>
      </w:r>
      <w:r w:rsidR="009A3AAB" w:rsidRPr="007F6332">
        <w:rPr>
          <w:rFonts w:cs="Arial"/>
        </w:rPr>
        <w:t xml:space="preserve"> supports </w:t>
      </w:r>
      <w:r w:rsidR="00EE3468" w:rsidRPr="007F6332">
        <w:rPr>
          <w:rFonts w:cs="Arial"/>
        </w:rPr>
        <w:t>and resulting increases in the number of eligible SIL decisions</w:t>
      </w:r>
      <w:r w:rsidRPr="007F6332">
        <w:rPr>
          <w:rFonts w:cs="Arial"/>
        </w:rPr>
        <w:t>. This is further discussed in Section 4.3</w:t>
      </w:r>
      <w:r w:rsidR="00853B01" w:rsidRPr="007F6332">
        <w:rPr>
          <w:rFonts w:cs="Arial"/>
        </w:rPr>
        <w:t>.</w:t>
      </w:r>
    </w:p>
    <w:p w14:paraId="6756F869" w14:textId="77777777" w:rsidR="00853B01" w:rsidRPr="007F6332" w:rsidRDefault="00853B01" w:rsidP="00C1755E">
      <w:pPr>
        <w:pStyle w:val="FSRlist"/>
        <w:rPr>
          <w:rFonts w:cs="Arial"/>
        </w:rPr>
      </w:pPr>
      <w:bookmarkStart w:id="64" w:name="_Ref144317360"/>
      <w:r w:rsidRPr="007F6332">
        <w:rPr>
          <w:rFonts w:cs="Arial"/>
        </w:rPr>
        <w:t>The net increase of participants without SIL supports was 14,701 (26.1%) greater than expected. This reflects the high number of children that entered with developmental delay in 2022-23 as well as lower than expected numbers of children leaving the Scheme.</w:t>
      </w:r>
    </w:p>
    <w:p w14:paraId="74A85689" w14:textId="099884AA" w:rsidR="008E7D15" w:rsidRPr="007F6332" w:rsidRDefault="008E7D15" w:rsidP="006B61AA">
      <w:pPr>
        <w:pStyle w:val="FiguresandTablesHeading5"/>
      </w:pPr>
      <w:r w:rsidRPr="007F6332">
        <w:t>T</w:t>
      </w:r>
      <w:r w:rsidRPr="007F6332">
        <w:rPr>
          <w:rStyle w:val="FiguresChar"/>
          <w:noProof w:val="0"/>
          <w:szCs w:val="24"/>
        </w:rPr>
        <w:t xml:space="preserve">able </w:t>
      </w:r>
      <w:bookmarkEnd w:id="64"/>
      <w:r w:rsidR="00FB0E15" w:rsidRPr="007F6332">
        <w:rPr>
          <w:rStyle w:val="FiguresChar"/>
          <w:noProof w:val="0"/>
          <w:szCs w:val="24"/>
        </w:rPr>
        <w:t>4.2</w:t>
      </w:r>
      <w:r w:rsidR="006B11DA" w:rsidRPr="007F6332">
        <w:rPr>
          <w:rStyle w:val="FiguresChar"/>
          <w:noProof w:val="0"/>
          <w:szCs w:val="24"/>
        </w:rPr>
        <w:t xml:space="preserve">: </w:t>
      </w:r>
      <w:r w:rsidRPr="007F6332">
        <w:rPr>
          <w:rStyle w:val="FiguresChar"/>
          <w:noProof w:val="0"/>
          <w:szCs w:val="24"/>
        </w:rPr>
        <w:t xml:space="preserve">Actual versus expected net increase in </w:t>
      </w:r>
      <w:r w:rsidR="00853B01" w:rsidRPr="007F6332">
        <w:rPr>
          <w:rStyle w:val="FiguresChar"/>
          <w:noProof w:val="0"/>
          <w:szCs w:val="24"/>
        </w:rPr>
        <w:t>participant numbers</w:t>
      </w:r>
      <w:r w:rsidRPr="007F6332">
        <w:rPr>
          <w:rStyle w:val="FiguresChar"/>
          <w:noProof w:val="0"/>
          <w:szCs w:val="24"/>
        </w:rPr>
        <w:t xml:space="preserve"> at 30 June 2023</w:t>
      </w:r>
      <w:r w:rsidR="00530EBF" w:rsidRPr="007F6332">
        <w:rPr>
          <w:rStyle w:val="FiguresChar"/>
          <w:noProof w:val="0"/>
          <w:szCs w:val="24"/>
        </w:rPr>
        <w:t xml:space="preserve"> by SIL status</w:t>
      </w:r>
    </w:p>
    <w:tbl>
      <w:tblPr>
        <w:tblW w:w="9214" w:type="dxa"/>
        <w:tblLayout w:type="fixed"/>
        <w:tblLook w:val="04A0" w:firstRow="1" w:lastRow="0" w:firstColumn="1" w:lastColumn="0" w:noHBand="0" w:noVBand="1"/>
      </w:tblPr>
      <w:tblGrid>
        <w:gridCol w:w="1740"/>
        <w:gridCol w:w="1868"/>
        <w:gridCol w:w="1869"/>
        <w:gridCol w:w="1868"/>
        <w:gridCol w:w="1869"/>
      </w:tblGrid>
      <w:tr w:rsidR="008E7D15" w:rsidRPr="007F6332" w14:paraId="793A8FA1" w14:textId="77777777" w:rsidTr="00E53368">
        <w:trPr>
          <w:trHeight w:val="498"/>
          <w:tblHeader/>
        </w:trPr>
        <w:tc>
          <w:tcPr>
            <w:tcW w:w="1740" w:type="dxa"/>
            <w:tcBorders>
              <w:top w:val="nil"/>
              <w:left w:val="nil"/>
              <w:bottom w:val="nil"/>
              <w:right w:val="nil"/>
            </w:tcBorders>
            <w:shd w:val="clear" w:color="000000" w:fill="6B2976"/>
            <w:vAlign w:val="center"/>
          </w:tcPr>
          <w:p w14:paraId="70B8D1B0" w14:textId="77777777" w:rsidR="008E7D15" w:rsidRPr="007F6332" w:rsidRDefault="008E7D15" w:rsidP="00036C45">
            <w:pPr>
              <w:spacing w:after="0" w:line="240" w:lineRule="auto"/>
              <w:rPr>
                <w:rFonts w:eastAsia="Times New Roman" w:cs="Arial"/>
                <w:b/>
                <w:bCs/>
                <w:color w:val="FFFFFF"/>
                <w:szCs w:val="22"/>
              </w:rPr>
            </w:pPr>
            <w:r w:rsidRPr="007F6332">
              <w:rPr>
                <w:rFonts w:cs="Arial"/>
                <w:b/>
                <w:bCs/>
                <w:color w:val="FFFFFF"/>
                <w:szCs w:val="22"/>
              </w:rPr>
              <w:t>SIL Status</w:t>
            </w:r>
          </w:p>
        </w:tc>
        <w:tc>
          <w:tcPr>
            <w:tcW w:w="1868" w:type="dxa"/>
            <w:tcBorders>
              <w:top w:val="nil"/>
              <w:left w:val="nil"/>
              <w:bottom w:val="nil"/>
              <w:right w:val="nil"/>
            </w:tcBorders>
            <w:shd w:val="clear" w:color="000000" w:fill="6B2976"/>
            <w:vAlign w:val="center"/>
          </w:tcPr>
          <w:p w14:paraId="7D5150E2" w14:textId="77777777" w:rsidR="008E7D15" w:rsidRPr="007F6332" w:rsidRDefault="008E7D15" w:rsidP="00036C45">
            <w:pPr>
              <w:spacing w:after="0" w:line="240" w:lineRule="auto"/>
              <w:jc w:val="right"/>
              <w:rPr>
                <w:rFonts w:eastAsia="Times New Roman" w:cs="Arial"/>
                <w:b/>
                <w:bCs/>
                <w:color w:val="FFFFFF"/>
                <w:szCs w:val="22"/>
              </w:rPr>
            </w:pPr>
            <w:r w:rsidRPr="007F6332">
              <w:rPr>
                <w:rFonts w:cs="Arial"/>
                <w:b/>
                <w:bCs/>
                <w:color w:val="FFFFFF"/>
                <w:szCs w:val="22"/>
              </w:rPr>
              <w:t>Actual</w:t>
            </w:r>
          </w:p>
        </w:tc>
        <w:tc>
          <w:tcPr>
            <w:tcW w:w="1869" w:type="dxa"/>
            <w:tcBorders>
              <w:top w:val="nil"/>
              <w:left w:val="nil"/>
              <w:bottom w:val="nil"/>
              <w:right w:val="nil"/>
            </w:tcBorders>
            <w:shd w:val="clear" w:color="000000" w:fill="6B2976"/>
            <w:vAlign w:val="center"/>
          </w:tcPr>
          <w:p w14:paraId="3398E95C" w14:textId="77777777" w:rsidR="008E7D15" w:rsidRPr="007F6332" w:rsidRDefault="008E7D15" w:rsidP="00036C45">
            <w:pPr>
              <w:spacing w:after="0" w:line="240" w:lineRule="auto"/>
              <w:jc w:val="right"/>
              <w:rPr>
                <w:rFonts w:eastAsia="Times New Roman" w:cs="Arial"/>
                <w:b/>
                <w:bCs/>
                <w:color w:val="FFFFFF"/>
                <w:szCs w:val="22"/>
              </w:rPr>
            </w:pPr>
            <w:r w:rsidRPr="007F6332">
              <w:rPr>
                <w:rFonts w:cs="Arial"/>
                <w:b/>
                <w:bCs/>
                <w:color w:val="FFFFFF"/>
                <w:szCs w:val="22"/>
              </w:rPr>
              <w:t>Expected</w:t>
            </w:r>
          </w:p>
        </w:tc>
        <w:tc>
          <w:tcPr>
            <w:tcW w:w="1868" w:type="dxa"/>
            <w:tcBorders>
              <w:top w:val="nil"/>
              <w:left w:val="nil"/>
              <w:bottom w:val="nil"/>
              <w:right w:val="nil"/>
            </w:tcBorders>
            <w:shd w:val="clear" w:color="000000" w:fill="6B2976"/>
            <w:vAlign w:val="center"/>
          </w:tcPr>
          <w:p w14:paraId="0C3D409F" w14:textId="77777777" w:rsidR="008E7D15" w:rsidRPr="007F6332" w:rsidRDefault="008E7D15" w:rsidP="00036C45">
            <w:pPr>
              <w:spacing w:after="0" w:line="240" w:lineRule="auto"/>
              <w:jc w:val="right"/>
              <w:rPr>
                <w:rFonts w:eastAsia="Times New Roman" w:cs="Arial"/>
                <w:b/>
                <w:bCs/>
                <w:color w:val="FFFFFF"/>
                <w:szCs w:val="22"/>
              </w:rPr>
            </w:pPr>
            <w:r w:rsidRPr="007F6332">
              <w:rPr>
                <w:rFonts w:cs="Arial"/>
                <w:b/>
                <w:bCs/>
                <w:color w:val="FFFFFF"/>
                <w:szCs w:val="22"/>
              </w:rPr>
              <w:t>Difference</w:t>
            </w:r>
          </w:p>
        </w:tc>
        <w:tc>
          <w:tcPr>
            <w:tcW w:w="1869" w:type="dxa"/>
            <w:tcBorders>
              <w:top w:val="nil"/>
              <w:left w:val="nil"/>
              <w:bottom w:val="nil"/>
              <w:right w:val="nil"/>
            </w:tcBorders>
            <w:shd w:val="clear" w:color="000000" w:fill="6B2976"/>
            <w:vAlign w:val="center"/>
          </w:tcPr>
          <w:p w14:paraId="24E4D134" w14:textId="7AE58F28" w:rsidR="008E7D15" w:rsidRPr="007F6332" w:rsidRDefault="008E7D15" w:rsidP="00036C45">
            <w:pPr>
              <w:spacing w:after="0" w:line="240" w:lineRule="auto"/>
              <w:jc w:val="right"/>
              <w:rPr>
                <w:rFonts w:eastAsia="Times New Roman" w:cs="Arial"/>
                <w:b/>
                <w:bCs/>
                <w:color w:val="FFFFFF"/>
                <w:szCs w:val="22"/>
              </w:rPr>
            </w:pPr>
            <w:r w:rsidRPr="007F6332">
              <w:rPr>
                <w:rFonts w:cs="Arial"/>
                <w:b/>
                <w:bCs/>
                <w:color w:val="FFFFFF"/>
                <w:szCs w:val="22"/>
              </w:rPr>
              <w:t>%</w:t>
            </w:r>
            <w:r w:rsidR="00C86AEF" w:rsidRPr="007F6332">
              <w:rPr>
                <w:rFonts w:cs="Arial"/>
                <w:b/>
                <w:bCs/>
                <w:color w:val="FFFFFF"/>
                <w:szCs w:val="22"/>
              </w:rPr>
              <w:t xml:space="preserve"> </w:t>
            </w:r>
            <w:r w:rsidRPr="007F6332">
              <w:rPr>
                <w:rFonts w:cs="Arial"/>
                <w:b/>
                <w:bCs/>
                <w:color w:val="FFFFFF"/>
                <w:szCs w:val="22"/>
              </w:rPr>
              <w:t>Difference</w:t>
            </w:r>
          </w:p>
        </w:tc>
      </w:tr>
      <w:tr w:rsidR="008E7D15" w:rsidRPr="007F6332" w14:paraId="6A19BDCA" w14:textId="77777777" w:rsidTr="00E53368">
        <w:trPr>
          <w:trHeight w:val="340"/>
          <w:tblHeader/>
        </w:trPr>
        <w:tc>
          <w:tcPr>
            <w:tcW w:w="1740" w:type="dxa"/>
            <w:tcBorders>
              <w:top w:val="nil"/>
              <w:left w:val="nil"/>
              <w:right w:val="nil"/>
            </w:tcBorders>
            <w:shd w:val="clear" w:color="auto" w:fill="auto"/>
            <w:noWrap/>
            <w:vAlign w:val="bottom"/>
          </w:tcPr>
          <w:p w14:paraId="56A5083A" w14:textId="77777777" w:rsidR="008E7D15" w:rsidRPr="007F6332" w:rsidRDefault="008E7D15" w:rsidP="00036C45">
            <w:pPr>
              <w:spacing w:after="0" w:line="240" w:lineRule="auto"/>
              <w:rPr>
                <w:rFonts w:eastAsia="Times New Roman" w:cs="Arial"/>
                <w:color w:val="000000"/>
                <w:szCs w:val="22"/>
              </w:rPr>
            </w:pPr>
            <w:r w:rsidRPr="007F6332">
              <w:rPr>
                <w:rFonts w:cs="Arial"/>
                <w:color w:val="000000"/>
                <w:szCs w:val="22"/>
              </w:rPr>
              <w:t>SIL</w:t>
            </w:r>
          </w:p>
        </w:tc>
        <w:tc>
          <w:tcPr>
            <w:tcW w:w="1868" w:type="dxa"/>
            <w:tcBorders>
              <w:top w:val="nil"/>
              <w:left w:val="nil"/>
              <w:right w:val="nil"/>
            </w:tcBorders>
            <w:shd w:val="clear" w:color="auto" w:fill="auto"/>
            <w:noWrap/>
            <w:vAlign w:val="center"/>
          </w:tcPr>
          <w:p w14:paraId="143972EA"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4,868</w:t>
            </w:r>
          </w:p>
        </w:tc>
        <w:tc>
          <w:tcPr>
            <w:tcW w:w="1869" w:type="dxa"/>
            <w:tcBorders>
              <w:top w:val="nil"/>
              <w:left w:val="nil"/>
              <w:right w:val="nil"/>
            </w:tcBorders>
            <w:shd w:val="clear" w:color="auto" w:fill="auto"/>
            <w:noWrap/>
            <w:vAlign w:val="center"/>
          </w:tcPr>
          <w:p w14:paraId="7AFA2650"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1,361</w:t>
            </w:r>
          </w:p>
        </w:tc>
        <w:tc>
          <w:tcPr>
            <w:tcW w:w="1868" w:type="dxa"/>
            <w:tcBorders>
              <w:top w:val="nil"/>
              <w:left w:val="nil"/>
              <w:right w:val="nil"/>
            </w:tcBorders>
            <w:shd w:val="clear" w:color="auto" w:fill="auto"/>
            <w:noWrap/>
            <w:vAlign w:val="center"/>
          </w:tcPr>
          <w:p w14:paraId="699CCAD0"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3,507</w:t>
            </w:r>
          </w:p>
        </w:tc>
        <w:tc>
          <w:tcPr>
            <w:tcW w:w="1869" w:type="dxa"/>
            <w:tcBorders>
              <w:top w:val="nil"/>
              <w:left w:val="nil"/>
              <w:right w:val="nil"/>
            </w:tcBorders>
            <w:shd w:val="clear" w:color="auto" w:fill="auto"/>
            <w:noWrap/>
            <w:vAlign w:val="center"/>
          </w:tcPr>
          <w:p w14:paraId="3F1D823A"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257.8%</w:t>
            </w:r>
          </w:p>
        </w:tc>
      </w:tr>
      <w:tr w:rsidR="008E7D15" w:rsidRPr="007F6332" w14:paraId="4B46E4BB" w14:textId="77777777" w:rsidTr="00E53368">
        <w:trPr>
          <w:trHeight w:val="340"/>
          <w:tblHeader/>
        </w:trPr>
        <w:tc>
          <w:tcPr>
            <w:tcW w:w="1740" w:type="dxa"/>
            <w:tcBorders>
              <w:top w:val="nil"/>
              <w:left w:val="nil"/>
              <w:right w:val="nil"/>
            </w:tcBorders>
            <w:shd w:val="clear" w:color="000000" w:fill="A7A9AC"/>
            <w:noWrap/>
            <w:vAlign w:val="bottom"/>
          </w:tcPr>
          <w:p w14:paraId="7892DC99" w14:textId="77777777" w:rsidR="008E7D15" w:rsidRPr="007F6332" w:rsidRDefault="008E7D15" w:rsidP="00036C45">
            <w:pPr>
              <w:spacing w:after="0" w:line="240" w:lineRule="auto"/>
              <w:rPr>
                <w:rFonts w:eastAsia="Times New Roman" w:cs="Arial"/>
                <w:color w:val="000000"/>
                <w:szCs w:val="22"/>
              </w:rPr>
            </w:pPr>
            <w:r w:rsidRPr="007F6332">
              <w:rPr>
                <w:rFonts w:cs="Arial"/>
                <w:color w:val="000000"/>
                <w:szCs w:val="22"/>
              </w:rPr>
              <w:t>Non SIL</w:t>
            </w:r>
          </w:p>
        </w:tc>
        <w:tc>
          <w:tcPr>
            <w:tcW w:w="1868" w:type="dxa"/>
            <w:tcBorders>
              <w:top w:val="nil"/>
              <w:left w:val="nil"/>
              <w:right w:val="nil"/>
            </w:tcBorders>
            <w:shd w:val="clear" w:color="000000" w:fill="A7A9AC"/>
            <w:noWrap/>
            <w:vAlign w:val="center"/>
          </w:tcPr>
          <w:p w14:paraId="3525E134"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70,979</w:t>
            </w:r>
          </w:p>
        </w:tc>
        <w:tc>
          <w:tcPr>
            <w:tcW w:w="1869" w:type="dxa"/>
            <w:tcBorders>
              <w:top w:val="nil"/>
              <w:left w:val="nil"/>
              <w:right w:val="nil"/>
            </w:tcBorders>
            <w:shd w:val="clear" w:color="000000" w:fill="A7A9AC"/>
            <w:noWrap/>
            <w:vAlign w:val="center"/>
          </w:tcPr>
          <w:p w14:paraId="093D590B"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56,278</w:t>
            </w:r>
          </w:p>
        </w:tc>
        <w:tc>
          <w:tcPr>
            <w:tcW w:w="1868" w:type="dxa"/>
            <w:tcBorders>
              <w:top w:val="nil"/>
              <w:left w:val="nil"/>
              <w:right w:val="nil"/>
            </w:tcBorders>
            <w:shd w:val="clear" w:color="000000" w:fill="A7A9AC"/>
            <w:noWrap/>
            <w:vAlign w:val="center"/>
          </w:tcPr>
          <w:p w14:paraId="118DA39C"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14,701</w:t>
            </w:r>
          </w:p>
        </w:tc>
        <w:tc>
          <w:tcPr>
            <w:tcW w:w="1869" w:type="dxa"/>
            <w:tcBorders>
              <w:top w:val="nil"/>
              <w:left w:val="nil"/>
              <w:right w:val="nil"/>
            </w:tcBorders>
            <w:shd w:val="clear" w:color="000000" w:fill="A7A9AC"/>
            <w:noWrap/>
            <w:vAlign w:val="center"/>
          </w:tcPr>
          <w:p w14:paraId="01CA5C63" w14:textId="77777777" w:rsidR="008E7D15" w:rsidRPr="007F6332" w:rsidRDefault="008E7D15" w:rsidP="00036C45">
            <w:pPr>
              <w:spacing w:after="0" w:line="240" w:lineRule="auto"/>
              <w:jc w:val="right"/>
              <w:rPr>
                <w:rFonts w:eastAsia="Times New Roman" w:cs="Arial"/>
                <w:color w:val="000000"/>
                <w:szCs w:val="22"/>
              </w:rPr>
            </w:pPr>
            <w:r w:rsidRPr="007F6332">
              <w:rPr>
                <w:rFonts w:cs="Arial"/>
                <w:color w:val="000000"/>
                <w:szCs w:val="22"/>
              </w:rPr>
              <w:t>26.1%</w:t>
            </w:r>
          </w:p>
        </w:tc>
      </w:tr>
      <w:tr w:rsidR="00437C2A" w:rsidRPr="007F6332" w14:paraId="7BFD0451" w14:textId="77777777" w:rsidTr="00E53368">
        <w:trPr>
          <w:trHeight w:val="340"/>
          <w:tblHeader/>
        </w:trPr>
        <w:tc>
          <w:tcPr>
            <w:tcW w:w="1740" w:type="dxa"/>
            <w:tcBorders>
              <w:left w:val="nil"/>
              <w:bottom w:val="single" w:sz="4" w:space="0" w:color="auto"/>
              <w:right w:val="nil"/>
            </w:tcBorders>
            <w:shd w:val="clear" w:color="auto" w:fill="B398B8"/>
            <w:noWrap/>
            <w:vAlign w:val="bottom"/>
          </w:tcPr>
          <w:p w14:paraId="79C1BE90" w14:textId="77777777" w:rsidR="008E7D15" w:rsidRPr="007F6332" w:rsidRDefault="008E7D15" w:rsidP="00036C45">
            <w:pPr>
              <w:spacing w:after="0" w:line="240" w:lineRule="auto"/>
              <w:rPr>
                <w:rFonts w:eastAsia="Times New Roman" w:cs="Arial"/>
                <w:b/>
                <w:bCs/>
                <w:color w:val="000000"/>
                <w:szCs w:val="22"/>
              </w:rPr>
            </w:pPr>
            <w:r w:rsidRPr="007F6332">
              <w:rPr>
                <w:rFonts w:cs="Arial"/>
                <w:b/>
                <w:bCs/>
                <w:color w:val="000000"/>
                <w:szCs w:val="22"/>
              </w:rPr>
              <w:t>Total</w:t>
            </w:r>
          </w:p>
        </w:tc>
        <w:tc>
          <w:tcPr>
            <w:tcW w:w="1868" w:type="dxa"/>
            <w:tcBorders>
              <w:left w:val="nil"/>
              <w:bottom w:val="single" w:sz="4" w:space="0" w:color="auto"/>
              <w:right w:val="nil"/>
            </w:tcBorders>
            <w:shd w:val="clear" w:color="auto" w:fill="B398B8"/>
            <w:noWrap/>
            <w:vAlign w:val="center"/>
          </w:tcPr>
          <w:p w14:paraId="18B888FC" w14:textId="77777777" w:rsidR="008E7D15" w:rsidRPr="007F6332" w:rsidRDefault="008E7D15" w:rsidP="00036C45">
            <w:pPr>
              <w:spacing w:after="0" w:line="240" w:lineRule="auto"/>
              <w:jc w:val="right"/>
              <w:rPr>
                <w:rFonts w:eastAsia="Times New Roman" w:cs="Arial"/>
                <w:b/>
                <w:bCs/>
                <w:color w:val="000000"/>
                <w:szCs w:val="22"/>
              </w:rPr>
            </w:pPr>
            <w:r w:rsidRPr="007F6332">
              <w:rPr>
                <w:rFonts w:cs="Arial"/>
                <w:b/>
                <w:bCs/>
                <w:color w:val="000000"/>
                <w:szCs w:val="22"/>
              </w:rPr>
              <w:t>75,847</w:t>
            </w:r>
          </w:p>
        </w:tc>
        <w:tc>
          <w:tcPr>
            <w:tcW w:w="1869" w:type="dxa"/>
            <w:tcBorders>
              <w:left w:val="nil"/>
              <w:bottom w:val="single" w:sz="4" w:space="0" w:color="auto"/>
              <w:right w:val="nil"/>
            </w:tcBorders>
            <w:shd w:val="clear" w:color="auto" w:fill="B398B8"/>
            <w:noWrap/>
            <w:vAlign w:val="center"/>
          </w:tcPr>
          <w:p w14:paraId="7A6BE9F5" w14:textId="77777777" w:rsidR="008E7D15" w:rsidRPr="007F6332" w:rsidRDefault="008E7D15" w:rsidP="00036C45">
            <w:pPr>
              <w:spacing w:after="0" w:line="240" w:lineRule="auto"/>
              <w:jc w:val="right"/>
              <w:rPr>
                <w:rFonts w:eastAsia="Times New Roman" w:cs="Arial"/>
                <w:b/>
                <w:bCs/>
                <w:color w:val="000000"/>
                <w:szCs w:val="22"/>
              </w:rPr>
            </w:pPr>
            <w:r w:rsidRPr="007F6332">
              <w:rPr>
                <w:rFonts w:cs="Arial"/>
                <w:b/>
                <w:bCs/>
                <w:color w:val="000000"/>
                <w:szCs w:val="22"/>
              </w:rPr>
              <w:t>57,639</w:t>
            </w:r>
          </w:p>
        </w:tc>
        <w:tc>
          <w:tcPr>
            <w:tcW w:w="1868" w:type="dxa"/>
            <w:tcBorders>
              <w:left w:val="nil"/>
              <w:bottom w:val="single" w:sz="4" w:space="0" w:color="auto"/>
              <w:right w:val="nil"/>
            </w:tcBorders>
            <w:shd w:val="clear" w:color="auto" w:fill="B398B8"/>
            <w:noWrap/>
            <w:vAlign w:val="center"/>
          </w:tcPr>
          <w:p w14:paraId="18FB67F9" w14:textId="77777777" w:rsidR="008E7D15" w:rsidRPr="007F6332" w:rsidRDefault="008E7D15" w:rsidP="00036C45">
            <w:pPr>
              <w:spacing w:after="0" w:line="240" w:lineRule="auto"/>
              <w:jc w:val="right"/>
              <w:rPr>
                <w:rFonts w:eastAsia="Times New Roman" w:cs="Arial"/>
                <w:b/>
                <w:bCs/>
                <w:color w:val="000000"/>
                <w:szCs w:val="22"/>
              </w:rPr>
            </w:pPr>
            <w:r w:rsidRPr="007F6332">
              <w:rPr>
                <w:rFonts w:cs="Arial"/>
                <w:b/>
                <w:bCs/>
                <w:color w:val="000000"/>
                <w:szCs w:val="22"/>
              </w:rPr>
              <w:t>18,208</w:t>
            </w:r>
          </w:p>
        </w:tc>
        <w:tc>
          <w:tcPr>
            <w:tcW w:w="1869" w:type="dxa"/>
            <w:tcBorders>
              <w:left w:val="nil"/>
              <w:bottom w:val="single" w:sz="4" w:space="0" w:color="auto"/>
              <w:right w:val="nil"/>
            </w:tcBorders>
            <w:shd w:val="clear" w:color="auto" w:fill="B398B8"/>
            <w:noWrap/>
            <w:vAlign w:val="center"/>
          </w:tcPr>
          <w:p w14:paraId="7FD07A9E" w14:textId="77777777" w:rsidR="008E7D15" w:rsidRPr="007F6332" w:rsidRDefault="008E7D15" w:rsidP="00036C45">
            <w:pPr>
              <w:spacing w:after="0" w:line="240" w:lineRule="auto"/>
              <w:jc w:val="right"/>
              <w:rPr>
                <w:rFonts w:eastAsia="Times New Roman" w:cs="Arial"/>
                <w:b/>
                <w:bCs/>
                <w:color w:val="000000"/>
                <w:szCs w:val="22"/>
              </w:rPr>
            </w:pPr>
            <w:r w:rsidRPr="007F6332">
              <w:rPr>
                <w:rFonts w:cs="Arial"/>
                <w:b/>
                <w:bCs/>
                <w:color w:val="000000"/>
                <w:szCs w:val="22"/>
              </w:rPr>
              <w:t>31.6%</w:t>
            </w:r>
          </w:p>
        </w:tc>
      </w:tr>
    </w:tbl>
    <w:p w14:paraId="3F753134" w14:textId="5994AEC4" w:rsidR="00936337" w:rsidRPr="007F6332" w:rsidRDefault="00957BCE" w:rsidP="00936337">
      <w:pPr>
        <w:pStyle w:val="FSRnormal"/>
        <w:rPr>
          <w:rFonts w:cs="Arial"/>
        </w:rPr>
      </w:pPr>
      <w:r w:rsidRPr="007F6332">
        <w:rPr>
          <w:rFonts w:cs="Arial"/>
        </w:rPr>
        <w:t>Table 4.3</w:t>
      </w:r>
      <w:r w:rsidR="00936337" w:rsidRPr="007F6332">
        <w:rPr>
          <w:rFonts w:cs="Arial"/>
        </w:rPr>
        <w:t xml:space="preserve"> compares the net increase in participants over 2022-23 against expectations from the previous review by age group and shows that:</w:t>
      </w:r>
    </w:p>
    <w:p w14:paraId="0DED7C5F" w14:textId="77777777" w:rsidR="00936337" w:rsidRPr="007F6332" w:rsidRDefault="00936337" w:rsidP="00C1755E">
      <w:pPr>
        <w:pStyle w:val="FSRlist"/>
        <w:rPr>
          <w:rFonts w:cs="Arial"/>
        </w:rPr>
      </w:pPr>
      <w:r w:rsidRPr="007F6332">
        <w:rPr>
          <w:rFonts w:cs="Arial"/>
        </w:rPr>
        <w:t>The net increase in participants was greater than expected across all age groups except for ages 35 to 64.</w:t>
      </w:r>
    </w:p>
    <w:p w14:paraId="4FBD5D21" w14:textId="2EC1A80B" w:rsidR="00664440" w:rsidRPr="007F6332" w:rsidRDefault="00936337" w:rsidP="00C1755E">
      <w:pPr>
        <w:pStyle w:val="FSRlist"/>
        <w:rPr>
          <w:rFonts w:cs="Arial"/>
        </w:rPr>
      </w:pPr>
      <w:r w:rsidRPr="007F6332">
        <w:rPr>
          <w:rFonts w:cs="Arial"/>
        </w:rPr>
        <w:t>The biggest differences were in the cohort aged 0 to 6, where the net increase was 13,321 more than expected (41</w:t>
      </w:r>
      <w:r w:rsidR="00891A6E" w:rsidRPr="007F6332">
        <w:rPr>
          <w:rFonts w:cs="Arial"/>
        </w:rPr>
        <w:t>4.9</w:t>
      </w:r>
      <w:r w:rsidRPr="007F6332">
        <w:rPr>
          <w:rFonts w:cs="Arial"/>
        </w:rPr>
        <w:t>% higher), followed by participants aged 7 to 14 where the net increase was 4,917 more than expected (2</w:t>
      </w:r>
      <w:r w:rsidR="00891A6E" w:rsidRPr="007F6332">
        <w:rPr>
          <w:rFonts w:cs="Arial"/>
        </w:rPr>
        <w:t>8.5</w:t>
      </w:r>
      <w:r w:rsidRPr="007F6332">
        <w:rPr>
          <w:rFonts w:cs="Arial"/>
        </w:rPr>
        <w:t>% higher). This reflects the high intake of children with developmental delay tha</w:t>
      </w:r>
      <w:r w:rsidR="00737BF0" w:rsidRPr="007F6332">
        <w:rPr>
          <w:rFonts w:cs="Arial"/>
        </w:rPr>
        <w:t>t</w:t>
      </w:r>
      <w:r w:rsidRPr="007F6332">
        <w:rPr>
          <w:rFonts w:cs="Arial"/>
        </w:rPr>
        <w:t xml:space="preserve"> was observed in 2022-23.</w:t>
      </w:r>
    </w:p>
    <w:p w14:paraId="59752E40" w14:textId="77777777" w:rsidR="0053380A" w:rsidRPr="007F6332" w:rsidRDefault="0053380A" w:rsidP="000F15CC">
      <w:pPr>
        <w:pStyle w:val="Heading7"/>
        <w:rPr>
          <w:rFonts w:cs="Arial"/>
        </w:rPr>
        <w:sectPr w:rsidR="0053380A" w:rsidRPr="007F6332" w:rsidSect="00E53368">
          <w:pgSz w:w="11906" w:h="16838"/>
          <w:pgMar w:top="1440" w:right="1133" w:bottom="1440" w:left="1440" w:header="708" w:footer="567" w:gutter="0"/>
          <w:cols w:space="708"/>
          <w:titlePg/>
          <w:docGrid w:linePitch="360"/>
        </w:sectPr>
      </w:pPr>
    </w:p>
    <w:p w14:paraId="100C8AFE" w14:textId="0D80563B" w:rsidR="00E426C3" w:rsidRPr="007F6332" w:rsidRDefault="00E426C3" w:rsidP="006B61AA">
      <w:pPr>
        <w:pStyle w:val="FiguresandTablesHeading5"/>
      </w:pPr>
      <w:r w:rsidRPr="007F6332">
        <w:lastRenderedPageBreak/>
        <w:t>Table 4.3: Actual versus expected net increase in participants in 2022-23 by age group</w:t>
      </w:r>
    </w:p>
    <w:tbl>
      <w:tblPr>
        <w:tblW w:w="9214" w:type="dxa"/>
        <w:tblLayout w:type="fixed"/>
        <w:tblLook w:val="04A0" w:firstRow="1" w:lastRow="0" w:firstColumn="1" w:lastColumn="0" w:noHBand="0" w:noVBand="1"/>
      </w:tblPr>
      <w:tblGrid>
        <w:gridCol w:w="1418"/>
        <w:gridCol w:w="1949"/>
        <w:gridCol w:w="1949"/>
        <w:gridCol w:w="1949"/>
        <w:gridCol w:w="1949"/>
      </w:tblGrid>
      <w:tr w:rsidR="00E426C3" w:rsidRPr="007F6332" w14:paraId="7B0D5023" w14:textId="77777777" w:rsidTr="00E53368">
        <w:trPr>
          <w:trHeight w:val="532"/>
          <w:tblHeader/>
        </w:trPr>
        <w:tc>
          <w:tcPr>
            <w:tcW w:w="1418" w:type="dxa"/>
            <w:tcBorders>
              <w:top w:val="nil"/>
              <w:left w:val="nil"/>
              <w:right w:val="nil"/>
            </w:tcBorders>
            <w:shd w:val="clear" w:color="000000" w:fill="6B2976"/>
            <w:noWrap/>
            <w:vAlign w:val="center"/>
            <w:hideMark/>
          </w:tcPr>
          <w:p w14:paraId="71196499" w14:textId="77777777" w:rsidR="00E426C3" w:rsidRPr="007F6332" w:rsidRDefault="00E426C3" w:rsidP="00036C45">
            <w:pPr>
              <w:spacing w:after="0" w:line="240" w:lineRule="auto"/>
              <w:jc w:val="right"/>
              <w:rPr>
                <w:rFonts w:eastAsia="Times New Roman" w:cs="Arial"/>
                <w:b/>
                <w:bCs/>
                <w:color w:val="FFFFFF"/>
                <w:szCs w:val="22"/>
              </w:rPr>
            </w:pPr>
            <w:r w:rsidRPr="007F6332">
              <w:rPr>
                <w:rFonts w:cs="Arial"/>
                <w:b/>
                <w:bCs/>
                <w:color w:val="FFFFFF"/>
                <w:szCs w:val="22"/>
              </w:rPr>
              <w:t>Age Group</w:t>
            </w:r>
          </w:p>
        </w:tc>
        <w:tc>
          <w:tcPr>
            <w:tcW w:w="1949" w:type="dxa"/>
            <w:tcBorders>
              <w:top w:val="nil"/>
              <w:left w:val="nil"/>
              <w:right w:val="nil"/>
            </w:tcBorders>
            <w:shd w:val="clear" w:color="000000" w:fill="6B2976"/>
            <w:vAlign w:val="center"/>
            <w:hideMark/>
          </w:tcPr>
          <w:p w14:paraId="76354348" w14:textId="77777777" w:rsidR="00E426C3" w:rsidRPr="007F6332" w:rsidRDefault="00E426C3" w:rsidP="00036C45">
            <w:pPr>
              <w:spacing w:after="0" w:line="240" w:lineRule="auto"/>
              <w:jc w:val="right"/>
              <w:rPr>
                <w:rFonts w:eastAsia="Times New Roman" w:cs="Arial"/>
                <w:b/>
                <w:bCs/>
                <w:color w:val="FFFFFF"/>
                <w:szCs w:val="22"/>
              </w:rPr>
            </w:pPr>
            <w:r w:rsidRPr="007F6332">
              <w:rPr>
                <w:rFonts w:cs="Arial"/>
                <w:b/>
                <w:bCs/>
                <w:color w:val="FFFFFF"/>
                <w:szCs w:val="22"/>
              </w:rPr>
              <w:t>Actual</w:t>
            </w:r>
          </w:p>
        </w:tc>
        <w:tc>
          <w:tcPr>
            <w:tcW w:w="1949" w:type="dxa"/>
            <w:tcBorders>
              <w:top w:val="nil"/>
              <w:left w:val="nil"/>
              <w:right w:val="nil"/>
            </w:tcBorders>
            <w:shd w:val="clear" w:color="000000" w:fill="6B2976"/>
            <w:vAlign w:val="center"/>
            <w:hideMark/>
          </w:tcPr>
          <w:p w14:paraId="74630B2D" w14:textId="4A029C82" w:rsidR="00E426C3" w:rsidRPr="007F6332" w:rsidRDefault="00E426C3" w:rsidP="00036C45">
            <w:pPr>
              <w:spacing w:after="0" w:line="240" w:lineRule="auto"/>
              <w:jc w:val="right"/>
              <w:rPr>
                <w:rFonts w:eastAsia="Times New Roman" w:cs="Arial"/>
                <w:b/>
                <w:bCs/>
                <w:color w:val="FFFFFF"/>
                <w:szCs w:val="22"/>
              </w:rPr>
            </w:pPr>
            <w:r w:rsidRPr="007F6332">
              <w:rPr>
                <w:rFonts w:cs="Arial"/>
                <w:b/>
                <w:bCs/>
                <w:color w:val="FFFFFF"/>
                <w:szCs w:val="22"/>
              </w:rPr>
              <w:t>Expected</w:t>
            </w:r>
          </w:p>
        </w:tc>
        <w:tc>
          <w:tcPr>
            <w:tcW w:w="1949" w:type="dxa"/>
            <w:tcBorders>
              <w:top w:val="nil"/>
              <w:left w:val="nil"/>
              <w:right w:val="nil"/>
            </w:tcBorders>
            <w:shd w:val="clear" w:color="000000" w:fill="6B2976"/>
            <w:vAlign w:val="center"/>
            <w:hideMark/>
          </w:tcPr>
          <w:p w14:paraId="16B0BE74" w14:textId="77777777" w:rsidR="00E426C3" w:rsidRPr="007F6332" w:rsidRDefault="00E426C3" w:rsidP="00036C45">
            <w:pPr>
              <w:spacing w:after="0" w:line="240" w:lineRule="auto"/>
              <w:jc w:val="right"/>
              <w:rPr>
                <w:rFonts w:eastAsia="Times New Roman" w:cs="Arial"/>
                <w:b/>
                <w:bCs/>
                <w:color w:val="FFFFFF"/>
                <w:szCs w:val="22"/>
              </w:rPr>
            </w:pPr>
            <w:r w:rsidRPr="007F6332">
              <w:rPr>
                <w:rFonts w:cs="Arial"/>
                <w:b/>
                <w:bCs/>
                <w:color w:val="FFFFFF"/>
                <w:szCs w:val="22"/>
              </w:rPr>
              <w:t>Difference</w:t>
            </w:r>
          </w:p>
        </w:tc>
        <w:tc>
          <w:tcPr>
            <w:tcW w:w="1949" w:type="dxa"/>
            <w:tcBorders>
              <w:top w:val="nil"/>
              <w:left w:val="nil"/>
              <w:right w:val="nil"/>
            </w:tcBorders>
            <w:shd w:val="clear" w:color="000000" w:fill="6B2976"/>
            <w:vAlign w:val="center"/>
            <w:hideMark/>
          </w:tcPr>
          <w:p w14:paraId="15871A6C" w14:textId="61FB6142" w:rsidR="00E426C3" w:rsidRPr="007F6332" w:rsidRDefault="00E426C3" w:rsidP="00036C45">
            <w:pPr>
              <w:spacing w:after="0" w:line="240" w:lineRule="auto"/>
              <w:jc w:val="right"/>
              <w:rPr>
                <w:rFonts w:eastAsia="Times New Roman" w:cs="Arial"/>
                <w:b/>
                <w:bCs/>
                <w:color w:val="FFFFFF"/>
                <w:szCs w:val="22"/>
              </w:rPr>
            </w:pPr>
            <w:r w:rsidRPr="007F6332">
              <w:rPr>
                <w:rFonts w:cs="Arial"/>
                <w:b/>
                <w:bCs/>
                <w:color w:val="FFFFFF"/>
                <w:szCs w:val="22"/>
              </w:rPr>
              <w:t>%</w:t>
            </w:r>
            <w:r w:rsidR="00E87104" w:rsidRPr="007F6332">
              <w:rPr>
                <w:rFonts w:cs="Arial"/>
                <w:b/>
                <w:bCs/>
                <w:color w:val="FFFFFF"/>
                <w:szCs w:val="22"/>
              </w:rPr>
              <w:t xml:space="preserve"> </w:t>
            </w:r>
            <w:r w:rsidRPr="007F6332">
              <w:rPr>
                <w:rFonts w:cs="Arial"/>
                <w:b/>
                <w:bCs/>
                <w:color w:val="FFFFFF"/>
                <w:szCs w:val="22"/>
              </w:rPr>
              <w:t>Difference</w:t>
            </w:r>
          </w:p>
        </w:tc>
      </w:tr>
      <w:tr w:rsidR="00E426C3" w:rsidRPr="007F6332" w14:paraId="42313BF7" w14:textId="77777777" w:rsidTr="00BB35B6">
        <w:trPr>
          <w:trHeight w:val="397"/>
          <w:tblHeader/>
        </w:trPr>
        <w:tc>
          <w:tcPr>
            <w:tcW w:w="1418" w:type="dxa"/>
            <w:tcBorders>
              <w:top w:val="nil"/>
              <w:left w:val="nil"/>
              <w:bottom w:val="nil"/>
              <w:right w:val="nil"/>
            </w:tcBorders>
            <w:shd w:val="clear" w:color="000000" w:fill="A7A9AC"/>
            <w:noWrap/>
            <w:vAlign w:val="center"/>
          </w:tcPr>
          <w:p w14:paraId="48C843AD"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0 to 6</w:t>
            </w:r>
          </w:p>
        </w:tc>
        <w:tc>
          <w:tcPr>
            <w:tcW w:w="1949" w:type="dxa"/>
            <w:tcBorders>
              <w:top w:val="nil"/>
              <w:left w:val="nil"/>
              <w:bottom w:val="nil"/>
              <w:right w:val="nil"/>
            </w:tcBorders>
            <w:shd w:val="clear" w:color="000000" w:fill="A7A9AC"/>
            <w:noWrap/>
            <w:vAlign w:val="center"/>
          </w:tcPr>
          <w:p w14:paraId="45D93284"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16,532</w:t>
            </w:r>
          </w:p>
        </w:tc>
        <w:tc>
          <w:tcPr>
            <w:tcW w:w="1949" w:type="dxa"/>
            <w:tcBorders>
              <w:top w:val="nil"/>
              <w:left w:val="nil"/>
              <w:bottom w:val="nil"/>
              <w:right w:val="nil"/>
            </w:tcBorders>
            <w:shd w:val="clear" w:color="000000" w:fill="A7A9AC"/>
            <w:noWrap/>
            <w:vAlign w:val="center"/>
          </w:tcPr>
          <w:p w14:paraId="3873D6A8" w14:textId="2E010DBB"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3,211</w:t>
            </w:r>
          </w:p>
        </w:tc>
        <w:tc>
          <w:tcPr>
            <w:tcW w:w="1949" w:type="dxa"/>
            <w:tcBorders>
              <w:top w:val="nil"/>
              <w:left w:val="nil"/>
              <w:bottom w:val="nil"/>
              <w:right w:val="nil"/>
            </w:tcBorders>
            <w:shd w:val="clear" w:color="000000" w:fill="A7A9AC"/>
            <w:noWrap/>
            <w:vAlign w:val="center"/>
          </w:tcPr>
          <w:p w14:paraId="4EFEC9AA"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13,321</w:t>
            </w:r>
          </w:p>
        </w:tc>
        <w:tc>
          <w:tcPr>
            <w:tcW w:w="1949" w:type="dxa"/>
            <w:tcBorders>
              <w:top w:val="nil"/>
              <w:left w:val="nil"/>
              <w:bottom w:val="nil"/>
              <w:right w:val="nil"/>
            </w:tcBorders>
            <w:shd w:val="clear" w:color="000000" w:fill="A7A9AC"/>
            <w:noWrap/>
            <w:vAlign w:val="center"/>
          </w:tcPr>
          <w:p w14:paraId="1F8B6869"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414.9%</w:t>
            </w:r>
          </w:p>
        </w:tc>
      </w:tr>
      <w:tr w:rsidR="00E426C3" w:rsidRPr="007F6332" w14:paraId="1F6D7FF0" w14:textId="77777777" w:rsidTr="00BB35B6">
        <w:trPr>
          <w:trHeight w:val="397"/>
          <w:tblHeader/>
        </w:trPr>
        <w:tc>
          <w:tcPr>
            <w:tcW w:w="1418" w:type="dxa"/>
            <w:tcBorders>
              <w:top w:val="nil"/>
              <w:left w:val="nil"/>
              <w:bottom w:val="nil"/>
              <w:right w:val="nil"/>
            </w:tcBorders>
            <w:shd w:val="clear" w:color="auto" w:fill="auto"/>
            <w:noWrap/>
            <w:vAlign w:val="center"/>
          </w:tcPr>
          <w:p w14:paraId="75D658EE"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7 to 14</w:t>
            </w:r>
          </w:p>
        </w:tc>
        <w:tc>
          <w:tcPr>
            <w:tcW w:w="1949" w:type="dxa"/>
            <w:tcBorders>
              <w:top w:val="nil"/>
              <w:left w:val="nil"/>
              <w:bottom w:val="nil"/>
              <w:right w:val="nil"/>
            </w:tcBorders>
            <w:shd w:val="clear" w:color="auto" w:fill="auto"/>
            <w:noWrap/>
            <w:vAlign w:val="center"/>
          </w:tcPr>
          <w:p w14:paraId="3B1E995F"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22,192</w:t>
            </w:r>
          </w:p>
        </w:tc>
        <w:tc>
          <w:tcPr>
            <w:tcW w:w="1949" w:type="dxa"/>
            <w:tcBorders>
              <w:top w:val="nil"/>
              <w:left w:val="nil"/>
              <w:bottom w:val="nil"/>
              <w:right w:val="nil"/>
            </w:tcBorders>
            <w:shd w:val="clear" w:color="auto" w:fill="auto"/>
            <w:noWrap/>
            <w:vAlign w:val="center"/>
          </w:tcPr>
          <w:p w14:paraId="1FEEB58B" w14:textId="20A6CB55"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17,275</w:t>
            </w:r>
          </w:p>
        </w:tc>
        <w:tc>
          <w:tcPr>
            <w:tcW w:w="1949" w:type="dxa"/>
            <w:tcBorders>
              <w:top w:val="nil"/>
              <w:left w:val="nil"/>
              <w:bottom w:val="nil"/>
              <w:right w:val="nil"/>
            </w:tcBorders>
            <w:shd w:val="clear" w:color="auto" w:fill="auto"/>
            <w:noWrap/>
            <w:vAlign w:val="center"/>
          </w:tcPr>
          <w:p w14:paraId="23B75BC8"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4,917</w:t>
            </w:r>
          </w:p>
        </w:tc>
        <w:tc>
          <w:tcPr>
            <w:tcW w:w="1949" w:type="dxa"/>
            <w:tcBorders>
              <w:top w:val="nil"/>
              <w:left w:val="nil"/>
              <w:bottom w:val="nil"/>
              <w:right w:val="nil"/>
            </w:tcBorders>
            <w:shd w:val="clear" w:color="auto" w:fill="auto"/>
            <w:noWrap/>
            <w:vAlign w:val="center"/>
          </w:tcPr>
          <w:p w14:paraId="4C48C9AB"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28.5%</w:t>
            </w:r>
          </w:p>
        </w:tc>
      </w:tr>
      <w:tr w:rsidR="00E426C3" w:rsidRPr="007F6332" w14:paraId="60CE7A2A" w14:textId="77777777" w:rsidTr="00BB35B6">
        <w:trPr>
          <w:trHeight w:val="397"/>
          <w:tblHeader/>
        </w:trPr>
        <w:tc>
          <w:tcPr>
            <w:tcW w:w="1418" w:type="dxa"/>
            <w:tcBorders>
              <w:top w:val="nil"/>
              <w:left w:val="nil"/>
              <w:bottom w:val="nil"/>
              <w:right w:val="nil"/>
            </w:tcBorders>
            <w:shd w:val="clear" w:color="000000" w:fill="A7A9AC"/>
            <w:noWrap/>
            <w:vAlign w:val="center"/>
          </w:tcPr>
          <w:p w14:paraId="46D1D35C"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15 to 18</w:t>
            </w:r>
          </w:p>
        </w:tc>
        <w:tc>
          <w:tcPr>
            <w:tcW w:w="1949" w:type="dxa"/>
            <w:tcBorders>
              <w:top w:val="nil"/>
              <w:left w:val="nil"/>
              <w:bottom w:val="nil"/>
              <w:right w:val="nil"/>
            </w:tcBorders>
            <w:shd w:val="clear" w:color="000000" w:fill="A7A9AC"/>
            <w:noWrap/>
            <w:vAlign w:val="center"/>
          </w:tcPr>
          <w:p w14:paraId="7AA63A99"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8,859</w:t>
            </w:r>
          </w:p>
        </w:tc>
        <w:tc>
          <w:tcPr>
            <w:tcW w:w="1949" w:type="dxa"/>
            <w:tcBorders>
              <w:top w:val="nil"/>
              <w:left w:val="nil"/>
              <w:bottom w:val="nil"/>
              <w:right w:val="nil"/>
            </w:tcBorders>
            <w:shd w:val="clear" w:color="000000" w:fill="A7A9AC"/>
            <w:noWrap/>
            <w:vAlign w:val="center"/>
          </w:tcPr>
          <w:p w14:paraId="5622F90A" w14:textId="76060524"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8,486</w:t>
            </w:r>
          </w:p>
        </w:tc>
        <w:tc>
          <w:tcPr>
            <w:tcW w:w="1949" w:type="dxa"/>
            <w:tcBorders>
              <w:top w:val="nil"/>
              <w:left w:val="nil"/>
              <w:bottom w:val="nil"/>
              <w:right w:val="nil"/>
            </w:tcBorders>
            <w:shd w:val="clear" w:color="000000" w:fill="A7A9AC"/>
            <w:noWrap/>
            <w:vAlign w:val="center"/>
          </w:tcPr>
          <w:p w14:paraId="16B8DF69"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373</w:t>
            </w:r>
          </w:p>
        </w:tc>
        <w:tc>
          <w:tcPr>
            <w:tcW w:w="1949" w:type="dxa"/>
            <w:tcBorders>
              <w:top w:val="nil"/>
              <w:left w:val="nil"/>
              <w:bottom w:val="nil"/>
              <w:right w:val="nil"/>
            </w:tcBorders>
            <w:shd w:val="clear" w:color="000000" w:fill="A7A9AC"/>
            <w:noWrap/>
            <w:vAlign w:val="center"/>
          </w:tcPr>
          <w:p w14:paraId="4D5F6C67"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4.4%</w:t>
            </w:r>
          </w:p>
        </w:tc>
      </w:tr>
      <w:tr w:rsidR="00E426C3" w:rsidRPr="007F6332" w14:paraId="1ADAE509" w14:textId="77777777" w:rsidTr="00BB35B6">
        <w:trPr>
          <w:trHeight w:val="397"/>
          <w:tblHeader/>
        </w:trPr>
        <w:tc>
          <w:tcPr>
            <w:tcW w:w="1418" w:type="dxa"/>
            <w:tcBorders>
              <w:top w:val="nil"/>
              <w:left w:val="nil"/>
              <w:bottom w:val="nil"/>
              <w:right w:val="nil"/>
            </w:tcBorders>
            <w:shd w:val="clear" w:color="auto" w:fill="auto"/>
            <w:noWrap/>
            <w:vAlign w:val="center"/>
          </w:tcPr>
          <w:p w14:paraId="6C3199C9"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19 to 24</w:t>
            </w:r>
          </w:p>
        </w:tc>
        <w:tc>
          <w:tcPr>
            <w:tcW w:w="1949" w:type="dxa"/>
            <w:tcBorders>
              <w:top w:val="nil"/>
              <w:left w:val="nil"/>
              <w:bottom w:val="nil"/>
              <w:right w:val="nil"/>
            </w:tcBorders>
            <w:shd w:val="clear" w:color="auto" w:fill="auto"/>
            <w:noWrap/>
            <w:vAlign w:val="center"/>
          </w:tcPr>
          <w:p w14:paraId="45E5AFE0"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5,840</w:t>
            </w:r>
          </w:p>
        </w:tc>
        <w:tc>
          <w:tcPr>
            <w:tcW w:w="1949" w:type="dxa"/>
            <w:tcBorders>
              <w:top w:val="nil"/>
              <w:left w:val="nil"/>
              <w:bottom w:val="nil"/>
              <w:right w:val="nil"/>
            </w:tcBorders>
            <w:shd w:val="clear" w:color="auto" w:fill="auto"/>
            <w:noWrap/>
            <w:vAlign w:val="center"/>
          </w:tcPr>
          <w:p w14:paraId="179907F5" w14:textId="02438483"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5,594</w:t>
            </w:r>
          </w:p>
        </w:tc>
        <w:tc>
          <w:tcPr>
            <w:tcW w:w="1949" w:type="dxa"/>
            <w:tcBorders>
              <w:top w:val="nil"/>
              <w:left w:val="nil"/>
              <w:bottom w:val="nil"/>
              <w:right w:val="nil"/>
            </w:tcBorders>
            <w:shd w:val="clear" w:color="auto" w:fill="auto"/>
            <w:noWrap/>
            <w:vAlign w:val="center"/>
          </w:tcPr>
          <w:p w14:paraId="64D304D7"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246</w:t>
            </w:r>
          </w:p>
        </w:tc>
        <w:tc>
          <w:tcPr>
            <w:tcW w:w="1949" w:type="dxa"/>
            <w:tcBorders>
              <w:top w:val="nil"/>
              <w:left w:val="nil"/>
              <w:bottom w:val="nil"/>
              <w:right w:val="nil"/>
            </w:tcBorders>
            <w:shd w:val="clear" w:color="auto" w:fill="auto"/>
            <w:noWrap/>
            <w:vAlign w:val="center"/>
          </w:tcPr>
          <w:p w14:paraId="0E6D86D9"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4.4%</w:t>
            </w:r>
          </w:p>
        </w:tc>
      </w:tr>
      <w:tr w:rsidR="00E426C3" w:rsidRPr="007F6332" w14:paraId="14FDF356" w14:textId="77777777" w:rsidTr="00BB35B6">
        <w:trPr>
          <w:trHeight w:val="397"/>
          <w:tblHeader/>
        </w:trPr>
        <w:tc>
          <w:tcPr>
            <w:tcW w:w="1418" w:type="dxa"/>
            <w:tcBorders>
              <w:top w:val="nil"/>
              <w:left w:val="nil"/>
              <w:bottom w:val="nil"/>
              <w:right w:val="nil"/>
            </w:tcBorders>
            <w:shd w:val="clear" w:color="000000" w:fill="A7A9AC"/>
            <w:noWrap/>
            <w:vAlign w:val="center"/>
          </w:tcPr>
          <w:p w14:paraId="5A915891"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25 to 34</w:t>
            </w:r>
          </w:p>
        </w:tc>
        <w:tc>
          <w:tcPr>
            <w:tcW w:w="1949" w:type="dxa"/>
            <w:tcBorders>
              <w:top w:val="nil"/>
              <w:left w:val="nil"/>
              <w:bottom w:val="nil"/>
              <w:right w:val="nil"/>
            </w:tcBorders>
            <w:shd w:val="clear" w:color="000000" w:fill="A7A9AC"/>
            <w:noWrap/>
            <w:vAlign w:val="center"/>
          </w:tcPr>
          <w:p w14:paraId="14FFABC3"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5,825</w:t>
            </w:r>
          </w:p>
        </w:tc>
        <w:tc>
          <w:tcPr>
            <w:tcW w:w="1949" w:type="dxa"/>
            <w:tcBorders>
              <w:top w:val="nil"/>
              <w:left w:val="nil"/>
              <w:bottom w:val="nil"/>
              <w:right w:val="nil"/>
            </w:tcBorders>
            <w:shd w:val="clear" w:color="000000" w:fill="A7A9AC"/>
            <w:noWrap/>
            <w:vAlign w:val="center"/>
          </w:tcPr>
          <w:p w14:paraId="2F6D1FB3" w14:textId="5DC34445"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5,148</w:t>
            </w:r>
          </w:p>
        </w:tc>
        <w:tc>
          <w:tcPr>
            <w:tcW w:w="1949" w:type="dxa"/>
            <w:tcBorders>
              <w:top w:val="nil"/>
              <w:left w:val="nil"/>
              <w:bottom w:val="nil"/>
              <w:right w:val="nil"/>
            </w:tcBorders>
            <w:shd w:val="clear" w:color="000000" w:fill="A7A9AC"/>
            <w:noWrap/>
            <w:vAlign w:val="center"/>
          </w:tcPr>
          <w:p w14:paraId="0865D0ED"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677</w:t>
            </w:r>
          </w:p>
        </w:tc>
        <w:tc>
          <w:tcPr>
            <w:tcW w:w="1949" w:type="dxa"/>
            <w:tcBorders>
              <w:top w:val="nil"/>
              <w:left w:val="nil"/>
              <w:bottom w:val="nil"/>
              <w:right w:val="nil"/>
            </w:tcBorders>
            <w:shd w:val="clear" w:color="000000" w:fill="A7A9AC"/>
            <w:noWrap/>
            <w:vAlign w:val="center"/>
          </w:tcPr>
          <w:p w14:paraId="450CBEBB"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13.2%</w:t>
            </w:r>
          </w:p>
        </w:tc>
      </w:tr>
      <w:tr w:rsidR="00E426C3" w:rsidRPr="007F6332" w14:paraId="3771D4F2" w14:textId="77777777" w:rsidTr="00BB35B6">
        <w:trPr>
          <w:trHeight w:val="397"/>
          <w:tblHeader/>
        </w:trPr>
        <w:tc>
          <w:tcPr>
            <w:tcW w:w="1418" w:type="dxa"/>
            <w:tcBorders>
              <w:top w:val="nil"/>
              <w:left w:val="nil"/>
              <w:bottom w:val="nil"/>
              <w:right w:val="nil"/>
            </w:tcBorders>
            <w:shd w:val="clear" w:color="auto" w:fill="auto"/>
            <w:noWrap/>
            <w:vAlign w:val="center"/>
          </w:tcPr>
          <w:p w14:paraId="6D6CF731"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35 to 44</w:t>
            </w:r>
          </w:p>
        </w:tc>
        <w:tc>
          <w:tcPr>
            <w:tcW w:w="1949" w:type="dxa"/>
            <w:tcBorders>
              <w:top w:val="nil"/>
              <w:left w:val="nil"/>
              <w:bottom w:val="nil"/>
              <w:right w:val="nil"/>
            </w:tcBorders>
            <w:shd w:val="clear" w:color="auto" w:fill="auto"/>
            <w:noWrap/>
            <w:vAlign w:val="center"/>
          </w:tcPr>
          <w:p w14:paraId="0854018C"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3,768</w:t>
            </w:r>
          </w:p>
        </w:tc>
        <w:tc>
          <w:tcPr>
            <w:tcW w:w="1949" w:type="dxa"/>
            <w:tcBorders>
              <w:top w:val="nil"/>
              <w:left w:val="nil"/>
              <w:bottom w:val="nil"/>
              <w:right w:val="nil"/>
            </w:tcBorders>
            <w:shd w:val="clear" w:color="auto" w:fill="auto"/>
            <w:noWrap/>
            <w:vAlign w:val="center"/>
          </w:tcPr>
          <w:p w14:paraId="19CC1D52" w14:textId="6BACF6FF"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3,801</w:t>
            </w:r>
          </w:p>
        </w:tc>
        <w:tc>
          <w:tcPr>
            <w:tcW w:w="1949" w:type="dxa"/>
            <w:tcBorders>
              <w:top w:val="nil"/>
              <w:left w:val="nil"/>
              <w:bottom w:val="nil"/>
              <w:right w:val="nil"/>
            </w:tcBorders>
            <w:shd w:val="clear" w:color="auto" w:fill="auto"/>
            <w:noWrap/>
            <w:vAlign w:val="center"/>
          </w:tcPr>
          <w:p w14:paraId="468D94E0"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-33</w:t>
            </w:r>
          </w:p>
        </w:tc>
        <w:tc>
          <w:tcPr>
            <w:tcW w:w="1949" w:type="dxa"/>
            <w:tcBorders>
              <w:top w:val="nil"/>
              <w:left w:val="nil"/>
              <w:bottom w:val="nil"/>
              <w:right w:val="nil"/>
            </w:tcBorders>
            <w:shd w:val="clear" w:color="auto" w:fill="auto"/>
            <w:noWrap/>
            <w:vAlign w:val="center"/>
          </w:tcPr>
          <w:p w14:paraId="40953728"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-0.9%</w:t>
            </w:r>
          </w:p>
        </w:tc>
      </w:tr>
      <w:tr w:rsidR="00E426C3" w:rsidRPr="007F6332" w14:paraId="322F1811" w14:textId="77777777" w:rsidTr="00BB35B6">
        <w:trPr>
          <w:trHeight w:val="397"/>
          <w:tblHeader/>
        </w:trPr>
        <w:tc>
          <w:tcPr>
            <w:tcW w:w="1418" w:type="dxa"/>
            <w:tcBorders>
              <w:top w:val="nil"/>
              <w:left w:val="nil"/>
              <w:bottom w:val="nil"/>
              <w:right w:val="nil"/>
            </w:tcBorders>
            <w:shd w:val="clear" w:color="000000" w:fill="A7A9AC"/>
            <w:noWrap/>
            <w:vAlign w:val="center"/>
          </w:tcPr>
          <w:p w14:paraId="25031278"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45 to 54</w:t>
            </w:r>
          </w:p>
        </w:tc>
        <w:tc>
          <w:tcPr>
            <w:tcW w:w="1949" w:type="dxa"/>
            <w:tcBorders>
              <w:top w:val="nil"/>
              <w:left w:val="nil"/>
              <w:bottom w:val="nil"/>
              <w:right w:val="nil"/>
            </w:tcBorders>
            <w:shd w:val="clear" w:color="000000" w:fill="A7A9AC"/>
            <w:noWrap/>
            <w:vAlign w:val="center"/>
          </w:tcPr>
          <w:p w14:paraId="01E8552C"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3,451</w:t>
            </w:r>
          </w:p>
        </w:tc>
        <w:tc>
          <w:tcPr>
            <w:tcW w:w="1949" w:type="dxa"/>
            <w:tcBorders>
              <w:top w:val="nil"/>
              <w:left w:val="nil"/>
              <w:bottom w:val="nil"/>
              <w:right w:val="nil"/>
            </w:tcBorders>
            <w:shd w:val="clear" w:color="000000" w:fill="A7A9AC"/>
            <w:noWrap/>
            <w:vAlign w:val="center"/>
          </w:tcPr>
          <w:p w14:paraId="491828B7" w14:textId="5B486418"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3,796</w:t>
            </w:r>
          </w:p>
        </w:tc>
        <w:tc>
          <w:tcPr>
            <w:tcW w:w="1949" w:type="dxa"/>
            <w:tcBorders>
              <w:top w:val="nil"/>
              <w:left w:val="nil"/>
              <w:bottom w:val="nil"/>
              <w:right w:val="nil"/>
            </w:tcBorders>
            <w:shd w:val="clear" w:color="000000" w:fill="A7A9AC"/>
            <w:noWrap/>
            <w:vAlign w:val="center"/>
          </w:tcPr>
          <w:p w14:paraId="3EDEC302"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-345</w:t>
            </w:r>
          </w:p>
        </w:tc>
        <w:tc>
          <w:tcPr>
            <w:tcW w:w="1949" w:type="dxa"/>
            <w:tcBorders>
              <w:top w:val="nil"/>
              <w:left w:val="nil"/>
              <w:bottom w:val="nil"/>
              <w:right w:val="nil"/>
            </w:tcBorders>
            <w:shd w:val="clear" w:color="000000" w:fill="A7A9AC"/>
            <w:noWrap/>
            <w:vAlign w:val="center"/>
          </w:tcPr>
          <w:p w14:paraId="02EBFBFF"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-9.1%</w:t>
            </w:r>
          </w:p>
        </w:tc>
      </w:tr>
      <w:tr w:rsidR="00E426C3" w:rsidRPr="007F6332" w14:paraId="36A4DBA9" w14:textId="77777777" w:rsidTr="00BB35B6">
        <w:trPr>
          <w:trHeight w:val="397"/>
          <w:tblHeader/>
        </w:trPr>
        <w:tc>
          <w:tcPr>
            <w:tcW w:w="1418" w:type="dxa"/>
            <w:tcBorders>
              <w:top w:val="nil"/>
              <w:left w:val="nil"/>
              <w:bottom w:val="nil"/>
              <w:right w:val="nil"/>
            </w:tcBorders>
            <w:shd w:val="clear" w:color="auto" w:fill="auto"/>
            <w:noWrap/>
            <w:vAlign w:val="center"/>
          </w:tcPr>
          <w:p w14:paraId="53BB0105"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55 to 64</w:t>
            </w:r>
          </w:p>
        </w:tc>
        <w:tc>
          <w:tcPr>
            <w:tcW w:w="1949" w:type="dxa"/>
            <w:tcBorders>
              <w:top w:val="nil"/>
              <w:left w:val="nil"/>
              <w:bottom w:val="nil"/>
              <w:right w:val="nil"/>
            </w:tcBorders>
            <w:shd w:val="clear" w:color="auto" w:fill="auto"/>
            <w:noWrap/>
            <w:vAlign w:val="center"/>
          </w:tcPr>
          <w:p w14:paraId="4822FA2D"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3,892</w:t>
            </w:r>
          </w:p>
        </w:tc>
        <w:tc>
          <w:tcPr>
            <w:tcW w:w="1949" w:type="dxa"/>
            <w:tcBorders>
              <w:top w:val="nil"/>
              <w:left w:val="nil"/>
              <w:bottom w:val="nil"/>
              <w:right w:val="nil"/>
            </w:tcBorders>
            <w:shd w:val="clear" w:color="auto" w:fill="auto"/>
            <w:noWrap/>
            <w:vAlign w:val="center"/>
          </w:tcPr>
          <w:p w14:paraId="00E476A1" w14:textId="1E69A2D1"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5,234</w:t>
            </w:r>
          </w:p>
        </w:tc>
        <w:tc>
          <w:tcPr>
            <w:tcW w:w="1949" w:type="dxa"/>
            <w:tcBorders>
              <w:top w:val="nil"/>
              <w:left w:val="nil"/>
              <w:bottom w:val="nil"/>
              <w:right w:val="nil"/>
            </w:tcBorders>
            <w:shd w:val="clear" w:color="auto" w:fill="auto"/>
            <w:noWrap/>
            <w:vAlign w:val="center"/>
          </w:tcPr>
          <w:p w14:paraId="57A7AFA4"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-1,342</w:t>
            </w:r>
          </w:p>
        </w:tc>
        <w:tc>
          <w:tcPr>
            <w:tcW w:w="1949" w:type="dxa"/>
            <w:tcBorders>
              <w:top w:val="nil"/>
              <w:left w:val="nil"/>
              <w:bottom w:val="nil"/>
              <w:right w:val="nil"/>
            </w:tcBorders>
            <w:shd w:val="clear" w:color="auto" w:fill="auto"/>
            <w:noWrap/>
            <w:vAlign w:val="center"/>
          </w:tcPr>
          <w:p w14:paraId="570A0669"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-25.6%</w:t>
            </w:r>
          </w:p>
        </w:tc>
      </w:tr>
      <w:tr w:rsidR="00E426C3" w:rsidRPr="007F6332" w14:paraId="73FC6CDD" w14:textId="77777777" w:rsidTr="00BB35B6">
        <w:trPr>
          <w:trHeight w:val="397"/>
          <w:tblHeader/>
        </w:trPr>
        <w:tc>
          <w:tcPr>
            <w:tcW w:w="1418" w:type="dxa"/>
            <w:tcBorders>
              <w:top w:val="nil"/>
              <w:left w:val="nil"/>
              <w:right w:val="nil"/>
            </w:tcBorders>
            <w:shd w:val="clear" w:color="000000" w:fill="A7A9AC"/>
            <w:noWrap/>
            <w:vAlign w:val="center"/>
          </w:tcPr>
          <w:p w14:paraId="6D8BC359" w14:textId="77777777" w:rsidR="00E426C3" w:rsidRPr="007F6332" w:rsidRDefault="00E426C3" w:rsidP="00036C45">
            <w:pPr>
              <w:spacing w:after="0" w:line="240" w:lineRule="auto"/>
              <w:rPr>
                <w:rFonts w:eastAsia="Times New Roman" w:cs="Arial"/>
                <w:color w:val="000000"/>
                <w:szCs w:val="22"/>
              </w:rPr>
            </w:pPr>
            <w:r w:rsidRPr="007F6332">
              <w:rPr>
                <w:rFonts w:cs="Arial"/>
                <w:color w:val="000000"/>
                <w:szCs w:val="22"/>
              </w:rPr>
              <w:t>65+</w:t>
            </w:r>
          </w:p>
        </w:tc>
        <w:tc>
          <w:tcPr>
            <w:tcW w:w="1949" w:type="dxa"/>
            <w:tcBorders>
              <w:top w:val="nil"/>
              <w:left w:val="nil"/>
              <w:right w:val="nil"/>
            </w:tcBorders>
            <w:shd w:val="clear" w:color="000000" w:fill="A7A9AC"/>
            <w:noWrap/>
            <w:vAlign w:val="center"/>
          </w:tcPr>
          <w:p w14:paraId="25D22F2F"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5,488</w:t>
            </w:r>
          </w:p>
        </w:tc>
        <w:tc>
          <w:tcPr>
            <w:tcW w:w="1949" w:type="dxa"/>
            <w:tcBorders>
              <w:top w:val="nil"/>
              <w:left w:val="nil"/>
              <w:right w:val="nil"/>
            </w:tcBorders>
            <w:shd w:val="clear" w:color="000000" w:fill="A7A9AC"/>
            <w:noWrap/>
            <w:vAlign w:val="center"/>
          </w:tcPr>
          <w:p w14:paraId="0B68EFAD" w14:textId="40DD9E83"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5,094</w:t>
            </w:r>
          </w:p>
        </w:tc>
        <w:tc>
          <w:tcPr>
            <w:tcW w:w="1949" w:type="dxa"/>
            <w:tcBorders>
              <w:top w:val="nil"/>
              <w:left w:val="nil"/>
              <w:right w:val="nil"/>
            </w:tcBorders>
            <w:shd w:val="clear" w:color="000000" w:fill="A7A9AC"/>
            <w:noWrap/>
            <w:vAlign w:val="center"/>
          </w:tcPr>
          <w:p w14:paraId="53BF6BE8"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394</w:t>
            </w:r>
          </w:p>
        </w:tc>
        <w:tc>
          <w:tcPr>
            <w:tcW w:w="1949" w:type="dxa"/>
            <w:tcBorders>
              <w:top w:val="nil"/>
              <w:left w:val="nil"/>
              <w:right w:val="nil"/>
            </w:tcBorders>
            <w:shd w:val="clear" w:color="000000" w:fill="A7A9AC"/>
            <w:noWrap/>
            <w:vAlign w:val="center"/>
          </w:tcPr>
          <w:p w14:paraId="719B75A0" w14:textId="77777777" w:rsidR="00E426C3" w:rsidRPr="007F6332" w:rsidRDefault="00E426C3" w:rsidP="00036C45">
            <w:pPr>
              <w:spacing w:after="0" w:line="240" w:lineRule="auto"/>
              <w:jc w:val="right"/>
              <w:rPr>
                <w:rFonts w:eastAsia="Times New Roman" w:cs="Arial"/>
                <w:color w:val="000000"/>
                <w:szCs w:val="22"/>
              </w:rPr>
            </w:pPr>
            <w:r w:rsidRPr="007F6332">
              <w:rPr>
                <w:rFonts w:cs="Arial"/>
                <w:color w:val="000000"/>
                <w:szCs w:val="22"/>
              </w:rPr>
              <w:t>7.7%</w:t>
            </w:r>
          </w:p>
        </w:tc>
      </w:tr>
      <w:tr w:rsidR="00E426C3" w:rsidRPr="007F6332" w14:paraId="731BD2D1" w14:textId="77777777" w:rsidTr="00BB35B6">
        <w:trPr>
          <w:trHeight w:val="397"/>
          <w:tblHeader/>
        </w:trPr>
        <w:tc>
          <w:tcPr>
            <w:tcW w:w="1418" w:type="dxa"/>
            <w:tcBorders>
              <w:left w:val="nil"/>
              <w:bottom w:val="single" w:sz="4" w:space="0" w:color="auto"/>
              <w:right w:val="nil"/>
            </w:tcBorders>
            <w:shd w:val="clear" w:color="auto" w:fill="B398B8"/>
            <w:noWrap/>
            <w:vAlign w:val="center"/>
          </w:tcPr>
          <w:p w14:paraId="35E9504C" w14:textId="77777777" w:rsidR="00E426C3" w:rsidRPr="007F6332" w:rsidRDefault="00E426C3" w:rsidP="00036C45">
            <w:pPr>
              <w:spacing w:after="0" w:line="240" w:lineRule="auto"/>
              <w:rPr>
                <w:rFonts w:eastAsia="Times New Roman" w:cs="Arial"/>
                <w:b/>
                <w:bCs/>
                <w:color w:val="000000"/>
                <w:szCs w:val="22"/>
              </w:rPr>
            </w:pPr>
            <w:r w:rsidRPr="007F6332">
              <w:rPr>
                <w:rFonts w:cs="Arial"/>
                <w:b/>
                <w:bCs/>
                <w:color w:val="000000"/>
                <w:szCs w:val="22"/>
              </w:rPr>
              <w:t>Total</w:t>
            </w:r>
          </w:p>
        </w:tc>
        <w:tc>
          <w:tcPr>
            <w:tcW w:w="1949" w:type="dxa"/>
            <w:tcBorders>
              <w:left w:val="nil"/>
              <w:bottom w:val="single" w:sz="4" w:space="0" w:color="auto"/>
              <w:right w:val="nil"/>
            </w:tcBorders>
            <w:shd w:val="clear" w:color="auto" w:fill="B398B8"/>
            <w:noWrap/>
            <w:vAlign w:val="center"/>
          </w:tcPr>
          <w:p w14:paraId="52BA50BF" w14:textId="77777777" w:rsidR="00E426C3" w:rsidRPr="007F6332" w:rsidRDefault="00E426C3" w:rsidP="00036C45">
            <w:pPr>
              <w:spacing w:after="0" w:line="240" w:lineRule="auto"/>
              <w:jc w:val="right"/>
              <w:rPr>
                <w:rFonts w:eastAsia="Times New Roman" w:cs="Arial"/>
                <w:b/>
                <w:bCs/>
                <w:color w:val="000000"/>
                <w:szCs w:val="22"/>
              </w:rPr>
            </w:pPr>
            <w:r w:rsidRPr="007F6332">
              <w:rPr>
                <w:rFonts w:cs="Arial"/>
                <w:b/>
                <w:bCs/>
                <w:color w:val="000000"/>
                <w:szCs w:val="22"/>
              </w:rPr>
              <w:t>75,847</w:t>
            </w:r>
          </w:p>
        </w:tc>
        <w:tc>
          <w:tcPr>
            <w:tcW w:w="1949" w:type="dxa"/>
            <w:tcBorders>
              <w:left w:val="nil"/>
              <w:bottom w:val="single" w:sz="4" w:space="0" w:color="auto"/>
              <w:right w:val="nil"/>
            </w:tcBorders>
            <w:shd w:val="clear" w:color="auto" w:fill="B398B8"/>
            <w:noWrap/>
            <w:vAlign w:val="center"/>
          </w:tcPr>
          <w:p w14:paraId="50B880C2" w14:textId="35E449DC" w:rsidR="00E426C3" w:rsidRPr="007F6332" w:rsidRDefault="00E426C3" w:rsidP="00036C45">
            <w:pPr>
              <w:spacing w:after="0" w:line="240" w:lineRule="auto"/>
              <w:jc w:val="right"/>
              <w:rPr>
                <w:rFonts w:eastAsia="Times New Roman" w:cs="Arial"/>
                <w:b/>
                <w:bCs/>
                <w:color w:val="000000"/>
                <w:szCs w:val="22"/>
              </w:rPr>
            </w:pPr>
            <w:r w:rsidRPr="007F6332">
              <w:rPr>
                <w:rFonts w:cs="Arial"/>
                <w:b/>
                <w:bCs/>
                <w:color w:val="000000"/>
                <w:szCs w:val="22"/>
              </w:rPr>
              <w:t>57,639</w:t>
            </w:r>
          </w:p>
        </w:tc>
        <w:tc>
          <w:tcPr>
            <w:tcW w:w="1949" w:type="dxa"/>
            <w:tcBorders>
              <w:left w:val="nil"/>
              <w:bottom w:val="single" w:sz="4" w:space="0" w:color="auto"/>
              <w:right w:val="nil"/>
            </w:tcBorders>
            <w:shd w:val="clear" w:color="auto" w:fill="B398B8"/>
            <w:noWrap/>
            <w:vAlign w:val="center"/>
          </w:tcPr>
          <w:p w14:paraId="5130765B" w14:textId="77777777" w:rsidR="00E426C3" w:rsidRPr="007F6332" w:rsidRDefault="00E426C3" w:rsidP="00036C45">
            <w:pPr>
              <w:spacing w:after="0" w:line="240" w:lineRule="auto"/>
              <w:jc w:val="right"/>
              <w:rPr>
                <w:rFonts w:eastAsia="Times New Roman" w:cs="Arial"/>
                <w:b/>
                <w:bCs/>
                <w:color w:val="000000"/>
                <w:szCs w:val="22"/>
              </w:rPr>
            </w:pPr>
            <w:r w:rsidRPr="007F6332">
              <w:rPr>
                <w:rFonts w:cs="Arial"/>
                <w:b/>
                <w:bCs/>
                <w:color w:val="000000"/>
                <w:szCs w:val="22"/>
              </w:rPr>
              <w:t>18,208</w:t>
            </w:r>
          </w:p>
        </w:tc>
        <w:tc>
          <w:tcPr>
            <w:tcW w:w="1949" w:type="dxa"/>
            <w:tcBorders>
              <w:left w:val="nil"/>
              <w:bottom w:val="single" w:sz="4" w:space="0" w:color="auto"/>
              <w:right w:val="nil"/>
            </w:tcBorders>
            <w:shd w:val="clear" w:color="auto" w:fill="B398B8"/>
            <w:noWrap/>
            <w:vAlign w:val="center"/>
          </w:tcPr>
          <w:p w14:paraId="4B395FC5" w14:textId="77777777" w:rsidR="00E426C3" w:rsidRPr="007F6332" w:rsidRDefault="00E426C3" w:rsidP="00036C45">
            <w:pPr>
              <w:spacing w:after="0" w:line="240" w:lineRule="auto"/>
              <w:jc w:val="right"/>
              <w:rPr>
                <w:rFonts w:eastAsia="Times New Roman" w:cs="Arial"/>
                <w:b/>
                <w:bCs/>
                <w:color w:val="000000"/>
                <w:szCs w:val="22"/>
              </w:rPr>
            </w:pPr>
            <w:r w:rsidRPr="007F6332">
              <w:rPr>
                <w:rFonts w:cs="Arial"/>
                <w:b/>
                <w:bCs/>
                <w:color w:val="000000"/>
                <w:szCs w:val="22"/>
              </w:rPr>
              <w:t>31.6%</w:t>
            </w:r>
          </w:p>
        </w:tc>
      </w:tr>
    </w:tbl>
    <w:p w14:paraId="16B0EE58" w14:textId="32ECB7F7" w:rsidR="00E426C3" w:rsidRPr="007F6332" w:rsidRDefault="00957BCE" w:rsidP="00E426C3">
      <w:pPr>
        <w:pStyle w:val="FSRnormal"/>
        <w:spacing w:before="120"/>
        <w:rPr>
          <w:rFonts w:cs="Arial"/>
        </w:rPr>
      </w:pPr>
      <w:r w:rsidRPr="007F6332">
        <w:rPr>
          <w:rFonts w:cs="Arial"/>
        </w:rPr>
        <w:t>Table 4.4</w:t>
      </w:r>
      <w:r w:rsidR="00E426C3" w:rsidRPr="007F6332">
        <w:rPr>
          <w:rFonts w:cs="Arial"/>
        </w:rPr>
        <w:t xml:space="preserve"> </w:t>
      </w:r>
      <w:r w:rsidR="00FD6D39" w:rsidRPr="007F6332">
        <w:rPr>
          <w:rFonts w:cs="Arial"/>
        </w:rPr>
        <w:t>shows the primary disability groups where</w:t>
      </w:r>
      <w:r w:rsidR="00E426C3" w:rsidRPr="007F6332">
        <w:rPr>
          <w:rFonts w:cs="Arial"/>
        </w:rPr>
        <w:t xml:space="preserve"> the net increase in participants differed significantly from that expected </w:t>
      </w:r>
      <w:r w:rsidR="005B6EC3" w:rsidRPr="007F6332">
        <w:rPr>
          <w:rFonts w:cs="Arial"/>
        </w:rPr>
        <w:t>in</w:t>
      </w:r>
      <w:r w:rsidR="00E426C3" w:rsidRPr="007F6332">
        <w:rPr>
          <w:rFonts w:cs="Arial"/>
        </w:rPr>
        <w:t xml:space="preserve"> the previous review: </w:t>
      </w:r>
    </w:p>
    <w:p w14:paraId="1CB45D91" w14:textId="56587ED8" w:rsidR="00E426C3" w:rsidRPr="007F6332" w:rsidRDefault="00E426C3" w:rsidP="00C1755E">
      <w:pPr>
        <w:pStyle w:val="FSRlist"/>
        <w:rPr>
          <w:rFonts w:cs="Arial"/>
        </w:rPr>
      </w:pPr>
      <w:r w:rsidRPr="007F6332">
        <w:rPr>
          <w:rFonts w:cs="Arial"/>
        </w:rPr>
        <w:t>The largest deviation arose from participants with developmental delay, where there was a net increase</w:t>
      </w:r>
      <w:r w:rsidRPr="007F6332">
        <w:rPr>
          <w:rStyle w:val="FootnoteReference"/>
          <w:rFonts w:cs="Arial"/>
        </w:rPr>
        <w:footnoteReference w:id="55"/>
      </w:r>
      <w:r w:rsidRPr="007F6332">
        <w:rPr>
          <w:rFonts w:cs="Arial"/>
        </w:rPr>
        <w:t xml:space="preserve"> of 18,326 more than expected (33</w:t>
      </w:r>
      <w:r w:rsidR="00891A6E" w:rsidRPr="007F6332">
        <w:rPr>
          <w:rFonts w:cs="Arial"/>
        </w:rPr>
        <w:t>6.9</w:t>
      </w:r>
      <w:r w:rsidRPr="007F6332">
        <w:rPr>
          <w:rFonts w:cs="Arial"/>
        </w:rPr>
        <w:t xml:space="preserve">% higher). </w:t>
      </w:r>
    </w:p>
    <w:p w14:paraId="4E7654F9" w14:textId="77777777" w:rsidR="00E426C3" w:rsidRPr="007F6332" w:rsidRDefault="00E426C3" w:rsidP="00C1755E">
      <w:pPr>
        <w:pStyle w:val="FSRlist"/>
        <w:rPr>
          <w:rFonts w:cs="Arial"/>
        </w:rPr>
      </w:pPr>
      <w:r w:rsidRPr="007F6332">
        <w:rPr>
          <w:rFonts w:cs="Arial"/>
        </w:rPr>
        <w:t>The net increase in participants with autism was 3,066 greater than expected (10.5% higher).</w:t>
      </w:r>
    </w:p>
    <w:p w14:paraId="2CA6B15F" w14:textId="77777777" w:rsidR="00E426C3" w:rsidRPr="007F6332" w:rsidRDefault="00E426C3" w:rsidP="00C1755E">
      <w:pPr>
        <w:pStyle w:val="FSRlist"/>
        <w:rPr>
          <w:rFonts w:cs="Arial"/>
        </w:rPr>
      </w:pPr>
      <w:r w:rsidRPr="007F6332">
        <w:rPr>
          <w:rFonts w:cs="Arial"/>
        </w:rPr>
        <w:t>The net increase in participants was lower than expected for psychosocial disability by 1,963 (26.5% lower) and for intellectual disability by 1,335 (24.0% lower).</w:t>
      </w:r>
    </w:p>
    <w:p w14:paraId="2336506A" w14:textId="37A4B4FE" w:rsidR="00105895" w:rsidRPr="007F6332" w:rsidRDefault="00105895" w:rsidP="006B61AA">
      <w:pPr>
        <w:pStyle w:val="FiguresandTablesHeading5"/>
      </w:pPr>
      <w:r w:rsidRPr="007F6332">
        <w:t xml:space="preserve">Table </w:t>
      </w:r>
      <w:r w:rsidR="00FB0E15" w:rsidRPr="007F6332">
        <w:t>4</w:t>
      </w:r>
      <w:r w:rsidRPr="007F6332">
        <w:t>.4</w:t>
      </w:r>
      <w:r w:rsidR="006B11DA" w:rsidRPr="007F6332">
        <w:t xml:space="preserve">: </w:t>
      </w:r>
      <w:r w:rsidRPr="007F6332">
        <w:t>Actual versus expected net increase in participant</w:t>
      </w:r>
      <w:r w:rsidR="00E87D66" w:rsidRPr="007F6332">
        <w:t xml:space="preserve"> numbers</w:t>
      </w:r>
      <w:r w:rsidRPr="007F6332">
        <w:t xml:space="preserve"> in 2022-23 by primary disability</w:t>
      </w:r>
    </w:p>
    <w:tbl>
      <w:tblPr>
        <w:tblW w:w="9214" w:type="dxa"/>
        <w:tblLayout w:type="fixed"/>
        <w:tblLook w:val="04A0" w:firstRow="1" w:lastRow="0" w:firstColumn="1" w:lastColumn="0" w:noHBand="0" w:noVBand="1"/>
      </w:tblPr>
      <w:tblGrid>
        <w:gridCol w:w="2553"/>
        <w:gridCol w:w="1665"/>
        <w:gridCol w:w="1665"/>
        <w:gridCol w:w="1665"/>
        <w:gridCol w:w="1666"/>
      </w:tblGrid>
      <w:tr w:rsidR="00105895" w:rsidRPr="007F6332" w14:paraId="26253EBB" w14:textId="77777777" w:rsidTr="00E53368">
        <w:trPr>
          <w:trHeight w:val="487"/>
          <w:tblHeader/>
        </w:trPr>
        <w:tc>
          <w:tcPr>
            <w:tcW w:w="2553" w:type="dxa"/>
            <w:tcBorders>
              <w:top w:val="nil"/>
              <w:left w:val="nil"/>
              <w:right w:val="nil"/>
            </w:tcBorders>
            <w:shd w:val="clear" w:color="000000" w:fill="6B2976"/>
            <w:noWrap/>
            <w:vAlign w:val="center"/>
            <w:hideMark/>
          </w:tcPr>
          <w:p w14:paraId="35A93AA1" w14:textId="77777777" w:rsidR="00105895" w:rsidRPr="007F6332" w:rsidRDefault="00105895" w:rsidP="007C6F24">
            <w:pPr>
              <w:spacing w:after="0" w:line="240" w:lineRule="auto"/>
              <w:rPr>
                <w:rFonts w:eastAsia="Times New Roman" w:cs="Arial"/>
                <w:b/>
                <w:bCs/>
                <w:color w:val="FFFFFF"/>
                <w:szCs w:val="22"/>
              </w:rPr>
            </w:pPr>
            <w:r w:rsidRPr="007F6332">
              <w:rPr>
                <w:rFonts w:cs="Arial"/>
                <w:b/>
                <w:bCs/>
                <w:color w:val="FFFFFF"/>
                <w:szCs w:val="22"/>
              </w:rPr>
              <w:t>Primary Disability</w:t>
            </w:r>
          </w:p>
        </w:tc>
        <w:tc>
          <w:tcPr>
            <w:tcW w:w="1665" w:type="dxa"/>
            <w:tcBorders>
              <w:top w:val="nil"/>
              <w:left w:val="nil"/>
              <w:right w:val="nil"/>
            </w:tcBorders>
            <w:shd w:val="clear" w:color="000000" w:fill="6B2976"/>
            <w:vAlign w:val="center"/>
            <w:hideMark/>
          </w:tcPr>
          <w:p w14:paraId="383AFBC5" w14:textId="77777777" w:rsidR="00105895" w:rsidRPr="007F6332" w:rsidRDefault="00105895" w:rsidP="007C6F24">
            <w:pPr>
              <w:spacing w:after="0" w:line="240" w:lineRule="auto"/>
              <w:jc w:val="right"/>
              <w:rPr>
                <w:rFonts w:eastAsia="Times New Roman" w:cs="Arial"/>
                <w:b/>
                <w:bCs/>
                <w:color w:val="FFFFFF"/>
                <w:szCs w:val="22"/>
              </w:rPr>
            </w:pPr>
            <w:r w:rsidRPr="007F6332">
              <w:rPr>
                <w:rFonts w:cs="Arial"/>
                <w:b/>
                <w:bCs/>
                <w:color w:val="FFFFFF"/>
                <w:szCs w:val="22"/>
              </w:rPr>
              <w:t>Actual</w:t>
            </w:r>
          </w:p>
        </w:tc>
        <w:tc>
          <w:tcPr>
            <w:tcW w:w="1665" w:type="dxa"/>
            <w:tcBorders>
              <w:top w:val="nil"/>
              <w:left w:val="nil"/>
              <w:right w:val="nil"/>
            </w:tcBorders>
            <w:shd w:val="clear" w:color="000000" w:fill="6B2976"/>
            <w:vAlign w:val="center"/>
            <w:hideMark/>
          </w:tcPr>
          <w:p w14:paraId="49D980C5" w14:textId="77777777" w:rsidR="00105895" w:rsidRPr="007F6332" w:rsidRDefault="00105895" w:rsidP="007C6F24">
            <w:pPr>
              <w:spacing w:after="0" w:line="240" w:lineRule="auto"/>
              <w:jc w:val="right"/>
              <w:rPr>
                <w:rFonts w:eastAsia="Times New Roman" w:cs="Arial"/>
                <w:b/>
                <w:bCs/>
                <w:color w:val="FFFFFF"/>
                <w:szCs w:val="22"/>
              </w:rPr>
            </w:pPr>
            <w:r w:rsidRPr="007F6332">
              <w:rPr>
                <w:rFonts w:cs="Arial"/>
                <w:b/>
                <w:bCs/>
                <w:color w:val="FFFFFF"/>
                <w:szCs w:val="22"/>
              </w:rPr>
              <w:t>Expected</w:t>
            </w:r>
          </w:p>
        </w:tc>
        <w:tc>
          <w:tcPr>
            <w:tcW w:w="1665" w:type="dxa"/>
            <w:tcBorders>
              <w:top w:val="nil"/>
              <w:left w:val="nil"/>
              <w:right w:val="nil"/>
            </w:tcBorders>
            <w:shd w:val="clear" w:color="000000" w:fill="6B2976"/>
            <w:vAlign w:val="center"/>
            <w:hideMark/>
          </w:tcPr>
          <w:p w14:paraId="382DD4FE" w14:textId="77777777" w:rsidR="00105895" w:rsidRPr="007F6332" w:rsidRDefault="00105895" w:rsidP="007C6F24">
            <w:pPr>
              <w:spacing w:after="0" w:line="240" w:lineRule="auto"/>
              <w:jc w:val="right"/>
              <w:rPr>
                <w:rFonts w:eastAsia="Times New Roman" w:cs="Arial"/>
                <w:b/>
                <w:bCs/>
                <w:color w:val="FFFFFF"/>
                <w:szCs w:val="22"/>
              </w:rPr>
            </w:pPr>
            <w:r w:rsidRPr="007F6332">
              <w:rPr>
                <w:rFonts w:cs="Arial"/>
                <w:b/>
                <w:bCs/>
                <w:color w:val="FFFFFF"/>
                <w:szCs w:val="22"/>
              </w:rPr>
              <w:t>Difference</w:t>
            </w:r>
          </w:p>
        </w:tc>
        <w:tc>
          <w:tcPr>
            <w:tcW w:w="1666" w:type="dxa"/>
            <w:tcBorders>
              <w:top w:val="nil"/>
              <w:left w:val="nil"/>
              <w:right w:val="nil"/>
            </w:tcBorders>
            <w:shd w:val="clear" w:color="000000" w:fill="6B2976"/>
            <w:vAlign w:val="center"/>
            <w:hideMark/>
          </w:tcPr>
          <w:p w14:paraId="5150DC6E" w14:textId="69F16DC1" w:rsidR="00105895" w:rsidRPr="007F6332" w:rsidRDefault="00105895" w:rsidP="007C6F24">
            <w:pPr>
              <w:spacing w:after="0" w:line="240" w:lineRule="auto"/>
              <w:jc w:val="right"/>
              <w:rPr>
                <w:rFonts w:eastAsia="Times New Roman" w:cs="Arial"/>
                <w:b/>
                <w:bCs/>
                <w:color w:val="FFFFFF"/>
                <w:szCs w:val="22"/>
              </w:rPr>
            </w:pPr>
            <w:r w:rsidRPr="007F6332">
              <w:rPr>
                <w:rFonts w:cs="Arial"/>
                <w:b/>
                <w:bCs/>
                <w:color w:val="FFFFFF"/>
                <w:szCs w:val="22"/>
              </w:rPr>
              <w:t>%</w:t>
            </w:r>
            <w:r w:rsidR="00E87104" w:rsidRPr="007F6332">
              <w:rPr>
                <w:rFonts w:cs="Arial"/>
                <w:b/>
                <w:bCs/>
                <w:color w:val="FFFFFF"/>
                <w:szCs w:val="22"/>
              </w:rPr>
              <w:t xml:space="preserve"> </w:t>
            </w:r>
            <w:r w:rsidRPr="007F6332">
              <w:rPr>
                <w:rFonts w:cs="Arial"/>
                <w:b/>
                <w:bCs/>
                <w:color w:val="FFFFFF"/>
                <w:szCs w:val="22"/>
              </w:rPr>
              <w:t>Difference</w:t>
            </w:r>
          </w:p>
        </w:tc>
      </w:tr>
      <w:tr w:rsidR="008C7800" w:rsidRPr="007F6332" w14:paraId="0BCB3B12" w14:textId="77777777" w:rsidTr="00E53368">
        <w:trPr>
          <w:trHeight w:val="340"/>
          <w:tblHeader/>
        </w:trPr>
        <w:tc>
          <w:tcPr>
            <w:tcW w:w="2553" w:type="dxa"/>
            <w:tcBorders>
              <w:top w:val="nil"/>
              <w:left w:val="nil"/>
              <w:bottom w:val="nil"/>
              <w:right w:val="nil"/>
            </w:tcBorders>
            <w:shd w:val="clear" w:color="000000" w:fill="A7A9AC"/>
            <w:noWrap/>
            <w:vAlign w:val="center"/>
            <w:hideMark/>
          </w:tcPr>
          <w:p w14:paraId="3203607D" w14:textId="5D8767D4" w:rsidR="008C7800" w:rsidRPr="007F6332" w:rsidRDefault="008C7800" w:rsidP="008C7800">
            <w:pPr>
              <w:spacing w:after="0" w:line="240" w:lineRule="auto"/>
              <w:rPr>
                <w:rFonts w:eastAsia="Times New Roman" w:cs="Arial"/>
                <w:color w:val="000000"/>
                <w:szCs w:val="22"/>
              </w:rPr>
            </w:pPr>
            <w:r w:rsidRPr="007F6332">
              <w:rPr>
                <w:rFonts w:cs="Arial"/>
                <w:color w:val="000000"/>
                <w:szCs w:val="22"/>
              </w:rPr>
              <w:t xml:space="preserve">Autism </w:t>
            </w:r>
          </w:p>
        </w:tc>
        <w:tc>
          <w:tcPr>
            <w:tcW w:w="1665" w:type="dxa"/>
            <w:tcBorders>
              <w:top w:val="nil"/>
              <w:left w:val="nil"/>
              <w:bottom w:val="nil"/>
              <w:right w:val="nil"/>
            </w:tcBorders>
            <w:shd w:val="clear" w:color="000000" w:fill="A7A9AC"/>
            <w:noWrap/>
            <w:vAlign w:val="center"/>
            <w:hideMark/>
          </w:tcPr>
          <w:p w14:paraId="46995EEC" w14:textId="2EA7243B"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32,386</w:t>
            </w:r>
          </w:p>
        </w:tc>
        <w:tc>
          <w:tcPr>
            <w:tcW w:w="1665" w:type="dxa"/>
            <w:tcBorders>
              <w:top w:val="nil"/>
              <w:left w:val="nil"/>
              <w:bottom w:val="nil"/>
              <w:right w:val="nil"/>
            </w:tcBorders>
            <w:shd w:val="clear" w:color="000000" w:fill="A7A9AC"/>
            <w:noWrap/>
            <w:vAlign w:val="center"/>
            <w:hideMark/>
          </w:tcPr>
          <w:p w14:paraId="04DB5EDA" w14:textId="5D25BAB5"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29,320</w:t>
            </w:r>
          </w:p>
        </w:tc>
        <w:tc>
          <w:tcPr>
            <w:tcW w:w="1665" w:type="dxa"/>
            <w:tcBorders>
              <w:top w:val="nil"/>
              <w:left w:val="nil"/>
              <w:bottom w:val="nil"/>
              <w:right w:val="nil"/>
            </w:tcBorders>
            <w:shd w:val="clear" w:color="000000" w:fill="A7A9AC"/>
            <w:noWrap/>
            <w:vAlign w:val="center"/>
            <w:hideMark/>
          </w:tcPr>
          <w:p w14:paraId="6ED27FE0" w14:textId="0B789257"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3,066</w:t>
            </w:r>
          </w:p>
        </w:tc>
        <w:tc>
          <w:tcPr>
            <w:tcW w:w="1666" w:type="dxa"/>
            <w:tcBorders>
              <w:top w:val="nil"/>
              <w:left w:val="nil"/>
              <w:bottom w:val="nil"/>
              <w:right w:val="nil"/>
            </w:tcBorders>
            <w:shd w:val="clear" w:color="000000" w:fill="A7A9AC"/>
            <w:noWrap/>
            <w:vAlign w:val="center"/>
            <w:hideMark/>
          </w:tcPr>
          <w:p w14:paraId="1C809470" w14:textId="2B92CC41"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10.5%</w:t>
            </w:r>
          </w:p>
        </w:tc>
      </w:tr>
      <w:tr w:rsidR="008C7800" w:rsidRPr="007F6332" w14:paraId="131D61D9" w14:textId="77777777" w:rsidTr="00E53368">
        <w:trPr>
          <w:trHeight w:val="340"/>
          <w:tblHeader/>
        </w:trPr>
        <w:tc>
          <w:tcPr>
            <w:tcW w:w="2553" w:type="dxa"/>
            <w:tcBorders>
              <w:top w:val="nil"/>
              <w:left w:val="nil"/>
              <w:bottom w:val="nil"/>
              <w:right w:val="nil"/>
            </w:tcBorders>
            <w:shd w:val="clear" w:color="auto" w:fill="auto"/>
            <w:noWrap/>
            <w:vAlign w:val="center"/>
            <w:hideMark/>
          </w:tcPr>
          <w:p w14:paraId="0EA5E5BA" w14:textId="39B29961" w:rsidR="008C7800" w:rsidRPr="007F6332" w:rsidRDefault="008C7800" w:rsidP="008C7800">
            <w:pPr>
              <w:spacing w:after="0" w:line="240" w:lineRule="auto"/>
              <w:rPr>
                <w:rFonts w:eastAsia="Times New Roman" w:cs="Arial"/>
                <w:color w:val="000000"/>
                <w:szCs w:val="22"/>
              </w:rPr>
            </w:pPr>
            <w:r w:rsidRPr="007F6332">
              <w:rPr>
                <w:rFonts w:cs="Arial"/>
                <w:color w:val="000000"/>
                <w:szCs w:val="22"/>
              </w:rPr>
              <w:t>Developmental Delay</w:t>
            </w:r>
          </w:p>
        </w:tc>
        <w:tc>
          <w:tcPr>
            <w:tcW w:w="1665" w:type="dxa"/>
            <w:tcBorders>
              <w:top w:val="nil"/>
              <w:left w:val="nil"/>
              <w:bottom w:val="nil"/>
              <w:right w:val="nil"/>
            </w:tcBorders>
            <w:shd w:val="clear" w:color="auto" w:fill="auto"/>
            <w:noWrap/>
            <w:vAlign w:val="center"/>
            <w:hideMark/>
          </w:tcPr>
          <w:p w14:paraId="0D6ACF4A" w14:textId="13B2E7D2"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23,766</w:t>
            </w:r>
          </w:p>
        </w:tc>
        <w:tc>
          <w:tcPr>
            <w:tcW w:w="1665" w:type="dxa"/>
            <w:tcBorders>
              <w:top w:val="nil"/>
              <w:left w:val="nil"/>
              <w:bottom w:val="nil"/>
              <w:right w:val="nil"/>
            </w:tcBorders>
            <w:shd w:val="clear" w:color="auto" w:fill="auto"/>
            <w:noWrap/>
            <w:vAlign w:val="center"/>
            <w:hideMark/>
          </w:tcPr>
          <w:p w14:paraId="559EFEA2" w14:textId="51742500"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5,440</w:t>
            </w:r>
          </w:p>
        </w:tc>
        <w:tc>
          <w:tcPr>
            <w:tcW w:w="1665" w:type="dxa"/>
            <w:tcBorders>
              <w:top w:val="nil"/>
              <w:left w:val="nil"/>
              <w:bottom w:val="nil"/>
              <w:right w:val="nil"/>
            </w:tcBorders>
            <w:shd w:val="clear" w:color="auto" w:fill="auto"/>
            <w:noWrap/>
            <w:vAlign w:val="center"/>
            <w:hideMark/>
          </w:tcPr>
          <w:p w14:paraId="4F9B61E5" w14:textId="6FBC564D"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18,326</w:t>
            </w:r>
          </w:p>
        </w:tc>
        <w:tc>
          <w:tcPr>
            <w:tcW w:w="1666" w:type="dxa"/>
            <w:tcBorders>
              <w:top w:val="nil"/>
              <w:left w:val="nil"/>
              <w:bottom w:val="nil"/>
              <w:right w:val="nil"/>
            </w:tcBorders>
            <w:shd w:val="clear" w:color="auto" w:fill="auto"/>
            <w:noWrap/>
            <w:vAlign w:val="center"/>
            <w:hideMark/>
          </w:tcPr>
          <w:p w14:paraId="17076E41" w14:textId="2747B7FE"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336.9%</w:t>
            </w:r>
          </w:p>
        </w:tc>
      </w:tr>
      <w:tr w:rsidR="008C7800" w:rsidRPr="007F6332" w14:paraId="28BB3EAE" w14:textId="77777777" w:rsidTr="00E53368">
        <w:trPr>
          <w:trHeight w:val="340"/>
          <w:tblHeader/>
        </w:trPr>
        <w:tc>
          <w:tcPr>
            <w:tcW w:w="2553" w:type="dxa"/>
            <w:tcBorders>
              <w:top w:val="nil"/>
              <w:left w:val="nil"/>
              <w:bottom w:val="nil"/>
              <w:right w:val="nil"/>
            </w:tcBorders>
            <w:shd w:val="clear" w:color="000000" w:fill="A7A9AC"/>
            <w:noWrap/>
            <w:vAlign w:val="center"/>
            <w:hideMark/>
          </w:tcPr>
          <w:p w14:paraId="693F7814" w14:textId="056A5408" w:rsidR="008C7800" w:rsidRPr="007F6332" w:rsidRDefault="008C7800" w:rsidP="008C7800">
            <w:pPr>
              <w:spacing w:after="0" w:line="240" w:lineRule="auto"/>
              <w:rPr>
                <w:rFonts w:eastAsia="Times New Roman" w:cs="Arial"/>
                <w:color w:val="000000"/>
                <w:szCs w:val="22"/>
              </w:rPr>
            </w:pPr>
            <w:r w:rsidRPr="007F6332">
              <w:rPr>
                <w:rFonts w:cs="Arial"/>
                <w:color w:val="000000"/>
                <w:szCs w:val="22"/>
              </w:rPr>
              <w:t xml:space="preserve">Intellectual Disability </w:t>
            </w:r>
          </w:p>
        </w:tc>
        <w:tc>
          <w:tcPr>
            <w:tcW w:w="1665" w:type="dxa"/>
            <w:tcBorders>
              <w:top w:val="nil"/>
              <w:left w:val="nil"/>
              <w:bottom w:val="nil"/>
              <w:right w:val="nil"/>
            </w:tcBorders>
            <w:shd w:val="clear" w:color="000000" w:fill="A7A9AC"/>
            <w:noWrap/>
            <w:vAlign w:val="center"/>
            <w:hideMark/>
          </w:tcPr>
          <w:p w14:paraId="42EE8496" w14:textId="5B2678B1"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4,223</w:t>
            </w:r>
          </w:p>
        </w:tc>
        <w:tc>
          <w:tcPr>
            <w:tcW w:w="1665" w:type="dxa"/>
            <w:tcBorders>
              <w:top w:val="nil"/>
              <w:left w:val="nil"/>
              <w:bottom w:val="nil"/>
              <w:right w:val="nil"/>
            </w:tcBorders>
            <w:shd w:val="clear" w:color="000000" w:fill="A7A9AC"/>
            <w:noWrap/>
            <w:vAlign w:val="center"/>
            <w:hideMark/>
          </w:tcPr>
          <w:p w14:paraId="536148DB" w14:textId="6DF10A92"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5,558</w:t>
            </w:r>
          </w:p>
        </w:tc>
        <w:tc>
          <w:tcPr>
            <w:tcW w:w="1665" w:type="dxa"/>
            <w:tcBorders>
              <w:top w:val="nil"/>
              <w:left w:val="nil"/>
              <w:bottom w:val="nil"/>
              <w:right w:val="nil"/>
            </w:tcBorders>
            <w:shd w:val="clear" w:color="000000" w:fill="A7A9AC"/>
            <w:noWrap/>
            <w:vAlign w:val="center"/>
            <w:hideMark/>
          </w:tcPr>
          <w:p w14:paraId="5634D5A5" w14:textId="532F6EEF"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-1,335</w:t>
            </w:r>
          </w:p>
        </w:tc>
        <w:tc>
          <w:tcPr>
            <w:tcW w:w="1666" w:type="dxa"/>
            <w:tcBorders>
              <w:top w:val="nil"/>
              <w:left w:val="nil"/>
              <w:bottom w:val="nil"/>
              <w:right w:val="nil"/>
            </w:tcBorders>
            <w:shd w:val="clear" w:color="000000" w:fill="A7A9AC"/>
            <w:noWrap/>
            <w:vAlign w:val="center"/>
            <w:hideMark/>
          </w:tcPr>
          <w:p w14:paraId="43F4FDD9" w14:textId="5DBFB63E"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-24.0%</w:t>
            </w:r>
          </w:p>
        </w:tc>
      </w:tr>
      <w:tr w:rsidR="008C7800" w:rsidRPr="007F6332" w14:paraId="6AFAB581" w14:textId="77777777" w:rsidTr="00E53368">
        <w:trPr>
          <w:trHeight w:val="340"/>
          <w:tblHeader/>
        </w:trPr>
        <w:tc>
          <w:tcPr>
            <w:tcW w:w="2553" w:type="dxa"/>
            <w:tcBorders>
              <w:top w:val="nil"/>
              <w:left w:val="nil"/>
              <w:bottom w:val="nil"/>
              <w:right w:val="nil"/>
            </w:tcBorders>
            <w:shd w:val="clear" w:color="auto" w:fill="auto"/>
            <w:noWrap/>
            <w:vAlign w:val="center"/>
            <w:hideMark/>
          </w:tcPr>
          <w:p w14:paraId="326072AD" w14:textId="1EBF4630" w:rsidR="008C7800" w:rsidRPr="007F6332" w:rsidRDefault="008C7800" w:rsidP="008C7800">
            <w:pPr>
              <w:spacing w:after="0" w:line="240" w:lineRule="auto"/>
              <w:rPr>
                <w:rFonts w:eastAsia="Times New Roman" w:cs="Arial"/>
                <w:color w:val="000000"/>
                <w:szCs w:val="22"/>
              </w:rPr>
            </w:pPr>
            <w:r w:rsidRPr="007F6332">
              <w:rPr>
                <w:rFonts w:cs="Arial"/>
                <w:color w:val="000000"/>
                <w:szCs w:val="22"/>
              </w:rPr>
              <w:t xml:space="preserve">Other Neurological </w:t>
            </w:r>
          </w:p>
        </w:tc>
        <w:tc>
          <w:tcPr>
            <w:tcW w:w="1665" w:type="dxa"/>
            <w:tcBorders>
              <w:top w:val="nil"/>
              <w:left w:val="nil"/>
              <w:bottom w:val="nil"/>
              <w:right w:val="nil"/>
            </w:tcBorders>
            <w:shd w:val="clear" w:color="auto" w:fill="auto"/>
            <w:noWrap/>
            <w:vAlign w:val="center"/>
            <w:hideMark/>
          </w:tcPr>
          <w:p w14:paraId="391C2C0B" w14:textId="2AF454DD"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1,348</w:t>
            </w:r>
          </w:p>
        </w:tc>
        <w:tc>
          <w:tcPr>
            <w:tcW w:w="1665" w:type="dxa"/>
            <w:tcBorders>
              <w:top w:val="nil"/>
              <w:left w:val="nil"/>
              <w:bottom w:val="nil"/>
              <w:right w:val="nil"/>
            </w:tcBorders>
            <w:shd w:val="clear" w:color="auto" w:fill="auto"/>
            <w:noWrap/>
            <w:vAlign w:val="center"/>
            <w:hideMark/>
          </w:tcPr>
          <w:p w14:paraId="08D269A2" w14:textId="7A686950"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1,474</w:t>
            </w:r>
          </w:p>
        </w:tc>
        <w:tc>
          <w:tcPr>
            <w:tcW w:w="1665" w:type="dxa"/>
            <w:tcBorders>
              <w:top w:val="nil"/>
              <w:left w:val="nil"/>
              <w:bottom w:val="nil"/>
              <w:right w:val="nil"/>
            </w:tcBorders>
            <w:shd w:val="clear" w:color="auto" w:fill="auto"/>
            <w:noWrap/>
            <w:vAlign w:val="center"/>
            <w:hideMark/>
          </w:tcPr>
          <w:p w14:paraId="0B2B11D8" w14:textId="129D29C3"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-126</w:t>
            </w:r>
          </w:p>
        </w:tc>
        <w:tc>
          <w:tcPr>
            <w:tcW w:w="1666" w:type="dxa"/>
            <w:tcBorders>
              <w:top w:val="nil"/>
              <w:left w:val="nil"/>
              <w:bottom w:val="nil"/>
              <w:right w:val="nil"/>
            </w:tcBorders>
            <w:shd w:val="clear" w:color="auto" w:fill="auto"/>
            <w:noWrap/>
            <w:vAlign w:val="center"/>
            <w:hideMark/>
          </w:tcPr>
          <w:p w14:paraId="0E584278" w14:textId="3257CF85"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-8.5%</w:t>
            </w:r>
          </w:p>
        </w:tc>
      </w:tr>
      <w:tr w:rsidR="008C7800" w:rsidRPr="007F6332" w14:paraId="457AC4A5" w14:textId="77777777" w:rsidTr="00E53368">
        <w:trPr>
          <w:trHeight w:val="340"/>
          <w:tblHeader/>
        </w:trPr>
        <w:tc>
          <w:tcPr>
            <w:tcW w:w="2553" w:type="dxa"/>
            <w:tcBorders>
              <w:top w:val="nil"/>
              <w:left w:val="nil"/>
              <w:bottom w:val="nil"/>
              <w:right w:val="nil"/>
            </w:tcBorders>
            <w:shd w:val="clear" w:color="000000" w:fill="A7A9AC"/>
            <w:noWrap/>
            <w:vAlign w:val="center"/>
            <w:hideMark/>
          </w:tcPr>
          <w:p w14:paraId="2F1213BF" w14:textId="6DC0E533" w:rsidR="008C7800" w:rsidRPr="007F6332" w:rsidRDefault="008C7800" w:rsidP="008C7800">
            <w:pPr>
              <w:spacing w:after="0" w:line="240" w:lineRule="auto"/>
              <w:rPr>
                <w:rFonts w:eastAsia="Times New Roman" w:cs="Arial"/>
                <w:color w:val="000000"/>
                <w:szCs w:val="22"/>
              </w:rPr>
            </w:pPr>
            <w:r w:rsidRPr="007F6332">
              <w:rPr>
                <w:rFonts w:cs="Arial"/>
                <w:color w:val="000000"/>
                <w:szCs w:val="22"/>
              </w:rPr>
              <w:t xml:space="preserve">Psychosocial Disability </w:t>
            </w:r>
          </w:p>
        </w:tc>
        <w:tc>
          <w:tcPr>
            <w:tcW w:w="1665" w:type="dxa"/>
            <w:tcBorders>
              <w:top w:val="nil"/>
              <w:left w:val="nil"/>
              <w:bottom w:val="nil"/>
              <w:right w:val="nil"/>
            </w:tcBorders>
            <w:shd w:val="clear" w:color="000000" w:fill="A7A9AC"/>
            <w:noWrap/>
            <w:vAlign w:val="center"/>
            <w:hideMark/>
          </w:tcPr>
          <w:p w14:paraId="638C3FDB" w14:textId="1C25C519"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5,452</w:t>
            </w:r>
          </w:p>
        </w:tc>
        <w:tc>
          <w:tcPr>
            <w:tcW w:w="1665" w:type="dxa"/>
            <w:tcBorders>
              <w:top w:val="nil"/>
              <w:left w:val="nil"/>
              <w:bottom w:val="nil"/>
              <w:right w:val="nil"/>
            </w:tcBorders>
            <w:shd w:val="clear" w:color="000000" w:fill="A7A9AC"/>
            <w:noWrap/>
            <w:vAlign w:val="center"/>
            <w:hideMark/>
          </w:tcPr>
          <w:p w14:paraId="167A9A9D" w14:textId="70071563"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7,415</w:t>
            </w:r>
          </w:p>
        </w:tc>
        <w:tc>
          <w:tcPr>
            <w:tcW w:w="1665" w:type="dxa"/>
            <w:tcBorders>
              <w:top w:val="nil"/>
              <w:left w:val="nil"/>
              <w:bottom w:val="nil"/>
              <w:right w:val="nil"/>
            </w:tcBorders>
            <w:shd w:val="clear" w:color="000000" w:fill="A7A9AC"/>
            <w:noWrap/>
            <w:vAlign w:val="center"/>
            <w:hideMark/>
          </w:tcPr>
          <w:p w14:paraId="788A3BA5" w14:textId="5ACC77D7"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-1,963</w:t>
            </w:r>
          </w:p>
        </w:tc>
        <w:tc>
          <w:tcPr>
            <w:tcW w:w="1666" w:type="dxa"/>
            <w:tcBorders>
              <w:top w:val="nil"/>
              <w:left w:val="nil"/>
              <w:bottom w:val="nil"/>
              <w:right w:val="nil"/>
            </w:tcBorders>
            <w:shd w:val="clear" w:color="000000" w:fill="A7A9AC"/>
            <w:noWrap/>
            <w:vAlign w:val="center"/>
            <w:hideMark/>
          </w:tcPr>
          <w:p w14:paraId="6A1F1523" w14:textId="711E5D20"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-26.5%</w:t>
            </w:r>
          </w:p>
        </w:tc>
      </w:tr>
      <w:tr w:rsidR="008C7800" w:rsidRPr="007F6332" w14:paraId="62579DF8" w14:textId="77777777" w:rsidTr="00E53368">
        <w:trPr>
          <w:trHeight w:val="340"/>
          <w:tblHeader/>
        </w:trPr>
        <w:tc>
          <w:tcPr>
            <w:tcW w:w="2553" w:type="dxa"/>
            <w:tcBorders>
              <w:top w:val="nil"/>
              <w:left w:val="nil"/>
              <w:right w:val="nil"/>
            </w:tcBorders>
            <w:shd w:val="clear" w:color="auto" w:fill="auto"/>
            <w:noWrap/>
            <w:vAlign w:val="center"/>
            <w:hideMark/>
          </w:tcPr>
          <w:p w14:paraId="11D6BB1F" w14:textId="7C727C18" w:rsidR="008C7800" w:rsidRPr="007F6332" w:rsidRDefault="008C7800" w:rsidP="008C7800">
            <w:pPr>
              <w:spacing w:after="0" w:line="240" w:lineRule="auto"/>
              <w:rPr>
                <w:rFonts w:eastAsia="Times New Roman" w:cs="Arial"/>
                <w:color w:val="000000"/>
                <w:szCs w:val="22"/>
              </w:rPr>
            </w:pPr>
            <w:r w:rsidRPr="007F6332">
              <w:rPr>
                <w:rFonts w:cs="Arial"/>
                <w:color w:val="000000"/>
                <w:szCs w:val="22"/>
              </w:rPr>
              <w:t>Other</w:t>
            </w:r>
          </w:p>
        </w:tc>
        <w:tc>
          <w:tcPr>
            <w:tcW w:w="1665" w:type="dxa"/>
            <w:tcBorders>
              <w:top w:val="nil"/>
              <w:left w:val="nil"/>
              <w:right w:val="nil"/>
            </w:tcBorders>
            <w:shd w:val="clear" w:color="auto" w:fill="auto"/>
            <w:noWrap/>
            <w:vAlign w:val="center"/>
            <w:hideMark/>
          </w:tcPr>
          <w:p w14:paraId="75D54B2E" w14:textId="3364F96A"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8,672</w:t>
            </w:r>
          </w:p>
        </w:tc>
        <w:tc>
          <w:tcPr>
            <w:tcW w:w="1665" w:type="dxa"/>
            <w:tcBorders>
              <w:top w:val="nil"/>
              <w:left w:val="nil"/>
              <w:right w:val="nil"/>
            </w:tcBorders>
            <w:shd w:val="clear" w:color="auto" w:fill="auto"/>
            <w:noWrap/>
            <w:vAlign w:val="center"/>
            <w:hideMark/>
          </w:tcPr>
          <w:p w14:paraId="12B22963" w14:textId="43C137DE"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8,433</w:t>
            </w:r>
          </w:p>
        </w:tc>
        <w:tc>
          <w:tcPr>
            <w:tcW w:w="1665" w:type="dxa"/>
            <w:tcBorders>
              <w:top w:val="nil"/>
              <w:left w:val="nil"/>
              <w:right w:val="nil"/>
            </w:tcBorders>
            <w:shd w:val="clear" w:color="auto" w:fill="auto"/>
            <w:noWrap/>
            <w:vAlign w:val="center"/>
            <w:hideMark/>
          </w:tcPr>
          <w:p w14:paraId="57EA703D" w14:textId="668909C0"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239</w:t>
            </w:r>
          </w:p>
        </w:tc>
        <w:tc>
          <w:tcPr>
            <w:tcW w:w="1666" w:type="dxa"/>
            <w:tcBorders>
              <w:top w:val="nil"/>
              <w:left w:val="nil"/>
              <w:right w:val="nil"/>
            </w:tcBorders>
            <w:shd w:val="clear" w:color="auto" w:fill="auto"/>
            <w:noWrap/>
            <w:vAlign w:val="center"/>
            <w:hideMark/>
          </w:tcPr>
          <w:p w14:paraId="57E0B39E" w14:textId="3247FD3E" w:rsidR="008C7800" w:rsidRPr="007F6332" w:rsidRDefault="008C7800" w:rsidP="008C7800">
            <w:pPr>
              <w:spacing w:after="0" w:line="240" w:lineRule="auto"/>
              <w:jc w:val="right"/>
              <w:rPr>
                <w:rFonts w:eastAsia="Times New Roman" w:cs="Arial"/>
                <w:color w:val="000000"/>
                <w:szCs w:val="22"/>
              </w:rPr>
            </w:pPr>
            <w:r w:rsidRPr="007F6332">
              <w:rPr>
                <w:rFonts w:cs="Arial"/>
                <w:color w:val="000000"/>
                <w:szCs w:val="22"/>
              </w:rPr>
              <w:t>2.8%</w:t>
            </w:r>
          </w:p>
        </w:tc>
      </w:tr>
      <w:tr w:rsidR="00105895" w:rsidRPr="007F6332" w14:paraId="7F04EA1D" w14:textId="77777777" w:rsidTr="00C1755E">
        <w:trPr>
          <w:trHeight w:val="503"/>
          <w:tblHeader/>
        </w:trPr>
        <w:tc>
          <w:tcPr>
            <w:tcW w:w="2553" w:type="dxa"/>
            <w:tcBorders>
              <w:left w:val="nil"/>
              <w:bottom w:val="single" w:sz="4" w:space="0" w:color="auto"/>
              <w:right w:val="nil"/>
            </w:tcBorders>
            <w:shd w:val="clear" w:color="auto" w:fill="B398B8"/>
            <w:noWrap/>
            <w:vAlign w:val="center"/>
          </w:tcPr>
          <w:p w14:paraId="1F60D3E9" w14:textId="77777777" w:rsidR="00105895" w:rsidRPr="007F6332" w:rsidRDefault="00105895" w:rsidP="007C6F24">
            <w:pPr>
              <w:spacing w:after="0" w:line="240" w:lineRule="auto"/>
              <w:rPr>
                <w:rFonts w:eastAsia="Times New Roman" w:cs="Arial"/>
                <w:b/>
                <w:bCs/>
                <w:color w:val="000000"/>
                <w:szCs w:val="22"/>
              </w:rPr>
            </w:pPr>
            <w:r w:rsidRPr="007F6332">
              <w:rPr>
                <w:rFonts w:cs="Arial"/>
                <w:b/>
                <w:bCs/>
                <w:color w:val="000000"/>
                <w:szCs w:val="22"/>
              </w:rPr>
              <w:t>Total</w:t>
            </w:r>
          </w:p>
        </w:tc>
        <w:tc>
          <w:tcPr>
            <w:tcW w:w="1665" w:type="dxa"/>
            <w:tcBorders>
              <w:left w:val="nil"/>
              <w:bottom w:val="single" w:sz="4" w:space="0" w:color="auto"/>
              <w:right w:val="nil"/>
            </w:tcBorders>
            <w:shd w:val="clear" w:color="auto" w:fill="B398B8"/>
            <w:noWrap/>
            <w:vAlign w:val="center"/>
          </w:tcPr>
          <w:p w14:paraId="60AE5B72" w14:textId="77777777" w:rsidR="00105895" w:rsidRPr="007F6332" w:rsidRDefault="00105895" w:rsidP="007C6F24">
            <w:pPr>
              <w:spacing w:after="0" w:line="240" w:lineRule="auto"/>
              <w:jc w:val="right"/>
              <w:rPr>
                <w:rFonts w:eastAsia="Times New Roman" w:cs="Arial"/>
                <w:b/>
                <w:bCs/>
                <w:color w:val="000000"/>
                <w:szCs w:val="22"/>
              </w:rPr>
            </w:pPr>
            <w:r w:rsidRPr="007F6332">
              <w:rPr>
                <w:rFonts w:cs="Arial"/>
                <w:b/>
                <w:bCs/>
                <w:color w:val="000000"/>
                <w:szCs w:val="22"/>
              </w:rPr>
              <w:t>75,847</w:t>
            </w:r>
          </w:p>
        </w:tc>
        <w:tc>
          <w:tcPr>
            <w:tcW w:w="1665" w:type="dxa"/>
            <w:tcBorders>
              <w:left w:val="nil"/>
              <w:bottom w:val="single" w:sz="4" w:space="0" w:color="auto"/>
              <w:right w:val="nil"/>
            </w:tcBorders>
            <w:shd w:val="clear" w:color="auto" w:fill="B398B8"/>
            <w:noWrap/>
            <w:vAlign w:val="center"/>
          </w:tcPr>
          <w:p w14:paraId="1BF72166" w14:textId="77777777" w:rsidR="00105895" w:rsidRPr="007F6332" w:rsidRDefault="00105895" w:rsidP="007C6F24">
            <w:pPr>
              <w:spacing w:after="0" w:line="240" w:lineRule="auto"/>
              <w:jc w:val="right"/>
              <w:rPr>
                <w:rFonts w:eastAsia="Times New Roman" w:cs="Arial"/>
                <w:b/>
                <w:bCs/>
                <w:color w:val="000000"/>
                <w:szCs w:val="22"/>
              </w:rPr>
            </w:pPr>
            <w:r w:rsidRPr="007F6332">
              <w:rPr>
                <w:rFonts w:cs="Arial"/>
                <w:b/>
                <w:bCs/>
                <w:color w:val="000000"/>
                <w:szCs w:val="22"/>
              </w:rPr>
              <w:t>57,639</w:t>
            </w:r>
          </w:p>
        </w:tc>
        <w:tc>
          <w:tcPr>
            <w:tcW w:w="1665" w:type="dxa"/>
            <w:tcBorders>
              <w:left w:val="nil"/>
              <w:bottom w:val="single" w:sz="4" w:space="0" w:color="auto"/>
              <w:right w:val="nil"/>
            </w:tcBorders>
            <w:shd w:val="clear" w:color="auto" w:fill="B398B8"/>
            <w:noWrap/>
            <w:vAlign w:val="center"/>
          </w:tcPr>
          <w:p w14:paraId="72C8F8A1" w14:textId="77777777" w:rsidR="00105895" w:rsidRPr="007F6332" w:rsidRDefault="00105895" w:rsidP="007C6F24">
            <w:pPr>
              <w:spacing w:after="0" w:line="240" w:lineRule="auto"/>
              <w:jc w:val="right"/>
              <w:rPr>
                <w:rFonts w:eastAsia="Times New Roman" w:cs="Arial"/>
                <w:b/>
                <w:bCs/>
                <w:color w:val="000000"/>
                <w:szCs w:val="22"/>
              </w:rPr>
            </w:pPr>
            <w:r w:rsidRPr="007F6332">
              <w:rPr>
                <w:rFonts w:cs="Arial"/>
                <w:b/>
                <w:bCs/>
                <w:color w:val="000000"/>
                <w:szCs w:val="22"/>
              </w:rPr>
              <w:t>18,208</w:t>
            </w:r>
          </w:p>
        </w:tc>
        <w:tc>
          <w:tcPr>
            <w:tcW w:w="1666" w:type="dxa"/>
            <w:tcBorders>
              <w:left w:val="nil"/>
              <w:bottom w:val="single" w:sz="4" w:space="0" w:color="auto"/>
              <w:right w:val="nil"/>
            </w:tcBorders>
            <w:shd w:val="clear" w:color="auto" w:fill="B398B8"/>
            <w:noWrap/>
            <w:vAlign w:val="center"/>
          </w:tcPr>
          <w:p w14:paraId="22F729A2" w14:textId="77777777" w:rsidR="00105895" w:rsidRPr="007F6332" w:rsidRDefault="00105895" w:rsidP="007C6F24">
            <w:pPr>
              <w:spacing w:after="0" w:line="240" w:lineRule="auto"/>
              <w:jc w:val="right"/>
              <w:rPr>
                <w:rFonts w:eastAsia="Times New Roman" w:cs="Arial"/>
                <w:b/>
                <w:bCs/>
                <w:color w:val="000000"/>
                <w:szCs w:val="22"/>
              </w:rPr>
            </w:pPr>
            <w:r w:rsidRPr="007F6332">
              <w:rPr>
                <w:rFonts w:cs="Arial"/>
                <w:b/>
                <w:bCs/>
                <w:color w:val="000000"/>
                <w:szCs w:val="22"/>
              </w:rPr>
              <w:t>31.6%</w:t>
            </w:r>
          </w:p>
        </w:tc>
      </w:tr>
    </w:tbl>
    <w:p w14:paraId="0EC6E0B7" w14:textId="1C06FDF0" w:rsidR="00E426C3" w:rsidRPr="007F6332" w:rsidRDefault="0053380A" w:rsidP="00E426C3">
      <w:pPr>
        <w:pStyle w:val="FSRnormal"/>
        <w:rPr>
          <w:rFonts w:cs="Arial"/>
        </w:rPr>
      </w:pPr>
      <w:bookmarkStart w:id="65" w:name="_Ref144317406"/>
      <w:r w:rsidRPr="007F6332">
        <w:rPr>
          <w:rFonts w:cs="Arial"/>
        </w:rPr>
        <w:t xml:space="preserve">Table 4.5 </w:t>
      </w:r>
      <w:r w:rsidR="00936337" w:rsidRPr="007F6332">
        <w:rPr>
          <w:rFonts w:cs="Arial"/>
        </w:rPr>
        <w:t xml:space="preserve">shows while the net increases in participants at all reported levels of function were higher than expected, participants with high levels of function accounted for most of the </w:t>
      </w:r>
      <w:r w:rsidR="00936337" w:rsidRPr="007F6332">
        <w:rPr>
          <w:rFonts w:cs="Arial"/>
        </w:rPr>
        <w:lastRenderedPageBreak/>
        <w:t>difference. Again, this was largely driven by the high number</w:t>
      </w:r>
      <w:r w:rsidR="00737BF0" w:rsidRPr="007F6332">
        <w:rPr>
          <w:rFonts w:cs="Arial"/>
        </w:rPr>
        <w:t xml:space="preserve"> of participant</w:t>
      </w:r>
      <w:r w:rsidR="00936337" w:rsidRPr="007F6332">
        <w:rPr>
          <w:rFonts w:cs="Arial"/>
        </w:rPr>
        <w:t>s with developmental delay entering the Scheme in 2022-23</w:t>
      </w:r>
      <w:r w:rsidR="00E426C3" w:rsidRPr="007F6332">
        <w:rPr>
          <w:rFonts w:cs="Arial"/>
        </w:rPr>
        <w:t>.</w:t>
      </w:r>
    </w:p>
    <w:p w14:paraId="7AC59C6E" w14:textId="596AD06B" w:rsidR="008E7D15" w:rsidRPr="007F6332" w:rsidRDefault="008E7D15" w:rsidP="006B61AA">
      <w:pPr>
        <w:pStyle w:val="FiguresandTablesHeading5"/>
      </w:pPr>
      <w:r w:rsidRPr="007F6332">
        <w:t xml:space="preserve">Table </w:t>
      </w:r>
      <w:bookmarkEnd w:id="65"/>
      <w:r w:rsidR="00FB0E15" w:rsidRPr="007F6332">
        <w:t>4.5</w:t>
      </w:r>
      <w:r w:rsidR="006B11DA" w:rsidRPr="007F6332">
        <w:t>:</w:t>
      </w:r>
      <w:r w:rsidRPr="007F6332">
        <w:t xml:space="preserve"> Actual versus expected net increase in participants in 2022-23 by reported level of function</w:t>
      </w:r>
    </w:p>
    <w:tbl>
      <w:tblPr>
        <w:tblW w:w="9214" w:type="dxa"/>
        <w:tblLayout w:type="fixed"/>
        <w:tblLook w:val="04A0" w:firstRow="1" w:lastRow="0" w:firstColumn="1" w:lastColumn="0" w:noHBand="0" w:noVBand="1"/>
      </w:tblPr>
      <w:tblGrid>
        <w:gridCol w:w="2835"/>
        <w:gridCol w:w="1594"/>
        <w:gridCol w:w="1595"/>
        <w:gridCol w:w="1595"/>
        <w:gridCol w:w="1595"/>
      </w:tblGrid>
      <w:tr w:rsidR="008E7D15" w:rsidRPr="007F6332" w14:paraId="28699AC5" w14:textId="77777777" w:rsidTr="00E53368">
        <w:trPr>
          <w:trHeight w:val="340"/>
        </w:trPr>
        <w:tc>
          <w:tcPr>
            <w:tcW w:w="2835" w:type="dxa"/>
            <w:tcBorders>
              <w:top w:val="nil"/>
              <w:left w:val="nil"/>
              <w:right w:val="nil"/>
            </w:tcBorders>
            <w:shd w:val="clear" w:color="000000" w:fill="6B2976"/>
            <w:noWrap/>
            <w:vAlign w:val="center"/>
            <w:hideMark/>
          </w:tcPr>
          <w:p w14:paraId="24A2F36C" w14:textId="77777777" w:rsidR="008E7D15" w:rsidRPr="007F6332" w:rsidRDefault="008E7D15" w:rsidP="00036C45">
            <w:pPr>
              <w:spacing w:after="0" w:line="240" w:lineRule="auto"/>
              <w:rPr>
                <w:rFonts w:eastAsia="Times New Roman" w:cs="Arial"/>
                <w:b/>
                <w:bCs/>
                <w:color w:val="FFFFFF"/>
                <w:szCs w:val="22"/>
                <w:lang w:eastAsia="zh-CN"/>
              </w:rPr>
            </w:pPr>
            <w:r w:rsidRPr="007F6332">
              <w:rPr>
                <w:rFonts w:eastAsia="Times New Roman" w:cs="Arial"/>
                <w:b/>
                <w:bCs/>
                <w:color w:val="FFFFFF"/>
                <w:szCs w:val="22"/>
                <w:lang w:eastAsia="zh-CN"/>
              </w:rPr>
              <w:t>Reported Level of Function</w:t>
            </w:r>
          </w:p>
        </w:tc>
        <w:tc>
          <w:tcPr>
            <w:tcW w:w="1594" w:type="dxa"/>
            <w:tcBorders>
              <w:top w:val="nil"/>
              <w:left w:val="nil"/>
              <w:right w:val="nil"/>
            </w:tcBorders>
            <w:shd w:val="clear" w:color="000000" w:fill="6B2976"/>
            <w:noWrap/>
            <w:vAlign w:val="center"/>
            <w:hideMark/>
          </w:tcPr>
          <w:p w14:paraId="1A6131BB" w14:textId="77777777" w:rsidR="008E7D15" w:rsidRPr="007F6332" w:rsidRDefault="008E7D15" w:rsidP="00036C45">
            <w:pPr>
              <w:spacing w:after="0" w:line="240" w:lineRule="auto"/>
              <w:jc w:val="center"/>
              <w:rPr>
                <w:rFonts w:eastAsia="Times New Roman" w:cs="Arial"/>
                <w:b/>
                <w:bCs/>
                <w:color w:val="FFFFFF"/>
                <w:szCs w:val="22"/>
                <w:lang w:eastAsia="zh-CN"/>
              </w:rPr>
            </w:pPr>
            <w:r w:rsidRPr="007F6332">
              <w:rPr>
                <w:rFonts w:eastAsia="Times New Roman" w:cs="Arial"/>
                <w:b/>
                <w:bCs/>
                <w:color w:val="FFFFFF"/>
                <w:szCs w:val="22"/>
                <w:lang w:eastAsia="zh-CN"/>
              </w:rPr>
              <w:t>Actual</w:t>
            </w:r>
          </w:p>
        </w:tc>
        <w:tc>
          <w:tcPr>
            <w:tcW w:w="1595" w:type="dxa"/>
            <w:tcBorders>
              <w:top w:val="nil"/>
              <w:left w:val="nil"/>
              <w:right w:val="nil"/>
            </w:tcBorders>
            <w:shd w:val="clear" w:color="000000" w:fill="6B2976"/>
            <w:noWrap/>
            <w:vAlign w:val="center"/>
            <w:hideMark/>
          </w:tcPr>
          <w:p w14:paraId="1DBD8EF4" w14:textId="77777777" w:rsidR="008E7D15" w:rsidRPr="007F6332" w:rsidRDefault="008E7D15" w:rsidP="00036C45">
            <w:pPr>
              <w:spacing w:after="0" w:line="240" w:lineRule="auto"/>
              <w:jc w:val="center"/>
              <w:rPr>
                <w:rFonts w:eastAsia="Times New Roman" w:cs="Arial"/>
                <w:b/>
                <w:bCs/>
                <w:color w:val="FFFFFF"/>
                <w:szCs w:val="22"/>
                <w:lang w:eastAsia="zh-CN"/>
              </w:rPr>
            </w:pPr>
            <w:r w:rsidRPr="007F6332">
              <w:rPr>
                <w:rFonts w:eastAsia="Times New Roman" w:cs="Arial"/>
                <w:b/>
                <w:bCs/>
                <w:color w:val="FFFFFF"/>
                <w:szCs w:val="22"/>
                <w:lang w:eastAsia="zh-CN"/>
              </w:rPr>
              <w:t>Expected</w:t>
            </w:r>
          </w:p>
        </w:tc>
        <w:tc>
          <w:tcPr>
            <w:tcW w:w="1595" w:type="dxa"/>
            <w:tcBorders>
              <w:top w:val="nil"/>
              <w:left w:val="nil"/>
              <w:right w:val="nil"/>
            </w:tcBorders>
            <w:shd w:val="clear" w:color="000000" w:fill="6B2976"/>
            <w:noWrap/>
            <w:vAlign w:val="center"/>
            <w:hideMark/>
          </w:tcPr>
          <w:p w14:paraId="0C21ED14" w14:textId="77777777" w:rsidR="008E7D15" w:rsidRPr="007F6332" w:rsidRDefault="008E7D15" w:rsidP="00036C45">
            <w:pPr>
              <w:spacing w:after="0" w:line="240" w:lineRule="auto"/>
              <w:jc w:val="center"/>
              <w:rPr>
                <w:rFonts w:eastAsia="Times New Roman" w:cs="Arial"/>
                <w:b/>
                <w:bCs/>
                <w:color w:val="FFFFFF"/>
                <w:szCs w:val="22"/>
                <w:lang w:eastAsia="zh-CN"/>
              </w:rPr>
            </w:pPr>
            <w:r w:rsidRPr="007F6332">
              <w:rPr>
                <w:rFonts w:eastAsia="Times New Roman" w:cs="Arial"/>
                <w:b/>
                <w:bCs/>
                <w:color w:val="FFFFFF"/>
                <w:szCs w:val="22"/>
                <w:lang w:eastAsia="zh-CN"/>
              </w:rPr>
              <w:t>Difference</w:t>
            </w:r>
          </w:p>
        </w:tc>
        <w:tc>
          <w:tcPr>
            <w:tcW w:w="1595" w:type="dxa"/>
            <w:tcBorders>
              <w:top w:val="nil"/>
              <w:left w:val="nil"/>
              <w:right w:val="nil"/>
            </w:tcBorders>
            <w:shd w:val="clear" w:color="000000" w:fill="6B2976"/>
            <w:noWrap/>
            <w:vAlign w:val="center"/>
            <w:hideMark/>
          </w:tcPr>
          <w:p w14:paraId="0C90C1DB" w14:textId="6E0C73EE" w:rsidR="008E7D15" w:rsidRPr="007F6332" w:rsidRDefault="008E7D15" w:rsidP="00036C45">
            <w:pPr>
              <w:spacing w:after="0" w:line="240" w:lineRule="auto"/>
              <w:jc w:val="center"/>
              <w:rPr>
                <w:rFonts w:eastAsia="Times New Roman" w:cs="Arial"/>
                <w:b/>
                <w:bCs/>
                <w:color w:val="FFFFFF"/>
                <w:szCs w:val="22"/>
                <w:lang w:eastAsia="zh-CN"/>
              </w:rPr>
            </w:pPr>
            <w:r w:rsidRPr="007F6332">
              <w:rPr>
                <w:rFonts w:eastAsia="Times New Roman" w:cs="Arial"/>
                <w:b/>
                <w:bCs/>
                <w:color w:val="FFFFFF"/>
                <w:szCs w:val="22"/>
                <w:lang w:eastAsia="zh-CN"/>
              </w:rPr>
              <w:t>%</w:t>
            </w:r>
            <w:r w:rsidR="00E87104" w:rsidRPr="007F6332">
              <w:rPr>
                <w:rFonts w:eastAsia="Times New Roman" w:cs="Arial"/>
                <w:b/>
                <w:bCs/>
                <w:color w:val="FFFFFF"/>
                <w:szCs w:val="22"/>
                <w:lang w:eastAsia="zh-CN"/>
              </w:rPr>
              <w:t xml:space="preserve"> </w:t>
            </w:r>
            <w:r w:rsidRPr="007F6332">
              <w:rPr>
                <w:rFonts w:eastAsia="Times New Roman" w:cs="Arial"/>
                <w:b/>
                <w:bCs/>
                <w:color w:val="FFFFFF"/>
                <w:szCs w:val="22"/>
                <w:lang w:eastAsia="zh-CN"/>
              </w:rPr>
              <w:t>Difference</w:t>
            </w:r>
          </w:p>
        </w:tc>
      </w:tr>
      <w:tr w:rsidR="008E7D15" w:rsidRPr="007F6332" w14:paraId="299B5C25" w14:textId="77777777" w:rsidTr="00E53368">
        <w:trPr>
          <w:trHeight w:val="340"/>
        </w:trPr>
        <w:tc>
          <w:tcPr>
            <w:tcW w:w="2835" w:type="dxa"/>
            <w:tcBorders>
              <w:top w:val="nil"/>
              <w:left w:val="nil"/>
              <w:bottom w:val="nil"/>
              <w:right w:val="nil"/>
            </w:tcBorders>
            <w:shd w:val="clear" w:color="000000" w:fill="A7A9AC"/>
            <w:noWrap/>
            <w:vAlign w:val="center"/>
            <w:hideMark/>
          </w:tcPr>
          <w:p w14:paraId="7663317C" w14:textId="77777777" w:rsidR="008E7D15" w:rsidRPr="007F6332" w:rsidRDefault="008E7D15" w:rsidP="00036C45">
            <w:pPr>
              <w:spacing w:after="0" w:line="240" w:lineRule="auto"/>
              <w:rPr>
                <w:rFonts w:eastAsia="Times New Roman" w:cs="Arial"/>
                <w:color w:val="000000"/>
                <w:szCs w:val="22"/>
                <w:lang w:eastAsia="zh-CN"/>
              </w:rPr>
            </w:pPr>
            <w:r w:rsidRPr="007F6332">
              <w:rPr>
                <w:rFonts w:cs="Arial"/>
                <w:color w:val="000000"/>
                <w:szCs w:val="22"/>
              </w:rPr>
              <w:t>High</w:t>
            </w:r>
          </w:p>
        </w:tc>
        <w:tc>
          <w:tcPr>
            <w:tcW w:w="1594" w:type="dxa"/>
            <w:tcBorders>
              <w:top w:val="nil"/>
              <w:left w:val="nil"/>
              <w:bottom w:val="nil"/>
              <w:right w:val="nil"/>
            </w:tcBorders>
            <w:shd w:val="clear" w:color="000000" w:fill="A7A9AC"/>
            <w:noWrap/>
            <w:vAlign w:val="center"/>
            <w:hideMark/>
          </w:tcPr>
          <w:p w14:paraId="566E4B8B"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32,143</w:t>
            </w:r>
          </w:p>
        </w:tc>
        <w:tc>
          <w:tcPr>
            <w:tcW w:w="1595" w:type="dxa"/>
            <w:tcBorders>
              <w:top w:val="nil"/>
              <w:left w:val="nil"/>
              <w:bottom w:val="nil"/>
              <w:right w:val="nil"/>
            </w:tcBorders>
            <w:shd w:val="clear" w:color="000000" w:fill="A7A9AC"/>
            <w:noWrap/>
            <w:vAlign w:val="center"/>
            <w:hideMark/>
          </w:tcPr>
          <w:p w14:paraId="60550A1B"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20,269</w:t>
            </w:r>
          </w:p>
        </w:tc>
        <w:tc>
          <w:tcPr>
            <w:tcW w:w="1595" w:type="dxa"/>
            <w:tcBorders>
              <w:top w:val="nil"/>
              <w:left w:val="nil"/>
              <w:bottom w:val="nil"/>
              <w:right w:val="nil"/>
            </w:tcBorders>
            <w:shd w:val="clear" w:color="000000" w:fill="A7A9AC"/>
            <w:noWrap/>
            <w:vAlign w:val="center"/>
            <w:hideMark/>
          </w:tcPr>
          <w:p w14:paraId="39719C41"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11,874</w:t>
            </w:r>
          </w:p>
        </w:tc>
        <w:tc>
          <w:tcPr>
            <w:tcW w:w="1595" w:type="dxa"/>
            <w:tcBorders>
              <w:top w:val="nil"/>
              <w:left w:val="nil"/>
              <w:bottom w:val="nil"/>
              <w:right w:val="nil"/>
            </w:tcBorders>
            <w:shd w:val="clear" w:color="000000" w:fill="A7A9AC"/>
            <w:noWrap/>
            <w:vAlign w:val="center"/>
            <w:hideMark/>
          </w:tcPr>
          <w:p w14:paraId="56843969" w14:textId="77777777" w:rsidR="008E7D15" w:rsidRPr="007F6332" w:rsidRDefault="008E7D15" w:rsidP="00D45B8B">
            <w:pPr>
              <w:spacing w:after="0" w:line="240" w:lineRule="auto"/>
              <w:jc w:val="right"/>
              <w:rPr>
                <w:rFonts w:eastAsia="Times New Roman" w:cs="Arial"/>
                <w:color w:val="000000"/>
                <w:szCs w:val="22"/>
                <w:lang w:eastAsia="zh-CN"/>
              </w:rPr>
            </w:pPr>
            <w:r w:rsidRPr="007F6332">
              <w:rPr>
                <w:rFonts w:cs="Arial"/>
                <w:color w:val="000000"/>
                <w:szCs w:val="22"/>
              </w:rPr>
              <w:t>58.6%</w:t>
            </w:r>
          </w:p>
        </w:tc>
      </w:tr>
      <w:tr w:rsidR="008E7D15" w:rsidRPr="007F6332" w14:paraId="4765FE4D" w14:textId="77777777" w:rsidTr="00E53368">
        <w:trPr>
          <w:trHeight w:val="340"/>
        </w:trPr>
        <w:tc>
          <w:tcPr>
            <w:tcW w:w="2835" w:type="dxa"/>
            <w:tcBorders>
              <w:top w:val="nil"/>
              <w:left w:val="nil"/>
              <w:bottom w:val="nil"/>
              <w:right w:val="nil"/>
            </w:tcBorders>
            <w:shd w:val="clear" w:color="auto" w:fill="auto"/>
            <w:noWrap/>
            <w:vAlign w:val="center"/>
            <w:hideMark/>
          </w:tcPr>
          <w:p w14:paraId="482AB99A" w14:textId="77777777" w:rsidR="008E7D15" w:rsidRPr="007F6332" w:rsidRDefault="008E7D15" w:rsidP="00036C45">
            <w:pPr>
              <w:spacing w:after="0" w:line="240" w:lineRule="auto"/>
              <w:rPr>
                <w:rFonts w:eastAsia="Times New Roman" w:cs="Arial"/>
                <w:color w:val="000000"/>
                <w:szCs w:val="22"/>
                <w:lang w:eastAsia="zh-CN"/>
              </w:rPr>
            </w:pPr>
            <w:r w:rsidRPr="007F6332">
              <w:rPr>
                <w:rFonts w:cs="Arial"/>
                <w:color w:val="000000"/>
                <w:szCs w:val="22"/>
              </w:rPr>
              <w:t>Medium</w:t>
            </w:r>
          </w:p>
        </w:tc>
        <w:tc>
          <w:tcPr>
            <w:tcW w:w="1594" w:type="dxa"/>
            <w:tcBorders>
              <w:top w:val="nil"/>
              <w:left w:val="nil"/>
              <w:bottom w:val="nil"/>
              <w:right w:val="nil"/>
            </w:tcBorders>
            <w:shd w:val="clear" w:color="auto" w:fill="auto"/>
            <w:noWrap/>
            <w:vAlign w:val="center"/>
            <w:hideMark/>
          </w:tcPr>
          <w:p w14:paraId="2A1F31B2"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32,686</w:t>
            </w:r>
          </w:p>
        </w:tc>
        <w:tc>
          <w:tcPr>
            <w:tcW w:w="1595" w:type="dxa"/>
            <w:tcBorders>
              <w:top w:val="nil"/>
              <w:left w:val="nil"/>
              <w:bottom w:val="nil"/>
              <w:right w:val="nil"/>
            </w:tcBorders>
            <w:shd w:val="clear" w:color="auto" w:fill="auto"/>
            <w:noWrap/>
            <w:vAlign w:val="center"/>
            <w:hideMark/>
          </w:tcPr>
          <w:p w14:paraId="09C250F6"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30,908</w:t>
            </w:r>
          </w:p>
        </w:tc>
        <w:tc>
          <w:tcPr>
            <w:tcW w:w="1595" w:type="dxa"/>
            <w:tcBorders>
              <w:top w:val="nil"/>
              <w:left w:val="nil"/>
              <w:bottom w:val="nil"/>
              <w:right w:val="nil"/>
            </w:tcBorders>
            <w:shd w:val="clear" w:color="auto" w:fill="auto"/>
            <w:noWrap/>
            <w:vAlign w:val="center"/>
            <w:hideMark/>
          </w:tcPr>
          <w:p w14:paraId="7EA891EE"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1,778</w:t>
            </w:r>
          </w:p>
        </w:tc>
        <w:tc>
          <w:tcPr>
            <w:tcW w:w="1595" w:type="dxa"/>
            <w:tcBorders>
              <w:top w:val="nil"/>
              <w:left w:val="nil"/>
              <w:bottom w:val="nil"/>
              <w:right w:val="nil"/>
            </w:tcBorders>
            <w:shd w:val="clear" w:color="auto" w:fill="auto"/>
            <w:noWrap/>
            <w:vAlign w:val="center"/>
            <w:hideMark/>
          </w:tcPr>
          <w:p w14:paraId="23F349E1" w14:textId="77777777" w:rsidR="008E7D15" w:rsidRPr="007F6332" w:rsidRDefault="008E7D15" w:rsidP="00D45B8B">
            <w:pPr>
              <w:spacing w:after="0" w:line="240" w:lineRule="auto"/>
              <w:jc w:val="right"/>
              <w:rPr>
                <w:rFonts w:eastAsia="Times New Roman" w:cs="Arial"/>
                <w:color w:val="000000"/>
                <w:szCs w:val="22"/>
                <w:lang w:eastAsia="zh-CN"/>
              </w:rPr>
            </w:pPr>
            <w:r w:rsidRPr="007F6332">
              <w:rPr>
                <w:rFonts w:cs="Arial"/>
                <w:color w:val="000000"/>
                <w:szCs w:val="22"/>
              </w:rPr>
              <w:t>5.8%</w:t>
            </w:r>
          </w:p>
        </w:tc>
      </w:tr>
      <w:tr w:rsidR="008E7D15" w:rsidRPr="007F6332" w14:paraId="7BC44AA7" w14:textId="77777777" w:rsidTr="00E53368">
        <w:trPr>
          <w:trHeight w:val="340"/>
        </w:trPr>
        <w:tc>
          <w:tcPr>
            <w:tcW w:w="2835" w:type="dxa"/>
            <w:tcBorders>
              <w:top w:val="nil"/>
              <w:left w:val="nil"/>
              <w:bottom w:val="nil"/>
              <w:right w:val="nil"/>
            </w:tcBorders>
            <w:shd w:val="clear" w:color="000000" w:fill="A7A9AC"/>
            <w:noWrap/>
            <w:vAlign w:val="center"/>
            <w:hideMark/>
          </w:tcPr>
          <w:p w14:paraId="2ED9A757" w14:textId="77777777" w:rsidR="008E7D15" w:rsidRPr="007F6332" w:rsidRDefault="008E7D15" w:rsidP="00036C45">
            <w:pPr>
              <w:spacing w:after="0" w:line="240" w:lineRule="auto"/>
              <w:rPr>
                <w:rFonts w:eastAsia="Times New Roman" w:cs="Arial"/>
                <w:color w:val="000000"/>
                <w:szCs w:val="22"/>
                <w:lang w:eastAsia="zh-CN"/>
              </w:rPr>
            </w:pPr>
            <w:r w:rsidRPr="007F6332">
              <w:rPr>
                <w:rFonts w:cs="Arial"/>
                <w:color w:val="000000"/>
                <w:szCs w:val="22"/>
              </w:rPr>
              <w:t>Low</w:t>
            </w:r>
          </w:p>
        </w:tc>
        <w:tc>
          <w:tcPr>
            <w:tcW w:w="1594" w:type="dxa"/>
            <w:tcBorders>
              <w:top w:val="nil"/>
              <w:left w:val="nil"/>
              <w:bottom w:val="nil"/>
              <w:right w:val="nil"/>
            </w:tcBorders>
            <w:shd w:val="clear" w:color="000000" w:fill="A7A9AC"/>
            <w:noWrap/>
            <w:vAlign w:val="center"/>
            <w:hideMark/>
          </w:tcPr>
          <w:p w14:paraId="6EF58680"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10,648</w:t>
            </w:r>
          </w:p>
        </w:tc>
        <w:tc>
          <w:tcPr>
            <w:tcW w:w="1595" w:type="dxa"/>
            <w:tcBorders>
              <w:top w:val="nil"/>
              <w:left w:val="nil"/>
              <w:bottom w:val="nil"/>
              <w:right w:val="nil"/>
            </w:tcBorders>
            <w:shd w:val="clear" w:color="000000" w:fill="A7A9AC"/>
            <w:noWrap/>
            <w:vAlign w:val="center"/>
            <w:hideMark/>
          </w:tcPr>
          <w:p w14:paraId="5C35CACB"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6,725</w:t>
            </w:r>
          </w:p>
        </w:tc>
        <w:tc>
          <w:tcPr>
            <w:tcW w:w="1595" w:type="dxa"/>
            <w:tcBorders>
              <w:top w:val="nil"/>
              <w:left w:val="nil"/>
              <w:bottom w:val="nil"/>
              <w:right w:val="nil"/>
            </w:tcBorders>
            <w:shd w:val="clear" w:color="000000" w:fill="A7A9AC"/>
            <w:noWrap/>
            <w:vAlign w:val="center"/>
            <w:hideMark/>
          </w:tcPr>
          <w:p w14:paraId="16B1B5F9"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3,923</w:t>
            </w:r>
          </w:p>
        </w:tc>
        <w:tc>
          <w:tcPr>
            <w:tcW w:w="1595" w:type="dxa"/>
            <w:tcBorders>
              <w:top w:val="nil"/>
              <w:left w:val="nil"/>
              <w:bottom w:val="nil"/>
              <w:right w:val="nil"/>
            </w:tcBorders>
            <w:shd w:val="clear" w:color="000000" w:fill="A7A9AC"/>
            <w:noWrap/>
            <w:vAlign w:val="center"/>
            <w:hideMark/>
          </w:tcPr>
          <w:p w14:paraId="3A9EDE56" w14:textId="77777777" w:rsidR="008E7D15" w:rsidRPr="007F6332" w:rsidRDefault="008E7D15" w:rsidP="00D45B8B">
            <w:pPr>
              <w:spacing w:after="0" w:line="240" w:lineRule="auto"/>
              <w:jc w:val="right"/>
              <w:rPr>
                <w:rFonts w:eastAsia="Times New Roman" w:cs="Arial"/>
                <w:color w:val="000000"/>
                <w:szCs w:val="22"/>
                <w:lang w:eastAsia="zh-CN"/>
              </w:rPr>
            </w:pPr>
            <w:r w:rsidRPr="007F6332">
              <w:rPr>
                <w:rFonts w:cs="Arial"/>
                <w:color w:val="000000"/>
                <w:szCs w:val="22"/>
              </w:rPr>
              <w:t>58.3%</w:t>
            </w:r>
          </w:p>
        </w:tc>
      </w:tr>
      <w:tr w:rsidR="008E7D15" w:rsidRPr="007F6332" w14:paraId="4BFE12F1" w14:textId="77777777" w:rsidTr="00E53368">
        <w:trPr>
          <w:trHeight w:val="340"/>
        </w:trPr>
        <w:tc>
          <w:tcPr>
            <w:tcW w:w="2835" w:type="dxa"/>
            <w:tcBorders>
              <w:top w:val="nil"/>
              <w:left w:val="nil"/>
              <w:right w:val="nil"/>
            </w:tcBorders>
            <w:shd w:val="clear" w:color="auto" w:fill="auto"/>
            <w:noWrap/>
            <w:vAlign w:val="center"/>
            <w:hideMark/>
          </w:tcPr>
          <w:p w14:paraId="3470D876" w14:textId="77777777" w:rsidR="008E7D15" w:rsidRPr="007F6332" w:rsidRDefault="008E7D15" w:rsidP="00036C45">
            <w:pPr>
              <w:spacing w:after="0" w:line="240" w:lineRule="auto"/>
              <w:rPr>
                <w:rFonts w:eastAsia="Times New Roman" w:cs="Arial"/>
                <w:color w:val="000000"/>
                <w:szCs w:val="22"/>
                <w:lang w:eastAsia="zh-CN"/>
              </w:rPr>
            </w:pPr>
            <w:r w:rsidRPr="007F6332">
              <w:rPr>
                <w:rFonts w:cs="Arial"/>
                <w:color w:val="000000"/>
                <w:szCs w:val="22"/>
              </w:rPr>
              <w:t>Missing</w:t>
            </w:r>
          </w:p>
        </w:tc>
        <w:tc>
          <w:tcPr>
            <w:tcW w:w="1594" w:type="dxa"/>
            <w:tcBorders>
              <w:top w:val="nil"/>
              <w:left w:val="nil"/>
              <w:right w:val="nil"/>
            </w:tcBorders>
            <w:shd w:val="clear" w:color="auto" w:fill="auto"/>
            <w:noWrap/>
            <w:vAlign w:val="center"/>
            <w:hideMark/>
          </w:tcPr>
          <w:p w14:paraId="682D0101"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370</w:t>
            </w:r>
          </w:p>
        </w:tc>
        <w:tc>
          <w:tcPr>
            <w:tcW w:w="1595" w:type="dxa"/>
            <w:tcBorders>
              <w:top w:val="nil"/>
              <w:left w:val="nil"/>
              <w:right w:val="nil"/>
            </w:tcBorders>
            <w:shd w:val="clear" w:color="auto" w:fill="auto"/>
            <w:noWrap/>
            <w:vAlign w:val="center"/>
            <w:hideMark/>
          </w:tcPr>
          <w:p w14:paraId="218C70E9"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-263</w:t>
            </w:r>
            <w:r w:rsidRPr="007F6332">
              <w:rPr>
                <w:rStyle w:val="FootnoteReference"/>
                <w:rFonts w:eastAsia="Times New Roman" w:cs="Arial"/>
                <w:color w:val="000000"/>
                <w:szCs w:val="22"/>
                <w:lang w:eastAsia="zh-CN"/>
              </w:rPr>
              <w:footnoteReference w:id="56"/>
            </w:r>
          </w:p>
        </w:tc>
        <w:tc>
          <w:tcPr>
            <w:tcW w:w="1595" w:type="dxa"/>
            <w:tcBorders>
              <w:top w:val="nil"/>
              <w:left w:val="nil"/>
              <w:right w:val="nil"/>
            </w:tcBorders>
            <w:shd w:val="clear" w:color="auto" w:fill="auto"/>
            <w:noWrap/>
            <w:vAlign w:val="center"/>
            <w:hideMark/>
          </w:tcPr>
          <w:p w14:paraId="23D4638D" w14:textId="77777777" w:rsidR="008E7D15" w:rsidRPr="007F6332" w:rsidRDefault="008E7D15" w:rsidP="00E53368">
            <w:pPr>
              <w:spacing w:after="0" w:line="240" w:lineRule="auto"/>
              <w:jc w:val="center"/>
              <w:rPr>
                <w:rFonts w:eastAsia="Times New Roman" w:cs="Arial"/>
                <w:color w:val="000000"/>
                <w:szCs w:val="22"/>
                <w:lang w:eastAsia="zh-CN"/>
              </w:rPr>
            </w:pPr>
            <w:r w:rsidRPr="007F6332">
              <w:rPr>
                <w:rFonts w:cs="Arial"/>
                <w:color w:val="000000"/>
                <w:szCs w:val="22"/>
              </w:rPr>
              <w:t>633</w:t>
            </w:r>
          </w:p>
        </w:tc>
        <w:tc>
          <w:tcPr>
            <w:tcW w:w="1595" w:type="dxa"/>
            <w:tcBorders>
              <w:top w:val="nil"/>
              <w:left w:val="nil"/>
              <w:right w:val="nil"/>
            </w:tcBorders>
            <w:shd w:val="clear" w:color="auto" w:fill="auto"/>
            <w:noWrap/>
            <w:vAlign w:val="center"/>
            <w:hideMark/>
          </w:tcPr>
          <w:p w14:paraId="25FBE7F3" w14:textId="77777777" w:rsidR="008E7D15" w:rsidRPr="007F6332" w:rsidRDefault="008E7D15" w:rsidP="00D45B8B">
            <w:pPr>
              <w:spacing w:after="0" w:line="240" w:lineRule="auto"/>
              <w:jc w:val="right"/>
              <w:rPr>
                <w:rFonts w:eastAsia="Times New Roman" w:cs="Arial"/>
                <w:color w:val="000000"/>
                <w:szCs w:val="22"/>
                <w:lang w:eastAsia="zh-CN"/>
              </w:rPr>
            </w:pPr>
            <w:r w:rsidRPr="007F6332">
              <w:rPr>
                <w:rFonts w:cs="Arial"/>
                <w:color w:val="000000"/>
                <w:szCs w:val="22"/>
              </w:rPr>
              <w:t>-240.7%</w:t>
            </w:r>
          </w:p>
        </w:tc>
      </w:tr>
      <w:tr w:rsidR="008E7D15" w:rsidRPr="007F6332" w14:paraId="2B9C8232" w14:textId="77777777" w:rsidTr="00C1755E">
        <w:trPr>
          <w:trHeight w:val="509"/>
        </w:trPr>
        <w:tc>
          <w:tcPr>
            <w:tcW w:w="2835" w:type="dxa"/>
            <w:tcBorders>
              <w:left w:val="nil"/>
              <w:bottom w:val="single" w:sz="4" w:space="0" w:color="auto"/>
              <w:right w:val="nil"/>
            </w:tcBorders>
            <w:shd w:val="clear" w:color="000000" w:fill="B398B8"/>
            <w:noWrap/>
            <w:vAlign w:val="bottom"/>
            <w:hideMark/>
          </w:tcPr>
          <w:p w14:paraId="6D299432" w14:textId="77777777" w:rsidR="008E7D15" w:rsidRPr="007F6332" w:rsidRDefault="008E7D15" w:rsidP="00036C45">
            <w:pPr>
              <w:spacing w:after="0" w:line="240" w:lineRule="auto"/>
              <w:rPr>
                <w:rFonts w:eastAsia="Times New Roman" w:cs="Arial"/>
                <w:b/>
                <w:bCs/>
                <w:color w:val="000000"/>
                <w:szCs w:val="22"/>
                <w:lang w:eastAsia="zh-CN"/>
              </w:rPr>
            </w:pPr>
            <w:r w:rsidRPr="007F6332">
              <w:rPr>
                <w:rFonts w:cs="Arial"/>
                <w:b/>
                <w:bCs/>
                <w:color w:val="000000"/>
                <w:szCs w:val="22"/>
              </w:rPr>
              <w:t>Total</w:t>
            </w:r>
          </w:p>
        </w:tc>
        <w:tc>
          <w:tcPr>
            <w:tcW w:w="1594" w:type="dxa"/>
            <w:tcBorders>
              <w:left w:val="nil"/>
              <w:bottom w:val="single" w:sz="4" w:space="0" w:color="auto"/>
              <w:right w:val="nil"/>
            </w:tcBorders>
            <w:shd w:val="clear" w:color="000000" w:fill="B398B8"/>
            <w:noWrap/>
            <w:vAlign w:val="center"/>
            <w:hideMark/>
          </w:tcPr>
          <w:p w14:paraId="6F272A89" w14:textId="77777777" w:rsidR="008E7D15" w:rsidRPr="007F6332" w:rsidRDefault="008E7D15" w:rsidP="00E53368">
            <w:pPr>
              <w:spacing w:after="0" w:line="240" w:lineRule="auto"/>
              <w:jc w:val="center"/>
              <w:rPr>
                <w:rFonts w:eastAsia="Times New Roman" w:cs="Arial"/>
                <w:b/>
                <w:bCs/>
                <w:color w:val="000000"/>
                <w:szCs w:val="22"/>
                <w:lang w:eastAsia="zh-CN"/>
              </w:rPr>
            </w:pPr>
            <w:r w:rsidRPr="007F6332">
              <w:rPr>
                <w:rFonts w:cs="Arial"/>
                <w:b/>
                <w:bCs/>
                <w:color w:val="000000"/>
                <w:szCs w:val="22"/>
              </w:rPr>
              <w:t>75,847</w:t>
            </w:r>
          </w:p>
        </w:tc>
        <w:tc>
          <w:tcPr>
            <w:tcW w:w="1595" w:type="dxa"/>
            <w:tcBorders>
              <w:left w:val="nil"/>
              <w:bottom w:val="single" w:sz="4" w:space="0" w:color="auto"/>
              <w:right w:val="nil"/>
            </w:tcBorders>
            <w:shd w:val="clear" w:color="000000" w:fill="B398B8"/>
            <w:noWrap/>
            <w:vAlign w:val="center"/>
            <w:hideMark/>
          </w:tcPr>
          <w:p w14:paraId="4C97CB05" w14:textId="77777777" w:rsidR="008E7D15" w:rsidRPr="007F6332" w:rsidRDefault="008E7D15" w:rsidP="00E53368">
            <w:pPr>
              <w:spacing w:after="0" w:line="240" w:lineRule="auto"/>
              <w:jc w:val="center"/>
              <w:rPr>
                <w:rFonts w:eastAsia="Times New Roman" w:cs="Arial"/>
                <w:b/>
                <w:bCs/>
                <w:color w:val="000000"/>
                <w:szCs w:val="22"/>
                <w:lang w:eastAsia="zh-CN"/>
              </w:rPr>
            </w:pPr>
            <w:r w:rsidRPr="007F6332">
              <w:rPr>
                <w:rFonts w:cs="Arial"/>
                <w:b/>
                <w:bCs/>
                <w:color w:val="000000"/>
                <w:szCs w:val="22"/>
              </w:rPr>
              <w:t>57,639</w:t>
            </w:r>
          </w:p>
        </w:tc>
        <w:tc>
          <w:tcPr>
            <w:tcW w:w="1595" w:type="dxa"/>
            <w:tcBorders>
              <w:left w:val="nil"/>
              <w:bottom w:val="single" w:sz="4" w:space="0" w:color="auto"/>
              <w:right w:val="nil"/>
            </w:tcBorders>
            <w:shd w:val="clear" w:color="000000" w:fill="B398B8"/>
            <w:noWrap/>
            <w:vAlign w:val="center"/>
            <w:hideMark/>
          </w:tcPr>
          <w:p w14:paraId="76546564" w14:textId="77777777" w:rsidR="008E7D15" w:rsidRPr="007F6332" w:rsidRDefault="008E7D15" w:rsidP="00E53368">
            <w:pPr>
              <w:spacing w:after="0" w:line="240" w:lineRule="auto"/>
              <w:jc w:val="center"/>
              <w:rPr>
                <w:rFonts w:eastAsia="Times New Roman" w:cs="Arial"/>
                <w:b/>
                <w:bCs/>
                <w:color w:val="000000"/>
                <w:szCs w:val="22"/>
                <w:lang w:eastAsia="zh-CN"/>
              </w:rPr>
            </w:pPr>
            <w:r w:rsidRPr="007F6332">
              <w:rPr>
                <w:rFonts w:cs="Arial"/>
                <w:b/>
                <w:bCs/>
                <w:color w:val="000000"/>
                <w:szCs w:val="22"/>
              </w:rPr>
              <w:t>18,208</w:t>
            </w:r>
          </w:p>
        </w:tc>
        <w:tc>
          <w:tcPr>
            <w:tcW w:w="1595" w:type="dxa"/>
            <w:tcBorders>
              <w:left w:val="nil"/>
              <w:bottom w:val="single" w:sz="4" w:space="0" w:color="auto"/>
              <w:right w:val="nil"/>
            </w:tcBorders>
            <w:shd w:val="clear" w:color="000000" w:fill="B398B8"/>
            <w:noWrap/>
            <w:vAlign w:val="center"/>
            <w:hideMark/>
          </w:tcPr>
          <w:p w14:paraId="1EC2A0B8" w14:textId="77777777" w:rsidR="008E7D15" w:rsidRPr="007F6332" w:rsidRDefault="008E7D15" w:rsidP="00D45B8B">
            <w:pPr>
              <w:spacing w:after="0" w:line="240" w:lineRule="auto"/>
              <w:jc w:val="right"/>
              <w:rPr>
                <w:rFonts w:eastAsia="Times New Roman" w:cs="Arial"/>
                <w:b/>
                <w:bCs/>
                <w:color w:val="000000"/>
                <w:szCs w:val="22"/>
                <w:lang w:eastAsia="zh-CN"/>
              </w:rPr>
            </w:pPr>
            <w:r w:rsidRPr="007F6332">
              <w:rPr>
                <w:rFonts w:cs="Arial"/>
                <w:b/>
                <w:bCs/>
                <w:color w:val="000000"/>
                <w:szCs w:val="22"/>
              </w:rPr>
              <w:t>31.6%</w:t>
            </w:r>
          </w:p>
        </w:tc>
      </w:tr>
    </w:tbl>
    <w:p w14:paraId="18D96547" w14:textId="4082B820" w:rsidR="008E7D15" w:rsidRPr="007F6332" w:rsidRDefault="008E7D15" w:rsidP="00CD33D0">
      <w:pPr>
        <w:pStyle w:val="Heading4"/>
        <w:spacing w:before="240"/>
        <w:ind w:left="851" w:hanging="851"/>
        <w:rPr>
          <w:rFonts w:cs="Arial"/>
        </w:rPr>
      </w:pPr>
      <w:r w:rsidRPr="007F6332">
        <w:rPr>
          <w:rFonts w:cs="Arial"/>
        </w:rPr>
        <w:t>Reported level</w:t>
      </w:r>
      <w:r w:rsidR="000448F8" w:rsidRPr="007F6332">
        <w:rPr>
          <w:rFonts w:cs="Arial"/>
        </w:rPr>
        <w:t xml:space="preserve">s </w:t>
      </w:r>
      <w:r w:rsidRPr="007F6332">
        <w:rPr>
          <w:rFonts w:cs="Arial"/>
        </w:rPr>
        <w:t>of function continue to show a deteriorating trend in the first couple of years in the Scheme</w:t>
      </w:r>
    </w:p>
    <w:p w14:paraId="51E13316" w14:textId="77777777" w:rsidR="00936337" w:rsidRPr="007F6332" w:rsidRDefault="00936337" w:rsidP="00936337">
      <w:pPr>
        <w:rPr>
          <w:rFonts w:cs="Arial"/>
        </w:rPr>
      </w:pPr>
      <w:r w:rsidRPr="007F6332">
        <w:rPr>
          <w:rFonts w:cs="Arial"/>
        </w:rPr>
        <w:t xml:space="preserve">Figure 4.2 shows the reported functional distribution for participants who entered the Scheme prior to 30 June 2017. </w:t>
      </w:r>
    </w:p>
    <w:p w14:paraId="59FC6A66" w14:textId="032180A2" w:rsidR="00E4412E" w:rsidRPr="007F6332" w:rsidRDefault="00936337" w:rsidP="00936337">
      <w:pPr>
        <w:rPr>
          <w:rFonts w:cs="Arial"/>
        </w:rPr>
      </w:pPr>
      <w:r w:rsidRPr="007F6332">
        <w:rPr>
          <w:rFonts w:cs="Arial"/>
        </w:rPr>
        <w:t xml:space="preserve">Over time, the proportion of participants with a high level of function </w:t>
      </w:r>
      <w:r w:rsidR="00F90748" w:rsidRPr="007F6332">
        <w:rPr>
          <w:rFonts w:cs="Arial"/>
        </w:rPr>
        <w:t xml:space="preserve">has </w:t>
      </w:r>
      <w:r w:rsidRPr="007F6332">
        <w:rPr>
          <w:rFonts w:cs="Arial"/>
        </w:rPr>
        <w:t>decreased, and the proportion with</w:t>
      </w:r>
      <w:r w:rsidR="00891A6E" w:rsidRPr="007F6332">
        <w:rPr>
          <w:rFonts w:cs="Arial"/>
        </w:rPr>
        <w:t xml:space="preserve"> </w:t>
      </w:r>
      <w:r w:rsidRPr="007F6332">
        <w:rPr>
          <w:rFonts w:cs="Arial"/>
        </w:rPr>
        <w:t>low</w:t>
      </w:r>
      <w:r w:rsidR="00891A6E" w:rsidRPr="007F6332">
        <w:rPr>
          <w:rFonts w:cs="Arial"/>
        </w:rPr>
        <w:t>er</w:t>
      </w:r>
      <w:r w:rsidRPr="007F6332">
        <w:rPr>
          <w:rFonts w:cs="Arial"/>
        </w:rPr>
        <w:t xml:space="preserve"> level</w:t>
      </w:r>
      <w:r w:rsidR="00891A6E" w:rsidRPr="007F6332">
        <w:rPr>
          <w:rFonts w:cs="Arial"/>
        </w:rPr>
        <w:t>s</w:t>
      </w:r>
      <w:r w:rsidRPr="007F6332">
        <w:rPr>
          <w:rFonts w:cs="Arial"/>
        </w:rPr>
        <w:t xml:space="preserve"> of function</w:t>
      </w:r>
      <w:r w:rsidR="00F90748" w:rsidRPr="007F6332">
        <w:rPr>
          <w:rFonts w:cs="Arial"/>
        </w:rPr>
        <w:t xml:space="preserve"> has</w:t>
      </w:r>
      <w:r w:rsidRPr="007F6332">
        <w:rPr>
          <w:rFonts w:cs="Arial"/>
        </w:rPr>
        <w:t xml:space="preserve"> increased. The shift in distribution was most significant in the initial years after participants entered the Scheme. It is likely to reflect inconsistent assessments over time as well as general deterioration in level of function due to ageing for some cohorts. The shift has been associated with increasing Scheme expenses, as participants with lower </w:t>
      </w:r>
      <w:r w:rsidR="00891A6E" w:rsidRPr="007F6332">
        <w:rPr>
          <w:rFonts w:cs="Arial"/>
        </w:rPr>
        <w:t xml:space="preserve">level of </w:t>
      </w:r>
      <w:r w:rsidRPr="007F6332">
        <w:rPr>
          <w:rFonts w:cs="Arial"/>
        </w:rPr>
        <w:t xml:space="preserve">function on average have higher support packages and hence higher average payments. </w:t>
      </w:r>
    </w:p>
    <w:p w14:paraId="2BEFC042" w14:textId="77777777" w:rsidR="004151FC" w:rsidRPr="007F6332" w:rsidRDefault="004151FC" w:rsidP="00936337">
      <w:pPr>
        <w:rPr>
          <w:rFonts w:cs="Arial"/>
        </w:rPr>
        <w:sectPr w:rsidR="004151FC" w:rsidRPr="007F6332" w:rsidSect="00E53368">
          <w:pgSz w:w="11906" w:h="16838"/>
          <w:pgMar w:top="1440" w:right="1133" w:bottom="1440" w:left="1440" w:header="708" w:footer="737" w:gutter="0"/>
          <w:cols w:space="708"/>
          <w:titlePg/>
          <w:docGrid w:linePitch="360"/>
        </w:sectPr>
      </w:pPr>
    </w:p>
    <w:p w14:paraId="17DB46DF" w14:textId="77777777" w:rsidR="004151FC" w:rsidRPr="007F6332" w:rsidRDefault="004151FC" w:rsidP="00936337">
      <w:pPr>
        <w:rPr>
          <w:rFonts w:cs="Arial"/>
        </w:rPr>
      </w:pPr>
    </w:p>
    <w:p w14:paraId="0FECC0B8" w14:textId="372E236A" w:rsidR="00CD5053" w:rsidRPr="007F6332" w:rsidRDefault="00CD5053" w:rsidP="006B61AA">
      <w:pPr>
        <w:pStyle w:val="FiguresandTablesHeading5"/>
        <w:rPr>
          <w:noProof/>
        </w:rPr>
      </w:pPr>
      <w:bookmarkStart w:id="66" w:name="_Hlk151729396"/>
      <w:r w:rsidRPr="007F6332">
        <w:t>Figure 4.2: Change in distribution of reported level of function at 30 June from 2017 to 2023</w:t>
      </w:r>
    </w:p>
    <w:p w14:paraId="74ED4517" w14:textId="53A46F74" w:rsidR="00936337" w:rsidRPr="007F6332" w:rsidRDefault="00E56A04" w:rsidP="00CD33D0">
      <w:pPr>
        <w:pStyle w:val="FSRnormal"/>
        <w:rPr>
          <w:rFonts w:cs="Arial"/>
        </w:rPr>
      </w:pPr>
      <w:r w:rsidRPr="007F6332">
        <w:rPr>
          <w:rFonts w:cs="Arial"/>
          <w:noProof/>
        </w:rPr>
        <w:drawing>
          <wp:inline distT="0" distB="0" distL="0" distR="0" wp14:anchorId="369D2D55" wp14:editId="7BE4AA65">
            <wp:extent cx="5926455" cy="3176905"/>
            <wp:effectExtent l="0" t="0" r="0" b="4445"/>
            <wp:docPr id="961423700" name="Picture 1" descr="Figure 4.2 Change in distribution of reported level of function at 30 June from 2017 to 2023. Graph shows change in functional distribution from 30 June 2017 to 30 June 2023: &#10;High level of function changed from 38% to 20%. &#10;Medium level of function changed from 38% to 44%. &#10;Low level of function changed from 23% to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23700" name="Picture 1" descr="Figure 4.2 Change in distribution of reported level of function at 30 June from 2017 to 2023. Graph shows change in functional distribution from 30 June 2017 to 30 June 2023: &#10;High level of function changed from 38% to 20%. &#10;Medium level of function changed from 38% to 44%. &#10;Low level of function changed from 23% to 35%.&#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26455" cy="3176905"/>
                    </a:xfrm>
                    <a:prstGeom prst="rect">
                      <a:avLst/>
                    </a:prstGeom>
                    <a:noFill/>
                    <a:ln>
                      <a:noFill/>
                    </a:ln>
                  </pic:spPr>
                </pic:pic>
              </a:graphicData>
            </a:graphic>
          </wp:inline>
        </w:drawing>
      </w:r>
      <w:r w:rsidR="00E426C3" w:rsidRPr="007F6332">
        <w:rPr>
          <w:rFonts w:cs="Arial"/>
        </w:rPr>
        <w:t xml:space="preserve"> </w:t>
      </w:r>
      <w:bookmarkEnd w:id="66"/>
      <w:r w:rsidR="00936337" w:rsidRPr="007F6332">
        <w:rPr>
          <w:rFonts w:cs="Arial"/>
        </w:rPr>
        <w:t xml:space="preserve">Participants that entered the Scheme after 30 June 2017 also exhibit the same trend. Refer to Appendix </w:t>
      </w:r>
      <w:r w:rsidR="00330C20" w:rsidRPr="007F6332">
        <w:rPr>
          <w:rFonts w:cs="Arial"/>
        </w:rPr>
        <w:t>D.</w:t>
      </w:r>
    </w:p>
    <w:p w14:paraId="4D807F70" w14:textId="26C7CACD" w:rsidR="00936337" w:rsidRPr="007F6332" w:rsidRDefault="00936337" w:rsidP="00936337">
      <w:pPr>
        <w:rPr>
          <w:rFonts w:cs="Arial"/>
        </w:rPr>
      </w:pPr>
      <w:r w:rsidRPr="007F6332">
        <w:rPr>
          <w:rFonts w:cs="Arial"/>
        </w:rPr>
        <w:t xml:space="preserve">The deterioration of level of function is observed in all disability groups, and in most age groups (children or adults). </w:t>
      </w:r>
      <w:r w:rsidR="00891A6E" w:rsidRPr="007F6332">
        <w:rPr>
          <w:rFonts w:cs="Arial"/>
        </w:rPr>
        <w:t>However</w:t>
      </w:r>
      <w:r w:rsidRPr="007F6332">
        <w:rPr>
          <w:rFonts w:cs="Arial"/>
        </w:rPr>
        <w:t>, the pace and extent of deterioration varies across disabilities</w:t>
      </w:r>
      <w:r w:rsidRPr="007F6332">
        <w:rPr>
          <w:rStyle w:val="FootnoteReference"/>
          <w:rFonts w:cs="Arial"/>
        </w:rPr>
        <w:footnoteReference w:id="57"/>
      </w:r>
      <w:r w:rsidRPr="007F6332">
        <w:rPr>
          <w:rFonts w:cs="Arial"/>
        </w:rPr>
        <w:t>.</w:t>
      </w:r>
    </w:p>
    <w:p w14:paraId="508F3E1D" w14:textId="407AED61" w:rsidR="00BF03E5" w:rsidRPr="007F6332" w:rsidRDefault="00BF03E5" w:rsidP="00CD33D0">
      <w:pPr>
        <w:pStyle w:val="Heading4"/>
        <w:ind w:left="851" w:hanging="851"/>
        <w:rPr>
          <w:rFonts w:cs="Arial"/>
        </w:rPr>
      </w:pPr>
      <w:r w:rsidRPr="007F6332">
        <w:rPr>
          <w:rFonts w:cs="Arial"/>
        </w:rPr>
        <w:t>Scheme participants as a proportion of the general population continue to increase</w:t>
      </w:r>
    </w:p>
    <w:p w14:paraId="6DC9AE1C" w14:textId="170F0E17" w:rsidR="00BF03E5" w:rsidRPr="007F6332" w:rsidRDefault="00BF03E5" w:rsidP="00BF03E5">
      <w:pPr>
        <w:rPr>
          <w:rFonts w:cs="Arial"/>
        </w:rPr>
      </w:pPr>
      <w:r w:rsidRPr="007F6332">
        <w:rPr>
          <w:rFonts w:cs="Arial"/>
        </w:rPr>
        <w:t>Participation rate refers to the proportion of the Australian population who are NDIS participants. The rate varies by age and gender, reflecting the prevalence of different disability groups.</w:t>
      </w:r>
      <w:bookmarkStart w:id="67" w:name="_Ref144318179"/>
    </w:p>
    <w:p w14:paraId="0B7E8A7A" w14:textId="18E62C46" w:rsidR="00196552" w:rsidRPr="007F6332" w:rsidRDefault="0053380A" w:rsidP="00196552">
      <w:pPr>
        <w:pStyle w:val="FSRnormal"/>
        <w:rPr>
          <w:rFonts w:cs="Arial"/>
        </w:rPr>
      </w:pPr>
      <w:bookmarkStart w:id="68" w:name="_Hlk151729459"/>
      <w:r w:rsidRPr="007F6332">
        <w:rPr>
          <w:rFonts w:cs="Arial"/>
        </w:rPr>
        <w:t xml:space="preserve">Figure 4.3 </w:t>
      </w:r>
      <w:r w:rsidR="00196552" w:rsidRPr="007F6332">
        <w:rPr>
          <w:rFonts w:cs="Arial"/>
        </w:rPr>
        <w:t xml:space="preserve">shows participation rates for all age bands increased since the previous review. Participation rates are high for children and peak around age 5, reflecting the large numbers of children that entered the Scheme with developmental delay. The increase in participation rates for children was also higher than other age bands. </w:t>
      </w:r>
      <w:r w:rsidR="00582E37" w:rsidRPr="007F6332">
        <w:rPr>
          <w:rFonts w:cs="Arial"/>
        </w:rPr>
        <w:t xml:space="preserve">Appendix </w:t>
      </w:r>
      <w:r w:rsidR="00330C20" w:rsidRPr="007F6332">
        <w:rPr>
          <w:rFonts w:cs="Arial"/>
        </w:rPr>
        <w:t>D p</w:t>
      </w:r>
      <w:r w:rsidR="00196552" w:rsidRPr="007F6332">
        <w:rPr>
          <w:rFonts w:cs="Arial"/>
        </w:rPr>
        <w:t>resents a further breakdown of participation rates by gender</w:t>
      </w:r>
      <w:bookmarkEnd w:id="68"/>
      <w:r w:rsidR="00196552" w:rsidRPr="007F6332">
        <w:rPr>
          <w:rFonts w:cs="Arial"/>
        </w:rPr>
        <w:t xml:space="preserve">. </w:t>
      </w:r>
    </w:p>
    <w:p w14:paraId="023F0AED" w14:textId="77777777" w:rsidR="004151FC" w:rsidRPr="007F6332" w:rsidRDefault="004151FC" w:rsidP="00196552">
      <w:pPr>
        <w:pStyle w:val="FSRnormal"/>
        <w:rPr>
          <w:rFonts w:cs="Arial"/>
        </w:rPr>
        <w:sectPr w:rsidR="004151FC" w:rsidRPr="007F6332" w:rsidSect="00FA59E8">
          <w:pgSz w:w="11906" w:h="16838"/>
          <w:pgMar w:top="1440" w:right="1133" w:bottom="1440" w:left="1440" w:header="708" w:footer="850" w:gutter="0"/>
          <w:cols w:space="708"/>
          <w:titlePg/>
          <w:docGrid w:linePitch="360"/>
        </w:sectPr>
      </w:pPr>
    </w:p>
    <w:p w14:paraId="04BA1ACF" w14:textId="5BF1F91B" w:rsidR="00CD5053" w:rsidRPr="007F6332" w:rsidRDefault="00CD5053" w:rsidP="006B61AA">
      <w:pPr>
        <w:pStyle w:val="FiguresandTablesHeading5"/>
        <w:rPr>
          <w:noProof/>
        </w:rPr>
      </w:pPr>
      <w:bookmarkStart w:id="69" w:name="_Hlk151729488"/>
      <w:r w:rsidRPr="007F6332">
        <w:lastRenderedPageBreak/>
        <w:t>Figure 4.3: Proportion of Australian population in the Scheme by age</w:t>
      </w:r>
    </w:p>
    <w:p w14:paraId="7FBF7C44" w14:textId="771C6E59" w:rsidR="005A5D34" w:rsidRPr="007F6332" w:rsidRDefault="00E45F0C" w:rsidP="00CD33D0">
      <w:pPr>
        <w:pStyle w:val="FSRnormal"/>
        <w:rPr>
          <w:rFonts w:eastAsiaTheme="minorHAnsi" w:cs="Arial"/>
          <w:sz w:val="24"/>
          <w:lang w:eastAsia="en-AU"/>
        </w:rPr>
      </w:pPr>
      <w:r w:rsidRPr="007F6332">
        <w:rPr>
          <w:rFonts w:cs="Arial"/>
          <w:noProof/>
        </w:rPr>
        <w:drawing>
          <wp:inline distT="0" distB="0" distL="0" distR="0" wp14:anchorId="17C91E3D" wp14:editId="63DC69EC">
            <wp:extent cx="5788025" cy="2930525"/>
            <wp:effectExtent l="0" t="0" r="3175" b="3175"/>
            <wp:docPr id="19" name="Picture 19" descr="Figure 4.3: Proportion of Australian population in the Scheme by age&#10;Comparison of 2022 to 2023 at 30 June of the proportion of Australian population &#10;The figures provided are for the financial years to 30 June 2022 and to 30 June 2023  &#10;30 June 2022 Proportion of Australian population in the scheme by age group, 0 to 5 years total 6.8%.&#10;30 June 2023 Proportion of Australian population in the scheme by age group, 0 to 5 years total 8.4%.&#10;30 June 2022 Proportion of Australian population in the scheme by age group, 5 to 10 years total 5.4%.&#10;30 June 2023 Proportion of Australian population in the scheme by age group, 5 to 10 years total 6.3%.&#10;30 June 2022 Proportion of Australian population in the scheme by age group, 10 to 15 years total 4.0%.&#10;30 June 2023 Proportion of Australian population in the scheme by age group, 10 to 15 years total 4.6%.&#10;30 June 2022 Proportion of Australian population in the scheme by age group, 15 to 20 years total 2.3%.&#10;30 June 2023 Proportion of Australian population in the scheme by age group, 15 to 20 years total 3.0%.&#10;30 June 2022 Proportion of Australian population in the scheme by age group, 20 to 25 years total 1.5%.&#10;30 June 2023 Proportion of Australian population in the scheme by age group, 20 to 25 years total 1.9%.&#10;30 June 2022 Proportion of Australian population in the scheme by age group, 25 to 30 years total 1.1%.&#10;30 June 2023 Proportion of Australian population in the scheme by age group, 25 to 30 years total 1.3%.&#10;30 June 2022 Proportion of Australian population in the scheme by age group, 30 to 35 years total 1.0%.&#10;30 June 2023 Proportion of Australian population in the scheme by age group, 30 to 35 years total 1.2%.&#10;30 June 2022 Proportion of Australian population in the scheme by age group, 35 to 40 years total 1.3%.&#10;30 June 2023 Proportion of Australian population in the scheme by age group, 35 to 40 years total 1.3%.&#10;30 June 2022 Proportion of Australian population in the scheme by age group, 40 to 45 years total 1.2%.&#10;30 June 2023 Proportion of Australian population in the scheme by age group, 40 to 45 years total 1.5%.&#10;30 June 2022 Proportion of Australian population in the scheme by age group, 45 to 50 years total 1.7%.&#10;30 June 2023 Proportion of Australian population in the scheme by age group, 45 to 50 years total 1.6%.&#10;30 June 2023 Proportion of Australian population in the scheme by age group, 50 to 55 years total 1.7%.&#10;30 June 2023 Proportion of Australian population in the scheme by age group, 50 to 55 years total 1.9%.&#10;30 June 2023 Proportion of Australian population in the scheme by age group, 55 to 60 years total 2.0%.&#10;30 June 2023 Proportion of Australian population in the scheme by age group, 55 to 60 years total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4.3: Proportion of Australian population in the Scheme by age&#10;Comparison of 2022 to 2023 at 30 June of the proportion of Australian population &#10;The figures provided are for the financial years to 30 June 2022 and to 30 June 2023  &#10;30 June 2022 Proportion of Australian population in the scheme by age group, 0 to 5 years total 6.8%.&#10;30 June 2023 Proportion of Australian population in the scheme by age group, 0 to 5 years total 8.4%.&#10;30 June 2022 Proportion of Australian population in the scheme by age group, 5 to 10 years total 5.4%.&#10;30 June 2023 Proportion of Australian population in the scheme by age group, 5 to 10 years total 6.3%.&#10;30 June 2022 Proportion of Australian population in the scheme by age group, 10 to 15 years total 4.0%.&#10;30 June 2023 Proportion of Australian population in the scheme by age group, 10 to 15 years total 4.6%.&#10;30 June 2022 Proportion of Australian population in the scheme by age group, 15 to 20 years total 2.3%.&#10;30 June 2023 Proportion of Australian population in the scheme by age group, 15 to 20 years total 3.0%.&#10;30 June 2022 Proportion of Australian population in the scheme by age group, 20 to 25 years total 1.5%.&#10;30 June 2023 Proportion of Australian population in the scheme by age group, 20 to 25 years total 1.9%.&#10;30 June 2022 Proportion of Australian population in the scheme by age group, 25 to 30 years total 1.1%.&#10;30 June 2023 Proportion of Australian population in the scheme by age group, 25 to 30 years total 1.3%.&#10;30 June 2022 Proportion of Australian population in the scheme by age group, 30 to 35 years total 1.0%.&#10;30 June 2023 Proportion of Australian population in the scheme by age group, 30 to 35 years total 1.2%.&#10;30 June 2022 Proportion of Australian population in the scheme by age group, 35 to 40 years total 1.3%.&#10;30 June 2023 Proportion of Australian population in the scheme by age group, 35 to 40 years total 1.3%.&#10;30 June 2022 Proportion of Australian population in the scheme by age group, 40 to 45 years total 1.2%.&#10;30 June 2023 Proportion of Australian population in the scheme by age group, 40 to 45 years total 1.5%.&#10;30 June 2022 Proportion of Australian population in the scheme by age group, 45 to 50 years total 1.7%.&#10;30 June 2023 Proportion of Australian population in the scheme by age group, 45 to 50 years total 1.6%.&#10;30 June 2023 Proportion of Australian population in the scheme by age group, 50 to 55 years total 1.7%.&#10;30 June 2023 Proportion of Australian population in the scheme by age group, 50 to 55 years total 1.9%.&#10;30 June 2023 Proportion of Australian population in the scheme by age group, 55 to 60 years total 2.0%.&#10;30 June 2023 Proportion of Australian population in the scheme by age group, 55 to 60 years total 2.1%.&#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8025" cy="2930525"/>
                    </a:xfrm>
                    <a:prstGeom prst="rect">
                      <a:avLst/>
                    </a:prstGeom>
                    <a:noFill/>
                  </pic:spPr>
                </pic:pic>
              </a:graphicData>
            </a:graphic>
          </wp:inline>
        </w:drawing>
      </w:r>
      <w:bookmarkEnd w:id="67"/>
      <w:bookmarkEnd w:id="69"/>
      <w:r w:rsidR="005A5D34" w:rsidRPr="007F6332">
        <w:rPr>
          <w:rFonts w:cs="Arial"/>
        </w:rPr>
        <w:t>The participation rates for mature regions</w:t>
      </w:r>
      <w:r w:rsidR="005A5D34" w:rsidRPr="007F6332">
        <w:rPr>
          <w:rFonts w:cs="Arial"/>
          <w:vertAlign w:val="superscript"/>
        </w:rPr>
        <w:footnoteReference w:id="58"/>
      </w:r>
      <w:r w:rsidR="005A5D34" w:rsidRPr="007F6332">
        <w:rPr>
          <w:rFonts w:cs="Arial"/>
        </w:rPr>
        <w:t xml:space="preserve"> exceed benchmark levels assumed in the original Scheme design. Figure 4.4 presents the participation rate for each phasing cohort by the number of quarters since phasing into the Scheme commenced. The development curves show the proportion of active participants aged from 0 to 64 (compared to the general population) in the Scheme at specific development points in time. Increases over time reflect participants entering the Scheme while reductions reflect participants leaving the Scheme, passing away or turning age 65</w:t>
      </w:r>
      <w:r w:rsidR="00FF7182" w:rsidRPr="007F6332">
        <w:rPr>
          <w:rFonts w:cs="Arial"/>
        </w:rPr>
        <w:t>.</w:t>
      </w:r>
      <w:r w:rsidR="005A5D34" w:rsidRPr="007F6332">
        <w:rPr>
          <w:rFonts w:eastAsiaTheme="minorHAnsi" w:cs="Arial"/>
          <w:sz w:val="24"/>
          <w:lang w:eastAsia="en-AU"/>
        </w:rPr>
        <w:t xml:space="preserve"> </w:t>
      </w:r>
    </w:p>
    <w:p w14:paraId="285C89DF" w14:textId="2B572590" w:rsidR="00BF03E5" w:rsidRPr="007F6332" w:rsidRDefault="00BF03E5" w:rsidP="00936337">
      <w:pPr>
        <w:rPr>
          <w:rFonts w:cs="Arial"/>
        </w:rPr>
      </w:pPr>
      <w:r w:rsidRPr="007F6332">
        <w:rPr>
          <w:rFonts w:cs="Arial"/>
        </w:rPr>
        <w:t>It would originally have been expected that these participation curves would “flatten out” over time. However, the Scheme population in these regions continues to increase above general population growth. Participation rates for ages 0 to 64 continue to rise even in more “mature” geographical areas, with little sign of slowing. As an example, the unbroken dark purple line represents the participation rate of the regions that phased into the Scheme in the September 2013 quarter (i.e.</w:t>
      </w:r>
      <w:r w:rsidR="00582E37" w:rsidRPr="007F6332">
        <w:rPr>
          <w:rFonts w:cs="Arial"/>
        </w:rPr>
        <w:t>,</w:t>
      </w:r>
      <w:r w:rsidRPr="007F6332">
        <w:rPr>
          <w:rFonts w:cs="Arial"/>
        </w:rPr>
        <w:t xml:space="preserve"> Barwon in Victoria and Hunter in NSW). The lines appear almost parallel with one another, suggesting that the rates are similar across geographies. It is evident even after 39 quarters (almost ten years), there remains an upward trend in participants entering the Scheme.</w:t>
      </w:r>
    </w:p>
    <w:p w14:paraId="10C0E736" w14:textId="77777777" w:rsidR="004151FC" w:rsidRPr="007F6332" w:rsidRDefault="004151FC" w:rsidP="00936337">
      <w:pPr>
        <w:rPr>
          <w:rFonts w:cs="Arial"/>
        </w:rPr>
      </w:pPr>
    </w:p>
    <w:p w14:paraId="12C27898" w14:textId="77777777" w:rsidR="004151FC" w:rsidRPr="007F6332" w:rsidRDefault="004151FC" w:rsidP="002916CB">
      <w:pPr>
        <w:pStyle w:val="Heading7"/>
        <w:rPr>
          <w:rFonts w:cs="Arial"/>
        </w:rPr>
        <w:sectPr w:rsidR="004151FC" w:rsidRPr="007F6332" w:rsidSect="00FA59E8">
          <w:pgSz w:w="11906" w:h="16838"/>
          <w:pgMar w:top="1440" w:right="1133" w:bottom="1440" w:left="1440" w:header="708" w:footer="850" w:gutter="0"/>
          <w:cols w:space="708"/>
          <w:titlePg/>
          <w:docGrid w:linePitch="360"/>
        </w:sectPr>
      </w:pPr>
    </w:p>
    <w:p w14:paraId="7ABBEC96" w14:textId="2C03665E" w:rsidR="003654A1" w:rsidRPr="007F6332" w:rsidRDefault="003654A1" w:rsidP="006B61AA">
      <w:pPr>
        <w:pStyle w:val="FiguresandTablesHeading5"/>
      </w:pPr>
      <w:bookmarkStart w:id="70" w:name="_Hlk151734921"/>
      <w:r w:rsidRPr="007F6332">
        <w:lastRenderedPageBreak/>
        <w:t>Figure 4.4: Participants as a proportion of Australian population – aged 0 to 64</w:t>
      </w:r>
    </w:p>
    <w:p w14:paraId="1FCB1D1B" w14:textId="45CB9D46" w:rsidR="00C67BEA" w:rsidRPr="007F6332" w:rsidRDefault="00BB41E0" w:rsidP="00C67BEA">
      <w:pPr>
        <w:pStyle w:val="FSRnormal"/>
        <w:rPr>
          <w:rFonts w:cs="Arial"/>
        </w:rPr>
      </w:pPr>
      <w:r w:rsidRPr="007F6332">
        <w:rPr>
          <w:rFonts w:cs="Arial"/>
          <w:noProof/>
        </w:rPr>
        <w:drawing>
          <wp:inline distT="0" distB="0" distL="0" distR="0" wp14:anchorId="073F72FB" wp14:editId="70FCB62D">
            <wp:extent cx="5765800" cy="2719754"/>
            <wp:effectExtent l="0" t="0" r="6350" b="4445"/>
            <wp:docPr id="627893124" name="Picture 3" descr="Figure 4.4 Participants as a proportion of Australian population – aged 0 to 64. The figure shows total Scheme participants aged 0 to 64, as a proportion of the Australian population, by phase-in quarter. The participation rates continue to increase in all geographical areas, with little signs of slowing down, even in the more mature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93124" name="Picture 3" descr="Figure 4.4 Participants as a proportion of Australian population – aged 0 to 64. The figure shows total Scheme participants aged 0 to 64, as a proportion of the Australian population, by phase-in quarter. The participation rates continue to increase in all geographical areas, with little signs of slowing down, even in the more mature sites."/>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5770869" cy="2722145"/>
                    </a:xfrm>
                    <a:prstGeom prst="rect">
                      <a:avLst/>
                    </a:prstGeom>
                    <a:noFill/>
                    <a:ln>
                      <a:noFill/>
                    </a:ln>
                  </pic:spPr>
                </pic:pic>
              </a:graphicData>
            </a:graphic>
          </wp:inline>
        </w:drawing>
      </w:r>
      <w:bookmarkEnd w:id="70"/>
      <w:r w:rsidR="00604168" w:rsidRPr="007F6332">
        <w:rPr>
          <w:rFonts w:cs="Arial"/>
        </w:rPr>
        <w:t xml:space="preserve">Figure 4.5 </w:t>
      </w:r>
      <w:r w:rsidR="003D463C" w:rsidRPr="007F6332">
        <w:rPr>
          <w:rFonts w:cs="Arial"/>
        </w:rPr>
        <w:t>presents</w:t>
      </w:r>
      <w:r w:rsidR="008E7D15" w:rsidRPr="007F6332">
        <w:rPr>
          <w:rFonts w:cs="Arial"/>
        </w:rPr>
        <w:t xml:space="preserve"> the participation rate for</w:t>
      </w:r>
      <w:r w:rsidR="00233FF0" w:rsidRPr="007F6332">
        <w:rPr>
          <w:rFonts w:cs="Arial"/>
        </w:rPr>
        <w:t xml:space="preserve"> all </w:t>
      </w:r>
      <w:r w:rsidR="008E7D15" w:rsidRPr="007F6332">
        <w:rPr>
          <w:rFonts w:cs="Arial"/>
        </w:rPr>
        <w:t>participants with autism</w:t>
      </w:r>
      <w:r w:rsidR="009A0512" w:rsidRPr="007F6332">
        <w:rPr>
          <w:rFonts w:cs="Arial"/>
        </w:rPr>
        <w:t xml:space="preserve"> or developmental delay</w:t>
      </w:r>
      <w:r w:rsidR="008E7D15" w:rsidRPr="007F6332">
        <w:rPr>
          <w:rFonts w:cs="Arial"/>
        </w:rPr>
        <w:t xml:space="preserve"> by phase-in quarter. It shows the same trends as </w:t>
      </w:r>
      <w:r w:rsidR="00C230A6" w:rsidRPr="007F6332">
        <w:rPr>
          <w:rFonts w:cs="Arial"/>
        </w:rPr>
        <w:t xml:space="preserve">Figure 4.4 </w:t>
      </w:r>
      <w:r w:rsidR="008E7D15" w:rsidRPr="007F6332">
        <w:rPr>
          <w:rFonts w:cs="Arial"/>
        </w:rPr>
        <w:t>(i.e.</w:t>
      </w:r>
      <w:r w:rsidR="00582E37" w:rsidRPr="007F6332">
        <w:rPr>
          <w:rFonts w:cs="Arial"/>
        </w:rPr>
        <w:t>,</w:t>
      </w:r>
      <w:r w:rsidR="008E7D15" w:rsidRPr="007F6332">
        <w:rPr>
          <w:rFonts w:cs="Arial"/>
        </w:rPr>
        <w:t xml:space="preserve"> the participation rate curves do not flatten out over time). These curves are steeper than those in </w:t>
      </w:r>
      <w:r w:rsidR="00215469" w:rsidRPr="007F6332">
        <w:rPr>
          <w:rFonts w:cs="Arial"/>
        </w:rPr>
        <w:t>Figure 4.4</w:t>
      </w:r>
      <w:r w:rsidR="008E7D15" w:rsidRPr="007F6332">
        <w:rPr>
          <w:rFonts w:cs="Arial"/>
        </w:rPr>
        <w:t xml:space="preserve">, indicating the participation rate for </w:t>
      </w:r>
      <w:r w:rsidR="00E965D4" w:rsidRPr="007F6332">
        <w:rPr>
          <w:rFonts w:cs="Arial"/>
        </w:rPr>
        <w:t xml:space="preserve">all participants with </w:t>
      </w:r>
      <w:r w:rsidR="008E7D15" w:rsidRPr="007F6332">
        <w:rPr>
          <w:rFonts w:cs="Arial"/>
        </w:rPr>
        <w:t xml:space="preserve">autism </w:t>
      </w:r>
      <w:r w:rsidR="00E965D4" w:rsidRPr="007F6332">
        <w:rPr>
          <w:rFonts w:cs="Arial"/>
        </w:rPr>
        <w:t xml:space="preserve">or developmental delay </w:t>
      </w:r>
      <w:r w:rsidR="008E7D15" w:rsidRPr="007F6332">
        <w:rPr>
          <w:rFonts w:cs="Arial"/>
        </w:rPr>
        <w:t>is increasing faster than that of the Scheme as a whole.</w:t>
      </w:r>
      <w:r w:rsidR="004151FC" w:rsidRPr="007F6332" w:rsidDel="004151FC">
        <w:rPr>
          <w:rFonts w:cs="Arial"/>
        </w:rPr>
        <w:t xml:space="preserve"> </w:t>
      </w:r>
    </w:p>
    <w:p w14:paraId="04BE4555" w14:textId="4F3FB9DF" w:rsidR="009573DC" w:rsidRPr="007F6332" w:rsidRDefault="009573DC" w:rsidP="006B61AA">
      <w:pPr>
        <w:pStyle w:val="FiguresandTablesHeading5"/>
      </w:pPr>
      <w:bookmarkStart w:id="71" w:name="_Hlk151734936"/>
      <w:r w:rsidRPr="007F6332">
        <w:t>Figure 4.</w:t>
      </w:r>
      <w:r w:rsidR="00196552" w:rsidRPr="007F6332">
        <w:t>5</w:t>
      </w:r>
      <w:r w:rsidRPr="007F6332">
        <w:t xml:space="preserve">: </w:t>
      </w:r>
      <w:r w:rsidR="00233FF0" w:rsidRPr="007F6332">
        <w:t>Total of p</w:t>
      </w:r>
      <w:r w:rsidRPr="007F6332">
        <w:t>articipants with</w:t>
      </w:r>
      <w:r w:rsidR="00233FF0" w:rsidRPr="007F6332">
        <w:t xml:space="preserve"> </w:t>
      </w:r>
      <w:r w:rsidRPr="007F6332">
        <w:t xml:space="preserve">autism </w:t>
      </w:r>
      <w:r w:rsidR="009A0512" w:rsidRPr="007F6332">
        <w:t xml:space="preserve">or developmental delay </w:t>
      </w:r>
      <w:r w:rsidRPr="007F6332">
        <w:t>as a proportion of Australian population</w:t>
      </w:r>
      <w:r w:rsidR="00233FF0" w:rsidRPr="007F6332">
        <w:t xml:space="preserve"> </w:t>
      </w:r>
      <w:r w:rsidRPr="007F6332">
        <w:t>– aged 0 to 64</w:t>
      </w:r>
    </w:p>
    <w:p w14:paraId="2AF1ECD4" w14:textId="399879E2" w:rsidR="00BB41E0" w:rsidRPr="007F6332" w:rsidRDefault="009A0512" w:rsidP="00BB41E0">
      <w:pPr>
        <w:rPr>
          <w:rFonts w:cs="Arial"/>
        </w:rPr>
      </w:pPr>
      <w:r w:rsidRPr="007F6332">
        <w:rPr>
          <w:rFonts w:cs="Arial"/>
          <w:noProof/>
        </w:rPr>
        <w:drawing>
          <wp:inline distT="0" distB="0" distL="0" distR="0" wp14:anchorId="16D9A70F" wp14:editId="089B338A">
            <wp:extent cx="5717894" cy="2954215"/>
            <wp:effectExtent l="0" t="0" r="0" b="0"/>
            <wp:docPr id="1759571988" name="Picture 1" descr="Figure 4.5 Total of participants with autism or developmental delay as a proportion of Australian population – aged 0 to 64. The figure shows, total Scheme participants with autism or developmental delay, aged 0-64 years, as a proportion of the Australian population by phase-in quarter. The proportion continues to increase in all geographical areas, with little signs of slowing down in the more mature sites. The increase for these cohorts is steeper than for Scheme participants overall (from 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71988" name="Picture 1" descr="Figure 4.5 Total of participants with autism or developmental delay as a proportion of Australian population – aged 0 to 64. The figure shows, total Scheme participants with autism or developmental delay, aged 0-64 years, as a proportion of the Australian population by phase-in quarter. The proportion continues to increase in all geographical areas, with little signs of slowing down in the more mature sites. The increase for these cohorts is steeper than for Scheme participants overall (from Fig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83498" cy="2988110"/>
                    </a:xfrm>
                    <a:prstGeom prst="rect">
                      <a:avLst/>
                    </a:prstGeom>
                    <a:noFill/>
                  </pic:spPr>
                </pic:pic>
              </a:graphicData>
            </a:graphic>
          </wp:inline>
        </w:drawing>
      </w:r>
    </w:p>
    <w:bookmarkEnd w:id="71"/>
    <w:p w14:paraId="0F39487C" w14:textId="2F5D5CE6" w:rsidR="00582E37" w:rsidRPr="007F6332" w:rsidRDefault="00582E37" w:rsidP="00582E37">
      <w:pPr>
        <w:rPr>
          <w:rFonts w:cs="Arial"/>
          <w:b/>
        </w:rPr>
      </w:pPr>
      <w:r w:rsidRPr="007F6332">
        <w:rPr>
          <w:rFonts w:cs="Arial"/>
        </w:rPr>
        <w:t>Figure 4.6 presents the equivalent rates for participants with a disability other than autism</w:t>
      </w:r>
      <w:r w:rsidR="009A0512" w:rsidRPr="007F6332">
        <w:rPr>
          <w:rFonts w:cs="Arial"/>
        </w:rPr>
        <w:t xml:space="preserve"> or developmental delay</w:t>
      </w:r>
      <w:r w:rsidRPr="007F6332">
        <w:rPr>
          <w:rFonts w:cs="Arial"/>
        </w:rPr>
        <w:t xml:space="preserve">. The curves are notably steeper in the first twelve quarters, reflecting the rapid increase that occurred during the roll-out of the NDIS and transition of participants from State/Territory and Commonwealth disability programs into the Scheme. The curves subsequently flatten to slopes that are less steep compared with the Scheme as a whole shown </w:t>
      </w:r>
      <w:r w:rsidRPr="007F6332">
        <w:rPr>
          <w:rFonts w:cs="Arial"/>
        </w:rPr>
        <w:lastRenderedPageBreak/>
        <w:t xml:space="preserve">in Figure 4.4. The </w:t>
      </w:r>
      <w:r w:rsidR="008313D0" w:rsidRPr="007F6332">
        <w:rPr>
          <w:rFonts w:cs="Arial"/>
        </w:rPr>
        <w:t>participation</w:t>
      </w:r>
      <w:r w:rsidRPr="007F6332">
        <w:rPr>
          <w:rFonts w:cs="Arial"/>
        </w:rPr>
        <w:t xml:space="preserve"> rates for participants with a disability other than autism </w:t>
      </w:r>
      <w:r w:rsidR="009A0512" w:rsidRPr="007F6332">
        <w:rPr>
          <w:rFonts w:cs="Arial"/>
        </w:rPr>
        <w:t xml:space="preserve">or developmental delay </w:t>
      </w:r>
      <w:r w:rsidRPr="007F6332">
        <w:rPr>
          <w:rFonts w:cs="Arial"/>
        </w:rPr>
        <w:t>remain higher than expected.</w:t>
      </w:r>
    </w:p>
    <w:p w14:paraId="49FA9F17" w14:textId="745BC4CC" w:rsidR="00E4719B" w:rsidRPr="007F6332" w:rsidRDefault="009F0D84" w:rsidP="006B61AA">
      <w:pPr>
        <w:pStyle w:val="FiguresandTablesHeading5"/>
      </w:pPr>
      <w:bookmarkStart w:id="72" w:name="_Hlk151735051"/>
      <w:r w:rsidRPr="007F6332">
        <w:t>Figure 4.</w:t>
      </w:r>
      <w:r w:rsidR="0034183C" w:rsidRPr="007F6332">
        <w:t>6</w:t>
      </w:r>
      <w:r w:rsidR="00225111" w:rsidRPr="007F6332">
        <w:t>:</w:t>
      </w:r>
      <w:r w:rsidRPr="007F6332">
        <w:t xml:space="preserve"> Participants with disability other than autism</w:t>
      </w:r>
      <w:r w:rsidR="009A0512" w:rsidRPr="007F6332">
        <w:t xml:space="preserve"> or developmental delay</w:t>
      </w:r>
      <w:r w:rsidRPr="007F6332">
        <w:t xml:space="preserve"> as a proportion of Australian population – aged 0 to 64</w:t>
      </w:r>
    </w:p>
    <w:p w14:paraId="6DAE1DFF" w14:textId="77777777" w:rsidR="008313D0" w:rsidRPr="007F6332" w:rsidRDefault="007F56C2" w:rsidP="00E4412E">
      <w:pPr>
        <w:rPr>
          <w:rFonts w:cs="Arial"/>
          <w:b/>
          <w:sz w:val="24"/>
        </w:rPr>
      </w:pPr>
      <w:r w:rsidRPr="007F6332">
        <w:rPr>
          <w:rFonts w:cs="Arial"/>
          <w:noProof/>
        </w:rPr>
        <w:drawing>
          <wp:inline distT="0" distB="0" distL="0" distR="0" wp14:anchorId="6231C095" wp14:editId="0A30AE4B">
            <wp:extent cx="5880100" cy="2996614"/>
            <wp:effectExtent l="0" t="0" r="6350" b="0"/>
            <wp:docPr id="1497178854" name="Picture 3" descr="Figure 4.6 Participants with disability other than autism or developmental delay as a proportion of Australian population – aged 0 to 64. The figure shows, total Scheme participants other than those with autism or developmental delay, aged 0-64 years, as a proportion of the Australian population by phase-in quarter. The proportion continues to increase in all geographical areas, with little signs of slowing down in the more mature sites. The increase for these cohorts is less steep than for Scheme participants overall (from 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78854" name="Picture 3" descr="Figure 4.6 Participants with disability other than autism or developmental delay as a proportion of Australian population – aged 0 to 64. The figure shows, total Scheme participants other than those with autism or developmental delay, aged 0-64 years, as a proportion of the Australian population by phase-in quarter. The proportion continues to increase in all geographical areas, with little signs of slowing down in the more mature sites. The increase for these cohorts is less steep than for Scheme participants overall (from Figure 4.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10368" cy="3012039"/>
                    </a:xfrm>
                    <a:prstGeom prst="rect">
                      <a:avLst/>
                    </a:prstGeom>
                    <a:noFill/>
                  </pic:spPr>
                </pic:pic>
              </a:graphicData>
            </a:graphic>
          </wp:inline>
        </w:drawing>
      </w:r>
    </w:p>
    <w:bookmarkEnd w:id="72"/>
    <w:p w14:paraId="70FFFEA0" w14:textId="081C4A15" w:rsidR="00C7303E" w:rsidRPr="007F6332" w:rsidRDefault="00C7303E" w:rsidP="00CD33D0">
      <w:pPr>
        <w:pStyle w:val="Heading4"/>
        <w:ind w:left="851" w:hanging="851"/>
        <w:rPr>
          <w:rFonts w:cs="Arial"/>
        </w:rPr>
      </w:pPr>
      <w:r w:rsidRPr="007F6332">
        <w:rPr>
          <w:rFonts w:cs="Arial"/>
        </w:rPr>
        <w:t>The number of new entrants to the Scheme has increased in 2022-23</w:t>
      </w:r>
    </w:p>
    <w:p w14:paraId="3FF1B6EA" w14:textId="2BC1AE8F" w:rsidR="00BB24B8" w:rsidRPr="007F6332" w:rsidRDefault="00BB24B8" w:rsidP="00BB24B8">
      <w:pPr>
        <w:pStyle w:val="FSRnormal"/>
        <w:rPr>
          <w:rFonts w:cs="Arial"/>
        </w:rPr>
      </w:pPr>
      <w:bookmarkStart w:id="73" w:name="_Ref144318737"/>
      <w:r w:rsidRPr="007F6332">
        <w:rPr>
          <w:rFonts w:cs="Arial"/>
        </w:rPr>
        <w:t xml:space="preserve">The two drivers of growth in participant numbers are the rate of new entrants to the Scheme, and the rate at which participants are leaving the Scheme or passing away. </w:t>
      </w:r>
    </w:p>
    <w:p w14:paraId="19325EB6" w14:textId="3D22751D" w:rsidR="00C7303E" w:rsidRPr="007F6332" w:rsidRDefault="00BB24B8" w:rsidP="00C7303E">
      <w:pPr>
        <w:pStyle w:val="FSRnormal"/>
        <w:rPr>
          <w:rFonts w:cs="Arial"/>
        </w:rPr>
      </w:pPr>
      <w:r w:rsidRPr="007F6332">
        <w:rPr>
          <w:rFonts w:cs="Arial"/>
        </w:rPr>
        <w:t xml:space="preserve">Figure 4.7 shows the </w:t>
      </w:r>
      <w:r w:rsidR="00E965D4" w:rsidRPr="007F6332">
        <w:rPr>
          <w:rFonts w:cs="Arial"/>
        </w:rPr>
        <w:t xml:space="preserve">total </w:t>
      </w:r>
      <w:r w:rsidRPr="007F6332">
        <w:rPr>
          <w:rFonts w:cs="Arial"/>
        </w:rPr>
        <w:t xml:space="preserve">number of new entrants to the Scheme </w:t>
      </w:r>
      <w:r w:rsidR="00E965D4" w:rsidRPr="007F6332">
        <w:rPr>
          <w:rFonts w:cs="Arial"/>
        </w:rPr>
        <w:t>in the twelve months to 30 June 2023 was 86,400, which is 22% higher than the expected number of 70,747 from the previous review</w:t>
      </w:r>
      <w:r w:rsidR="00081EE1" w:rsidRPr="007F6332">
        <w:rPr>
          <w:rFonts w:cs="Arial"/>
        </w:rPr>
        <w:t>,</w:t>
      </w:r>
      <w:r w:rsidR="00E965D4" w:rsidRPr="007F6332">
        <w:rPr>
          <w:rFonts w:cs="Arial"/>
        </w:rPr>
        <w:t xml:space="preserve"> and 8.2% higher compared to the total number of new entrants of 79,83</w:t>
      </w:r>
      <w:r w:rsidR="00081EE1" w:rsidRPr="007F6332">
        <w:rPr>
          <w:rFonts w:cs="Arial"/>
        </w:rPr>
        <w:t>5</w:t>
      </w:r>
      <w:r w:rsidR="00E965D4" w:rsidRPr="007F6332">
        <w:rPr>
          <w:rFonts w:cs="Arial"/>
        </w:rPr>
        <w:t xml:space="preserve"> in the previous year ended 30 June 2022. </w:t>
      </w:r>
    </w:p>
    <w:p w14:paraId="0DA28F57" w14:textId="388154EA" w:rsidR="0004058E" w:rsidRPr="007F6332" w:rsidRDefault="0004058E" w:rsidP="006B61AA">
      <w:pPr>
        <w:pStyle w:val="FiguresandTablesHeading5"/>
      </w:pPr>
      <w:bookmarkStart w:id="74" w:name="_Hlk151813143"/>
      <w:r w:rsidRPr="007F6332">
        <w:rPr>
          <w:rStyle w:val="FiguresChar"/>
          <w:noProof w:val="0"/>
          <w:szCs w:val="24"/>
        </w:rPr>
        <w:t xml:space="preserve">Figure </w:t>
      </w:r>
      <w:r w:rsidR="006B11DA" w:rsidRPr="007F6332">
        <w:rPr>
          <w:rStyle w:val="FiguresChar"/>
          <w:noProof w:val="0"/>
          <w:szCs w:val="24"/>
        </w:rPr>
        <w:t>4</w:t>
      </w:r>
      <w:r w:rsidR="00E748F2" w:rsidRPr="007F6332">
        <w:rPr>
          <w:rStyle w:val="FiguresChar"/>
          <w:noProof w:val="0"/>
          <w:szCs w:val="24"/>
        </w:rPr>
        <w:t>.</w:t>
      </w:r>
      <w:bookmarkEnd w:id="73"/>
      <w:r w:rsidR="00624037" w:rsidRPr="007F6332">
        <w:rPr>
          <w:rStyle w:val="FiguresChar"/>
          <w:noProof w:val="0"/>
          <w:szCs w:val="24"/>
        </w:rPr>
        <w:t>7</w:t>
      </w:r>
      <w:r w:rsidR="006B11DA" w:rsidRPr="007F6332">
        <w:rPr>
          <w:rStyle w:val="FiguresChar"/>
          <w:noProof w:val="0"/>
          <w:szCs w:val="24"/>
        </w:rPr>
        <w:t>:</w:t>
      </w:r>
      <w:r w:rsidRPr="007F6332">
        <w:rPr>
          <w:rStyle w:val="FiguresChar"/>
          <w:noProof w:val="0"/>
          <w:szCs w:val="24"/>
        </w:rPr>
        <w:t xml:space="preserve"> Number of new entrants to the Scheme by financial yea</w:t>
      </w:r>
      <w:r w:rsidRPr="007F6332">
        <w:t>r</w:t>
      </w:r>
    </w:p>
    <w:bookmarkEnd w:id="74"/>
    <w:p w14:paraId="1B0B224A" w14:textId="54A37537" w:rsidR="00097D58" w:rsidRPr="007F6332" w:rsidRDefault="00097D58" w:rsidP="00C1755E">
      <w:pPr>
        <w:rPr>
          <w:rFonts w:cs="Arial"/>
        </w:rPr>
      </w:pPr>
      <w:r w:rsidRPr="007F6332">
        <w:rPr>
          <w:rFonts w:cs="Arial"/>
          <w:noProof/>
        </w:rPr>
        <w:drawing>
          <wp:inline distT="0" distB="0" distL="0" distR="0" wp14:anchorId="47850980" wp14:editId="39B88CDF">
            <wp:extent cx="5696585" cy="2362200"/>
            <wp:effectExtent l="0" t="0" r="0" b="0"/>
            <wp:docPr id="931943840" name="Picture 14" descr="Figure 4.7 Number of new entrants to the Scheme by financial year.  shows actual numbers of new entrants for the financial years 2017-18 to 2022-23. For 2022-23 new entrant numbers were higher than the 30 June 2022 projections.&#10;2017-18 new entrants actual total 85,559. &#10;2018-19 new entrants actual total 117,297&#10;2019-20 new entrants actual total 111,289&#10;2020-21 new entrants actual total 80,973&#10;2021-22 new entrants actual total 79,835&#10;2022-23 new entrants actual total 86,400&#10;2022-23 30 June 2022 projections 70,7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3840" name="Picture 14" descr="Figure 4.7 Number of new entrants to the Scheme by financial year.  shows actual numbers of new entrants for the financial years 2017-18 to 2022-23. For 2022-23 new entrant numbers were higher than the 30 June 2022 projections.&#10;2017-18 new entrants actual total 85,559. &#10;2018-19 new entrants actual total 117,297&#10;2019-20 new entrants actual total 111,289&#10;2020-21 new entrants actual total 80,973&#10;2021-22 new entrants actual total 79,835&#10;2022-23 new entrants actual total 86,400&#10;2022-23 30 June 2022 projections 70,747&#10;"/>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549" t="4405" r="2512" b="10720"/>
                    <a:stretch/>
                  </pic:blipFill>
                  <pic:spPr bwMode="auto">
                    <a:xfrm>
                      <a:off x="0" y="0"/>
                      <a:ext cx="5696585" cy="2362200"/>
                    </a:xfrm>
                    <a:prstGeom prst="rect">
                      <a:avLst/>
                    </a:prstGeom>
                    <a:noFill/>
                    <a:ln>
                      <a:noFill/>
                    </a:ln>
                    <a:extLst>
                      <a:ext uri="{53640926-AAD7-44D8-BBD7-CCE9431645EC}">
                        <a14:shadowObscured xmlns:a14="http://schemas.microsoft.com/office/drawing/2010/main"/>
                      </a:ext>
                    </a:extLst>
                  </pic:spPr>
                </pic:pic>
              </a:graphicData>
            </a:graphic>
          </wp:inline>
        </w:drawing>
      </w:r>
    </w:p>
    <w:p w14:paraId="7FA4A3CF" w14:textId="65883835" w:rsidR="00F3796B" w:rsidRPr="00F3796B" w:rsidRDefault="00F3796B" w:rsidP="00464E89">
      <w:r w:rsidRPr="00F3796B">
        <w:lastRenderedPageBreak/>
        <w:t>Table 4.6 shows the higher-than-expected number of new entrants in the 2022-23 financial year was driven by: 34,981 new entrants with developmental delay</w:t>
      </w:r>
      <w:r>
        <w:rPr>
          <w:rStyle w:val="FootnoteReference"/>
          <w:rFonts w:cs="Arial"/>
        </w:rPr>
        <w:footnoteReference w:id="59"/>
      </w:r>
      <w:r w:rsidRPr="00F3796B">
        <w:t>, 13,440 (62%) more than expected.</w:t>
      </w:r>
    </w:p>
    <w:p w14:paraId="6A2D25E2" w14:textId="77777777" w:rsidR="00F3796B" w:rsidRPr="00F3796B" w:rsidRDefault="00F3796B" w:rsidP="00F3796B">
      <w:pPr>
        <w:pStyle w:val="FSRlist"/>
        <w:rPr>
          <w:rFonts w:cs="Arial"/>
          <w:color w:val="auto"/>
          <w:lang w:val="en-US"/>
        </w:rPr>
      </w:pPr>
      <w:r w:rsidRPr="00F3796B">
        <w:rPr>
          <w:rFonts w:cs="Arial"/>
          <w:color w:val="auto"/>
          <w:lang w:val="en-US"/>
        </w:rPr>
        <w:t>25,351 new entrants with autism, 4,247 (20%) more than expected.</w:t>
      </w:r>
    </w:p>
    <w:p w14:paraId="61134410" w14:textId="77777777" w:rsidR="00F3796B" w:rsidRPr="00F3796B" w:rsidRDefault="00F3796B" w:rsidP="00F3796B">
      <w:pPr>
        <w:pStyle w:val="FSRlist"/>
        <w:rPr>
          <w:rFonts w:cs="Arial"/>
          <w:color w:val="auto"/>
          <w:lang w:val="en-US"/>
        </w:rPr>
      </w:pPr>
      <w:r w:rsidRPr="00F3796B">
        <w:rPr>
          <w:rFonts w:cs="Arial"/>
          <w:color w:val="auto"/>
          <w:lang w:val="en-US"/>
        </w:rPr>
        <w:t>Lower than expected new entrants with psychosocial disability, intellectual disability, other neurological and the combined other disability types.</w:t>
      </w:r>
    </w:p>
    <w:p w14:paraId="1EF3150E" w14:textId="2D1227E0" w:rsidR="0004058E" w:rsidRPr="007F6332" w:rsidRDefault="00D45B8B" w:rsidP="006B61AA">
      <w:pPr>
        <w:pStyle w:val="FiguresandTablesHeading5"/>
      </w:pPr>
      <w:r w:rsidRPr="007F6332">
        <w:t>T</w:t>
      </w:r>
      <w:r w:rsidR="0004058E" w:rsidRPr="007F6332">
        <w:t xml:space="preserve">able </w:t>
      </w:r>
      <w:r w:rsidR="006B11DA" w:rsidRPr="007F6332">
        <w:t>4</w:t>
      </w:r>
      <w:r w:rsidR="00E748F2" w:rsidRPr="007F6332">
        <w:t>.</w:t>
      </w:r>
      <w:r w:rsidR="00604168" w:rsidRPr="007F6332">
        <w:t>6</w:t>
      </w:r>
      <w:r w:rsidR="006B11DA" w:rsidRPr="007F6332">
        <w:t>:</w:t>
      </w:r>
      <w:r w:rsidR="0004058E" w:rsidRPr="007F6332">
        <w:t xml:space="preserve"> Actual versus expected number of new entrants by primary disability</w:t>
      </w:r>
    </w:p>
    <w:tbl>
      <w:tblPr>
        <w:tblStyle w:val="FSRtable"/>
        <w:tblW w:w="5000" w:type="pct"/>
        <w:tblInd w:w="0" w:type="dxa"/>
        <w:tblBorders>
          <w:top w:val="none" w:sz="0" w:space="0" w:color="auto"/>
          <w:bottom w:val="none" w:sz="0" w:space="0" w:color="auto"/>
        </w:tblBorders>
        <w:tblLayout w:type="fixed"/>
        <w:tblLook w:val="04A0" w:firstRow="1" w:lastRow="0" w:firstColumn="1" w:lastColumn="0" w:noHBand="0" w:noVBand="1"/>
      </w:tblPr>
      <w:tblGrid>
        <w:gridCol w:w="2333"/>
        <w:gridCol w:w="1751"/>
        <w:gridCol w:w="1751"/>
        <w:gridCol w:w="1751"/>
        <w:gridCol w:w="1747"/>
      </w:tblGrid>
      <w:tr w:rsidR="006B11DA" w:rsidRPr="007F6332" w14:paraId="7BF3E05F" w14:textId="77777777" w:rsidTr="00F3796B">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250" w:type="pct"/>
            <w:shd w:val="clear" w:color="000000" w:fill="6B2976"/>
            <w:hideMark/>
          </w:tcPr>
          <w:p w14:paraId="77AFF6F9" w14:textId="40C71E3C" w:rsidR="0004058E" w:rsidRPr="007F6332" w:rsidRDefault="009E1D9C" w:rsidP="006F70E1">
            <w:pPr>
              <w:spacing w:line="240" w:lineRule="auto"/>
              <w:contextualSpacing/>
              <w:rPr>
                <w:rFonts w:eastAsia="Times New Roman"/>
                <w:bCs/>
                <w:color w:val="FFFFFF"/>
                <w:szCs w:val="22"/>
                <w:lang w:eastAsia="en-AU"/>
              </w:rPr>
            </w:pPr>
            <w:r w:rsidRPr="007F6332">
              <w:rPr>
                <w:rFonts w:eastAsia="Times New Roman"/>
                <w:bCs/>
                <w:color w:val="FFFFFF"/>
                <w:szCs w:val="22"/>
                <w:lang w:eastAsia="en-AU"/>
              </w:rPr>
              <w:t>Disability Group</w:t>
            </w:r>
          </w:p>
        </w:tc>
        <w:tc>
          <w:tcPr>
            <w:tcW w:w="938" w:type="pct"/>
            <w:shd w:val="clear" w:color="000000" w:fill="6B2976"/>
            <w:hideMark/>
          </w:tcPr>
          <w:p w14:paraId="34A2AB83" w14:textId="78834B5E" w:rsidR="0004058E" w:rsidRPr="007F6332" w:rsidRDefault="009E1D9C" w:rsidP="0004058E">
            <w:pPr>
              <w:spacing w:line="240" w:lineRule="auto"/>
              <w:contextualSpacing/>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 xml:space="preserve">New Entrants </w:t>
            </w:r>
            <w:r w:rsidR="0004058E" w:rsidRPr="007F6332">
              <w:rPr>
                <w:rFonts w:eastAsia="Times New Roman"/>
                <w:bCs/>
                <w:color w:val="FFFFFF"/>
                <w:szCs w:val="22"/>
                <w:lang w:eastAsia="en-AU"/>
              </w:rPr>
              <w:t>Actual</w:t>
            </w:r>
          </w:p>
        </w:tc>
        <w:tc>
          <w:tcPr>
            <w:tcW w:w="938" w:type="pct"/>
            <w:shd w:val="clear" w:color="000000" w:fill="6B2976"/>
            <w:hideMark/>
          </w:tcPr>
          <w:p w14:paraId="5F9AA092" w14:textId="362D4727" w:rsidR="0004058E" w:rsidRPr="007F6332" w:rsidRDefault="009E1D9C" w:rsidP="0004058E">
            <w:pPr>
              <w:spacing w:line="240" w:lineRule="auto"/>
              <w:contextualSpacing/>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 xml:space="preserve">New Entrants </w:t>
            </w:r>
            <w:r w:rsidR="0004058E" w:rsidRPr="007F6332">
              <w:rPr>
                <w:rFonts w:eastAsia="Times New Roman"/>
                <w:bCs/>
                <w:color w:val="FFFFFF"/>
                <w:szCs w:val="22"/>
                <w:lang w:eastAsia="en-AU"/>
              </w:rPr>
              <w:t>Expected</w:t>
            </w:r>
          </w:p>
        </w:tc>
        <w:tc>
          <w:tcPr>
            <w:tcW w:w="938" w:type="pct"/>
            <w:shd w:val="clear" w:color="000000" w:fill="6B2976"/>
            <w:hideMark/>
          </w:tcPr>
          <w:p w14:paraId="4A0EF507" w14:textId="020F816F" w:rsidR="0004058E" w:rsidRPr="007F6332" w:rsidRDefault="009E1D9C" w:rsidP="0004058E">
            <w:pPr>
              <w:spacing w:line="240" w:lineRule="auto"/>
              <w:contextualSpacing/>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 xml:space="preserve">New Entrants </w:t>
            </w:r>
            <w:r w:rsidR="0004058E" w:rsidRPr="007F6332">
              <w:rPr>
                <w:rFonts w:eastAsia="Times New Roman"/>
                <w:bCs/>
                <w:color w:val="FFFFFF"/>
                <w:szCs w:val="22"/>
                <w:lang w:eastAsia="en-AU"/>
              </w:rPr>
              <w:t>Difference</w:t>
            </w:r>
          </w:p>
        </w:tc>
        <w:tc>
          <w:tcPr>
            <w:tcW w:w="936" w:type="pct"/>
            <w:shd w:val="clear" w:color="000000" w:fill="6B2976"/>
            <w:hideMark/>
          </w:tcPr>
          <w:p w14:paraId="3ADAEE47" w14:textId="27E51FC5" w:rsidR="0004058E" w:rsidRPr="007F6332" w:rsidRDefault="009E1D9C" w:rsidP="0004058E">
            <w:pPr>
              <w:spacing w:line="240" w:lineRule="auto"/>
              <w:contextualSpacing/>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 xml:space="preserve">New Entrants </w:t>
            </w:r>
            <w:r w:rsidR="0004058E" w:rsidRPr="007F6332">
              <w:rPr>
                <w:rFonts w:eastAsia="Times New Roman"/>
                <w:bCs/>
                <w:color w:val="FFFFFF"/>
                <w:szCs w:val="22"/>
                <w:lang w:eastAsia="en-AU"/>
              </w:rPr>
              <w:t>Diff</w:t>
            </w:r>
            <w:r w:rsidR="006F70E1" w:rsidRPr="007F6332">
              <w:rPr>
                <w:rFonts w:eastAsia="Times New Roman"/>
                <w:bCs/>
                <w:color w:val="FFFFFF"/>
                <w:szCs w:val="22"/>
                <w:lang w:eastAsia="en-AU"/>
              </w:rPr>
              <w:t>erence</w:t>
            </w:r>
            <w:r w:rsidR="0004058E" w:rsidRPr="007F6332">
              <w:rPr>
                <w:rFonts w:eastAsia="Times New Roman"/>
                <w:bCs/>
                <w:color w:val="FFFFFF"/>
                <w:szCs w:val="22"/>
                <w:lang w:eastAsia="en-AU"/>
              </w:rPr>
              <w:t xml:space="preserve"> (%)</w:t>
            </w:r>
          </w:p>
        </w:tc>
      </w:tr>
      <w:tr w:rsidR="00F3796B" w:rsidRPr="007F6332" w14:paraId="1E92429D" w14:textId="77777777" w:rsidTr="00F3796B">
        <w:trPr>
          <w:trHeight w:val="340"/>
        </w:trPr>
        <w:tc>
          <w:tcPr>
            <w:cnfStyle w:val="001000000000" w:firstRow="0" w:lastRow="0" w:firstColumn="1" w:lastColumn="0" w:oddVBand="0" w:evenVBand="0" w:oddHBand="0" w:evenHBand="0" w:firstRowFirstColumn="0" w:firstRowLastColumn="0" w:lastRowFirstColumn="0" w:lastRowLastColumn="0"/>
            <w:tcW w:w="1250" w:type="pct"/>
            <w:shd w:val="clear" w:color="000000" w:fill="A7A9AC"/>
            <w:noWrap/>
            <w:hideMark/>
          </w:tcPr>
          <w:p w14:paraId="55F3A0C2" w14:textId="7A2A8F9E" w:rsidR="00F3796B" w:rsidRPr="007F6332" w:rsidRDefault="00F3796B" w:rsidP="00F3796B">
            <w:pPr>
              <w:spacing w:line="240" w:lineRule="auto"/>
              <w:contextualSpacing/>
              <w:rPr>
                <w:rFonts w:eastAsia="Times New Roman" w:cs="Arial"/>
                <w:color w:val="000000"/>
                <w:szCs w:val="22"/>
                <w:lang w:eastAsia="en-AU"/>
              </w:rPr>
            </w:pPr>
            <w:r w:rsidRPr="007F6332">
              <w:rPr>
                <w:rFonts w:cs="Arial"/>
                <w:color w:val="000000"/>
                <w:szCs w:val="22"/>
              </w:rPr>
              <w:t>Autism</w:t>
            </w:r>
          </w:p>
        </w:tc>
        <w:tc>
          <w:tcPr>
            <w:tcW w:w="938" w:type="pct"/>
            <w:shd w:val="clear" w:color="000000" w:fill="A7A9AC"/>
            <w:noWrap/>
          </w:tcPr>
          <w:p w14:paraId="7E6B233D" w14:textId="3ED926C0"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480C50">
              <w:t>25,351</w:t>
            </w:r>
          </w:p>
        </w:tc>
        <w:tc>
          <w:tcPr>
            <w:tcW w:w="938" w:type="pct"/>
            <w:shd w:val="clear" w:color="000000" w:fill="A7A9AC"/>
            <w:noWrap/>
          </w:tcPr>
          <w:p w14:paraId="6F33E985" w14:textId="2946B897"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480C50">
              <w:t>21,104</w:t>
            </w:r>
          </w:p>
        </w:tc>
        <w:tc>
          <w:tcPr>
            <w:tcW w:w="938" w:type="pct"/>
            <w:shd w:val="clear" w:color="000000" w:fill="A7A9AC"/>
            <w:noWrap/>
          </w:tcPr>
          <w:p w14:paraId="35929804" w14:textId="2096B312"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480C50">
              <w:t>4,247</w:t>
            </w:r>
          </w:p>
        </w:tc>
        <w:tc>
          <w:tcPr>
            <w:tcW w:w="936" w:type="pct"/>
            <w:shd w:val="clear" w:color="000000" w:fill="A7A9AC"/>
            <w:noWrap/>
          </w:tcPr>
          <w:p w14:paraId="53DE9F4E" w14:textId="2375E840"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480C50">
              <w:t>20.1%</w:t>
            </w:r>
          </w:p>
        </w:tc>
      </w:tr>
      <w:tr w:rsidR="00F3796B" w:rsidRPr="007F6332" w14:paraId="30C44BDD" w14:textId="77777777" w:rsidTr="00F3796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noWrap/>
            <w:hideMark/>
          </w:tcPr>
          <w:p w14:paraId="6C123B41" w14:textId="5D33D306" w:rsidR="00F3796B" w:rsidRPr="007F6332" w:rsidRDefault="00F3796B" w:rsidP="00F3796B">
            <w:pPr>
              <w:spacing w:line="240" w:lineRule="auto"/>
              <w:contextualSpacing/>
              <w:rPr>
                <w:rFonts w:eastAsia="Times New Roman" w:cs="Arial"/>
                <w:color w:val="000000"/>
                <w:szCs w:val="22"/>
                <w:lang w:eastAsia="en-AU"/>
              </w:rPr>
            </w:pPr>
            <w:r w:rsidRPr="007F6332">
              <w:rPr>
                <w:rFonts w:cs="Arial"/>
                <w:color w:val="000000"/>
                <w:szCs w:val="22"/>
              </w:rPr>
              <w:t>Developmental Delay</w:t>
            </w:r>
          </w:p>
        </w:tc>
        <w:tc>
          <w:tcPr>
            <w:tcW w:w="938" w:type="pct"/>
            <w:shd w:val="clear" w:color="auto" w:fill="auto"/>
            <w:noWrap/>
          </w:tcPr>
          <w:p w14:paraId="12780BA0" w14:textId="3E8B8A8F"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34,981</w:t>
            </w:r>
          </w:p>
        </w:tc>
        <w:tc>
          <w:tcPr>
            <w:tcW w:w="938" w:type="pct"/>
            <w:shd w:val="clear" w:color="auto" w:fill="auto"/>
            <w:noWrap/>
            <w:hideMark/>
          </w:tcPr>
          <w:p w14:paraId="2262B8E4" w14:textId="245DB343"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21,541</w:t>
            </w:r>
          </w:p>
        </w:tc>
        <w:tc>
          <w:tcPr>
            <w:tcW w:w="938" w:type="pct"/>
            <w:shd w:val="clear" w:color="auto" w:fill="auto"/>
            <w:noWrap/>
          </w:tcPr>
          <w:p w14:paraId="405BCC68" w14:textId="1E236A56"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13,440</w:t>
            </w:r>
          </w:p>
        </w:tc>
        <w:tc>
          <w:tcPr>
            <w:tcW w:w="936" w:type="pct"/>
            <w:shd w:val="clear" w:color="auto" w:fill="auto"/>
            <w:noWrap/>
          </w:tcPr>
          <w:p w14:paraId="1CBD99DC" w14:textId="270702A7"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62.4%</w:t>
            </w:r>
          </w:p>
        </w:tc>
      </w:tr>
      <w:tr w:rsidR="00F3796B" w:rsidRPr="007F6332" w14:paraId="2496F402" w14:textId="77777777" w:rsidTr="00F3796B">
        <w:trPr>
          <w:trHeight w:val="340"/>
        </w:trPr>
        <w:tc>
          <w:tcPr>
            <w:cnfStyle w:val="001000000000" w:firstRow="0" w:lastRow="0" w:firstColumn="1" w:lastColumn="0" w:oddVBand="0" w:evenVBand="0" w:oddHBand="0" w:evenHBand="0" w:firstRowFirstColumn="0" w:firstRowLastColumn="0" w:lastRowFirstColumn="0" w:lastRowLastColumn="0"/>
            <w:tcW w:w="1250" w:type="pct"/>
            <w:shd w:val="clear" w:color="000000" w:fill="A7A9AC"/>
            <w:noWrap/>
            <w:hideMark/>
          </w:tcPr>
          <w:p w14:paraId="759F26F0" w14:textId="72A30045" w:rsidR="00F3796B" w:rsidRPr="007F6332" w:rsidRDefault="00F3796B" w:rsidP="00F3796B">
            <w:pPr>
              <w:spacing w:line="240" w:lineRule="auto"/>
              <w:contextualSpacing/>
              <w:rPr>
                <w:rFonts w:eastAsia="Times New Roman" w:cs="Arial"/>
                <w:color w:val="000000"/>
                <w:szCs w:val="22"/>
                <w:lang w:eastAsia="en-AU"/>
              </w:rPr>
            </w:pPr>
            <w:r w:rsidRPr="007F6332">
              <w:rPr>
                <w:rFonts w:cs="Arial"/>
                <w:color w:val="000000"/>
                <w:szCs w:val="22"/>
              </w:rPr>
              <w:t>Intellectual Disability</w:t>
            </w:r>
          </w:p>
        </w:tc>
        <w:tc>
          <w:tcPr>
            <w:tcW w:w="938" w:type="pct"/>
            <w:shd w:val="clear" w:color="000000" w:fill="A7A9AC"/>
            <w:noWrap/>
          </w:tcPr>
          <w:p w14:paraId="75A5B43A" w14:textId="63431FBF"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480C50">
              <w:t>4,824</w:t>
            </w:r>
          </w:p>
        </w:tc>
        <w:tc>
          <w:tcPr>
            <w:tcW w:w="938" w:type="pct"/>
            <w:shd w:val="clear" w:color="000000" w:fill="A7A9AC"/>
            <w:noWrap/>
          </w:tcPr>
          <w:p w14:paraId="71001CC3" w14:textId="41453CA3"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480C50">
              <w:t>5,043</w:t>
            </w:r>
          </w:p>
        </w:tc>
        <w:tc>
          <w:tcPr>
            <w:tcW w:w="938" w:type="pct"/>
            <w:shd w:val="clear" w:color="000000" w:fill="A7A9AC"/>
            <w:noWrap/>
          </w:tcPr>
          <w:p w14:paraId="2C5C633F" w14:textId="2081151F"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480C50">
              <w:t>-219</w:t>
            </w:r>
          </w:p>
        </w:tc>
        <w:tc>
          <w:tcPr>
            <w:tcW w:w="936" w:type="pct"/>
            <w:shd w:val="clear" w:color="000000" w:fill="A7A9AC"/>
            <w:noWrap/>
          </w:tcPr>
          <w:p w14:paraId="6F582BD8" w14:textId="04DE659B"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480C50">
              <w:t>-4.3%</w:t>
            </w:r>
          </w:p>
        </w:tc>
      </w:tr>
      <w:tr w:rsidR="00F3796B" w:rsidRPr="007F6332" w14:paraId="52613FEE" w14:textId="77777777" w:rsidTr="00F3796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noWrap/>
            <w:hideMark/>
          </w:tcPr>
          <w:p w14:paraId="4E1BB1FD" w14:textId="36A184C5" w:rsidR="00F3796B" w:rsidRPr="007F6332" w:rsidRDefault="00F3796B" w:rsidP="00F3796B">
            <w:pPr>
              <w:spacing w:line="240" w:lineRule="auto"/>
              <w:contextualSpacing/>
              <w:rPr>
                <w:rFonts w:eastAsia="Times New Roman" w:cs="Arial"/>
                <w:color w:val="000000"/>
                <w:szCs w:val="22"/>
                <w:lang w:eastAsia="en-AU"/>
              </w:rPr>
            </w:pPr>
            <w:r w:rsidRPr="007F6332">
              <w:rPr>
                <w:rFonts w:cs="Arial"/>
                <w:color w:val="000000"/>
                <w:szCs w:val="22"/>
              </w:rPr>
              <w:t>Other Neurological</w:t>
            </w:r>
          </w:p>
        </w:tc>
        <w:tc>
          <w:tcPr>
            <w:tcW w:w="938" w:type="pct"/>
            <w:shd w:val="clear" w:color="auto" w:fill="auto"/>
            <w:noWrap/>
          </w:tcPr>
          <w:p w14:paraId="178818C5" w14:textId="2AB11566"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2,645</w:t>
            </w:r>
          </w:p>
        </w:tc>
        <w:tc>
          <w:tcPr>
            <w:tcW w:w="938" w:type="pct"/>
            <w:shd w:val="clear" w:color="auto" w:fill="auto"/>
            <w:noWrap/>
          </w:tcPr>
          <w:p w14:paraId="5B2AF995" w14:textId="0D7F7F8F"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2,730</w:t>
            </w:r>
          </w:p>
        </w:tc>
        <w:tc>
          <w:tcPr>
            <w:tcW w:w="938" w:type="pct"/>
            <w:shd w:val="clear" w:color="auto" w:fill="auto"/>
            <w:noWrap/>
          </w:tcPr>
          <w:p w14:paraId="1AB5B5ED" w14:textId="00A32E28"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-85</w:t>
            </w:r>
          </w:p>
        </w:tc>
        <w:tc>
          <w:tcPr>
            <w:tcW w:w="936" w:type="pct"/>
            <w:shd w:val="clear" w:color="auto" w:fill="auto"/>
            <w:noWrap/>
          </w:tcPr>
          <w:p w14:paraId="4811150C" w14:textId="0075FC21"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-3.1%</w:t>
            </w:r>
          </w:p>
        </w:tc>
      </w:tr>
      <w:tr w:rsidR="00F3796B" w:rsidRPr="007F6332" w14:paraId="62D5946F" w14:textId="77777777" w:rsidTr="00F3796B">
        <w:trPr>
          <w:trHeight w:val="340"/>
        </w:trPr>
        <w:tc>
          <w:tcPr>
            <w:cnfStyle w:val="001000000000" w:firstRow="0" w:lastRow="0" w:firstColumn="1" w:lastColumn="0" w:oddVBand="0" w:evenVBand="0" w:oddHBand="0" w:evenHBand="0" w:firstRowFirstColumn="0" w:firstRowLastColumn="0" w:lastRowFirstColumn="0" w:lastRowLastColumn="0"/>
            <w:tcW w:w="1250" w:type="pct"/>
            <w:shd w:val="clear" w:color="000000" w:fill="A7A9AC"/>
            <w:noWrap/>
          </w:tcPr>
          <w:p w14:paraId="53F5E525" w14:textId="1594345B" w:rsidR="00F3796B" w:rsidRPr="007F6332" w:rsidRDefault="00F3796B" w:rsidP="00F3796B">
            <w:pPr>
              <w:spacing w:line="240" w:lineRule="auto"/>
              <w:contextualSpacing/>
              <w:rPr>
                <w:rFonts w:cs="Arial"/>
                <w:color w:val="000000"/>
                <w:szCs w:val="22"/>
              </w:rPr>
            </w:pPr>
            <w:r w:rsidRPr="007F6332">
              <w:rPr>
                <w:rFonts w:cs="Arial"/>
                <w:color w:val="000000"/>
                <w:szCs w:val="22"/>
              </w:rPr>
              <w:t>Psychosocial Disability</w:t>
            </w:r>
          </w:p>
        </w:tc>
        <w:tc>
          <w:tcPr>
            <w:tcW w:w="938" w:type="pct"/>
            <w:shd w:val="clear" w:color="000000" w:fill="A7A9AC"/>
            <w:noWrap/>
          </w:tcPr>
          <w:p w14:paraId="1B64AB43" w14:textId="0CA16DBA"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480C50">
              <w:t>6,730</w:t>
            </w:r>
          </w:p>
        </w:tc>
        <w:tc>
          <w:tcPr>
            <w:tcW w:w="938" w:type="pct"/>
            <w:shd w:val="clear" w:color="000000" w:fill="A7A9AC"/>
            <w:noWrap/>
          </w:tcPr>
          <w:p w14:paraId="000AF59F" w14:textId="6BEF21D8"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480C50">
              <w:t>8,397</w:t>
            </w:r>
          </w:p>
        </w:tc>
        <w:tc>
          <w:tcPr>
            <w:tcW w:w="938" w:type="pct"/>
            <w:shd w:val="clear" w:color="000000" w:fill="A7A9AC"/>
            <w:noWrap/>
          </w:tcPr>
          <w:p w14:paraId="3F7D84CB" w14:textId="1F210DC1"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480C50">
              <w:t>-1,667</w:t>
            </w:r>
          </w:p>
        </w:tc>
        <w:tc>
          <w:tcPr>
            <w:tcW w:w="936" w:type="pct"/>
            <w:shd w:val="clear" w:color="000000" w:fill="A7A9AC"/>
            <w:noWrap/>
          </w:tcPr>
          <w:p w14:paraId="4D5C23C8" w14:textId="34176B9F" w:rsidR="00F3796B" w:rsidRPr="007F6332"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480C50">
              <w:t>-19.8%</w:t>
            </w:r>
          </w:p>
        </w:tc>
      </w:tr>
      <w:tr w:rsidR="00F3796B" w:rsidRPr="007F6332" w14:paraId="3FCE9D3E" w14:textId="77777777" w:rsidTr="00F3796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noWrap/>
            <w:hideMark/>
          </w:tcPr>
          <w:p w14:paraId="77DE6DBE" w14:textId="244F9D52" w:rsidR="00F3796B" w:rsidRPr="007F6332" w:rsidRDefault="00F3796B" w:rsidP="00F3796B">
            <w:pPr>
              <w:spacing w:line="240" w:lineRule="auto"/>
              <w:contextualSpacing/>
              <w:rPr>
                <w:rFonts w:eastAsia="Times New Roman" w:cs="Arial"/>
                <w:color w:val="000000"/>
                <w:szCs w:val="22"/>
                <w:lang w:eastAsia="en-AU"/>
              </w:rPr>
            </w:pPr>
            <w:r w:rsidRPr="007F6332">
              <w:rPr>
                <w:rFonts w:cs="Arial"/>
                <w:color w:val="000000"/>
                <w:szCs w:val="22"/>
              </w:rPr>
              <w:t xml:space="preserve">Other </w:t>
            </w:r>
          </w:p>
        </w:tc>
        <w:tc>
          <w:tcPr>
            <w:tcW w:w="938" w:type="pct"/>
            <w:shd w:val="clear" w:color="auto" w:fill="auto"/>
            <w:noWrap/>
          </w:tcPr>
          <w:p w14:paraId="2B24FB86" w14:textId="6A95CF02"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11,869</w:t>
            </w:r>
          </w:p>
        </w:tc>
        <w:tc>
          <w:tcPr>
            <w:tcW w:w="938" w:type="pct"/>
            <w:shd w:val="clear" w:color="auto" w:fill="auto"/>
            <w:noWrap/>
          </w:tcPr>
          <w:p w14:paraId="44D213EE" w14:textId="20FC5EE7"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11,932</w:t>
            </w:r>
          </w:p>
        </w:tc>
        <w:tc>
          <w:tcPr>
            <w:tcW w:w="938" w:type="pct"/>
            <w:shd w:val="clear" w:color="auto" w:fill="auto"/>
            <w:noWrap/>
          </w:tcPr>
          <w:p w14:paraId="4A53598B" w14:textId="5E92C4AF"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-63</w:t>
            </w:r>
          </w:p>
        </w:tc>
        <w:tc>
          <w:tcPr>
            <w:tcW w:w="936" w:type="pct"/>
            <w:shd w:val="clear" w:color="auto" w:fill="auto"/>
            <w:noWrap/>
          </w:tcPr>
          <w:p w14:paraId="7A9EF94B" w14:textId="2029DB7D" w:rsidR="00F3796B" w:rsidRPr="007F6332" w:rsidRDefault="00F3796B" w:rsidP="00F3796B">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480C50">
              <w:t>-0.5%</w:t>
            </w:r>
          </w:p>
        </w:tc>
      </w:tr>
      <w:tr w:rsidR="00F3796B" w:rsidRPr="007F6332" w14:paraId="28671A2C" w14:textId="77777777" w:rsidTr="00F3796B">
        <w:trPr>
          <w:trHeight w:val="340"/>
        </w:trPr>
        <w:tc>
          <w:tcPr>
            <w:cnfStyle w:val="001000000000" w:firstRow="0" w:lastRow="0" w:firstColumn="1" w:lastColumn="0" w:oddVBand="0" w:evenVBand="0" w:oddHBand="0" w:evenHBand="0" w:firstRowFirstColumn="0" w:firstRowLastColumn="0" w:lastRowFirstColumn="0" w:lastRowLastColumn="0"/>
            <w:tcW w:w="1250" w:type="pct"/>
            <w:tcBorders>
              <w:bottom w:val="single" w:sz="4" w:space="0" w:color="auto"/>
            </w:tcBorders>
            <w:shd w:val="clear" w:color="auto" w:fill="B398B8"/>
            <w:noWrap/>
            <w:hideMark/>
          </w:tcPr>
          <w:p w14:paraId="74733C0C" w14:textId="31BC67A8" w:rsidR="00F3796B" w:rsidRPr="007F6332" w:rsidRDefault="00F3796B" w:rsidP="00F3796B">
            <w:pPr>
              <w:spacing w:line="240" w:lineRule="auto"/>
              <w:contextualSpacing/>
              <w:rPr>
                <w:rFonts w:eastAsia="Times New Roman" w:cs="Arial"/>
                <w:b/>
                <w:bCs/>
                <w:color w:val="000000"/>
                <w:szCs w:val="22"/>
                <w:lang w:eastAsia="en-AU"/>
              </w:rPr>
            </w:pPr>
            <w:r w:rsidRPr="007F6332">
              <w:rPr>
                <w:rFonts w:cs="Arial"/>
                <w:b/>
                <w:bCs/>
                <w:color w:val="000000"/>
                <w:szCs w:val="22"/>
              </w:rPr>
              <w:t>Total</w:t>
            </w:r>
          </w:p>
        </w:tc>
        <w:tc>
          <w:tcPr>
            <w:tcW w:w="938" w:type="pct"/>
            <w:tcBorders>
              <w:bottom w:val="single" w:sz="4" w:space="0" w:color="auto"/>
            </w:tcBorders>
            <w:shd w:val="clear" w:color="auto" w:fill="B398B8"/>
            <w:noWrap/>
          </w:tcPr>
          <w:p w14:paraId="03D3811D" w14:textId="2E6DE8A3" w:rsidR="00F3796B" w:rsidRPr="001A3FEE"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1A3FEE">
              <w:rPr>
                <w:b/>
                <w:bCs/>
              </w:rPr>
              <w:t>86,400</w:t>
            </w:r>
          </w:p>
        </w:tc>
        <w:tc>
          <w:tcPr>
            <w:tcW w:w="938" w:type="pct"/>
            <w:tcBorders>
              <w:bottom w:val="single" w:sz="4" w:space="0" w:color="auto"/>
            </w:tcBorders>
            <w:shd w:val="clear" w:color="auto" w:fill="B398B8"/>
            <w:noWrap/>
            <w:hideMark/>
          </w:tcPr>
          <w:p w14:paraId="640CE69C" w14:textId="2CAC17D1" w:rsidR="00F3796B" w:rsidRPr="001A3FEE"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1A3FEE">
              <w:rPr>
                <w:b/>
                <w:bCs/>
              </w:rPr>
              <w:t>70,747</w:t>
            </w:r>
          </w:p>
        </w:tc>
        <w:tc>
          <w:tcPr>
            <w:tcW w:w="938" w:type="pct"/>
            <w:tcBorders>
              <w:bottom w:val="single" w:sz="4" w:space="0" w:color="auto"/>
            </w:tcBorders>
            <w:shd w:val="clear" w:color="auto" w:fill="B398B8"/>
            <w:noWrap/>
          </w:tcPr>
          <w:p w14:paraId="5DF7EDE6" w14:textId="51ED3C29" w:rsidR="00F3796B" w:rsidRPr="001A3FEE"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1A3FEE">
              <w:rPr>
                <w:b/>
                <w:bCs/>
              </w:rPr>
              <w:t>15,653</w:t>
            </w:r>
          </w:p>
        </w:tc>
        <w:tc>
          <w:tcPr>
            <w:tcW w:w="936" w:type="pct"/>
            <w:tcBorders>
              <w:bottom w:val="single" w:sz="4" w:space="0" w:color="auto"/>
            </w:tcBorders>
            <w:shd w:val="clear" w:color="auto" w:fill="B398B8"/>
            <w:noWrap/>
          </w:tcPr>
          <w:p w14:paraId="0B6E7ABB" w14:textId="7DC991AF" w:rsidR="00F3796B" w:rsidRPr="001A3FEE" w:rsidRDefault="00F3796B" w:rsidP="00F3796B">
            <w:pPr>
              <w:spacing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1A3FEE">
              <w:rPr>
                <w:b/>
                <w:bCs/>
              </w:rPr>
              <w:t>22.1%</w:t>
            </w:r>
          </w:p>
        </w:tc>
      </w:tr>
    </w:tbl>
    <w:p w14:paraId="01DA7CE9" w14:textId="77777777" w:rsidR="00F3796B" w:rsidRDefault="00F3796B" w:rsidP="00464E89">
      <w:pPr>
        <w:pStyle w:val="FSRnormal"/>
        <w:rPr>
          <w:b/>
          <w:iCs/>
        </w:rPr>
      </w:pPr>
      <w:r w:rsidRPr="00F3796B">
        <w:t>Table 4.7 shows there were 16,227 (40%) more new entrants aged 0 to 14 than expected, and 574 less aged 15 and above, compared to the expected number of new entrants based on the previous review.</w:t>
      </w:r>
    </w:p>
    <w:p w14:paraId="0DE5FA00" w14:textId="2F80F8EE" w:rsidR="0004058E" w:rsidRPr="007F6332" w:rsidRDefault="0004058E" w:rsidP="006B61AA">
      <w:pPr>
        <w:pStyle w:val="FiguresandTablesHeading5"/>
      </w:pPr>
      <w:r w:rsidRPr="007F6332">
        <w:t xml:space="preserve">Table </w:t>
      </w:r>
      <w:r w:rsidR="006B11DA" w:rsidRPr="007F6332">
        <w:t>4</w:t>
      </w:r>
      <w:r w:rsidR="00E748F2" w:rsidRPr="007F6332">
        <w:t>.</w:t>
      </w:r>
      <w:r w:rsidR="00604168" w:rsidRPr="007F6332">
        <w:t>7</w:t>
      </w:r>
      <w:r w:rsidR="006B11DA" w:rsidRPr="007F6332">
        <w:t>:</w:t>
      </w:r>
      <w:r w:rsidRPr="007F6332">
        <w:t xml:space="preserve"> Actual versus expected number of new entrants by age group</w:t>
      </w:r>
    </w:p>
    <w:tbl>
      <w:tblPr>
        <w:tblStyle w:val="FSRtable"/>
        <w:tblW w:w="5000" w:type="pct"/>
        <w:tblInd w:w="0" w:type="dxa"/>
        <w:tblBorders>
          <w:top w:val="none" w:sz="0" w:space="0" w:color="auto"/>
          <w:bottom w:val="none" w:sz="0" w:space="0" w:color="auto"/>
        </w:tblBorders>
        <w:tblLook w:val="04A0" w:firstRow="1" w:lastRow="0" w:firstColumn="1" w:lastColumn="0" w:noHBand="0" w:noVBand="1"/>
      </w:tblPr>
      <w:tblGrid>
        <w:gridCol w:w="1895"/>
        <w:gridCol w:w="1859"/>
        <w:gridCol w:w="1859"/>
        <w:gridCol w:w="1859"/>
        <w:gridCol w:w="1861"/>
      </w:tblGrid>
      <w:tr w:rsidR="00105895" w:rsidRPr="007F6332" w14:paraId="13E3580D" w14:textId="77777777" w:rsidTr="00E5336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15" w:type="pct"/>
            <w:shd w:val="clear" w:color="000000" w:fill="6B2976"/>
            <w:hideMark/>
          </w:tcPr>
          <w:p w14:paraId="3F7995DF" w14:textId="4EAAF1F2" w:rsidR="0004058E" w:rsidRPr="007F6332" w:rsidRDefault="009E1D9C" w:rsidP="006F70E1">
            <w:pPr>
              <w:spacing w:line="240" w:lineRule="auto"/>
              <w:rPr>
                <w:rFonts w:eastAsia="Times New Roman"/>
                <w:b w:val="0"/>
                <w:bCs/>
                <w:color w:val="FFFFFF"/>
                <w:szCs w:val="22"/>
                <w:lang w:eastAsia="en-AU"/>
              </w:rPr>
            </w:pPr>
            <w:r w:rsidRPr="007F6332">
              <w:rPr>
                <w:rFonts w:eastAsia="Times New Roman"/>
                <w:bCs/>
                <w:color w:val="FFFFFF"/>
                <w:szCs w:val="22"/>
                <w:lang w:eastAsia="en-AU"/>
              </w:rPr>
              <w:t>Age Group</w:t>
            </w:r>
          </w:p>
        </w:tc>
        <w:tc>
          <w:tcPr>
            <w:tcW w:w="996" w:type="pct"/>
            <w:shd w:val="clear" w:color="000000" w:fill="6B2976"/>
            <w:hideMark/>
          </w:tcPr>
          <w:p w14:paraId="36775FA2" w14:textId="0F904A67" w:rsidR="0004058E" w:rsidRPr="007F6332" w:rsidRDefault="009E1D9C" w:rsidP="006F70E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New Entrants</w:t>
            </w:r>
            <w:r w:rsidRPr="007F6332">
              <w:rPr>
                <w:rFonts w:eastAsia="Times New Roman"/>
                <w:b w:val="0"/>
                <w:bCs/>
                <w:color w:val="FFFFFF"/>
                <w:szCs w:val="22"/>
                <w:lang w:eastAsia="en-AU"/>
              </w:rPr>
              <w:t xml:space="preserve"> </w:t>
            </w:r>
            <w:r w:rsidR="0004058E" w:rsidRPr="007F6332">
              <w:rPr>
                <w:rFonts w:eastAsia="Times New Roman"/>
                <w:bCs/>
                <w:color w:val="FFFFFF"/>
                <w:szCs w:val="22"/>
                <w:lang w:eastAsia="en-AU"/>
              </w:rPr>
              <w:t>Actual</w:t>
            </w:r>
          </w:p>
        </w:tc>
        <w:tc>
          <w:tcPr>
            <w:tcW w:w="996" w:type="pct"/>
            <w:shd w:val="clear" w:color="000000" w:fill="6B2976"/>
            <w:hideMark/>
          </w:tcPr>
          <w:p w14:paraId="1C9C989B" w14:textId="198FF223" w:rsidR="0004058E" w:rsidRPr="007F6332" w:rsidRDefault="009E1D9C" w:rsidP="006F70E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New Entrants</w:t>
            </w:r>
            <w:r w:rsidRPr="007F6332">
              <w:rPr>
                <w:rFonts w:eastAsia="Times New Roman"/>
                <w:b w:val="0"/>
                <w:bCs/>
                <w:color w:val="FFFFFF"/>
                <w:szCs w:val="22"/>
                <w:lang w:eastAsia="en-AU"/>
              </w:rPr>
              <w:t xml:space="preserve"> </w:t>
            </w:r>
            <w:r w:rsidR="0004058E" w:rsidRPr="007F6332">
              <w:rPr>
                <w:rFonts w:eastAsia="Times New Roman"/>
                <w:bCs/>
                <w:color w:val="FFFFFF"/>
                <w:szCs w:val="22"/>
                <w:lang w:eastAsia="en-AU"/>
              </w:rPr>
              <w:t>Expected</w:t>
            </w:r>
          </w:p>
        </w:tc>
        <w:tc>
          <w:tcPr>
            <w:tcW w:w="996" w:type="pct"/>
            <w:shd w:val="clear" w:color="000000" w:fill="6B2976"/>
            <w:hideMark/>
          </w:tcPr>
          <w:p w14:paraId="3E97221D" w14:textId="02F735AA" w:rsidR="0004058E" w:rsidRPr="007F6332" w:rsidRDefault="009E1D9C" w:rsidP="006F70E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New Entrants</w:t>
            </w:r>
            <w:r w:rsidRPr="007F6332">
              <w:rPr>
                <w:rFonts w:eastAsia="Times New Roman"/>
                <w:b w:val="0"/>
                <w:bCs/>
                <w:color w:val="FFFFFF"/>
                <w:szCs w:val="22"/>
                <w:lang w:eastAsia="en-AU"/>
              </w:rPr>
              <w:t xml:space="preserve"> </w:t>
            </w:r>
            <w:r w:rsidR="0004058E" w:rsidRPr="007F6332">
              <w:rPr>
                <w:rFonts w:eastAsia="Times New Roman"/>
                <w:bCs/>
                <w:color w:val="FFFFFF"/>
                <w:szCs w:val="22"/>
                <w:lang w:eastAsia="en-AU"/>
              </w:rPr>
              <w:t>Difference</w:t>
            </w:r>
          </w:p>
        </w:tc>
        <w:tc>
          <w:tcPr>
            <w:tcW w:w="997" w:type="pct"/>
            <w:shd w:val="clear" w:color="000000" w:fill="6B2976"/>
            <w:hideMark/>
          </w:tcPr>
          <w:p w14:paraId="47048807" w14:textId="0157E272" w:rsidR="0004058E" w:rsidRPr="007F6332" w:rsidRDefault="009E1D9C" w:rsidP="006F70E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New Entrants</w:t>
            </w:r>
            <w:r w:rsidRPr="007F6332">
              <w:rPr>
                <w:rFonts w:eastAsia="Times New Roman"/>
                <w:b w:val="0"/>
                <w:bCs/>
                <w:color w:val="FFFFFF"/>
                <w:szCs w:val="22"/>
                <w:lang w:eastAsia="en-AU"/>
              </w:rPr>
              <w:t xml:space="preserve"> </w:t>
            </w:r>
            <w:r w:rsidR="0004058E" w:rsidRPr="007F6332">
              <w:rPr>
                <w:rFonts w:eastAsia="Times New Roman"/>
                <w:bCs/>
                <w:color w:val="FFFFFF"/>
                <w:szCs w:val="22"/>
                <w:lang w:eastAsia="en-AU"/>
              </w:rPr>
              <w:t>Diff</w:t>
            </w:r>
            <w:r w:rsidR="006F70E1" w:rsidRPr="007F6332">
              <w:rPr>
                <w:rFonts w:eastAsia="Times New Roman"/>
                <w:bCs/>
                <w:color w:val="FFFFFF"/>
                <w:szCs w:val="22"/>
                <w:lang w:eastAsia="en-AU"/>
              </w:rPr>
              <w:t>erence</w:t>
            </w:r>
            <w:r w:rsidR="0004058E" w:rsidRPr="007F6332">
              <w:rPr>
                <w:rFonts w:eastAsia="Times New Roman"/>
                <w:bCs/>
                <w:color w:val="FFFFFF"/>
                <w:szCs w:val="22"/>
                <w:lang w:eastAsia="en-AU"/>
              </w:rPr>
              <w:t xml:space="preserve"> (%)</w:t>
            </w:r>
          </w:p>
        </w:tc>
      </w:tr>
      <w:tr w:rsidR="00F3796B" w:rsidRPr="007F6332" w14:paraId="231423BE" w14:textId="77777777" w:rsidTr="00F3796B">
        <w:trPr>
          <w:trHeight w:val="340"/>
        </w:trPr>
        <w:tc>
          <w:tcPr>
            <w:cnfStyle w:val="001000000000" w:firstRow="0" w:lastRow="0" w:firstColumn="1" w:lastColumn="0" w:oddVBand="0" w:evenVBand="0" w:oddHBand="0" w:evenHBand="0" w:firstRowFirstColumn="0" w:firstRowLastColumn="0" w:lastRowFirstColumn="0" w:lastRowLastColumn="0"/>
            <w:tcW w:w="1015" w:type="pct"/>
            <w:shd w:val="clear" w:color="auto" w:fill="auto"/>
            <w:noWrap/>
            <w:hideMark/>
          </w:tcPr>
          <w:p w14:paraId="13B5A698" w14:textId="77777777" w:rsidR="00F3796B" w:rsidRPr="007F6332" w:rsidRDefault="00F3796B" w:rsidP="00F3796B">
            <w:pPr>
              <w:spacing w:line="240" w:lineRule="auto"/>
              <w:rPr>
                <w:rFonts w:eastAsia="Times New Roman" w:cs="Arial"/>
                <w:color w:val="000000"/>
                <w:szCs w:val="22"/>
                <w:lang w:eastAsia="en-AU"/>
              </w:rPr>
            </w:pPr>
            <w:r w:rsidRPr="007F6332">
              <w:rPr>
                <w:rFonts w:cs="Arial"/>
                <w:szCs w:val="22"/>
              </w:rPr>
              <w:t>0 to 14</w:t>
            </w:r>
          </w:p>
        </w:tc>
        <w:tc>
          <w:tcPr>
            <w:tcW w:w="996" w:type="pct"/>
            <w:shd w:val="clear" w:color="auto" w:fill="auto"/>
            <w:noWrap/>
          </w:tcPr>
          <w:p w14:paraId="3AC4CDB7" w14:textId="537DD9BF" w:rsidR="00F3796B" w:rsidRPr="007F6332" w:rsidRDefault="00F3796B" w:rsidP="00F3796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3E1984">
              <w:t>56,661</w:t>
            </w:r>
          </w:p>
        </w:tc>
        <w:tc>
          <w:tcPr>
            <w:tcW w:w="996" w:type="pct"/>
            <w:shd w:val="clear" w:color="auto" w:fill="auto"/>
            <w:noWrap/>
          </w:tcPr>
          <w:p w14:paraId="2B14BDAC" w14:textId="7FBEF1A0" w:rsidR="00F3796B" w:rsidRPr="007F6332" w:rsidRDefault="00F3796B" w:rsidP="00F3796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3E1984">
              <w:t>40,434</w:t>
            </w:r>
          </w:p>
        </w:tc>
        <w:tc>
          <w:tcPr>
            <w:tcW w:w="996" w:type="pct"/>
            <w:shd w:val="clear" w:color="auto" w:fill="auto"/>
            <w:noWrap/>
          </w:tcPr>
          <w:p w14:paraId="55BD414E" w14:textId="08F24DE4" w:rsidR="00F3796B" w:rsidRPr="007F6332" w:rsidRDefault="00F3796B" w:rsidP="00F3796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3E1984">
              <w:t>16,227</w:t>
            </w:r>
          </w:p>
        </w:tc>
        <w:tc>
          <w:tcPr>
            <w:tcW w:w="997" w:type="pct"/>
            <w:shd w:val="clear" w:color="auto" w:fill="auto"/>
            <w:noWrap/>
          </w:tcPr>
          <w:p w14:paraId="587F34A9" w14:textId="49C6588E" w:rsidR="00F3796B" w:rsidRPr="007F6332" w:rsidRDefault="00F3796B" w:rsidP="00F3796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3E1984">
              <w:t>40.1%</w:t>
            </w:r>
          </w:p>
        </w:tc>
      </w:tr>
      <w:tr w:rsidR="00F3796B" w:rsidRPr="007F6332" w14:paraId="6BFADD41" w14:textId="77777777" w:rsidTr="00F3796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15" w:type="pct"/>
            <w:shd w:val="clear" w:color="auto" w:fill="A7A9AC"/>
            <w:noWrap/>
            <w:hideMark/>
          </w:tcPr>
          <w:p w14:paraId="56ABFC86" w14:textId="77777777" w:rsidR="00F3796B" w:rsidRPr="007F6332" w:rsidRDefault="00F3796B" w:rsidP="00F3796B">
            <w:pPr>
              <w:spacing w:line="240" w:lineRule="auto"/>
              <w:rPr>
                <w:rFonts w:eastAsia="Times New Roman" w:cs="Arial"/>
                <w:color w:val="000000"/>
                <w:szCs w:val="22"/>
                <w:lang w:eastAsia="en-AU"/>
              </w:rPr>
            </w:pPr>
            <w:r w:rsidRPr="007F6332">
              <w:rPr>
                <w:rFonts w:cs="Arial"/>
                <w:color w:val="000000"/>
                <w:szCs w:val="22"/>
              </w:rPr>
              <w:t>15+</w:t>
            </w:r>
          </w:p>
        </w:tc>
        <w:tc>
          <w:tcPr>
            <w:tcW w:w="996" w:type="pct"/>
            <w:shd w:val="clear" w:color="auto" w:fill="A7A9AC"/>
            <w:noWrap/>
          </w:tcPr>
          <w:p w14:paraId="1F038BFB" w14:textId="0A5BA4F0" w:rsidR="00F3796B" w:rsidRPr="007F6332" w:rsidRDefault="00F3796B" w:rsidP="00F3796B">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3E1984">
              <w:t>29,739</w:t>
            </w:r>
          </w:p>
        </w:tc>
        <w:tc>
          <w:tcPr>
            <w:tcW w:w="996" w:type="pct"/>
            <w:shd w:val="clear" w:color="auto" w:fill="A7A9AC"/>
            <w:noWrap/>
          </w:tcPr>
          <w:p w14:paraId="661DD3DA" w14:textId="5C28E524" w:rsidR="00F3796B" w:rsidRPr="007F6332" w:rsidRDefault="00F3796B" w:rsidP="00F3796B">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3E1984">
              <w:t>30,313</w:t>
            </w:r>
          </w:p>
        </w:tc>
        <w:tc>
          <w:tcPr>
            <w:tcW w:w="996" w:type="pct"/>
            <w:shd w:val="clear" w:color="auto" w:fill="A7A9AC"/>
            <w:noWrap/>
          </w:tcPr>
          <w:p w14:paraId="215550D4" w14:textId="12B4E80F" w:rsidR="00F3796B" w:rsidRPr="007F6332" w:rsidRDefault="00F3796B" w:rsidP="00F3796B">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3E1984">
              <w:t>-574</w:t>
            </w:r>
          </w:p>
        </w:tc>
        <w:tc>
          <w:tcPr>
            <w:tcW w:w="997" w:type="pct"/>
            <w:shd w:val="clear" w:color="auto" w:fill="A7A9AC"/>
            <w:noWrap/>
          </w:tcPr>
          <w:p w14:paraId="610A8771" w14:textId="7DBCF4B3" w:rsidR="00F3796B" w:rsidRPr="007F6332" w:rsidRDefault="00F3796B" w:rsidP="00F3796B">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3E1984">
              <w:t>-1.9%</w:t>
            </w:r>
          </w:p>
        </w:tc>
      </w:tr>
      <w:tr w:rsidR="00F3796B" w:rsidRPr="007F6332" w14:paraId="68B1A42F" w14:textId="77777777" w:rsidTr="00F3796B">
        <w:trPr>
          <w:trHeight w:val="340"/>
        </w:trPr>
        <w:tc>
          <w:tcPr>
            <w:cnfStyle w:val="001000000000" w:firstRow="0" w:lastRow="0" w:firstColumn="1" w:lastColumn="0" w:oddVBand="0" w:evenVBand="0" w:oddHBand="0" w:evenHBand="0" w:firstRowFirstColumn="0" w:firstRowLastColumn="0" w:lastRowFirstColumn="0" w:lastRowLastColumn="0"/>
            <w:tcW w:w="1015" w:type="pct"/>
            <w:tcBorders>
              <w:bottom w:val="single" w:sz="4" w:space="0" w:color="auto"/>
            </w:tcBorders>
            <w:shd w:val="clear" w:color="auto" w:fill="B398B8"/>
            <w:noWrap/>
            <w:hideMark/>
          </w:tcPr>
          <w:p w14:paraId="1206F356" w14:textId="77777777" w:rsidR="00F3796B" w:rsidRPr="007F6332" w:rsidRDefault="00F3796B" w:rsidP="00F3796B">
            <w:pPr>
              <w:spacing w:line="240" w:lineRule="auto"/>
              <w:rPr>
                <w:rFonts w:eastAsia="Times New Roman" w:cs="Arial"/>
                <w:b/>
                <w:bCs/>
                <w:color w:val="000000"/>
                <w:szCs w:val="22"/>
                <w:lang w:eastAsia="en-AU"/>
              </w:rPr>
            </w:pPr>
            <w:r w:rsidRPr="007F6332">
              <w:rPr>
                <w:rFonts w:cs="Arial"/>
                <w:b/>
                <w:bCs/>
                <w:color w:val="000000"/>
                <w:szCs w:val="22"/>
              </w:rPr>
              <w:t>Total</w:t>
            </w:r>
          </w:p>
        </w:tc>
        <w:tc>
          <w:tcPr>
            <w:tcW w:w="996" w:type="pct"/>
            <w:tcBorders>
              <w:bottom w:val="single" w:sz="4" w:space="0" w:color="auto"/>
            </w:tcBorders>
            <w:shd w:val="clear" w:color="auto" w:fill="B398B8"/>
            <w:noWrap/>
          </w:tcPr>
          <w:p w14:paraId="2FB1F34C" w14:textId="25D23607" w:rsidR="00F3796B" w:rsidRPr="00104CF5" w:rsidRDefault="00F3796B" w:rsidP="00F3796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104CF5">
              <w:rPr>
                <w:b/>
                <w:bCs/>
              </w:rPr>
              <w:t>86,400</w:t>
            </w:r>
          </w:p>
        </w:tc>
        <w:tc>
          <w:tcPr>
            <w:tcW w:w="996" w:type="pct"/>
            <w:tcBorders>
              <w:bottom w:val="single" w:sz="4" w:space="0" w:color="auto"/>
            </w:tcBorders>
            <w:shd w:val="clear" w:color="auto" w:fill="B398B8"/>
            <w:noWrap/>
            <w:hideMark/>
          </w:tcPr>
          <w:p w14:paraId="58CF8845" w14:textId="2D2DD5AA" w:rsidR="00F3796B" w:rsidRPr="00104CF5" w:rsidRDefault="00F3796B" w:rsidP="00F3796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104CF5">
              <w:rPr>
                <w:b/>
                <w:bCs/>
              </w:rPr>
              <w:t>70,747</w:t>
            </w:r>
          </w:p>
        </w:tc>
        <w:tc>
          <w:tcPr>
            <w:tcW w:w="996" w:type="pct"/>
            <w:tcBorders>
              <w:bottom w:val="single" w:sz="4" w:space="0" w:color="auto"/>
            </w:tcBorders>
            <w:shd w:val="clear" w:color="auto" w:fill="B398B8"/>
            <w:noWrap/>
          </w:tcPr>
          <w:p w14:paraId="2CAB9ADB" w14:textId="5EA870E8" w:rsidR="00F3796B" w:rsidRPr="00104CF5" w:rsidRDefault="00F3796B" w:rsidP="00F3796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104CF5">
              <w:rPr>
                <w:b/>
                <w:bCs/>
              </w:rPr>
              <w:t>15,653</w:t>
            </w:r>
          </w:p>
        </w:tc>
        <w:tc>
          <w:tcPr>
            <w:tcW w:w="997" w:type="pct"/>
            <w:tcBorders>
              <w:bottom w:val="single" w:sz="4" w:space="0" w:color="auto"/>
            </w:tcBorders>
            <w:shd w:val="clear" w:color="auto" w:fill="B398B8"/>
            <w:noWrap/>
          </w:tcPr>
          <w:p w14:paraId="4E608A97" w14:textId="493AB303" w:rsidR="00F3796B" w:rsidRPr="00104CF5" w:rsidRDefault="00F3796B" w:rsidP="00F3796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104CF5">
              <w:rPr>
                <w:b/>
                <w:bCs/>
              </w:rPr>
              <w:t>22.1%</w:t>
            </w:r>
          </w:p>
        </w:tc>
      </w:tr>
    </w:tbl>
    <w:p w14:paraId="103BF081" w14:textId="3E8CF97C" w:rsidR="006C4B4A" w:rsidRPr="007F6332" w:rsidRDefault="00C7303E" w:rsidP="00C7303E">
      <w:pPr>
        <w:spacing w:before="120"/>
        <w:rPr>
          <w:rFonts w:cs="Arial"/>
        </w:rPr>
      </w:pPr>
      <w:r w:rsidRPr="007F6332">
        <w:rPr>
          <w:rFonts w:cs="Arial"/>
        </w:rPr>
        <w:t>The number of new entrants with developmental delay or autism account</w:t>
      </w:r>
      <w:r w:rsidR="00DF0E24" w:rsidRPr="007F6332">
        <w:rPr>
          <w:rFonts w:cs="Arial"/>
        </w:rPr>
        <w:t>ed</w:t>
      </w:r>
      <w:r w:rsidRPr="007F6332">
        <w:rPr>
          <w:rFonts w:cs="Arial"/>
        </w:rPr>
        <w:t xml:space="preserve"> for around 70% of all new entrants to the Scheme. This </w:t>
      </w:r>
      <w:r w:rsidR="00DF0E24" w:rsidRPr="007F6332">
        <w:rPr>
          <w:rFonts w:cs="Arial"/>
        </w:rPr>
        <w:t>was</w:t>
      </w:r>
      <w:r w:rsidRPr="007F6332">
        <w:rPr>
          <w:rFonts w:cs="Arial"/>
        </w:rPr>
        <w:t xml:space="preserve"> primarily driven by children aged 0 to 14. Figure 4.</w:t>
      </w:r>
      <w:r w:rsidR="00255F06" w:rsidRPr="007F6332">
        <w:rPr>
          <w:rFonts w:cs="Arial"/>
        </w:rPr>
        <w:t>8</w:t>
      </w:r>
      <w:r w:rsidRPr="007F6332">
        <w:rPr>
          <w:rFonts w:cs="Arial"/>
        </w:rPr>
        <w:t xml:space="preserve"> shows there was a significant increase (2</w:t>
      </w:r>
      <w:r w:rsidR="00CE6849" w:rsidRPr="007F6332">
        <w:rPr>
          <w:rFonts w:cs="Arial"/>
        </w:rPr>
        <w:t>0</w:t>
      </w:r>
      <w:r w:rsidRPr="007F6332">
        <w:rPr>
          <w:rFonts w:cs="Arial"/>
        </w:rPr>
        <w:t>%) in the number of children entering the Scheme in 2022-23 compared to 2021-22.</w:t>
      </w:r>
    </w:p>
    <w:p w14:paraId="565A3546" w14:textId="77777777" w:rsidR="006C4B4A" w:rsidRPr="007F6332" w:rsidRDefault="006C4B4A">
      <w:pPr>
        <w:spacing w:line="276" w:lineRule="auto"/>
        <w:rPr>
          <w:rFonts w:cs="Arial"/>
        </w:rPr>
      </w:pPr>
      <w:r w:rsidRPr="007F6332">
        <w:rPr>
          <w:rFonts w:cs="Arial"/>
        </w:rPr>
        <w:br w:type="page"/>
      </w:r>
    </w:p>
    <w:p w14:paraId="61A9E265" w14:textId="2D39A8FD" w:rsidR="00C7303E" w:rsidRPr="007F6332" w:rsidRDefault="006C4B4A" w:rsidP="006B61AA">
      <w:pPr>
        <w:pStyle w:val="FiguresandTablesHeading5"/>
      </w:pPr>
      <w:r w:rsidRPr="007F6332">
        <w:lastRenderedPageBreak/>
        <w:t>Figure 4.8: New entrants aged 0 to 14</w:t>
      </w:r>
    </w:p>
    <w:p w14:paraId="4B391DAA" w14:textId="21A605EE" w:rsidR="00A51F5E" w:rsidRPr="007F6332" w:rsidRDefault="00A51F5E" w:rsidP="00CD33D0">
      <w:pPr>
        <w:pStyle w:val="FSRnormal"/>
        <w:rPr>
          <w:rFonts w:cs="Arial"/>
          <w:szCs w:val="22"/>
        </w:rPr>
      </w:pPr>
      <w:r w:rsidRPr="007F6332">
        <w:rPr>
          <w:rFonts w:cs="Arial"/>
          <w:noProof/>
        </w:rPr>
        <w:drawing>
          <wp:inline distT="0" distB="0" distL="0" distR="0" wp14:anchorId="28AB774E" wp14:editId="7B489A89">
            <wp:extent cx="5926455" cy="2888615"/>
            <wp:effectExtent l="0" t="0" r="0" b="6985"/>
            <wp:docPr id="373125268" name="Picture 1" descr="Figure 4.8: Numbers of new entrants (aged 0 to 14) years 2019 to 2023.&#10;2019–20 Total 60,119. 2020-21 Total 44,129, 2021-22 Total 47,081. 2022-23 Total 56,6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25268" name="Picture 1" descr="Figure 4.8: Numbers of new entrants (aged 0 to 14) years 2019 to 2023.&#10;2019–20 Total 60,119. 2020-21 Total 44,129, 2021-22 Total 47,081. 2022-23 Total 56,661.&#10;"/>
                    <pic:cNvPicPr/>
                  </pic:nvPicPr>
                  <pic:blipFill>
                    <a:blip r:embed="rId15"/>
                    <a:stretch>
                      <a:fillRect/>
                    </a:stretch>
                  </pic:blipFill>
                  <pic:spPr>
                    <a:xfrm>
                      <a:off x="0" y="0"/>
                      <a:ext cx="5926455" cy="2888615"/>
                    </a:xfrm>
                    <a:prstGeom prst="rect">
                      <a:avLst/>
                    </a:prstGeom>
                  </pic:spPr>
                </pic:pic>
              </a:graphicData>
            </a:graphic>
          </wp:inline>
        </w:drawing>
      </w:r>
    </w:p>
    <w:p w14:paraId="73E65BDA" w14:textId="04A50EE5" w:rsidR="0004058E" w:rsidRPr="007F6332" w:rsidRDefault="00C7303E" w:rsidP="00CD33D0">
      <w:pPr>
        <w:pStyle w:val="FSRnormal"/>
        <w:rPr>
          <w:rFonts w:cs="Arial"/>
        </w:rPr>
      </w:pPr>
      <w:r w:rsidRPr="007F6332">
        <w:rPr>
          <w:rFonts w:cs="Arial"/>
          <w:szCs w:val="22"/>
        </w:rPr>
        <w:t>Several reasons for the high proportions of new entrants with developmental delay were identified including waiting times to obtaining an autism diagnosis for children, increased awareness of developmental delay, lack of capacity within mainstream services to support children with developmental delay and COVID-19 related impacts</w:t>
      </w:r>
      <w:r w:rsidRPr="007F6332">
        <w:rPr>
          <w:rFonts w:cs="Arial"/>
        </w:rPr>
        <w:t>.</w:t>
      </w:r>
    </w:p>
    <w:p w14:paraId="49E2C45C" w14:textId="1971F61F" w:rsidR="00C7303E" w:rsidRPr="007F6332" w:rsidRDefault="00C7303E" w:rsidP="001C42BA">
      <w:pPr>
        <w:spacing w:after="0"/>
        <w:rPr>
          <w:rFonts w:cs="Arial"/>
        </w:rPr>
      </w:pPr>
      <w:r w:rsidRPr="007F6332">
        <w:rPr>
          <w:rFonts w:cs="Arial"/>
        </w:rPr>
        <w:t>Figure 4.</w:t>
      </w:r>
      <w:r w:rsidR="00984C6C" w:rsidRPr="007F6332">
        <w:rPr>
          <w:rFonts w:cs="Arial"/>
        </w:rPr>
        <w:t>9</w:t>
      </w:r>
      <w:r w:rsidRPr="007F6332">
        <w:rPr>
          <w:rFonts w:cs="Arial"/>
        </w:rPr>
        <w:t xml:space="preserve"> shows the number of new entrants with autism aged 15 and over for years ended 30 June. This demonstrates a continuing increase (of around 1</w:t>
      </w:r>
      <w:r w:rsidR="00CE6849" w:rsidRPr="007F6332">
        <w:rPr>
          <w:rFonts w:cs="Arial"/>
        </w:rPr>
        <w:t>9</w:t>
      </w:r>
      <w:r w:rsidRPr="007F6332">
        <w:rPr>
          <w:rFonts w:cs="Arial"/>
        </w:rPr>
        <w:t xml:space="preserve">% in 2022-23). The continuing increase in new entrants with autism may be due to factors such as greater awareness of autism in older children and adults who may have missed out on a diagnosis as a child, or adults </w:t>
      </w:r>
      <w:r w:rsidR="00E604AF" w:rsidRPr="007F6332">
        <w:rPr>
          <w:rFonts w:cs="Arial"/>
        </w:rPr>
        <w:t>who enter the Scheme with multiple disabilities or health conditions, including autism</w:t>
      </w:r>
      <w:r w:rsidRPr="007F6332">
        <w:rPr>
          <w:rFonts w:cs="Arial"/>
        </w:rPr>
        <w:t>.</w:t>
      </w:r>
    </w:p>
    <w:p w14:paraId="006942BC" w14:textId="77777777" w:rsidR="007F4994" w:rsidRPr="007F6332" w:rsidRDefault="007F4994" w:rsidP="001C42BA">
      <w:pPr>
        <w:spacing w:after="0"/>
        <w:rPr>
          <w:rFonts w:cs="Arial"/>
        </w:rPr>
      </w:pPr>
    </w:p>
    <w:p w14:paraId="669EF731" w14:textId="67EEDAA0" w:rsidR="007F4994" w:rsidRPr="007F6332" w:rsidRDefault="007F4994" w:rsidP="006B61AA">
      <w:pPr>
        <w:pStyle w:val="FiguresandTablesHeading5"/>
      </w:pPr>
      <w:r w:rsidRPr="007F6332">
        <w:t>Figure 4.9: New entrants aged 15+ with autism</w:t>
      </w:r>
    </w:p>
    <w:p w14:paraId="686101B4" w14:textId="0EB8EA07" w:rsidR="007F4994" w:rsidRPr="007F6332" w:rsidRDefault="00A51F5E">
      <w:pPr>
        <w:spacing w:line="276" w:lineRule="auto"/>
        <w:rPr>
          <w:rFonts w:eastAsiaTheme="majorEastAsia" w:cs="Arial"/>
          <w:b/>
          <w:iCs/>
        </w:rPr>
      </w:pPr>
      <w:r w:rsidRPr="007F6332">
        <w:rPr>
          <w:rFonts w:cs="Arial"/>
          <w:noProof/>
        </w:rPr>
        <w:drawing>
          <wp:inline distT="0" distB="0" distL="0" distR="0" wp14:anchorId="5119EB63" wp14:editId="7FC1B74E">
            <wp:extent cx="5926455" cy="2571750"/>
            <wp:effectExtent l="0" t="0" r="0" b="0"/>
            <wp:docPr id="1123750642" name="Picture 1" descr="Figure 4.9: Numbers of new entrants (aged 15+) with autism - years 2019 to 2023.&#10;2019–20 Total 6,942. 2020-21 Total 5,761, 2021-22 Total 6,783. 2022-23 Total 8,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50642" name="Picture 1" descr="Figure 4.9: Numbers of new entrants (aged 15+) with autism - years 2019 to 2023.&#10;2019–20 Total 6,942. 2020-21 Total 5,761, 2021-22 Total 6,783. 2022-23 Total 8,045."/>
                    <pic:cNvPicPr/>
                  </pic:nvPicPr>
                  <pic:blipFill>
                    <a:blip r:embed="rId16"/>
                    <a:stretch>
                      <a:fillRect/>
                    </a:stretch>
                  </pic:blipFill>
                  <pic:spPr>
                    <a:xfrm>
                      <a:off x="0" y="0"/>
                      <a:ext cx="5926455" cy="2571750"/>
                    </a:xfrm>
                    <a:prstGeom prst="rect">
                      <a:avLst/>
                    </a:prstGeom>
                  </pic:spPr>
                </pic:pic>
              </a:graphicData>
            </a:graphic>
          </wp:inline>
        </w:drawing>
      </w:r>
      <w:r w:rsidR="007F4994" w:rsidRPr="007F6332">
        <w:rPr>
          <w:rFonts w:cs="Arial"/>
        </w:rPr>
        <w:br w:type="page"/>
      </w:r>
    </w:p>
    <w:p w14:paraId="256BF21A" w14:textId="223863FF" w:rsidR="00942472" w:rsidRPr="007F6332" w:rsidRDefault="0004058E" w:rsidP="007F4994">
      <w:pPr>
        <w:pStyle w:val="FSRnormal"/>
        <w:rPr>
          <w:rFonts w:cs="Arial"/>
        </w:rPr>
      </w:pPr>
      <w:r w:rsidRPr="007F6332">
        <w:rPr>
          <w:rFonts w:cs="Arial"/>
        </w:rPr>
        <w:lastRenderedPageBreak/>
        <w:t>Figure 4.</w:t>
      </w:r>
      <w:r w:rsidR="00984C6C" w:rsidRPr="007F6332">
        <w:rPr>
          <w:rFonts w:cs="Arial"/>
        </w:rPr>
        <w:t>10</w:t>
      </w:r>
      <w:r w:rsidRPr="007F6332">
        <w:rPr>
          <w:rFonts w:cs="Arial"/>
        </w:rPr>
        <w:t xml:space="preserve"> shows the number of new entrants aged 15 and over with disabilities other than autism for years ended 30 June. The graph demonstrates a continuing decline (of -16% in 2022-23) in adult new entrants with disabilities other than autism.</w:t>
      </w:r>
    </w:p>
    <w:p w14:paraId="3247678C" w14:textId="5AFC4CE7" w:rsidR="007F4994" w:rsidRPr="007F6332" w:rsidRDefault="007F4994" w:rsidP="006B61AA">
      <w:pPr>
        <w:pStyle w:val="FiguresandTablesHeading5"/>
      </w:pPr>
      <w:r w:rsidRPr="007F6332">
        <w:t>Figure 4.10: New entrants aged 15+ with disabilities other than autism</w:t>
      </w:r>
    </w:p>
    <w:p w14:paraId="20CD26A2" w14:textId="6B79EDB7" w:rsidR="00133B18" w:rsidRPr="007F6332" w:rsidRDefault="00133B18" w:rsidP="007F4994">
      <w:pPr>
        <w:rPr>
          <w:rFonts w:cs="Arial"/>
        </w:rPr>
      </w:pPr>
      <w:r w:rsidRPr="007F6332">
        <w:rPr>
          <w:rFonts w:cs="Arial"/>
          <w:noProof/>
        </w:rPr>
        <w:drawing>
          <wp:inline distT="0" distB="0" distL="0" distR="0" wp14:anchorId="530FCEFB" wp14:editId="5FEB06DF">
            <wp:extent cx="5926455" cy="2457450"/>
            <wp:effectExtent l="0" t="0" r="0" b="0"/>
            <wp:docPr id="1322436984" name="Picture 1" descr="Figure 4.10: Numbers of new entrants (aged 15+) with disabilities other than autism - years 2019 to 2023.&#10;2019–20 Total 44,228. 2020-21 Total 31,083, 2021-22 Total 25,971. 2022-23 Total 2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36984" name="Picture 1" descr="Figure 4.10: Numbers of new entrants (aged 15+) with disabilities other than autism - years 2019 to 2023.&#10;2019–20 Total 44,228. 2020-21 Total 31,083, 2021-22 Total 25,971. 2022-23 Total 21,694."/>
                    <pic:cNvPicPr/>
                  </pic:nvPicPr>
                  <pic:blipFill>
                    <a:blip r:embed="rId22"/>
                    <a:stretch>
                      <a:fillRect/>
                    </a:stretch>
                  </pic:blipFill>
                  <pic:spPr>
                    <a:xfrm>
                      <a:off x="0" y="0"/>
                      <a:ext cx="5926455" cy="2457450"/>
                    </a:xfrm>
                    <a:prstGeom prst="rect">
                      <a:avLst/>
                    </a:prstGeom>
                  </pic:spPr>
                </pic:pic>
              </a:graphicData>
            </a:graphic>
          </wp:inline>
        </w:drawing>
      </w:r>
    </w:p>
    <w:p w14:paraId="22DC5F66" w14:textId="1FCCB660" w:rsidR="008E7D15" w:rsidRPr="007F6332" w:rsidRDefault="008E7D15" w:rsidP="00CD33D0">
      <w:pPr>
        <w:pStyle w:val="Heading4"/>
        <w:ind w:left="720"/>
        <w:rPr>
          <w:rFonts w:cs="Arial"/>
        </w:rPr>
      </w:pPr>
      <w:r w:rsidRPr="007F6332">
        <w:rPr>
          <w:rFonts w:cs="Arial"/>
        </w:rPr>
        <w:t xml:space="preserve">Recent experience of participants leaving the Scheme was lower than expected </w:t>
      </w:r>
    </w:p>
    <w:p w14:paraId="254FBF3E" w14:textId="77777777" w:rsidR="00E7308B" w:rsidRPr="007F6332" w:rsidRDefault="00E7308B" w:rsidP="00E7308B">
      <w:pPr>
        <w:pStyle w:val="FSRnormal"/>
        <w:rPr>
          <w:rFonts w:cs="Arial"/>
        </w:rPr>
      </w:pPr>
      <w:r w:rsidRPr="007F6332">
        <w:rPr>
          <w:rFonts w:cs="Arial"/>
        </w:rPr>
        <w:t xml:space="preserve">Within the context of financial sustainability, it is important to understand the emerging experience of participants leaving the Scheme. Participants may leave the Scheme for various reasons and are analysed in two categories for projection purposes: </w:t>
      </w:r>
    </w:p>
    <w:p w14:paraId="7F686CA5" w14:textId="77777777" w:rsidR="00E7308B" w:rsidRPr="007F6332" w:rsidRDefault="00E7308B" w:rsidP="00C1755E">
      <w:pPr>
        <w:pStyle w:val="FSRlist"/>
        <w:rPr>
          <w:rFonts w:cs="Arial"/>
        </w:rPr>
      </w:pPr>
      <w:bookmarkStart w:id="75" w:name="_Hlk147403300"/>
      <w:r w:rsidRPr="007F6332">
        <w:rPr>
          <w:rFonts w:cs="Arial"/>
        </w:rPr>
        <w:t>Mortality: participants who have passed away.</w:t>
      </w:r>
    </w:p>
    <w:p w14:paraId="641CF38F" w14:textId="77777777" w:rsidR="00E7308B" w:rsidRPr="007F6332" w:rsidRDefault="00E7308B" w:rsidP="00C1755E">
      <w:pPr>
        <w:pStyle w:val="FSRlist"/>
        <w:rPr>
          <w:rFonts w:cs="Arial"/>
        </w:rPr>
      </w:pPr>
      <w:r w:rsidRPr="007F6332">
        <w:rPr>
          <w:rFonts w:cs="Arial"/>
        </w:rPr>
        <w:t xml:space="preserve">Participants leaving the Scheme: </w:t>
      </w:r>
    </w:p>
    <w:p w14:paraId="45B88FB0" w14:textId="77777777" w:rsidR="00E7308B" w:rsidRPr="007F6332" w:rsidRDefault="00E7308B" w:rsidP="00C1755E">
      <w:pPr>
        <w:pStyle w:val="FSRlist"/>
        <w:numPr>
          <w:ilvl w:val="1"/>
          <w:numId w:val="57"/>
        </w:numPr>
        <w:rPr>
          <w:rFonts w:cs="Arial"/>
        </w:rPr>
      </w:pPr>
      <w:r w:rsidRPr="007F6332">
        <w:rPr>
          <w:rFonts w:cs="Arial"/>
        </w:rPr>
        <w:t>No longer meet the Scheme’s eligibility criteria.</w:t>
      </w:r>
    </w:p>
    <w:p w14:paraId="546D2B80" w14:textId="77777777" w:rsidR="00E7308B" w:rsidRPr="007F6332" w:rsidRDefault="00E7308B" w:rsidP="00C1755E">
      <w:pPr>
        <w:pStyle w:val="FSRlist"/>
        <w:numPr>
          <w:ilvl w:val="1"/>
          <w:numId w:val="57"/>
        </w:numPr>
        <w:rPr>
          <w:rFonts w:cs="Arial"/>
        </w:rPr>
      </w:pPr>
      <w:r w:rsidRPr="007F6332">
        <w:rPr>
          <w:rFonts w:cs="Arial"/>
        </w:rPr>
        <w:t xml:space="preserve">Have chosen to leave the Scheme of their own accord. </w:t>
      </w:r>
    </w:p>
    <w:p w14:paraId="7B2AC229" w14:textId="77777777" w:rsidR="00E7308B" w:rsidRPr="007F6332" w:rsidRDefault="00E7308B" w:rsidP="00C1755E">
      <w:pPr>
        <w:pStyle w:val="FSRlist"/>
        <w:numPr>
          <w:ilvl w:val="1"/>
          <w:numId w:val="57"/>
        </w:numPr>
        <w:rPr>
          <w:rFonts w:cs="Arial"/>
        </w:rPr>
      </w:pPr>
      <w:r w:rsidRPr="007F6332">
        <w:rPr>
          <w:rFonts w:cs="Arial"/>
        </w:rPr>
        <w:t xml:space="preserve">Have chosen to move into residential aged care if over the age of 65. </w:t>
      </w:r>
    </w:p>
    <w:p w14:paraId="5876D2E9" w14:textId="4CDCE337" w:rsidR="00E7308B" w:rsidRPr="007F6332" w:rsidRDefault="00E7308B" w:rsidP="00E7308B">
      <w:pPr>
        <w:pStyle w:val="FSRnormal"/>
        <w:rPr>
          <w:rFonts w:cs="Arial"/>
        </w:rPr>
      </w:pPr>
      <w:r w:rsidRPr="007F6332">
        <w:rPr>
          <w:rFonts w:cs="Arial"/>
        </w:rPr>
        <w:t>A proportion of participants leaving the Scheme was always expected within the original Scheme design</w:t>
      </w:r>
      <w:r w:rsidR="00986064" w:rsidRPr="007F6332">
        <w:rPr>
          <w:rFonts w:cs="Arial"/>
        </w:rPr>
        <w:t xml:space="preserve">, with </w:t>
      </w:r>
      <w:r w:rsidRPr="007F6332">
        <w:rPr>
          <w:rFonts w:cs="Arial"/>
        </w:rPr>
        <w:t xml:space="preserve">one of the Scheme’s objectives </w:t>
      </w:r>
      <w:r w:rsidR="00986064" w:rsidRPr="007F6332">
        <w:rPr>
          <w:rFonts w:cs="Arial"/>
        </w:rPr>
        <w:t xml:space="preserve">being </w:t>
      </w:r>
      <w:r w:rsidRPr="007F6332">
        <w:rPr>
          <w:rFonts w:cs="Arial"/>
        </w:rPr>
        <w:t xml:space="preserve">early investment and intervention to </w:t>
      </w:r>
      <w:r w:rsidR="00986064" w:rsidRPr="007F6332">
        <w:rPr>
          <w:rFonts w:cs="Arial"/>
        </w:rPr>
        <w:t xml:space="preserve">build </w:t>
      </w:r>
      <w:r w:rsidRPr="007F6332">
        <w:rPr>
          <w:rFonts w:cs="Arial"/>
        </w:rPr>
        <w:t xml:space="preserve">capacity and </w:t>
      </w:r>
      <w:r w:rsidR="00986064" w:rsidRPr="007F6332">
        <w:rPr>
          <w:rFonts w:cs="Arial"/>
        </w:rPr>
        <w:t xml:space="preserve">engender </w:t>
      </w:r>
      <w:r w:rsidRPr="007F6332">
        <w:rPr>
          <w:rFonts w:cs="Arial"/>
        </w:rPr>
        <w:t>greater social and economic participation</w:t>
      </w:r>
      <w:r w:rsidR="00986064" w:rsidRPr="007F6332">
        <w:rPr>
          <w:rFonts w:cs="Arial"/>
        </w:rPr>
        <w:t xml:space="preserve"> </w:t>
      </w:r>
      <w:r w:rsidRPr="007F6332">
        <w:rPr>
          <w:rFonts w:cs="Arial"/>
        </w:rPr>
        <w:t xml:space="preserve">where support from the NDIS is no longer required. </w:t>
      </w:r>
      <w:bookmarkEnd w:id="75"/>
    </w:p>
    <w:p w14:paraId="257CE0BF" w14:textId="45BE24E2" w:rsidR="00582E37" w:rsidRPr="007F6332" w:rsidRDefault="00E7308B" w:rsidP="00E7308B">
      <w:pPr>
        <w:pStyle w:val="FSRnormal"/>
        <w:rPr>
          <w:rFonts w:cs="Arial"/>
        </w:rPr>
      </w:pPr>
      <w:bookmarkStart w:id="76" w:name="_Hlk151815425"/>
      <w:r w:rsidRPr="007F6332">
        <w:rPr>
          <w:rFonts w:cs="Arial"/>
        </w:rPr>
        <w:t>Figure 4.11 shows the experience of mortality and participants leaving the Scheme compared to expectations from the previous review. Experience of participants leaving the Scheme was well below expected in 2019-20 and 2020-21 due to low numbers of eligibility reassessments following a major review of the eligibility assessment</w:t>
      </w:r>
      <w:r w:rsidR="000179D6" w:rsidRPr="007F6332">
        <w:rPr>
          <w:rFonts w:cs="Arial"/>
        </w:rPr>
        <w:t xml:space="preserve"> process.</w:t>
      </w:r>
      <w:r w:rsidRPr="007F6332">
        <w:rPr>
          <w:rFonts w:cs="Arial"/>
        </w:rPr>
        <w:t xml:space="preserve"> </w:t>
      </w:r>
      <w:r w:rsidR="00582E37" w:rsidRPr="007F6332">
        <w:rPr>
          <w:rFonts w:cs="Arial"/>
        </w:rPr>
        <w:t xml:space="preserve">There was a resumption of reassessment activities in the first half of 2022, when additional resources were deployed to clear backlogs. This led to the actual rate of participants leaving in 2021-22 increasing to be closer to the expected rate. In the period 2022-23, the rate of participants leaving the Scheme fell due to the Agency prioritising initial access requests and a shortage of staff in the National Assessment and Reassessment Branch. The Agency has undertaken targeted recruitment in </w:t>
      </w:r>
      <w:r w:rsidR="00582E37" w:rsidRPr="007F6332">
        <w:rPr>
          <w:rFonts w:cs="Arial"/>
        </w:rPr>
        <w:lastRenderedPageBreak/>
        <w:t>early 2023, and it is expected the rate of reassessments and in turn participants leaving the Scheme will increase towards expected levels.</w:t>
      </w:r>
    </w:p>
    <w:p w14:paraId="10A8A86A" w14:textId="47729DCD" w:rsidR="008E7D15" w:rsidRPr="007F6332" w:rsidRDefault="00582E37" w:rsidP="00582E37">
      <w:pPr>
        <w:pStyle w:val="FSRnormal"/>
        <w:rPr>
          <w:rFonts w:cs="Arial"/>
        </w:rPr>
      </w:pPr>
      <w:r w:rsidRPr="007F6332">
        <w:rPr>
          <w:rFonts w:cs="Arial"/>
        </w:rPr>
        <w:t xml:space="preserve">Mortality rates in 2021-22 and 2022-23 were marginally higher than expected in the </w:t>
      </w:r>
      <w:r w:rsidR="003757C9" w:rsidRPr="007F6332">
        <w:rPr>
          <w:rFonts w:cs="Arial"/>
        </w:rPr>
        <w:t>June 2022 projections</w:t>
      </w:r>
      <w:r w:rsidRPr="007F6332">
        <w:rPr>
          <w:rFonts w:cs="Arial"/>
        </w:rPr>
        <w:t xml:space="preserve"> at 1.03% and 1.07% respectively, compared to 0.90% expected for the period 2022-23. The increase in Scheme mortality since early 2022 corresponds to trends observed in Australian population mortality, both in terms of “excess mortality” and COVID-19 mortality. However, it is not currently possible to fully identify Scheme mortality due to COVID-19 because cause</w:t>
      </w:r>
      <w:r w:rsidR="000179D6" w:rsidRPr="007F6332">
        <w:rPr>
          <w:rFonts w:cs="Arial"/>
        </w:rPr>
        <w:t>-</w:t>
      </w:r>
      <w:r w:rsidRPr="007F6332">
        <w:rPr>
          <w:rFonts w:cs="Arial"/>
        </w:rPr>
        <w:t>of</w:t>
      </w:r>
      <w:r w:rsidR="000179D6" w:rsidRPr="007F6332">
        <w:rPr>
          <w:rFonts w:cs="Arial"/>
        </w:rPr>
        <w:t>-</w:t>
      </w:r>
      <w:r w:rsidRPr="007F6332">
        <w:rPr>
          <w:rFonts w:cs="Arial"/>
        </w:rPr>
        <w:t>death information is not currently collected by the Scheme</w:t>
      </w:r>
      <w:bookmarkEnd w:id="76"/>
      <w:r w:rsidRPr="007F6332">
        <w:rPr>
          <w:rFonts w:cs="Arial"/>
        </w:rPr>
        <w:t>.</w:t>
      </w:r>
    </w:p>
    <w:p w14:paraId="5AD19C7E" w14:textId="5206B548" w:rsidR="00A25E36" w:rsidRPr="007F6332" w:rsidRDefault="00A25E36" w:rsidP="006B61AA">
      <w:pPr>
        <w:pStyle w:val="FiguresandTablesHeading5"/>
      </w:pPr>
      <w:bookmarkStart w:id="77" w:name="_Hlk151819143"/>
      <w:r w:rsidRPr="007F6332">
        <w:t>Figure 4.11: Actual versus expected – proportion of participants leaving the Schem</w:t>
      </w:r>
      <w:bookmarkEnd w:id="77"/>
      <w:r w:rsidRPr="007F6332">
        <w:t>e</w:t>
      </w:r>
    </w:p>
    <w:p w14:paraId="03E60C60" w14:textId="0960FF85" w:rsidR="004B3351" w:rsidRPr="007F6332" w:rsidRDefault="00E45F0C" w:rsidP="00C1755E">
      <w:pPr>
        <w:rPr>
          <w:rFonts w:cs="Arial"/>
        </w:rPr>
      </w:pPr>
      <w:r w:rsidRPr="007F6332">
        <w:rPr>
          <w:rFonts w:cs="Arial"/>
          <w:noProof/>
        </w:rPr>
        <w:drawing>
          <wp:inline distT="0" distB="0" distL="0" distR="0" wp14:anchorId="0E64C350" wp14:editId="0C5A1B27">
            <wp:extent cx="5994400" cy="4001632"/>
            <wp:effectExtent l="0" t="0" r="6350" b="0"/>
            <wp:docPr id="446455421" name="Picture 38" descr="Figure 4.11 Actual versus expected – proportion of participants leaving the Scheme. shows the numbers and rates of participants leaving the Scheme either for mortality or other reasons for each financial year from 2019-20 to 2022-23, compared with the expectations for 2022-23 from the June 2022 projections.&#10;2019-20 – actual participants mortality was 1.05% (3,551 participants)&#10;2019-20 – actual participants leaving the scheme 0.47% was (1,599 participants)&#10;2019-20 – actual combined total 1.52% was (5,510 participants)&#10;2020-21 – actual participants mortality was 0.91% (3,922 participants)&#10;2020-21 – actual participants leaving the scheme was 0.58% (2,492 participants)&#10;2020-21 – actual combined total 1.49% was (6,414 participants))&#10;2021-22 – actual participants mortality was 1.03% (5,176 participants)&#10;2021-22 – actual participants leaving the scheme was1.27% (6,396 participants)&#10;2021-22 –actual combined total was 2.31% (11,572 participants)&#10;2022-23 – actual participants mortality was 1.07% (6,122 participants)&#10;2022-23 – actual participants leaving the scheme was 0.86% (4,949 participants)&#10;2022-23 – actual combined total was 1.93% (11,071 participants)&#10;2022-23 from June 2022 projections – expected participants mortality was 0.90% (5,167 participants)&#10;2022-23 from June 2022 projections – expected participants leaving the scheme was 1.59% (9,098 participants)&#10;2022-23 from June 2022 projections – expected combined total of participants was 2.49% (14,265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55421" name="Picture 38" descr="Figure 4.11 Actual versus expected – proportion of participants leaving the Scheme. shows the numbers and rates of participants leaving the Scheme either for mortality or other reasons for each financial year from 2019-20 to 2022-23, compared with the expectations for 2022-23 from the June 2022 projections.&#10;2019-20 – actual participants mortality was 1.05% (3,551 participants)&#10;2019-20 – actual participants leaving the scheme 0.47% was (1,599 participants)&#10;2019-20 – actual combined total 1.52% was (5,510 participants)&#10;2020-21 – actual participants mortality was 0.91% (3,922 participants)&#10;2020-21 – actual participants leaving the scheme was 0.58% (2,492 participants)&#10;2020-21 – actual combined total 1.49% was (6,414 participants))&#10;2021-22 – actual participants mortality was 1.03% (5,176 participants)&#10;2021-22 – actual participants leaving the scheme was1.27% (6,396 participants)&#10;2021-22 –actual combined total was 2.31% (11,572 participants)&#10;2022-23 – actual participants mortality was 1.07% (6,122 participants)&#10;2022-23 – actual participants leaving the scheme was 0.86% (4,949 participants)&#10;2022-23 – actual combined total was 1.93% (11,071 participants)&#10;2022-23 from June 2022 projections – expected participants mortality was 0.90% (5,167 participants)&#10;2022-23 from June 2022 projections – expected participants leaving the scheme was 1.59% (9,098 participants)&#10;2022-23 from June 2022 projections – expected combined total of participants was 2.49% (14,265 participants)"/>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6015152" cy="4015485"/>
                    </a:xfrm>
                    <a:prstGeom prst="rect">
                      <a:avLst/>
                    </a:prstGeom>
                    <a:noFill/>
                    <a:ln>
                      <a:noFill/>
                    </a:ln>
                    <a:extLst>
                      <a:ext uri="{53640926-AAD7-44D8-BBD7-CCE9431645EC}">
                        <a14:shadowObscured xmlns:a14="http://schemas.microsoft.com/office/drawing/2010/main"/>
                      </a:ext>
                    </a:extLst>
                  </pic:spPr>
                </pic:pic>
              </a:graphicData>
            </a:graphic>
          </wp:inline>
        </w:drawing>
      </w:r>
    </w:p>
    <w:p w14:paraId="0B890D62" w14:textId="3A58CEFE" w:rsidR="002867E7" w:rsidRPr="007F6332" w:rsidRDefault="002867E7" w:rsidP="00CD33D0">
      <w:pPr>
        <w:pStyle w:val="Heading3"/>
        <w:ind w:left="709" w:hanging="709"/>
        <w:rPr>
          <w:rFonts w:cs="Arial"/>
        </w:rPr>
      </w:pPr>
      <w:bookmarkStart w:id="78" w:name="_Ref144317536"/>
      <w:bookmarkStart w:id="79" w:name="_Toc146286151"/>
      <w:bookmarkStart w:id="80" w:name="_Toc152614976"/>
      <w:r w:rsidRPr="007F6332">
        <w:rPr>
          <w:rFonts w:cs="Arial"/>
        </w:rPr>
        <w:t>Participants in Supported Independent Living</w:t>
      </w:r>
      <w:bookmarkEnd w:id="78"/>
      <w:bookmarkEnd w:id="79"/>
      <w:bookmarkEnd w:id="80"/>
    </w:p>
    <w:p w14:paraId="60562929" w14:textId="7CE77761" w:rsidR="00E7308B" w:rsidRPr="007F6332" w:rsidRDefault="00E7308B" w:rsidP="00E7308B">
      <w:pPr>
        <w:spacing w:after="120"/>
        <w:ind w:left="-11"/>
        <w:rPr>
          <w:rFonts w:cs="Arial"/>
        </w:rPr>
      </w:pPr>
      <w:r w:rsidRPr="007F6332">
        <w:rPr>
          <w:rFonts w:cs="Arial"/>
        </w:rPr>
        <w:t xml:space="preserve">Separately identifying and modelling participants with SIL supports is important for forecasting Scheme expenses because payments on plans with SIL are higher, averaging over $400,000 per participant. While the proportion of participants with SIL account for 5% of total participants, payments for participants with SIL make up around </w:t>
      </w:r>
      <w:r w:rsidR="00E604AF" w:rsidRPr="007F6332">
        <w:rPr>
          <w:rFonts w:cs="Arial"/>
        </w:rPr>
        <w:t>33</w:t>
      </w:r>
      <w:r w:rsidRPr="007F6332">
        <w:rPr>
          <w:rFonts w:cs="Arial"/>
        </w:rPr>
        <w:t>% of total payments. A small change to the expected the number of participants with SIL can have a material impact on the expected future expense of the Scheme.</w:t>
      </w:r>
    </w:p>
    <w:p w14:paraId="2E255865" w14:textId="577649A5" w:rsidR="008448AF" w:rsidRPr="007F6332" w:rsidRDefault="008448AF" w:rsidP="00CD33D0">
      <w:pPr>
        <w:pStyle w:val="Heading4"/>
        <w:ind w:left="720"/>
        <w:rPr>
          <w:rFonts w:cs="Arial"/>
        </w:rPr>
      </w:pPr>
      <w:r w:rsidRPr="007F6332">
        <w:rPr>
          <w:rFonts w:cs="Arial"/>
        </w:rPr>
        <w:t xml:space="preserve">The </w:t>
      </w:r>
      <w:r w:rsidR="00325DAC" w:rsidRPr="007F6332">
        <w:rPr>
          <w:rFonts w:cs="Arial"/>
        </w:rPr>
        <w:t xml:space="preserve">net </w:t>
      </w:r>
      <w:r w:rsidRPr="007F6332">
        <w:rPr>
          <w:rFonts w:cs="Arial"/>
        </w:rPr>
        <w:t>increase in participants with SIL was higher than expected</w:t>
      </w:r>
    </w:p>
    <w:p w14:paraId="01249DDB" w14:textId="7BA39932" w:rsidR="00DD5F12" w:rsidRPr="007F6332" w:rsidRDefault="00DD5F12" w:rsidP="006E42E9">
      <w:pPr>
        <w:spacing w:after="120"/>
        <w:rPr>
          <w:rFonts w:cs="Arial"/>
        </w:rPr>
      </w:pPr>
      <w:bookmarkStart w:id="81" w:name="_Ref144319904"/>
      <w:r w:rsidRPr="007F6332">
        <w:rPr>
          <w:rFonts w:cs="Arial"/>
        </w:rPr>
        <w:t>The number of Scheme participants with SIL increased due to existing participants moving into SIL arrangements, and, to a lesser extent, new entrants requiring SIL supports. The increase in 2022-23 was higher than in 2021-22, as shown in Figure 4.12.</w:t>
      </w:r>
    </w:p>
    <w:p w14:paraId="262974D1" w14:textId="77777777" w:rsidR="00E7147C" w:rsidRPr="007F6332" w:rsidRDefault="00E7147C" w:rsidP="006E42E9">
      <w:pPr>
        <w:spacing w:after="120"/>
        <w:rPr>
          <w:rFonts w:cs="Arial"/>
        </w:rPr>
        <w:sectPr w:rsidR="00E7147C" w:rsidRPr="007F6332" w:rsidSect="007A0022">
          <w:pgSz w:w="11906" w:h="16838"/>
          <w:pgMar w:top="1440" w:right="1133" w:bottom="1440" w:left="1440" w:header="708" w:footer="680" w:gutter="0"/>
          <w:cols w:space="708"/>
          <w:titlePg/>
          <w:docGrid w:linePitch="360"/>
        </w:sectPr>
      </w:pPr>
    </w:p>
    <w:p w14:paraId="41D8DEAD" w14:textId="7CDA69FC" w:rsidR="00E7308B" w:rsidRPr="007F6332" w:rsidRDefault="008448AF" w:rsidP="006B61AA">
      <w:pPr>
        <w:pStyle w:val="FiguresandTablesHeading5"/>
      </w:pPr>
      <w:bookmarkStart w:id="82" w:name="_Hlk151819496"/>
      <w:r w:rsidRPr="007F6332">
        <w:lastRenderedPageBreak/>
        <w:t xml:space="preserve">Figure </w:t>
      </w:r>
      <w:r w:rsidR="008502F3" w:rsidRPr="007F6332">
        <w:t>4</w:t>
      </w:r>
      <w:r w:rsidR="00E748F2" w:rsidRPr="007F6332">
        <w:t>.</w:t>
      </w:r>
      <w:bookmarkEnd w:id="81"/>
      <w:r w:rsidR="006E42E9" w:rsidRPr="007F6332">
        <w:t>1</w:t>
      </w:r>
      <w:r w:rsidR="000B4730" w:rsidRPr="007F6332">
        <w:t>2</w:t>
      </w:r>
      <w:r w:rsidR="008502F3" w:rsidRPr="007F6332">
        <w:t>:</w:t>
      </w:r>
      <w:r w:rsidR="00325DAC" w:rsidRPr="007F6332">
        <w:t xml:space="preserve"> Net i</w:t>
      </w:r>
      <w:r w:rsidRPr="007F6332">
        <w:t>ncreas</w:t>
      </w:r>
      <w:r w:rsidR="00325DAC" w:rsidRPr="007F6332">
        <w:t>e</w:t>
      </w:r>
      <w:r w:rsidRPr="007F6332">
        <w:t xml:space="preserve"> in participants with SIL over the past 4 years</w:t>
      </w:r>
      <w:bookmarkEnd w:id="82"/>
      <w:r w:rsidR="00E7308B" w:rsidRPr="007F6332">
        <w:rPr>
          <w:vertAlign w:val="superscript"/>
        </w:rPr>
        <w:footnoteReference w:id="60"/>
      </w:r>
      <w:r w:rsidR="00E7308B" w:rsidRPr="007F6332">
        <w:rPr>
          <w:vertAlign w:val="superscript"/>
        </w:rPr>
        <w:t>,</w:t>
      </w:r>
      <w:r w:rsidR="00E7308B" w:rsidRPr="007F6332">
        <w:rPr>
          <w:vertAlign w:val="superscript"/>
        </w:rPr>
        <w:footnoteReference w:id="61"/>
      </w:r>
    </w:p>
    <w:p w14:paraId="17C01978" w14:textId="4B9DFF49" w:rsidR="00233243" w:rsidRPr="007F6332" w:rsidRDefault="00AA03CA" w:rsidP="00E7308B">
      <w:pPr>
        <w:spacing w:after="120"/>
        <w:rPr>
          <w:rFonts w:cs="Arial"/>
        </w:rPr>
      </w:pPr>
      <w:r w:rsidRPr="007F6332">
        <w:rPr>
          <w:rFonts w:cs="Arial"/>
          <w:noProof/>
        </w:rPr>
        <w:drawing>
          <wp:inline distT="0" distB="0" distL="0" distR="0" wp14:anchorId="483FF964" wp14:editId="422C7EAE">
            <wp:extent cx="5810250" cy="3200400"/>
            <wp:effectExtent l="0" t="0" r="0" b="0"/>
            <wp:docPr id="1733278550" name="Picture 4" descr="Figure 4.12: shows the change in number of participants identified as accessing SIL supports for each year ending 30 June, from 2019-20 to 2022-23.&#10;2019-20, 3,067&#10;2020-21, 423&#10;2021-22, 2,408&#10;2022-23, 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78550" name="Picture 4" descr="Figure 4.12: shows the change in number of participants identified as accessing SIL supports for each year ending 30 June, from 2019-20 to 2022-23.&#10;2019-20, 3,067&#10;2020-21, 423&#10;2021-22, 2,408&#10;2022-23, 4,86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10250" cy="3200400"/>
                    </a:xfrm>
                    <a:prstGeom prst="rect">
                      <a:avLst/>
                    </a:prstGeom>
                    <a:noFill/>
                  </pic:spPr>
                </pic:pic>
              </a:graphicData>
            </a:graphic>
          </wp:inline>
        </w:drawing>
      </w:r>
    </w:p>
    <w:p w14:paraId="610C7AF1" w14:textId="429731AF" w:rsidR="008448AF" w:rsidRPr="007F6332" w:rsidRDefault="006E2203" w:rsidP="00E7308B">
      <w:pPr>
        <w:spacing w:after="120"/>
        <w:rPr>
          <w:rFonts w:cs="Arial"/>
        </w:rPr>
      </w:pPr>
      <w:r w:rsidRPr="007F6332">
        <w:rPr>
          <w:rFonts w:cs="Arial"/>
        </w:rPr>
        <w:t>Table 4.8 shows a</w:t>
      </w:r>
      <w:r w:rsidR="008448AF" w:rsidRPr="007F6332">
        <w:rPr>
          <w:rFonts w:cs="Arial"/>
        </w:rPr>
        <w:t>t 30 June 2023 there were 31,818</w:t>
      </w:r>
      <w:r w:rsidR="008448AF" w:rsidRPr="007F6332">
        <w:rPr>
          <w:rStyle w:val="FootnoteReference"/>
          <w:rFonts w:cs="Arial"/>
        </w:rPr>
        <w:footnoteReference w:id="62"/>
      </w:r>
      <w:r w:rsidR="008448AF" w:rsidRPr="007F6332">
        <w:rPr>
          <w:rFonts w:cs="Arial"/>
        </w:rPr>
        <w:t xml:space="preserve"> active participants with SIL supports which was 12% </w:t>
      </w:r>
      <w:r w:rsidR="005A6717" w:rsidRPr="007F6332">
        <w:rPr>
          <w:rFonts w:cs="Arial"/>
        </w:rPr>
        <w:t xml:space="preserve">(3,507) </w:t>
      </w:r>
      <w:r w:rsidR="008448AF" w:rsidRPr="007F6332">
        <w:rPr>
          <w:rFonts w:cs="Arial"/>
        </w:rPr>
        <w:t>higher than expected in the previous review</w:t>
      </w:r>
      <w:r w:rsidRPr="007F6332">
        <w:rPr>
          <w:rFonts w:cs="Arial"/>
        </w:rPr>
        <w:t xml:space="preserve">. </w:t>
      </w:r>
      <w:r w:rsidR="008448AF" w:rsidRPr="007F6332">
        <w:rPr>
          <w:rFonts w:cs="Arial"/>
        </w:rPr>
        <w:t xml:space="preserve">This reflects a higher number of participants moving into SIL arrangements </w:t>
      </w:r>
      <w:r w:rsidR="00237269" w:rsidRPr="007F6332">
        <w:rPr>
          <w:rFonts w:cs="Arial"/>
        </w:rPr>
        <w:t xml:space="preserve">following changes to </w:t>
      </w:r>
      <w:r w:rsidR="00594D58" w:rsidRPr="007F6332">
        <w:rPr>
          <w:rFonts w:cs="Arial"/>
        </w:rPr>
        <w:t xml:space="preserve">the </w:t>
      </w:r>
      <w:r w:rsidR="00E90B38" w:rsidRPr="007F6332">
        <w:rPr>
          <w:rFonts w:cs="Arial"/>
        </w:rPr>
        <w:t>H</w:t>
      </w:r>
      <w:r w:rsidR="00594D58" w:rsidRPr="007F6332">
        <w:rPr>
          <w:rFonts w:cs="Arial"/>
        </w:rPr>
        <w:t xml:space="preserve">ome and </w:t>
      </w:r>
      <w:r w:rsidR="00E90B38" w:rsidRPr="007F6332">
        <w:rPr>
          <w:rFonts w:cs="Arial"/>
        </w:rPr>
        <w:t>L</w:t>
      </w:r>
      <w:r w:rsidR="00594D58" w:rsidRPr="007F6332">
        <w:rPr>
          <w:rFonts w:cs="Arial"/>
        </w:rPr>
        <w:t xml:space="preserve">iving application process </w:t>
      </w:r>
      <w:r w:rsidR="009934B1" w:rsidRPr="007F6332">
        <w:rPr>
          <w:rFonts w:cs="Arial"/>
        </w:rPr>
        <w:t>leading to</w:t>
      </w:r>
      <w:r w:rsidR="00594D58" w:rsidRPr="007F6332">
        <w:rPr>
          <w:rFonts w:cs="Arial"/>
        </w:rPr>
        <w:t xml:space="preserve"> </w:t>
      </w:r>
      <w:r w:rsidR="009934B1" w:rsidRPr="007F6332">
        <w:rPr>
          <w:rFonts w:cs="Arial"/>
        </w:rPr>
        <w:t xml:space="preserve">an increase in the number of eligible SIL </w:t>
      </w:r>
      <w:r w:rsidR="00A6309F" w:rsidRPr="007F6332">
        <w:rPr>
          <w:rFonts w:cs="Arial"/>
        </w:rPr>
        <w:t>decisions.</w:t>
      </w:r>
    </w:p>
    <w:p w14:paraId="454C8E56" w14:textId="0053603C" w:rsidR="008448AF" w:rsidRPr="007F6332" w:rsidRDefault="0094464E" w:rsidP="006B61AA">
      <w:pPr>
        <w:pStyle w:val="FiguresandTablesHeading5"/>
      </w:pPr>
      <w:bookmarkStart w:id="83" w:name="_Ref144320120"/>
      <w:r w:rsidRPr="007F6332">
        <w:t>Table</w:t>
      </w:r>
      <w:r w:rsidR="008448AF" w:rsidRPr="007F6332">
        <w:rPr>
          <w:rStyle w:val="FiguresChar"/>
          <w:noProof w:val="0"/>
          <w:szCs w:val="24"/>
        </w:rPr>
        <w:t xml:space="preserve"> </w:t>
      </w:r>
      <w:r w:rsidR="00D36F78" w:rsidRPr="007F6332">
        <w:rPr>
          <w:rStyle w:val="FiguresChar"/>
          <w:noProof w:val="0"/>
          <w:szCs w:val="24"/>
        </w:rPr>
        <w:t>4</w:t>
      </w:r>
      <w:r w:rsidR="00E748F2" w:rsidRPr="007F6332">
        <w:rPr>
          <w:rStyle w:val="FiguresChar"/>
          <w:noProof w:val="0"/>
          <w:szCs w:val="24"/>
        </w:rPr>
        <w:t>.</w:t>
      </w:r>
      <w:bookmarkEnd w:id="83"/>
      <w:r w:rsidR="00604168" w:rsidRPr="007F6332">
        <w:rPr>
          <w:rStyle w:val="FiguresChar"/>
          <w:noProof w:val="0"/>
          <w:szCs w:val="24"/>
        </w:rPr>
        <w:t>8</w:t>
      </w:r>
      <w:r w:rsidRPr="007F6332">
        <w:rPr>
          <w:rStyle w:val="FiguresChar"/>
          <w:noProof w:val="0"/>
          <w:szCs w:val="24"/>
        </w:rPr>
        <w:t>:</w:t>
      </w:r>
      <w:r w:rsidR="00604168" w:rsidRPr="007F6332">
        <w:rPr>
          <w:rStyle w:val="FiguresChar"/>
          <w:noProof w:val="0"/>
          <w:szCs w:val="24"/>
        </w:rPr>
        <w:t xml:space="preserve"> </w:t>
      </w:r>
      <w:r w:rsidR="008448AF" w:rsidRPr="007F6332">
        <w:rPr>
          <w:rStyle w:val="FiguresChar"/>
          <w:noProof w:val="0"/>
          <w:szCs w:val="24"/>
        </w:rPr>
        <w:t>Actual versus expected total participant numbers and net increase in SI</w:t>
      </w:r>
      <w:r w:rsidR="008448AF" w:rsidRPr="007F6332">
        <w:t>L</w:t>
      </w:r>
    </w:p>
    <w:tbl>
      <w:tblPr>
        <w:tblW w:w="8789" w:type="dxa"/>
        <w:tblLayout w:type="fixed"/>
        <w:tblLook w:val="04A0" w:firstRow="1" w:lastRow="0" w:firstColumn="1" w:lastColumn="0" w:noHBand="0" w:noVBand="1"/>
      </w:tblPr>
      <w:tblGrid>
        <w:gridCol w:w="3261"/>
        <w:gridCol w:w="1382"/>
        <w:gridCol w:w="1382"/>
        <w:gridCol w:w="1382"/>
        <w:gridCol w:w="1382"/>
      </w:tblGrid>
      <w:tr w:rsidR="008448AF" w:rsidRPr="007F6332" w14:paraId="49B835F5" w14:textId="77777777" w:rsidTr="004B0DE9">
        <w:trPr>
          <w:trHeight w:val="536"/>
          <w:tblHeader/>
        </w:trPr>
        <w:tc>
          <w:tcPr>
            <w:tcW w:w="3261" w:type="dxa"/>
            <w:tcBorders>
              <w:top w:val="nil"/>
              <w:left w:val="nil"/>
              <w:bottom w:val="nil"/>
              <w:right w:val="nil"/>
            </w:tcBorders>
            <w:shd w:val="clear" w:color="000000" w:fill="6B2976"/>
            <w:vAlign w:val="center"/>
            <w:hideMark/>
          </w:tcPr>
          <w:p w14:paraId="7D9C9C23" w14:textId="77777777" w:rsidR="008448AF" w:rsidRPr="007F6332" w:rsidRDefault="008448AF" w:rsidP="001908C7">
            <w:pPr>
              <w:keepNext/>
              <w:keepLines/>
              <w:spacing w:after="0" w:line="240" w:lineRule="auto"/>
              <w:contextualSpacing/>
              <w:rPr>
                <w:rFonts w:cs="Arial"/>
                <w:b/>
                <w:bCs/>
                <w:color w:val="FFFFFF" w:themeColor="background1"/>
              </w:rPr>
            </w:pPr>
            <w:r w:rsidRPr="007F6332">
              <w:rPr>
                <w:rFonts w:cs="Arial"/>
                <w:b/>
                <w:bCs/>
                <w:color w:val="FFFFFF" w:themeColor="background1"/>
              </w:rPr>
              <w:t>At 30 June 2023</w:t>
            </w:r>
          </w:p>
        </w:tc>
        <w:tc>
          <w:tcPr>
            <w:tcW w:w="1382" w:type="dxa"/>
            <w:tcBorders>
              <w:top w:val="nil"/>
              <w:left w:val="nil"/>
              <w:bottom w:val="nil"/>
              <w:right w:val="nil"/>
            </w:tcBorders>
            <w:shd w:val="clear" w:color="000000" w:fill="6B2976"/>
            <w:vAlign w:val="center"/>
            <w:hideMark/>
          </w:tcPr>
          <w:p w14:paraId="7C1EEB23" w14:textId="77777777" w:rsidR="008448AF" w:rsidRPr="007F6332" w:rsidRDefault="008448AF" w:rsidP="001908C7">
            <w:pPr>
              <w:keepNext/>
              <w:keepLines/>
              <w:spacing w:after="0" w:line="240" w:lineRule="auto"/>
              <w:contextualSpacing/>
              <w:jc w:val="right"/>
              <w:rPr>
                <w:rFonts w:cs="Arial"/>
                <w:b/>
                <w:bCs/>
                <w:color w:val="FFFFFF" w:themeColor="background1"/>
              </w:rPr>
            </w:pPr>
            <w:r w:rsidRPr="007F6332">
              <w:rPr>
                <w:rFonts w:cs="Arial"/>
                <w:b/>
                <w:bCs/>
                <w:color w:val="FFFFFF" w:themeColor="background1"/>
              </w:rPr>
              <w:t>Actual</w:t>
            </w:r>
          </w:p>
        </w:tc>
        <w:tc>
          <w:tcPr>
            <w:tcW w:w="1382" w:type="dxa"/>
            <w:tcBorders>
              <w:top w:val="nil"/>
              <w:left w:val="nil"/>
              <w:bottom w:val="nil"/>
              <w:right w:val="nil"/>
            </w:tcBorders>
            <w:shd w:val="clear" w:color="000000" w:fill="6B2976"/>
            <w:vAlign w:val="center"/>
            <w:hideMark/>
          </w:tcPr>
          <w:p w14:paraId="492FAACE" w14:textId="77777777" w:rsidR="008448AF" w:rsidRPr="007F6332" w:rsidRDefault="008448AF" w:rsidP="001908C7">
            <w:pPr>
              <w:keepNext/>
              <w:keepLines/>
              <w:spacing w:after="0" w:line="240" w:lineRule="auto"/>
              <w:contextualSpacing/>
              <w:jc w:val="right"/>
              <w:rPr>
                <w:rFonts w:cs="Arial"/>
                <w:b/>
                <w:bCs/>
                <w:color w:val="FFFFFF" w:themeColor="background1"/>
              </w:rPr>
            </w:pPr>
            <w:r w:rsidRPr="007F6332">
              <w:rPr>
                <w:rFonts w:cs="Arial"/>
                <w:b/>
                <w:bCs/>
                <w:color w:val="FFFFFF" w:themeColor="background1"/>
              </w:rPr>
              <w:t>Expected</w:t>
            </w:r>
          </w:p>
        </w:tc>
        <w:tc>
          <w:tcPr>
            <w:tcW w:w="1382" w:type="dxa"/>
            <w:tcBorders>
              <w:top w:val="nil"/>
              <w:left w:val="nil"/>
              <w:bottom w:val="nil"/>
              <w:right w:val="nil"/>
            </w:tcBorders>
            <w:shd w:val="clear" w:color="000000" w:fill="6B2976"/>
            <w:vAlign w:val="center"/>
            <w:hideMark/>
          </w:tcPr>
          <w:p w14:paraId="44B87BE0" w14:textId="77777777" w:rsidR="008448AF" w:rsidRPr="007F6332" w:rsidRDefault="008448AF" w:rsidP="001908C7">
            <w:pPr>
              <w:keepNext/>
              <w:keepLines/>
              <w:spacing w:after="0" w:line="240" w:lineRule="auto"/>
              <w:contextualSpacing/>
              <w:jc w:val="right"/>
              <w:rPr>
                <w:rFonts w:cs="Arial"/>
                <w:b/>
                <w:bCs/>
                <w:color w:val="FFFFFF" w:themeColor="background1"/>
              </w:rPr>
            </w:pPr>
            <w:r w:rsidRPr="007F6332">
              <w:rPr>
                <w:rFonts w:cs="Arial"/>
                <w:b/>
                <w:bCs/>
                <w:color w:val="FFFFFF" w:themeColor="background1"/>
              </w:rPr>
              <w:t>Difference</w:t>
            </w:r>
          </w:p>
        </w:tc>
        <w:tc>
          <w:tcPr>
            <w:tcW w:w="1382" w:type="dxa"/>
            <w:tcBorders>
              <w:top w:val="nil"/>
              <w:left w:val="nil"/>
              <w:bottom w:val="nil"/>
              <w:right w:val="nil"/>
            </w:tcBorders>
            <w:shd w:val="clear" w:color="000000" w:fill="6B2976"/>
            <w:vAlign w:val="center"/>
            <w:hideMark/>
          </w:tcPr>
          <w:p w14:paraId="74750E73" w14:textId="3B17770D" w:rsidR="008448AF" w:rsidRPr="007F6332" w:rsidRDefault="008448AF" w:rsidP="00E53368">
            <w:pPr>
              <w:keepNext/>
              <w:keepLines/>
              <w:spacing w:after="0" w:line="240" w:lineRule="auto"/>
              <w:ind w:left="-145" w:right="-109"/>
              <w:contextualSpacing/>
              <w:jc w:val="right"/>
              <w:rPr>
                <w:rFonts w:cs="Arial"/>
                <w:b/>
                <w:bCs/>
                <w:color w:val="FFFFFF" w:themeColor="background1"/>
              </w:rPr>
            </w:pPr>
            <w:r w:rsidRPr="007F6332">
              <w:rPr>
                <w:rFonts w:cs="Arial"/>
                <w:b/>
                <w:bCs/>
                <w:color w:val="FFFFFF" w:themeColor="background1"/>
              </w:rPr>
              <w:t xml:space="preserve">% </w:t>
            </w:r>
            <w:r w:rsidR="00D36F78" w:rsidRPr="007F6332">
              <w:rPr>
                <w:rFonts w:cs="Arial"/>
                <w:b/>
                <w:bCs/>
                <w:color w:val="FFFFFF" w:themeColor="background1"/>
              </w:rPr>
              <w:t>D</w:t>
            </w:r>
            <w:r w:rsidRPr="007F6332">
              <w:rPr>
                <w:rFonts w:cs="Arial"/>
                <w:b/>
                <w:bCs/>
                <w:color w:val="FFFFFF" w:themeColor="background1"/>
              </w:rPr>
              <w:t>ifference</w:t>
            </w:r>
          </w:p>
        </w:tc>
      </w:tr>
      <w:tr w:rsidR="008448AF" w:rsidRPr="007F6332" w14:paraId="34EB82E6" w14:textId="77777777" w:rsidTr="004B0DE9">
        <w:trPr>
          <w:trHeight w:val="397"/>
          <w:tblHeader/>
        </w:trPr>
        <w:tc>
          <w:tcPr>
            <w:tcW w:w="3261" w:type="dxa"/>
            <w:tcBorders>
              <w:top w:val="nil"/>
              <w:left w:val="nil"/>
              <w:right w:val="nil"/>
            </w:tcBorders>
            <w:shd w:val="clear" w:color="auto" w:fill="auto"/>
            <w:noWrap/>
            <w:vAlign w:val="center"/>
            <w:hideMark/>
          </w:tcPr>
          <w:p w14:paraId="3AFACC4D" w14:textId="77777777" w:rsidR="008448AF" w:rsidRPr="007F6332" w:rsidRDefault="008448AF" w:rsidP="001908C7">
            <w:pPr>
              <w:keepNext/>
              <w:keepLines/>
              <w:spacing w:after="0" w:line="240" w:lineRule="auto"/>
              <w:contextualSpacing/>
              <w:rPr>
                <w:rFonts w:cs="Arial"/>
              </w:rPr>
            </w:pPr>
            <w:r w:rsidRPr="007F6332">
              <w:rPr>
                <w:rFonts w:cs="Arial"/>
              </w:rPr>
              <w:t>Numbers of Participants with SIL</w:t>
            </w:r>
          </w:p>
        </w:tc>
        <w:tc>
          <w:tcPr>
            <w:tcW w:w="1382" w:type="dxa"/>
            <w:tcBorders>
              <w:top w:val="nil"/>
              <w:left w:val="nil"/>
              <w:right w:val="nil"/>
            </w:tcBorders>
            <w:shd w:val="clear" w:color="auto" w:fill="auto"/>
            <w:noWrap/>
            <w:vAlign w:val="center"/>
            <w:hideMark/>
          </w:tcPr>
          <w:p w14:paraId="427C66B6" w14:textId="77777777" w:rsidR="008448AF" w:rsidRPr="007F6332" w:rsidRDefault="008448AF" w:rsidP="001908C7">
            <w:pPr>
              <w:keepNext/>
              <w:keepLines/>
              <w:spacing w:after="0" w:line="240" w:lineRule="auto"/>
              <w:contextualSpacing/>
              <w:jc w:val="right"/>
              <w:rPr>
                <w:rFonts w:cs="Arial"/>
              </w:rPr>
            </w:pPr>
            <w:r w:rsidRPr="007F6332">
              <w:rPr>
                <w:rFonts w:cs="Arial"/>
              </w:rPr>
              <w:t>31,818</w:t>
            </w:r>
          </w:p>
        </w:tc>
        <w:tc>
          <w:tcPr>
            <w:tcW w:w="1382" w:type="dxa"/>
            <w:tcBorders>
              <w:top w:val="nil"/>
              <w:left w:val="nil"/>
              <w:right w:val="nil"/>
            </w:tcBorders>
            <w:shd w:val="clear" w:color="auto" w:fill="auto"/>
            <w:noWrap/>
            <w:vAlign w:val="center"/>
            <w:hideMark/>
          </w:tcPr>
          <w:p w14:paraId="397D2B8F" w14:textId="77777777" w:rsidR="008448AF" w:rsidRPr="007F6332" w:rsidRDefault="008448AF" w:rsidP="001908C7">
            <w:pPr>
              <w:keepNext/>
              <w:keepLines/>
              <w:spacing w:after="0" w:line="240" w:lineRule="auto"/>
              <w:contextualSpacing/>
              <w:jc w:val="right"/>
              <w:rPr>
                <w:rFonts w:cs="Arial"/>
              </w:rPr>
            </w:pPr>
            <w:r w:rsidRPr="007F6332">
              <w:rPr>
                <w:rFonts w:cs="Arial"/>
              </w:rPr>
              <w:t>28,311</w:t>
            </w:r>
          </w:p>
        </w:tc>
        <w:tc>
          <w:tcPr>
            <w:tcW w:w="1382" w:type="dxa"/>
            <w:tcBorders>
              <w:top w:val="nil"/>
              <w:left w:val="nil"/>
              <w:right w:val="nil"/>
            </w:tcBorders>
            <w:shd w:val="clear" w:color="auto" w:fill="auto"/>
            <w:noWrap/>
            <w:vAlign w:val="center"/>
            <w:hideMark/>
          </w:tcPr>
          <w:p w14:paraId="11FCE5D1" w14:textId="77777777" w:rsidR="008448AF" w:rsidRPr="007F6332" w:rsidRDefault="008448AF" w:rsidP="001908C7">
            <w:pPr>
              <w:keepNext/>
              <w:keepLines/>
              <w:spacing w:after="0" w:line="240" w:lineRule="auto"/>
              <w:contextualSpacing/>
              <w:jc w:val="right"/>
              <w:rPr>
                <w:rFonts w:cs="Arial"/>
              </w:rPr>
            </w:pPr>
            <w:r w:rsidRPr="007F6332">
              <w:rPr>
                <w:rFonts w:cs="Arial"/>
              </w:rPr>
              <w:t>3,507</w:t>
            </w:r>
          </w:p>
        </w:tc>
        <w:tc>
          <w:tcPr>
            <w:tcW w:w="1382" w:type="dxa"/>
            <w:tcBorders>
              <w:top w:val="nil"/>
              <w:left w:val="nil"/>
              <w:right w:val="nil"/>
            </w:tcBorders>
            <w:shd w:val="clear" w:color="auto" w:fill="auto"/>
            <w:noWrap/>
            <w:vAlign w:val="center"/>
            <w:hideMark/>
          </w:tcPr>
          <w:p w14:paraId="2E0946BD" w14:textId="77777777" w:rsidR="008448AF" w:rsidRPr="007F6332" w:rsidRDefault="008448AF" w:rsidP="001908C7">
            <w:pPr>
              <w:keepNext/>
              <w:keepLines/>
              <w:spacing w:after="0" w:line="240" w:lineRule="auto"/>
              <w:contextualSpacing/>
              <w:jc w:val="right"/>
              <w:rPr>
                <w:rFonts w:cs="Arial"/>
              </w:rPr>
            </w:pPr>
            <w:r w:rsidRPr="007F6332">
              <w:rPr>
                <w:rFonts w:cs="Arial"/>
              </w:rPr>
              <w:t>12%</w:t>
            </w:r>
          </w:p>
        </w:tc>
      </w:tr>
      <w:tr w:rsidR="008448AF" w:rsidRPr="007F6332" w14:paraId="1654AE18" w14:textId="77777777" w:rsidTr="004B0DE9">
        <w:trPr>
          <w:trHeight w:val="397"/>
          <w:tblHeader/>
        </w:trPr>
        <w:tc>
          <w:tcPr>
            <w:tcW w:w="3261" w:type="dxa"/>
            <w:tcBorders>
              <w:top w:val="nil"/>
              <w:left w:val="nil"/>
              <w:bottom w:val="single" w:sz="4" w:space="0" w:color="auto"/>
              <w:right w:val="nil"/>
            </w:tcBorders>
            <w:shd w:val="clear" w:color="auto" w:fill="A7A9AC"/>
            <w:noWrap/>
            <w:vAlign w:val="center"/>
            <w:hideMark/>
          </w:tcPr>
          <w:p w14:paraId="4A097AE9" w14:textId="77777777" w:rsidR="008448AF" w:rsidRPr="007F6332" w:rsidRDefault="008448AF" w:rsidP="001908C7">
            <w:pPr>
              <w:keepNext/>
              <w:keepLines/>
              <w:spacing w:after="0" w:line="240" w:lineRule="auto"/>
              <w:contextualSpacing/>
              <w:rPr>
                <w:rFonts w:cs="Arial"/>
                <w:b/>
                <w:bCs/>
                <w:color w:val="000000"/>
              </w:rPr>
            </w:pPr>
            <w:r w:rsidRPr="007F6332">
              <w:rPr>
                <w:rFonts w:cs="Arial"/>
                <w:b/>
                <w:bCs/>
                <w:color w:val="000000"/>
              </w:rPr>
              <w:t>Net Increase in SIL</w:t>
            </w:r>
          </w:p>
        </w:tc>
        <w:tc>
          <w:tcPr>
            <w:tcW w:w="1382" w:type="dxa"/>
            <w:tcBorders>
              <w:top w:val="nil"/>
              <w:left w:val="nil"/>
              <w:bottom w:val="single" w:sz="4" w:space="0" w:color="auto"/>
              <w:right w:val="nil"/>
            </w:tcBorders>
            <w:shd w:val="clear" w:color="auto" w:fill="A7A9AC"/>
            <w:noWrap/>
            <w:vAlign w:val="center"/>
            <w:hideMark/>
          </w:tcPr>
          <w:p w14:paraId="68BD0FD0" w14:textId="77777777" w:rsidR="008448AF" w:rsidRPr="007F6332" w:rsidRDefault="008448AF" w:rsidP="001908C7">
            <w:pPr>
              <w:keepNext/>
              <w:keepLines/>
              <w:spacing w:after="0" w:line="240" w:lineRule="auto"/>
              <w:contextualSpacing/>
              <w:jc w:val="right"/>
              <w:rPr>
                <w:rFonts w:cs="Arial"/>
                <w:b/>
                <w:bCs/>
                <w:color w:val="000000"/>
              </w:rPr>
            </w:pPr>
            <w:r w:rsidRPr="007F6332">
              <w:rPr>
                <w:rFonts w:cs="Arial"/>
                <w:b/>
                <w:bCs/>
                <w:color w:val="000000"/>
              </w:rPr>
              <w:t>4,868</w:t>
            </w:r>
          </w:p>
        </w:tc>
        <w:tc>
          <w:tcPr>
            <w:tcW w:w="1382" w:type="dxa"/>
            <w:tcBorders>
              <w:top w:val="nil"/>
              <w:left w:val="nil"/>
              <w:bottom w:val="single" w:sz="4" w:space="0" w:color="auto"/>
              <w:right w:val="nil"/>
            </w:tcBorders>
            <w:shd w:val="clear" w:color="auto" w:fill="A7A9AC"/>
            <w:noWrap/>
            <w:vAlign w:val="center"/>
            <w:hideMark/>
          </w:tcPr>
          <w:p w14:paraId="3814903B" w14:textId="77777777" w:rsidR="008448AF" w:rsidRPr="007F6332" w:rsidRDefault="008448AF" w:rsidP="001908C7">
            <w:pPr>
              <w:keepNext/>
              <w:keepLines/>
              <w:spacing w:after="0" w:line="240" w:lineRule="auto"/>
              <w:contextualSpacing/>
              <w:jc w:val="right"/>
              <w:rPr>
                <w:rFonts w:cs="Arial"/>
                <w:b/>
                <w:bCs/>
                <w:color w:val="000000"/>
              </w:rPr>
            </w:pPr>
            <w:r w:rsidRPr="007F6332">
              <w:rPr>
                <w:rFonts w:cs="Arial"/>
                <w:b/>
                <w:bCs/>
                <w:color w:val="000000"/>
              </w:rPr>
              <w:t>1,361</w:t>
            </w:r>
          </w:p>
        </w:tc>
        <w:tc>
          <w:tcPr>
            <w:tcW w:w="1382" w:type="dxa"/>
            <w:tcBorders>
              <w:top w:val="nil"/>
              <w:left w:val="nil"/>
              <w:bottom w:val="single" w:sz="4" w:space="0" w:color="auto"/>
              <w:right w:val="nil"/>
            </w:tcBorders>
            <w:shd w:val="clear" w:color="auto" w:fill="A7A9AC"/>
            <w:noWrap/>
            <w:vAlign w:val="center"/>
            <w:hideMark/>
          </w:tcPr>
          <w:p w14:paraId="07EDEFF8" w14:textId="77777777" w:rsidR="008448AF" w:rsidRPr="007F6332" w:rsidRDefault="008448AF" w:rsidP="001908C7">
            <w:pPr>
              <w:keepNext/>
              <w:keepLines/>
              <w:spacing w:after="0" w:line="240" w:lineRule="auto"/>
              <w:contextualSpacing/>
              <w:jc w:val="right"/>
              <w:rPr>
                <w:rFonts w:cs="Arial"/>
                <w:b/>
                <w:bCs/>
                <w:color w:val="000000"/>
              </w:rPr>
            </w:pPr>
            <w:r w:rsidRPr="007F6332">
              <w:rPr>
                <w:rFonts w:cs="Arial"/>
                <w:b/>
                <w:bCs/>
                <w:color w:val="000000"/>
              </w:rPr>
              <w:t>3,507</w:t>
            </w:r>
          </w:p>
        </w:tc>
        <w:tc>
          <w:tcPr>
            <w:tcW w:w="1382" w:type="dxa"/>
            <w:tcBorders>
              <w:top w:val="nil"/>
              <w:left w:val="nil"/>
              <w:bottom w:val="single" w:sz="4" w:space="0" w:color="auto"/>
              <w:right w:val="nil"/>
            </w:tcBorders>
            <w:shd w:val="clear" w:color="auto" w:fill="A7A9AC"/>
            <w:noWrap/>
            <w:vAlign w:val="center"/>
            <w:hideMark/>
          </w:tcPr>
          <w:p w14:paraId="4E1BA9FA" w14:textId="77777777" w:rsidR="008448AF" w:rsidRPr="007F6332" w:rsidRDefault="008448AF" w:rsidP="001908C7">
            <w:pPr>
              <w:keepNext/>
              <w:keepLines/>
              <w:spacing w:after="0" w:line="240" w:lineRule="auto"/>
              <w:contextualSpacing/>
              <w:jc w:val="right"/>
              <w:rPr>
                <w:rFonts w:cs="Arial"/>
                <w:b/>
                <w:bCs/>
                <w:color w:val="000000"/>
              </w:rPr>
            </w:pPr>
            <w:r w:rsidRPr="007F6332">
              <w:rPr>
                <w:rFonts w:cs="Arial"/>
                <w:b/>
                <w:bCs/>
                <w:color w:val="000000"/>
              </w:rPr>
              <w:t>258%</w:t>
            </w:r>
          </w:p>
        </w:tc>
      </w:tr>
    </w:tbl>
    <w:p w14:paraId="7CFEE1D2" w14:textId="1F69E039" w:rsidR="00C915FE" w:rsidRPr="007F6332" w:rsidRDefault="008448AF" w:rsidP="00C1755E">
      <w:pPr>
        <w:pStyle w:val="FSRnormal"/>
        <w:rPr>
          <w:rFonts w:cs="Arial"/>
        </w:rPr>
      </w:pPr>
      <w:r w:rsidRPr="007F6332">
        <w:rPr>
          <w:rFonts w:cs="Arial"/>
        </w:rPr>
        <w:t xml:space="preserve">The higher-than-expected net increase in participants with SIL supports was </w:t>
      </w:r>
      <w:r w:rsidR="00A077F2" w:rsidRPr="007F6332">
        <w:rPr>
          <w:rFonts w:cs="Arial"/>
        </w:rPr>
        <w:t xml:space="preserve">observed at all ages but was </w:t>
      </w:r>
      <w:r w:rsidRPr="007F6332">
        <w:rPr>
          <w:rFonts w:cs="Arial"/>
        </w:rPr>
        <w:t xml:space="preserve">primarily driven by those aged 45 to 64 </w:t>
      </w:r>
      <w:r w:rsidR="00D517CF" w:rsidRPr="007F6332">
        <w:rPr>
          <w:rFonts w:cs="Arial"/>
        </w:rPr>
        <w:t>as shown in</w:t>
      </w:r>
      <w:r w:rsidR="00C915FE" w:rsidRPr="007F6332">
        <w:rPr>
          <w:rFonts w:cs="Arial"/>
        </w:rPr>
        <w:t xml:space="preserve"> Table 4.9</w:t>
      </w:r>
      <w:r w:rsidR="00D517CF" w:rsidRPr="007F6332">
        <w:rPr>
          <w:rFonts w:cs="Arial"/>
        </w:rPr>
        <w:t xml:space="preserve"> </w:t>
      </w:r>
    </w:p>
    <w:p w14:paraId="06A285A4" w14:textId="1979EBF0" w:rsidR="008448AF" w:rsidRPr="007F6332" w:rsidRDefault="008448AF" w:rsidP="006B61AA">
      <w:pPr>
        <w:pStyle w:val="FiguresandTablesHeading5"/>
      </w:pPr>
      <w:bookmarkStart w:id="84" w:name="_Ref144320203"/>
      <w:r w:rsidRPr="007F6332">
        <w:lastRenderedPageBreak/>
        <w:t xml:space="preserve">Table </w:t>
      </w:r>
      <w:r w:rsidR="00D36F78" w:rsidRPr="007F6332">
        <w:t>4</w:t>
      </w:r>
      <w:r w:rsidR="00E748F2" w:rsidRPr="007F6332">
        <w:t>.</w:t>
      </w:r>
      <w:bookmarkEnd w:id="84"/>
      <w:r w:rsidR="00604168" w:rsidRPr="007F6332">
        <w:t>9</w:t>
      </w:r>
      <w:r w:rsidR="00D36F78" w:rsidRPr="007F6332">
        <w:t>:</w:t>
      </w:r>
      <w:r w:rsidRPr="007F6332">
        <w:t xml:space="preserve"> Actual versus expected net increase in participants with SIL by age group at 30 June 2023</w:t>
      </w:r>
    </w:p>
    <w:tbl>
      <w:tblPr>
        <w:tblW w:w="8931" w:type="dxa"/>
        <w:tblLayout w:type="fixed"/>
        <w:tblLook w:val="04A0" w:firstRow="1" w:lastRow="0" w:firstColumn="1" w:lastColumn="0" w:noHBand="0" w:noVBand="1"/>
      </w:tblPr>
      <w:tblGrid>
        <w:gridCol w:w="2410"/>
        <w:gridCol w:w="1630"/>
        <w:gridCol w:w="1630"/>
        <w:gridCol w:w="1630"/>
        <w:gridCol w:w="1631"/>
      </w:tblGrid>
      <w:tr w:rsidR="008448AF" w:rsidRPr="007F6332" w14:paraId="57552E22" w14:textId="77777777" w:rsidTr="00F70F30">
        <w:trPr>
          <w:trHeight w:val="589"/>
          <w:tblHeader/>
        </w:trPr>
        <w:tc>
          <w:tcPr>
            <w:tcW w:w="2410" w:type="dxa"/>
            <w:tcBorders>
              <w:top w:val="nil"/>
              <w:left w:val="nil"/>
              <w:right w:val="nil"/>
            </w:tcBorders>
            <w:shd w:val="clear" w:color="000000" w:fill="6B2976"/>
            <w:noWrap/>
            <w:vAlign w:val="center"/>
            <w:hideMark/>
          </w:tcPr>
          <w:p w14:paraId="70DED9C0" w14:textId="77777777" w:rsidR="008448AF" w:rsidRPr="007F6332" w:rsidRDefault="008448AF" w:rsidP="008448AF">
            <w:pPr>
              <w:keepNext/>
              <w:keepLines/>
              <w:spacing w:after="0" w:line="240" w:lineRule="auto"/>
              <w:contextualSpacing/>
              <w:rPr>
                <w:rFonts w:cs="Arial"/>
                <w:b/>
                <w:bCs/>
                <w:color w:val="FFFFFF" w:themeColor="background1"/>
              </w:rPr>
            </w:pPr>
            <w:r w:rsidRPr="007F6332">
              <w:rPr>
                <w:rFonts w:cs="Arial"/>
                <w:b/>
                <w:bCs/>
                <w:color w:val="FFFFFF" w:themeColor="background1"/>
              </w:rPr>
              <w:t>Age Group</w:t>
            </w:r>
          </w:p>
        </w:tc>
        <w:tc>
          <w:tcPr>
            <w:tcW w:w="1630" w:type="dxa"/>
            <w:tcBorders>
              <w:top w:val="nil"/>
              <w:left w:val="nil"/>
              <w:right w:val="nil"/>
            </w:tcBorders>
            <w:shd w:val="clear" w:color="000000" w:fill="6B2976"/>
            <w:vAlign w:val="center"/>
            <w:hideMark/>
          </w:tcPr>
          <w:p w14:paraId="30549230" w14:textId="77777777" w:rsidR="008448AF" w:rsidRPr="007F6332" w:rsidRDefault="008448AF" w:rsidP="008448AF">
            <w:pPr>
              <w:keepNext/>
              <w:keepLines/>
              <w:spacing w:after="0" w:line="240" w:lineRule="auto"/>
              <w:contextualSpacing/>
              <w:jc w:val="right"/>
              <w:rPr>
                <w:rFonts w:cs="Arial"/>
                <w:b/>
                <w:bCs/>
                <w:color w:val="FFFFFF" w:themeColor="background1"/>
              </w:rPr>
            </w:pPr>
            <w:r w:rsidRPr="007F6332">
              <w:rPr>
                <w:rFonts w:cs="Arial"/>
                <w:b/>
                <w:bCs/>
                <w:color w:val="FFFFFF" w:themeColor="background1"/>
              </w:rPr>
              <w:t>Actual</w:t>
            </w:r>
          </w:p>
        </w:tc>
        <w:tc>
          <w:tcPr>
            <w:tcW w:w="1630" w:type="dxa"/>
            <w:tcBorders>
              <w:top w:val="nil"/>
              <w:left w:val="nil"/>
              <w:right w:val="nil"/>
            </w:tcBorders>
            <w:shd w:val="clear" w:color="000000" w:fill="6B2976"/>
            <w:vAlign w:val="center"/>
            <w:hideMark/>
          </w:tcPr>
          <w:p w14:paraId="37790398" w14:textId="77777777" w:rsidR="008448AF" w:rsidRPr="007F6332" w:rsidRDefault="008448AF" w:rsidP="008448AF">
            <w:pPr>
              <w:keepNext/>
              <w:keepLines/>
              <w:spacing w:after="0" w:line="240" w:lineRule="auto"/>
              <w:contextualSpacing/>
              <w:jc w:val="right"/>
              <w:rPr>
                <w:rFonts w:cs="Arial"/>
                <w:b/>
                <w:bCs/>
                <w:color w:val="FFFFFF" w:themeColor="background1"/>
              </w:rPr>
            </w:pPr>
            <w:r w:rsidRPr="007F6332">
              <w:rPr>
                <w:rFonts w:cs="Arial"/>
                <w:b/>
                <w:bCs/>
                <w:color w:val="FFFFFF" w:themeColor="background1"/>
              </w:rPr>
              <w:t>Expected</w:t>
            </w:r>
          </w:p>
        </w:tc>
        <w:tc>
          <w:tcPr>
            <w:tcW w:w="1630" w:type="dxa"/>
            <w:tcBorders>
              <w:top w:val="nil"/>
              <w:left w:val="nil"/>
              <w:right w:val="nil"/>
            </w:tcBorders>
            <w:shd w:val="clear" w:color="000000" w:fill="6B2976"/>
            <w:vAlign w:val="center"/>
            <w:hideMark/>
          </w:tcPr>
          <w:p w14:paraId="388BB4FD" w14:textId="77777777" w:rsidR="008448AF" w:rsidRPr="007F6332" w:rsidRDefault="008448AF" w:rsidP="008448AF">
            <w:pPr>
              <w:keepNext/>
              <w:keepLines/>
              <w:spacing w:after="0" w:line="240" w:lineRule="auto"/>
              <w:contextualSpacing/>
              <w:jc w:val="right"/>
              <w:rPr>
                <w:rFonts w:cs="Arial"/>
                <w:b/>
                <w:bCs/>
                <w:color w:val="FFFFFF" w:themeColor="background1"/>
              </w:rPr>
            </w:pPr>
            <w:r w:rsidRPr="007F6332">
              <w:rPr>
                <w:rFonts w:cs="Arial"/>
                <w:b/>
                <w:bCs/>
                <w:color w:val="FFFFFF" w:themeColor="background1"/>
              </w:rPr>
              <w:t>Difference</w:t>
            </w:r>
          </w:p>
        </w:tc>
        <w:tc>
          <w:tcPr>
            <w:tcW w:w="1631" w:type="dxa"/>
            <w:tcBorders>
              <w:top w:val="nil"/>
              <w:left w:val="nil"/>
              <w:right w:val="nil"/>
            </w:tcBorders>
            <w:shd w:val="clear" w:color="000000" w:fill="6B2976"/>
            <w:vAlign w:val="center"/>
            <w:hideMark/>
          </w:tcPr>
          <w:p w14:paraId="62AB0E6C" w14:textId="5051DF1D" w:rsidR="008448AF" w:rsidRPr="007F6332" w:rsidRDefault="008448AF" w:rsidP="008448AF">
            <w:pPr>
              <w:keepNext/>
              <w:keepLines/>
              <w:spacing w:after="0" w:line="240" w:lineRule="auto"/>
              <w:contextualSpacing/>
              <w:jc w:val="right"/>
              <w:rPr>
                <w:rFonts w:cs="Arial"/>
                <w:b/>
                <w:bCs/>
                <w:color w:val="FFFFFF" w:themeColor="background1"/>
              </w:rPr>
            </w:pPr>
            <w:r w:rsidRPr="007F6332">
              <w:rPr>
                <w:rFonts w:cs="Arial"/>
                <w:b/>
                <w:bCs/>
                <w:color w:val="FFFFFF" w:themeColor="background1"/>
              </w:rPr>
              <w:t xml:space="preserve">% </w:t>
            </w:r>
            <w:r w:rsidR="00BE63C6" w:rsidRPr="007F6332">
              <w:rPr>
                <w:rFonts w:cs="Arial"/>
                <w:b/>
                <w:bCs/>
                <w:color w:val="FFFFFF" w:themeColor="background1"/>
              </w:rPr>
              <w:t>D</w:t>
            </w:r>
            <w:r w:rsidRPr="007F6332">
              <w:rPr>
                <w:rFonts w:cs="Arial"/>
                <w:b/>
                <w:bCs/>
                <w:color w:val="FFFFFF" w:themeColor="background1"/>
              </w:rPr>
              <w:t>ifference</w:t>
            </w:r>
          </w:p>
        </w:tc>
      </w:tr>
      <w:tr w:rsidR="008448AF" w:rsidRPr="007F6332" w14:paraId="4F25008D" w14:textId="77777777" w:rsidTr="00E53368">
        <w:trPr>
          <w:trHeight w:val="340"/>
          <w:tblHeader/>
        </w:trPr>
        <w:tc>
          <w:tcPr>
            <w:tcW w:w="2410" w:type="dxa"/>
            <w:tcBorders>
              <w:top w:val="nil"/>
              <w:left w:val="nil"/>
              <w:bottom w:val="nil"/>
              <w:right w:val="nil"/>
            </w:tcBorders>
            <w:shd w:val="clear" w:color="000000" w:fill="A7A9AC"/>
            <w:noWrap/>
            <w:vAlign w:val="center"/>
            <w:hideMark/>
          </w:tcPr>
          <w:p w14:paraId="79D7B394" w14:textId="77777777" w:rsidR="008448AF" w:rsidRPr="007F6332" w:rsidRDefault="008448AF" w:rsidP="008448AF">
            <w:pPr>
              <w:keepNext/>
              <w:keepLines/>
              <w:spacing w:after="0" w:line="240" w:lineRule="auto"/>
              <w:contextualSpacing/>
              <w:rPr>
                <w:rFonts w:cs="Arial"/>
                <w:color w:val="000000"/>
              </w:rPr>
            </w:pPr>
            <w:r w:rsidRPr="007F6332">
              <w:rPr>
                <w:rFonts w:cs="Arial"/>
                <w:color w:val="000000"/>
              </w:rPr>
              <w:t xml:space="preserve"> 0 to 18 </w:t>
            </w:r>
          </w:p>
        </w:tc>
        <w:tc>
          <w:tcPr>
            <w:tcW w:w="1630" w:type="dxa"/>
            <w:tcBorders>
              <w:top w:val="nil"/>
              <w:left w:val="nil"/>
              <w:bottom w:val="nil"/>
              <w:right w:val="nil"/>
            </w:tcBorders>
            <w:shd w:val="clear" w:color="000000" w:fill="A7A9AC"/>
            <w:noWrap/>
            <w:vAlign w:val="center"/>
            <w:hideMark/>
          </w:tcPr>
          <w:p w14:paraId="63111DD0"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131</w:t>
            </w:r>
          </w:p>
        </w:tc>
        <w:tc>
          <w:tcPr>
            <w:tcW w:w="1630" w:type="dxa"/>
            <w:tcBorders>
              <w:top w:val="nil"/>
              <w:left w:val="nil"/>
              <w:bottom w:val="nil"/>
              <w:right w:val="nil"/>
            </w:tcBorders>
            <w:shd w:val="clear" w:color="000000" w:fill="A7A9AC"/>
            <w:noWrap/>
            <w:vAlign w:val="center"/>
            <w:hideMark/>
          </w:tcPr>
          <w:p w14:paraId="22B1A7E1"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20</w:t>
            </w:r>
          </w:p>
        </w:tc>
        <w:tc>
          <w:tcPr>
            <w:tcW w:w="1630" w:type="dxa"/>
            <w:tcBorders>
              <w:top w:val="nil"/>
              <w:left w:val="nil"/>
              <w:bottom w:val="nil"/>
              <w:right w:val="nil"/>
            </w:tcBorders>
            <w:shd w:val="clear" w:color="000000" w:fill="A7A9AC"/>
            <w:noWrap/>
            <w:vAlign w:val="center"/>
            <w:hideMark/>
          </w:tcPr>
          <w:p w14:paraId="14822B1F"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111</w:t>
            </w:r>
          </w:p>
        </w:tc>
        <w:tc>
          <w:tcPr>
            <w:tcW w:w="1631" w:type="dxa"/>
            <w:tcBorders>
              <w:top w:val="nil"/>
              <w:left w:val="nil"/>
              <w:bottom w:val="nil"/>
              <w:right w:val="nil"/>
            </w:tcBorders>
            <w:shd w:val="clear" w:color="000000" w:fill="A7A9AC"/>
            <w:noWrap/>
            <w:vAlign w:val="center"/>
            <w:hideMark/>
          </w:tcPr>
          <w:p w14:paraId="60BD0992"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554%</w:t>
            </w:r>
          </w:p>
        </w:tc>
      </w:tr>
      <w:tr w:rsidR="008448AF" w:rsidRPr="007F6332" w14:paraId="743D007F" w14:textId="77777777" w:rsidTr="00E53368">
        <w:trPr>
          <w:trHeight w:val="340"/>
          <w:tblHeader/>
        </w:trPr>
        <w:tc>
          <w:tcPr>
            <w:tcW w:w="2410" w:type="dxa"/>
            <w:tcBorders>
              <w:top w:val="nil"/>
              <w:left w:val="nil"/>
              <w:bottom w:val="nil"/>
              <w:right w:val="nil"/>
            </w:tcBorders>
            <w:shd w:val="clear" w:color="auto" w:fill="auto"/>
            <w:noWrap/>
            <w:vAlign w:val="center"/>
            <w:hideMark/>
          </w:tcPr>
          <w:p w14:paraId="59930B3F" w14:textId="77777777" w:rsidR="008448AF" w:rsidRPr="007F6332" w:rsidRDefault="008448AF" w:rsidP="008448AF">
            <w:pPr>
              <w:keepNext/>
              <w:keepLines/>
              <w:spacing w:after="0" w:line="240" w:lineRule="auto"/>
              <w:contextualSpacing/>
              <w:rPr>
                <w:rFonts w:cs="Arial"/>
                <w:color w:val="000000"/>
              </w:rPr>
            </w:pPr>
            <w:r w:rsidRPr="007F6332">
              <w:rPr>
                <w:rFonts w:cs="Arial"/>
                <w:color w:val="000000"/>
              </w:rPr>
              <w:t xml:space="preserve"> 19 to 24 </w:t>
            </w:r>
          </w:p>
        </w:tc>
        <w:tc>
          <w:tcPr>
            <w:tcW w:w="1630" w:type="dxa"/>
            <w:tcBorders>
              <w:top w:val="nil"/>
              <w:left w:val="nil"/>
              <w:bottom w:val="nil"/>
              <w:right w:val="nil"/>
            </w:tcBorders>
            <w:shd w:val="clear" w:color="auto" w:fill="auto"/>
            <w:noWrap/>
            <w:vAlign w:val="center"/>
            <w:hideMark/>
          </w:tcPr>
          <w:p w14:paraId="79234A8C"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432</w:t>
            </w:r>
          </w:p>
        </w:tc>
        <w:tc>
          <w:tcPr>
            <w:tcW w:w="1630" w:type="dxa"/>
            <w:tcBorders>
              <w:top w:val="nil"/>
              <w:left w:val="nil"/>
              <w:bottom w:val="nil"/>
              <w:right w:val="nil"/>
            </w:tcBorders>
            <w:shd w:val="clear" w:color="auto" w:fill="auto"/>
            <w:noWrap/>
            <w:vAlign w:val="center"/>
            <w:hideMark/>
          </w:tcPr>
          <w:p w14:paraId="59EFD4D1"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134</w:t>
            </w:r>
          </w:p>
        </w:tc>
        <w:tc>
          <w:tcPr>
            <w:tcW w:w="1630" w:type="dxa"/>
            <w:tcBorders>
              <w:top w:val="nil"/>
              <w:left w:val="nil"/>
              <w:bottom w:val="nil"/>
              <w:right w:val="nil"/>
            </w:tcBorders>
            <w:shd w:val="clear" w:color="auto" w:fill="auto"/>
            <w:noWrap/>
            <w:vAlign w:val="center"/>
            <w:hideMark/>
          </w:tcPr>
          <w:p w14:paraId="60C44EC9"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298</w:t>
            </w:r>
          </w:p>
        </w:tc>
        <w:tc>
          <w:tcPr>
            <w:tcW w:w="1631" w:type="dxa"/>
            <w:tcBorders>
              <w:top w:val="nil"/>
              <w:left w:val="nil"/>
              <w:bottom w:val="nil"/>
              <w:right w:val="nil"/>
            </w:tcBorders>
            <w:shd w:val="clear" w:color="auto" w:fill="auto"/>
            <w:noWrap/>
            <w:vAlign w:val="center"/>
            <w:hideMark/>
          </w:tcPr>
          <w:p w14:paraId="660F4E55"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221%</w:t>
            </w:r>
          </w:p>
        </w:tc>
      </w:tr>
      <w:tr w:rsidR="008448AF" w:rsidRPr="007F6332" w14:paraId="1FCDF61A" w14:textId="77777777" w:rsidTr="00E53368">
        <w:trPr>
          <w:trHeight w:val="340"/>
          <w:tblHeader/>
        </w:trPr>
        <w:tc>
          <w:tcPr>
            <w:tcW w:w="2410" w:type="dxa"/>
            <w:tcBorders>
              <w:top w:val="nil"/>
              <w:left w:val="nil"/>
              <w:bottom w:val="nil"/>
              <w:right w:val="nil"/>
            </w:tcBorders>
            <w:shd w:val="clear" w:color="000000" w:fill="A7A9AC"/>
            <w:noWrap/>
            <w:vAlign w:val="center"/>
            <w:hideMark/>
          </w:tcPr>
          <w:p w14:paraId="6348FE5F" w14:textId="77777777" w:rsidR="008448AF" w:rsidRPr="007F6332" w:rsidRDefault="008448AF" w:rsidP="008448AF">
            <w:pPr>
              <w:keepNext/>
              <w:keepLines/>
              <w:spacing w:after="0" w:line="240" w:lineRule="auto"/>
              <w:contextualSpacing/>
              <w:rPr>
                <w:rFonts w:cs="Arial"/>
                <w:color w:val="000000"/>
              </w:rPr>
            </w:pPr>
            <w:r w:rsidRPr="007F6332">
              <w:rPr>
                <w:rFonts w:cs="Arial"/>
                <w:color w:val="000000"/>
              </w:rPr>
              <w:t xml:space="preserve"> 25 to 34 </w:t>
            </w:r>
          </w:p>
        </w:tc>
        <w:tc>
          <w:tcPr>
            <w:tcW w:w="1630" w:type="dxa"/>
            <w:tcBorders>
              <w:top w:val="nil"/>
              <w:left w:val="nil"/>
              <w:bottom w:val="nil"/>
              <w:right w:val="nil"/>
            </w:tcBorders>
            <w:shd w:val="clear" w:color="000000" w:fill="A7A9AC"/>
            <w:noWrap/>
            <w:vAlign w:val="center"/>
            <w:hideMark/>
          </w:tcPr>
          <w:p w14:paraId="025374A2"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778</w:t>
            </w:r>
          </w:p>
        </w:tc>
        <w:tc>
          <w:tcPr>
            <w:tcW w:w="1630" w:type="dxa"/>
            <w:tcBorders>
              <w:top w:val="nil"/>
              <w:left w:val="nil"/>
              <w:bottom w:val="nil"/>
              <w:right w:val="nil"/>
            </w:tcBorders>
            <w:shd w:val="clear" w:color="000000" w:fill="A7A9AC"/>
            <w:noWrap/>
            <w:vAlign w:val="center"/>
            <w:hideMark/>
          </w:tcPr>
          <w:p w14:paraId="56AE1077"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283</w:t>
            </w:r>
          </w:p>
        </w:tc>
        <w:tc>
          <w:tcPr>
            <w:tcW w:w="1630" w:type="dxa"/>
            <w:tcBorders>
              <w:top w:val="nil"/>
              <w:left w:val="nil"/>
              <w:bottom w:val="nil"/>
              <w:right w:val="nil"/>
            </w:tcBorders>
            <w:shd w:val="clear" w:color="000000" w:fill="A7A9AC"/>
            <w:noWrap/>
            <w:vAlign w:val="center"/>
            <w:hideMark/>
          </w:tcPr>
          <w:p w14:paraId="6EBA861D"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495</w:t>
            </w:r>
          </w:p>
        </w:tc>
        <w:tc>
          <w:tcPr>
            <w:tcW w:w="1631" w:type="dxa"/>
            <w:tcBorders>
              <w:top w:val="nil"/>
              <w:left w:val="nil"/>
              <w:bottom w:val="nil"/>
              <w:right w:val="nil"/>
            </w:tcBorders>
            <w:shd w:val="clear" w:color="000000" w:fill="A7A9AC"/>
            <w:noWrap/>
            <w:vAlign w:val="center"/>
            <w:hideMark/>
          </w:tcPr>
          <w:p w14:paraId="04B7F210"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175%</w:t>
            </w:r>
          </w:p>
        </w:tc>
      </w:tr>
      <w:tr w:rsidR="008448AF" w:rsidRPr="007F6332" w14:paraId="38CB5F4A" w14:textId="77777777" w:rsidTr="00E53368">
        <w:trPr>
          <w:trHeight w:val="340"/>
          <w:tblHeader/>
        </w:trPr>
        <w:tc>
          <w:tcPr>
            <w:tcW w:w="2410" w:type="dxa"/>
            <w:tcBorders>
              <w:top w:val="nil"/>
              <w:left w:val="nil"/>
              <w:bottom w:val="nil"/>
              <w:right w:val="nil"/>
            </w:tcBorders>
            <w:shd w:val="clear" w:color="auto" w:fill="auto"/>
            <w:noWrap/>
            <w:vAlign w:val="center"/>
            <w:hideMark/>
          </w:tcPr>
          <w:p w14:paraId="3B671651" w14:textId="77777777" w:rsidR="008448AF" w:rsidRPr="007F6332" w:rsidRDefault="008448AF" w:rsidP="008448AF">
            <w:pPr>
              <w:keepNext/>
              <w:keepLines/>
              <w:spacing w:after="0" w:line="240" w:lineRule="auto"/>
              <w:contextualSpacing/>
              <w:rPr>
                <w:rFonts w:cs="Arial"/>
                <w:color w:val="000000"/>
              </w:rPr>
            </w:pPr>
            <w:r w:rsidRPr="007F6332">
              <w:rPr>
                <w:rFonts w:cs="Arial"/>
                <w:color w:val="000000"/>
              </w:rPr>
              <w:t xml:space="preserve"> 35 to 44 </w:t>
            </w:r>
          </w:p>
        </w:tc>
        <w:tc>
          <w:tcPr>
            <w:tcW w:w="1630" w:type="dxa"/>
            <w:tcBorders>
              <w:top w:val="nil"/>
              <w:left w:val="nil"/>
              <w:bottom w:val="nil"/>
              <w:right w:val="nil"/>
            </w:tcBorders>
            <w:shd w:val="clear" w:color="auto" w:fill="auto"/>
            <w:noWrap/>
            <w:vAlign w:val="center"/>
            <w:hideMark/>
          </w:tcPr>
          <w:p w14:paraId="7CCFF737"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634</w:t>
            </w:r>
          </w:p>
        </w:tc>
        <w:tc>
          <w:tcPr>
            <w:tcW w:w="1630" w:type="dxa"/>
            <w:tcBorders>
              <w:top w:val="nil"/>
              <w:left w:val="nil"/>
              <w:bottom w:val="nil"/>
              <w:right w:val="nil"/>
            </w:tcBorders>
            <w:shd w:val="clear" w:color="auto" w:fill="auto"/>
            <w:noWrap/>
            <w:vAlign w:val="center"/>
            <w:hideMark/>
          </w:tcPr>
          <w:p w14:paraId="514BF85C"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239</w:t>
            </w:r>
          </w:p>
        </w:tc>
        <w:tc>
          <w:tcPr>
            <w:tcW w:w="1630" w:type="dxa"/>
            <w:tcBorders>
              <w:top w:val="nil"/>
              <w:left w:val="nil"/>
              <w:bottom w:val="nil"/>
              <w:right w:val="nil"/>
            </w:tcBorders>
            <w:shd w:val="clear" w:color="auto" w:fill="auto"/>
            <w:noWrap/>
            <w:vAlign w:val="center"/>
            <w:hideMark/>
          </w:tcPr>
          <w:p w14:paraId="6A83B32B"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395</w:t>
            </w:r>
          </w:p>
        </w:tc>
        <w:tc>
          <w:tcPr>
            <w:tcW w:w="1631" w:type="dxa"/>
            <w:tcBorders>
              <w:top w:val="nil"/>
              <w:left w:val="nil"/>
              <w:bottom w:val="nil"/>
              <w:right w:val="nil"/>
            </w:tcBorders>
            <w:shd w:val="clear" w:color="auto" w:fill="auto"/>
            <w:noWrap/>
            <w:vAlign w:val="center"/>
            <w:hideMark/>
          </w:tcPr>
          <w:p w14:paraId="597D58FA"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165%</w:t>
            </w:r>
          </w:p>
        </w:tc>
      </w:tr>
      <w:tr w:rsidR="008448AF" w:rsidRPr="007F6332" w14:paraId="04502F58" w14:textId="77777777" w:rsidTr="00E53368">
        <w:trPr>
          <w:trHeight w:val="340"/>
          <w:tblHeader/>
        </w:trPr>
        <w:tc>
          <w:tcPr>
            <w:tcW w:w="2410" w:type="dxa"/>
            <w:tcBorders>
              <w:top w:val="nil"/>
              <w:left w:val="nil"/>
              <w:bottom w:val="nil"/>
              <w:right w:val="nil"/>
            </w:tcBorders>
            <w:shd w:val="clear" w:color="000000" w:fill="A7A9AC"/>
            <w:noWrap/>
            <w:vAlign w:val="center"/>
            <w:hideMark/>
          </w:tcPr>
          <w:p w14:paraId="6D136602" w14:textId="77777777" w:rsidR="008448AF" w:rsidRPr="007F6332" w:rsidRDefault="008448AF" w:rsidP="008448AF">
            <w:pPr>
              <w:keepNext/>
              <w:keepLines/>
              <w:spacing w:after="0" w:line="240" w:lineRule="auto"/>
              <w:contextualSpacing/>
              <w:rPr>
                <w:rFonts w:cs="Arial"/>
                <w:color w:val="000000"/>
              </w:rPr>
            </w:pPr>
            <w:r w:rsidRPr="007F6332">
              <w:rPr>
                <w:rFonts w:cs="Arial"/>
                <w:color w:val="000000"/>
              </w:rPr>
              <w:t xml:space="preserve"> 45 to 54 </w:t>
            </w:r>
          </w:p>
        </w:tc>
        <w:tc>
          <w:tcPr>
            <w:tcW w:w="1630" w:type="dxa"/>
            <w:tcBorders>
              <w:top w:val="nil"/>
              <w:left w:val="nil"/>
              <w:bottom w:val="nil"/>
              <w:right w:val="nil"/>
            </w:tcBorders>
            <w:shd w:val="clear" w:color="000000" w:fill="A7A9AC"/>
            <w:noWrap/>
            <w:vAlign w:val="center"/>
            <w:hideMark/>
          </w:tcPr>
          <w:p w14:paraId="1C3D498C"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613</w:t>
            </w:r>
          </w:p>
        </w:tc>
        <w:tc>
          <w:tcPr>
            <w:tcW w:w="1630" w:type="dxa"/>
            <w:tcBorders>
              <w:top w:val="nil"/>
              <w:left w:val="nil"/>
              <w:bottom w:val="nil"/>
              <w:right w:val="nil"/>
            </w:tcBorders>
            <w:shd w:val="clear" w:color="000000" w:fill="A7A9AC"/>
            <w:noWrap/>
            <w:vAlign w:val="center"/>
            <w:hideMark/>
          </w:tcPr>
          <w:p w14:paraId="763B4C35"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94</w:t>
            </w:r>
          </w:p>
        </w:tc>
        <w:tc>
          <w:tcPr>
            <w:tcW w:w="1630" w:type="dxa"/>
            <w:tcBorders>
              <w:top w:val="nil"/>
              <w:left w:val="nil"/>
              <w:bottom w:val="nil"/>
              <w:right w:val="nil"/>
            </w:tcBorders>
            <w:shd w:val="clear" w:color="000000" w:fill="A7A9AC"/>
            <w:noWrap/>
            <w:vAlign w:val="center"/>
            <w:hideMark/>
          </w:tcPr>
          <w:p w14:paraId="5BE790FA"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519</w:t>
            </w:r>
          </w:p>
        </w:tc>
        <w:tc>
          <w:tcPr>
            <w:tcW w:w="1631" w:type="dxa"/>
            <w:tcBorders>
              <w:top w:val="nil"/>
              <w:left w:val="nil"/>
              <w:bottom w:val="nil"/>
              <w:right w:val="nil"/>
            </w:tcBorders>
            <w:shd w:val="clear" w:color="000000" w:fill="A7A9AC"/>
            <w:noWrap/>
            <w:vAlign w:val="center"/>
            <w:hideMark/>
          </w:tcPr>
          <w:p w14:paraId="5DB1AD3F"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551%</w:t>
            </w:r>
          </w:p>
        </w:tc>
      </w:tr>
      <w:tr w:rsidR="008448AF" w:rsidRPr="007F6332" w14:paraId="7026673D" w14:textId="77777777" w:rsidTr="00E53368">
        <w:trPr>
          <w:trHeight w:val="340"/>
          <w:tblHeader/>
        </w:trPr>
        <w:tc>
          <w:tcPr>
            <w:tcW w:w="2410" w:type="dxa"/>
            <w:tcBorders>
              <w:top w:val="nil"/>
              <w:left w:val="nil"/>
              <w:bottom w:val="nil"/>
              <w:right w:val="nil"/>
            </w:tcBorders>
            <w:shd w:val="clear" w:color="auto" w:fill="auto"/>
            <w:noWrap/>
            <w:vAlign w:val="center"/>
            <w:hideMark/>
          </w:tcPr>
          <w:p w14:paraId="1334F433" w14:textId="77777777" w:rsidR="008448AF" w:rsidRPr="007F6332" w:rsidRDefault="008448AF" w:rsidP="008448AF">
            <w:pPr>
              <w:keepNext/>
              <w:keepLines/>
              <w:spacing w:after="0" w:line="240" w:lineRule="auto"/>
              <w:contextualSpacing/>
              <w:rPr>
                <w:rFonts w:cs="Arial"/>
                <w:color w:val="000000"/>
              </w:rPr>
            </w:pPr>
            <w:r w:rsidRPr="007F6332">
              <w:rPr>
                <w:rFonts w:cs="Arial"/>
                <w:color w:val="000000"/>
              </w:rPr>
              <w:t xml:space="preserve"> 55 to 64 </w:t>
            </w:r>
          </w:p>
        </w:tc>
        <w:tc>
          <w:tcPr>
            <w:tcW w:w="1630" w:type="dxa"/>
            <w:tcBorders>
              <w:top w:val="nil"/>
              <w:left w:val="nil"/>
              <w:bottom w:val="nil"/>
              <w:right w:val="nil"/>
            </w:tcBorders>
            <w:shd w:val="clear" w:color="auto" w:fill="auto"/>
            <w:noWrap/>
            <w:vAlign w:val="center"/>
            <w:hideMark/>
          </w:tcPr>
          <w:p w14:paraId="718908F7"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1,395</w:t>
            </w:r>
          </w:p>
        </w:tc>
        <w:tc>
          <w:tcPr>
            <w:tcW w:w="1630" w:type="dxa"/>
            <w:tcBorders>
              <w:top w:val="nil"/>
              <w:left w:val="nil"/>
              <w:bottom w:val="nil"/>
              <w:right w:val="nil"/>
            </w:tcBorders>
            <w:shd w:val="clear" w:color="auto" w:fill="auto"/>
            <w:noWrap/>
            <w:vAlign w:val="center"/>
            <w:hideMark/>
          </w:tcPr>
          <w:p w14:paraId="3129CDAA"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144</w:t>
            </w:r>
          </w:p>
        </w:tc>
        <w:tc>
          <w:tcPr>
            <w:tcW w:w="1630" w:type="dxa"/>
            <w:tcBorders>
              <w:top w:val="nil"/>
              <w:left w:val="nil"/>
              <w:bottom w:val="nil"/>
              <w:right w:val="nil"/>
            </w:tcBorders>
            <w:shd w:val="clear" w:color="auto" w:fill="auto"/>
            <w:noWrap/>
            <w:vAlign w:val="center"/>
            <w:hideMark/>
          </w:tcPr>
          <w:p w14:paraId="2BC3B5D2"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1,251</w:t>
            </w:r>
          </w:p>
        </w:tc>
        <w:tc>
          <w:tcPr>
            <w:tcW w:w="1631" w:type="dxa"/>
            <w:tcBorders>
              <w:top w:val="nil"/>
              <w:left w:val="nil"/>
              <w:bottom w:val="nil"/>
              <w:right w:val="nil"/>
            </w:tcBorders>
            <w:shd w:val="clear" w:color="auto" w:fill="auto"/>
            <w:noWrap/>
            <w:vAlign w:val="center"/>
            <w:hideMark/>
          </w:tcPr>
          <w:p w14:paraId="0E230293"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868%</w:t>
            </w:r>
          </w:p>
        </w:tc>
      </w:tr>
      <w:tr w:rsidR="008448AF" w:rsidRPr="007F6332" w14:paraId="3F3C79E4" w14:textId="77777777" w:rsidTr="00E53368">
        <w:trPr>
          <w:trHeight w:val="340"/>
          <w:tblHeader/>
        </w:trPr>
        <w:tc>
          <w:tcPr>
            <w:tcW w:w="2410" w:type="dxa"/>
            <w:tcBorders>
              <w:top w:val="nil"/>
              <w:left w:val="nil"/>
              <w:right w:val="nil"/>
            </w:tcBorders>
            <w:shd w:val="clear" w:color="000000" w:fill="A7A9AC"/>
            <w:noWrap/>
            <w:vAlign w:val="center"/>
            <w:hideMark/>
          </w:tcPr>
          <w:p w14:paraId="0C5384F3" w14:textId="77777777" w:rsidR="008448AF" w:rsidRPr="007F6332" w:rsidRDefault="008448AF" w:rsidP="008448AF">
            <w:pPr>
              <w:keepNext/>
              <w:keepLines/>
              <w:spacing w:after="0" w:line="240" w:lineRule="auto"/>
              <w:contextualSpacing/>
              <w:rPr>
                <w:rFonts w:cs="Arial"/>
                <w:color w:val="000000"/>
              </w:rPr>
            </w:pPr>
            <w:r w:rsidRPr="007F6332">
              <w:rPr>
                <w:rFonts w:cs="Arial"/>
                <w:color w:val="000000"/>
              </w:rPr>
              <w:t xml:space="preserve"> 65+ </w:t>
            </w:r>
          </w:p>
        </w:tc>
        <w:tc>
          <w:tcPr>
            <w:tcW w:w="1630" w:type="dxa"/>
            <w:tcBorders>
              <w:top w:val="nil"/>
              <w:left w:val="nil"/>
              <w:right w:val="nil"/>
            </w:tcBorders>
            <w:shd w:val="clear" w:color="000000" w:fill="A7A9AC"/>
            <w:noWrap/>
            <w:vAlign w:val="center"/>
            <w:hideMark/>
          </w:tcPr>
          <w:p w14:paraId="7B20266E"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885</w:t>
            </w:r>
          </w:p>
        </w:tc>
        <w:tc>
          <w:tcPr>
            <w:tcW w:w="1630" w:type="dxa"/>
            <w:tcBorders>
              <w:top w:val="nil"/>
              <w:left w:val="nil"/>
              <w:right w:val="nil"/>
            </w:tcBorders>
            <w:shd w:val="clear" w:color="000000" w:fill="A7A9AC"/>
            <w:noWrap/>
            <w:vAlign w:val="center"/>
            <w:hideMark/>
          </w:tcPr>
          <w:p w14:paraId="1B6F4718"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446</w:t>
            </w:r>
          </w:p>
        </w:tc>
        <w:tc>
          <w:tcPr>
            <w:tcW w:w="1630" w:type="dxa"/>
            <w:tcBorders>
              <w:top w:val="nil"/>
              <w:left w:val="nil"/>
              <w:right w:val="nil"/>
            </w:tcBorders>
            <w:shd w:val="clear" w:color="000000" w:fill="A7A9AC"/>
            <w:noWrap/>
            <w:vAlign w:val="center"/>
            <w:hideMark/>
          </w:tcPr>
          <w:p w14:paraId="17072462"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439</w:t>
            </w:r>
          </w:p>
        </w:tc>
        <w:tc>
          <w:tcPr>
            <w:tcW w:w="1631" w:type="dxa"/>
            <w:tcBorders>
              <w:top w:val="nil"/>
              <w:left w:val="nil"/>
              <w:right w:val="nil"/>
            </w:tcBorders>
            <w:shd w:val="clear" w:color="000000" w:fill="A7A9AC"/>
            <w:noWrap/>
            <w:vAlign w:val="center"/>
            <w:hideMark/>
          </w:tcPr>
          <w:p w14:paraId="080B9414" w14:textId="77777777" w:rsidR="008448AF" w:rsidRPr="007F6332" w:rsidRDefault="008448AF" w:rsidP="008448AF">
            <w:pPr>
              <w:keepNext/>
              <w:keepLines/>
              <w:spacing w:after="0" w:line="240" w:lineRule="auto"/>
              <w:contextualSpacing/>
              <w:jc w:val="right"/>
              <w:rPr>
                <w:rFonts w:cs="Arial"/>
                <w:color w:val="000000"/>
              </w:rPr>
            </w:pPr>
            <w:r w:rsidRPr="007F6332">
              <w:rPr>
                <w:rFonts w:cs="Arial"/>
                <w:color w:val="000000"/>
              </w:rPr>
              <w:t>99%</w:t>
            </w:r>
          </w:p>
        </w:tc>
      </w:tr>
      <w:tr w:rsidR="008448AF" w:rsidRPr="007F6332" w14:paraId="4352874A" w14:textId="77777777" w:rsidTr="00E53368">
        <w:trPr>
          <w:trHeight w:val="340"/>
          <w:tblHeader/>
        </w:trPr>
        <w:tc>
          <w:tcPr>
            <w:tcW w:w="2410" w:type="dxa"/>
            <w:tcBorders>
              <w:left w:val="nil"/>
              <w:bottom w:val="single" w:sz="4" w:space="0" w:color="auto"/>
              <w:right w:val="nil"/>
            </w:tcBorders>
            <w:shd w:val="clear" w:color="auto" w:fill="B398B8"/>
            <w:noWrap/>
            <w:vAlign w:val="center"/>
            <w:hideMark/>
          </w:tcPr>
          <w:p w14:paraId="0E1CE344" w14:textId="77777777" w:rsidR="008448AF" w:rsidRPr="007F6332" w:rsidRDefault="008448AF" w:rsidP="008448AF">
            <w:pPr>
              <w:keepNext/>
              <w:keepLines/>
              <w:spacing w:after="0" w:line="240" w:lineRule="auto"/>
              <w:rPr>
                <w:rFonts w:cs="Arial"/>
                <w:b/>
                <w:bCs/>
                <w:color w:val="000000"/>
              </w:rPr>
            </w:pPr>
            <w:r w:rsidRPr="007F6332">
              <w:rPr>
                <w:rFonts w:cs="Arial"/>
                <w:b/>
                <w:bCs/>
                <w:color w:val="000000"/>
              </w:rPr>
              <w:t>Total</w:t>
            </w:r>
          </w:p>
        </w:tc>
        <w:tc>
          <w:tcPr>
            <w:tcW w:w="1630" w:type="dxa"/>
            <w:tcBorders>
              <w:left w:val="nil"/>
              <w:bottom w:val="single" w:sz="4" w:space="0" w:color="auto"/>
              <w:right w:val="nil"/>
            </w:tcBorders>
            <w:shd w:val="clear" w:color="auto" w:fill="B398B8"/>
            <w:noWrap/>
            <w:vAlign w:val="center"/>
            <w:hideMark/>
          </w:tcPr>
          <w:p w14:paraId="05476D77" w14:textId="77777777" w:rsidR="008448AF" w:rsidRPr="007F6332" w:rsidRDefault="008448AF" w:rsidP="008448AF">
            <w:pPr>
              <w:keepNext/>
              <w:keepLines/>
              <w:spacing w:after="0" w:line="240" w:lineRule="auto"/>
              <w:jc w:val="right"/>
              <w:rPr>
                <w:rFonts w:cs="Arial"/>
                <w:b/>
                <w:bCs/>
                <w:color w:val="000000"/>
              </w:rPr>
            </w:pPr>
            <w:r w:rsidRPr="007F6332">
              <w:rPr>
                <w:rFonts w:cs="Arial"/>
                <w:b/>
                <w:bCs/>
                <w:color w:val="000000"/>
              </w:rPr>
              <w:t>4,868</w:t>
            </w:r>
          </w:p>
        </w:tc>
        <w:tc>
          <w:tcPr>
            <w:tcW w:w="1630" w:type="dxa"/>
            <w:tcBorders>
              <w:left w:val="nil"/>
              <w:bottom w:val="single" w:sz="4" w:space="0" w:color="auto"/>
              <w:right w:val="nil"/>
            </w:tcBorders>
            <w:shd w:val="clear" w:color="auto" w:fill="B398B8"/>
            <w:noWrap/>
            <w:vAlign w:val="center"/>
            <w:hideMark/>
          </w:tcPr>
          <w:p w14:paraId="203F25D4" w14:textId="77777777" w:rsidR="008448AF" w:rsidRPr="007F6332" w:rsidRDefault="008448AF" w:rsidP="008448AF">
            <w:pPr>
              <w:keepNext/>
              <w:keepLines/>
              <w:spacing w:after="0" w:line="240" w:lineRule="auto"/>
              <w:jc w:val="right"/>
              <w:rPr>
                <w:rFonts w:cs="Arial"/>
                <w:b/>
                <w:bCs/>
                <w:color w:val="000000"/>
              </w:rPr>
            </w:pPr>
            <w:r w:rsidRPr="007F6332">
              <w:rPr>
                <w:rFonts w:cs="Arial"/>
                <w:b/>
                <w:bCs/>
                <w:color w:val="000000"/>
              </w:rPr>
              <w:t>1,361</w:t>
            </w:r>
          </w:p>
        </w:tc>
        <w:tc>
          <w:tcPr>
            <w:tcW w:w="1630" w:type="dxa"/>
            <w:tcBorders>
              <w:left w:val="nil"/>
              <w:bottom w:val="single" w:sz="4" w:space="0" w:color="auto"/>
              <w:right w:val="nil"/>
            </w:tcBorders>
            <w:shd w:val="clear" w:color="auto" w:fill="B398B8"/>
            <w:noWrap/>
            <w:vAlign w:val="center"/>
            <w:hideMark/>
          </w:tcPr>
          <w:p w14:paraId="319B0750" w14:textId="77777777" w:rsidR="008448AF" w:rsidRPr="007F6332" w:rsidRDefault="008448AF" w:rsidP="008448AF">
            <w:pPr>
              <w:keepNext/>
              <w:keepLines/>
              <w:spacing w:after="0" w:line="240" w:lineRule="auto"/>
              <w:jc w:val="right"/>
              <w:rPr>
                <w:rFonts w:cs="Arial"/>
                <w:b/>
                <w:bCs/>
                <w:color w:val="000000"/>
              </w:rPr>
            </w:pPr>
            <w:r w:rsidRPr="007F6332">
              <w:rPr>
                <w:rFonts w:cs="Arial"/>
                <w:b/>
                <w:bCs/>
                <w:color w:val="000000"/>
              </w:rPr>
              <w:t>3,507</w:t>
            </w:r>
          </w:p>
        </w:tc>
        <w:tc>
          <w:tcPr>
            <w:tcW w:w="1631" w:type="dxa"/>
            <w:tcBorders>
              <w:left w:val="nil"/>
              <w:bottom w:val="single" w:sz="4" w:space="0" w:color="auto"/>
              <w:right w:val="nil"/>
            </w:tcBorders>
            <w:shd w:val="clear" w:color="auto" w:fill="B398B8"/>
            <w:noWrap/>
            <w:vAlign w:val="center"/>
            <w:hideMark/>
          </w:tcPr>
          <w:p w14:paraId="237464FA" w14:textId="77777777" w:rsidR="008448AF" w:rsidRPr="007F6332" w:rsidRDefault="008448AF" w:rsidP="008448AF">
            <w:pPr>
              <w:keepNext/>
              <w:keepLines/>
              <w:spacing w:after="0" w:line="240" w:lineRule="auto"/>
              <w:jc w:val="right"/>
              <w:rPr>
                <w:rFonts w:cs="Arial"/>
                <w:b/>
                <w:bCs/>
                <w:color w:val="000000"/>
              </w:rPr>
            </w:pPr>
            <w:r w:rsidRPr="007F6332">
              <w:rPr>
                <w:rFonts w:cs="Arial"/>
                <w:b/>
                <w:bCs/>
                <w:color w:val="000000"/>
              </w:rPr>
              <w:t>258%</w:t>
            </w:r>
          </w:p>
        </w:tc>
      </w:tr>
    </w:tbl>
    <w:p w14:paraId="2F64C949" w14:textId="53DED722" w:rsidR="00DD5F12" w:rsidRPr="007F6332" w:rsidRDefault="008448AF" w:rsidP="00E53E54">
      <w:pPr>
        <w:spacing w:before="240"/>
        <w:rPr>
          <w:rFonts w:cs="Arial"/>
        </w:rPr>
      </w:pPr>
      <w:r w:rsidRPr="007F6332">
        <w:rPr>
          <w:rFonts w:cs="Arial"/>
        </w:rPr>
        <w:t xml:space="preserve">The net increase was higher than expected across all </w:t>
      </w:r>
      <w:r w:rsidR="00A077F2" w:rsidRPr="007F6332">
        <w:rPr>
          <w:rFonts w:cs="Arial"/>
        </w:rPr>
        <w:t xml:space="preserve">main </w:t>
      </w:r>
      <w:r w:rsidRPr="007F6332">
        <w:rPr>
          <w:rFonts w:cs="Arial"/>
        </w:rPr>
        <w:t xml:space="preserve">disability types </w:t>
      </w:r>
      <w:r w:rsidR="001B306B" w:rsidRPr="007F6332">
        <w:rPr>
          <w:rFonts w:cs="Arial"/>
        </w:rPr>
        <w:t>as shown in Table 4.10</w:t>
      </w:r>
      <w:r w:rsidRPr="007F6332">
        <w:rPr>
          <w:rFonts w:cs="Arial"/>
        </w:rPr>
        <w:t>.</w:t>
      </w:r>
      <w:bookmarkStart w:id="85" w:name="_Ref144320322"/>
    </w:p>
    <w:p w14:paraId="2FA3E421" w14:textId="04D30B4A" w:rsidR="0021059A" w:rsidRPr="007F6332" w:rsidRDefault="008448AF" w:rsidP="006B61AA">
      <w:pPr>
        <w:pStyle w:val="FiguresandTablesHeading5"/>
      </w:pPr>
      <w:r w:rsidRPr="007F6332">
        <w:t xml:space="preserve">Table </w:t>
      </w:r>
      <w:r w:rsidR="00E80E43" w:rsidRPr="007F6332">
        <w:t>4</w:t>
      </w:r>
      <w:r w:rsidR="00E748F2" w:rsidRPr="007F6332">
        <w:t>.</w:t>
      </w:r>
      <w:bookmarkEnd w:id="85"/>
      <w:r w:rsidR="001B306B" w:rsidRPr="007F6332">
        <w:t>10</w:t>
      </w:r>
      <w:r w:rsidR="000A7032" w:rsidRPr="007F6332">
        <w:t>:</w:t>
      </w:r>
      <w:r w:rsidRPr="007F6332">
        <w:t xml:space="preserve"> Actual versus expected net increase in participants with SIL by primary disability at 30 June 2023</w:t>
      </w:r>
    </w:p>
    <w:tbl>
      <w:tblPr>
        <w:tblW w:w="8931" w:type="dxa"/>
        <w:tblLayout w:type="fixed"/>
        <w:tblLook w:val="04A0" w:firstRow="1" w:lastRow="0" w:firstColumn="1" w:lastColumn="0" w:noHBand="0" w:noVBand="1"/>
      </w:tblPr>
      <w:tblGrid>
        <w:gridCol w:w="2410"/>
        <w:gridCol w:w="1630"/>
        <w:gridCol w:w="1630"/>
        <w:gridCol w:w="1630"/>
        <w:gridCol w:w="1631"/>
      </w:tblGrid>
      <w:tr w:rsidR="00E87104" w:rsidRPr="007F6332" w14:paraId="61C63EDA" w14:textId="77777777" w:rsidTr="00F70F30">
        <w:trPr>
          <w:trHeight w:val="574"/>
          <w:tblHeader/>
        </w:trPr>
        <w:tc>
          <w:tcPr>
            <w:tcW w:w="2410" w:type="dxa"/>
            <w:tcBorders>
              <w:top w:val="nil"/>
              <w:left w:val="nil"/>
              <w:right w:val="nil"/>
            </w:tcBorders>
            <w:shd w:val="clear" w:color="000000" w:fill="6B2976"/>
            <w:noWrap/>
            <w:vAlign w:val="center"/>
            <w:hideMark/>
          </w:tcPr>
          <w:p w14:paraId="23467BD2" w14:textId="77777777" w:rsidR="00E87104" w:rsidRPr="007F6332" w:rsidRDefault="00E87104" w:rsidP="00C718B4">
            <w:pPr>
              <w:keepNext/>
              <w:keepLines/>
              <w:spacing w:after="0" w:line="240" w:lineRule="auto"/>
              <w:contextualSpacing/>
              <w:rPr>
                <w:rFonts w:cs="Arial"/>
                <w:b/>
                <w:bCs/>
                <w:color w:val="FFFFFF" w:themeColor="background1"/>
              </w:rPr>
            </w:pPr>
            <w:r w:rsidRPr="007F6332">
              <w:rPr>
                <w:rFonts w:cs="Arial"/>
                <w:b/>
                <w:bCs/>
                <w:color w:val="FFFFFF" w:themeColor="background1"/>
              </w:rPr>
              <w:t>Age Group</w:t>
            </w:r>
          </w:p>
        </w:tc>
        <w:tc>
          <w:tcPr>
            <w:tcW w:w="1630" w:type="dxa"/>
            <w:tcBorders>
              <w:top w:val="nil"/>
              <w:left w:val="nil"/>
              <w:right w:val="nil"/>
            </w:tcBorders>
            <w:shd w:val="clear" w:color="000000" w:fill="6B2976"/>
            <w:vAlign w:val="center"/>
            <w:hideMark/>
          </w:tcPr>
          <w:p w14:paraId="6208DF42" w14:textId="77777777" w:rsidR="00E87104" w:rsidRPr="007F6332" w:rsidRDefault="00E87104" w:rsidP="00C718B4">
            <w:pPr>
              <w:keepNext/>
              <w:keepLines/>
              <w:spacing w:after="0" w:line="240" w:lineRule="auto"/>
              <w:contextualSpacing/>
              <w:jc w:val="right"/>
              <w:rPr>
                <w:rFonts w:cs="Arial"/>
                <w:b/>
                <w:bCs/>
                <w:color w:val="FFFFFF" w:themeColor="background1"/>
              </w:rPr>
            </w:pPr>
            <w:r w:rsidRPr="007F6332">
              <w:rPr>
                <w:rFonts w:cs="Arial"/>
                <w:b/>
                <w:bCs/>
                <w:color w:val="FFFFFF" w:themeColor="background1"/>
              </w:rPr>
              <w:t>Actual</w:t>
            </w:r>
          </w:p>
        </w:tc>
        <w:tc>
          <w:tcPr>
            <w:tcW w:w="1630" w:type="dxa"/>
            <w:tcBorders>
              <w:top w:val="nil"/>
              <w:left w:val="nil"/>
              <w:right w:val="nil"/>
            </w:tcBorders>
            <w:shd w:val="clear" w:color="000000" w:fill="6B2976"/>
            <w:vAlign w:val="center"/>
            <w:hideMark/>
          </w:tcPr>
          <w:p w14:paraId="0969DB1E" w14:textId="77777777" w:rsidR="00E87104" w:rsidRPr="007F6332" w:rsidRDefault="00E87104" w:rsidP="00C718B4">
            <w:pPr>
              <w:keepNext/>
              <w:keepLines/>
              <w:spacing w:after="0" w:line="240" w:lineRule="auto"/>
              <w:contextualSpacing/>
              <w:jc w:val="right"/>
              <w:rPr>
                <w:rFonts w:cs="Arial"/>
                <w:b/>
                <w:bCs/>
                <w:color w:val="FFFFFF" w:themeColor="background1"/>
              </w:rPr>
            </w:pPr>
            <w:r w:rsidRPr="007F6332">
              <w:rPr>
                <w:rFonts w:cs="Arial"/>
                <w:b/>
                <w:bCs/>
                <w:color w:val="FFFFFF" w:themeColor="background1"/>
              </w:rPr>
              <w:t>Expected</w:t>
            </w:r>
          </w:p>
        </w:tc>
        <w:tc>
          <w:tcPr>
            <w:tcW w:w="1630" w:type="dxa"/>
            <w:tcBorders>
              <w:top w:val="nil"/>
              <w:left w:val="nil"/>
              <w:right w:val="nil"/>
            </w:tcBorders>
            <w:shd w:val="clear" w:color="000000" w:fill="6B2976"/>
            <w:vAlign w:val="center"/>
            <w:hideMark/>
          </w:tcPr>
          <w:p w14:paraId="3D07D634" w14:textId="77777777" w:rsidR="00E87104" w:rsidRPr="007F6332" w:rsidRDefault="00E87104" w:rsidP="00C718B4">
            <w:pPr>
              <w:keepNext/>
              <w:keepLines/>
              <w:spacing w:after="0" w:line="240" w:lineRule="auto"/>
              <w:contextualSpacing/>
              <w:jc w:val="right"/>
              <w:rPr>
                <w:rFonts w:cs="Arial"/>
                <w:b/>
                <w:bCs/>
                <w:color w:val="FFFFFF" w:themeColor="background1"/>
              </w:rPr>
            </w:pPr>
            <w:r w:rsidRPr="007F6332">
              <w:rPr>
                <w:rFonts w:cs="Arial"/>
                <w:b/>
                <w:bCs/>
                <w:color w:val="FFFFFF" w:themeColor="background1"/>
              </w:rPr>
              <w:t>Difference</w:t>
            </w:r>
          </w:p>
        </w:tc>
        <w:tc>
          <w:tcPr>
            <w:tcW w:w="1631" w:type="dxa"/>
            <w:tcBorders>
              <w:top w:val="nil"/>
              <w:left w:val="nil"/>
              <w:right w:val="nil"/>
            </w:tcBorders>
            <w:shd w:val="clear" w:color="000000" w:fill="6B2976"/>
            <w:vAlign w:val="center"/>
            <w:hideMark/>
          </w:tcPr>
          <w:p w14:paraId="70B16D97" w14:textId="570E0849" w:rsidR="00E87104" w:rsidRPr="007F6332" w:rsidRDefault="00E87104" w:rsidP="00C718B4">
            <w:pPr>
              <w:keepNext/>
              <w:keepLines/>
              <w:spacing w:after="0" w:line="240" w:lineRule="auto"/>
              <w:contextualSpacing/>
              <w:jc w:val="right"/>
              <w:rPr>
                <w:rFonts w:cs="Arial"/>
                <w:b/>
                <w:bCs/>
                <w:color w:val="FFFFFF" w:themeColor="background1"/>
              </w:rPr>
            </w:pPr>
            <w:r w:rsidRPr="007F6332">
              <w:rPr>
                <w:rFonts w:cs="Arial"/>
                <w:b/>
                <w:bCs/>
                <w:color w:val="FFFFFF" w:themeColor="background1"/>
              </w:rPr>
              <w:t>% Difference</w:t>
            </w:r>
          </w:p>
        </w:tc>
      </w:tr>
      <w:tr w:rsidR="00E87104" w:rsidRPr="007F6332" w14:paraId="72BC3080" w14:textId="77777777" w:rsidTr="00E53368">
        <w:trPr>
          <w:trHeight w:val="340"/>
          <w:tblHeader/>
        </w:trPr>
        <w:tc>
          <w:tcPr>
            <w:tcW w:w="2410" w:type="dxa"/>
            <w:tcBorders>
              <w:top w:val="nil"/>
              <w:left w:val="nil"/>
              <w:bottom w:val="nil"/>
              <w:right w:val="nil"/>
            </w:tcBorders>
            <w:shd w:val="clear" w:color="000000" w:fill="A7A9AC"/>
            <w:noWrap/>
            <w:vAlign w:val="center"/>
            <w:hideMark/>
          </w:tcPr>
          <w:p w14:paraId="0D661AEC" w14:textId="786BD545" w:rsidR="00E87104" w:rsidRPr="007F6332" w:rsidRDefault="00E87104" w:rsidP="00C718B4">
            <w:pPr>
              <w:keepNext/>
              <w:keepLines/>
              <w:spacing w:after="0" w:line="240" w:lineRule="auto"/>
              <w:contextualSpacing/>
              <w:rPr>
                <w:rFonts w:cs="Arial"/>
                <w:color w:val="000000"/>
              </w:rPr>
            </w:pPr>
            <w:r w:rsidRPr="007F6332">
              <w:rPr>
                <w:rFonts w:eastAsia="Times New Roman" w:cs="Arial"/>
                <w:color w:val="000000"/>
                <w:szCs w:val="22"/>
                <w:lang w:val="en-AU" w:eastAsia="en-AU"/>
              </w:rPr>
              <w:t xml:space="preserve">Autism </w:t>
            </w:r>
          </w:p>
        </w:tc>
        <w:tc>
          <w:tcPr>
            <w:tcW w:w="1630" w:type="dxa"/>
            <w:tcBorders>
              <w:top w:val="nil"/>
              <w:left w:val="nil"/>
              <w:bottom w:val="nil"/>
              <w:right w:val="nil"/>
            </w:tcBorders>
            <w:shd w:val="clear" w:color="000000" w:fill="A7A9AC"/>
            <w:noWrap/>
            <w:vAlign w:val="center"/>
            <w:hideMark/>
          </w:tcPr>
          <w:p w14:paraId="21238E87"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657</w:t>
            </w:r>
          </w:p>
        </w:tc>
        <w:tc>
          <w:tcPr>
            <w:tcW w:w="1630" w:type="dxa"/>
            <w:tcBorders>
              <w:top w:val="nil"/>
              <w:left w:val="nil"/>
              <w:bottom w:val="nil"/>
              <w:right w:val="nil"/>
            </w:tcBorders>
            <w:shd w:val="clear" w:color="000000" w:fill="A7A9AC"/>
            <w:noWrap/>
            <w:vAlign w:val="center"/>
            <w:hideMark/>
          </w:tcPr>
          <w:p w14:paraId="6C1F8CC2"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445</w:t>
            </w:r>
          </w:p>
        </w:tc>
        <w:tc>
          <w:tcPr>
            <w:tcW w:w="1630" w:type="dxa"/>
            <w:tcBorders>
              <w:top w:val="nil"/>
              <w:left w:val="nil"/>
              <w:bottom w:val="nil"/>
              <w:right w:val="nil"/>
            </w:tcBorders>
            <w:shd w:val="clear" w:color="000000" w:fill="A7A9AC"/>
            <w:noWrap/>
            <w:vAlign w:val="center"/>
            <w:hideMark/>
          </w:tcPr>
          <w:p w14:paraId="1167E5C4"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212</w:t>
            </w:r>
          </w:p>
        </w:tc>
        <w:tc>
          <w:tcPr>
            <w:tcW w:w="1631" w:type="dxa"/>
            <w:tcBorders>
              <w:top w:val="nil"/>
              <w:left w:val="nil"/>
              <w:bottom w:val="nil"/>
              <w:right w:val="nil"/>
            </w:tcBorders>
            <w:shd w:val="clear" w:color="000000" w:fill="A7A9AC"/>
            <w:noWrap/>
            <w:vAlign w:val="center"/>
            <w:hideMark/>
          </w:tcPr>
          <w:p w14:paraId="59E64A45"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48%</w:t>
            </w:r>
          </w:p>
        </w:tc>
      </w:tr>
      <w:tr w:rsidR="00E87104" w:rsidRPr="007F6332" w14:paraId="51BAB548" w14:textId="77777777" w:rsidTr="00E53368">
        <w:trPr>
          <w:trHeight w:val="340"/>
          <w:tblHeader/>
        </w:trPr>
        <w:tc>
          <w:tcPr>
            <w:tcW w:w="2410" w:type="dxa"/>
            <w:tcBorders>
              <w:top w:val="nil"/>
              <w:left w:val="nil"/>
              <w:bottom w:val="nil"/>
              <w:right w:val="nil"/>
            </w:tcBorders>
            <w:shd w:val="clear" w:color="auto" w:fill="auto"/>
            <w:noWrap/>
            <w:vAlign w:val="center"/>
            <w:hideMark/>
          </w:tcPr>
          <w:p w14:paraId="389D8CDF" w14:textId="6CD5F1E0" w:rsidR="00E87104" w:rsidRPr="007F6332" w:rsidRDefault="00CF02F4" w:rsidP="00C718B4">
            <w:pPr>
              <w:keepNext/>
              <w:keepLines/>
              <w:spacing w:after="0" w:line="240" w:lineRule="auto"/>
              <w:contextualSpacing/>
              <w:rPr>
                <w:rFonts w:cs="Arial"/>
                <w:color w:val="000000"/>
              </w:rPr>
            </w:pPr>
            <w:r w:rsidRPr="007F6332">
              <w:rPr>
                <w:rFonts w:eastAsia="Times New Roman" w:cs="Arial"/>
                <w:color w:val="000000"/>
                <w:szCs w:val="22"/>
                <w:lang w:val="en-AU" w:eastAsia="en-AU"/>
              </w:rPr>
              <w:t>I</w:t>
            </w:r>
            <w:r w:rsidR="00E87104" w:rsidRPr="007F6332">
              <w:rPr>
                <w:rFonts w:eastAsia="Times New Roman" w:cs="Arial"/>
                <w:color w:val="000000"/>
                <w:szCs w:val="22"/>
                <w:lang w:val="en-AU" w:eastAsia="en-AU"/>
              </w:rPr>
              <w:t xml:space="preserve">ntellectual Disability </w:t>
            </w:r>
          </w:p>
        </w:tc>
        <w:tc>
          <w:tcPr>
            <w:tcW w:w="1630" w:type="dxa"/>
            <w:tcBorders>
              <w:top w:val="nil"/>
              <w:left w:val="nil"/>
              <w:bottom w:val="nil"/>
              <w:right w:val="nil"/>
            </w:tcBorders>
            <w:shd w:val="clear" w:color="auto" w:fill="auto"/>
            <w:noWrap/>
            <w:vAlign w:val="center"/>
            <w:hideMark/>
          </w:tcPr>
          <w:p w14:paraId="0F320FEC"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1,066</w:t>
            </w:r>
          </w:p>
        </w:tc>
        <w:tc>
          <w:tcPr>
            <w:tcW w:w="1630" w:type="dxa"/>
            <w:tcBorders>
              <w:top w:val="nil"/>
              <w:left w:val="nil"/>
              <w:bottom w:val="nil"/>
              <w:right w:val="nil"/>
            </w:tcBorders>
            <w:shd w:val="clear" w:color="auto" w:fill="auto"/>
            <w:noWrap/>
            <w:vAlign w:val="center"/>
            <w:hideMark/>
          </w:tcPr>
          <w:p w14:paraId="0E997A19"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375</w:t>
            </w:r>
          </w:p>
        </w:tc>
        <w:tc>
          <w:tcPr>
            <w:tcW w:w="1630" w:type="dxa"/>
            <w:tcBorders>
              <w:top w:val="nil"/>
              <w:left w:val="nil"/>
              <w:bottom w:val="nil"/>
              <w:right w:val="nil"/>
            </w:tcBorders>
            <w:shd w:val="clear" w:color="auto" w:fill="auto"/>
            <w:noWrap/>
            <w:vAlign w:val="center"/>
            <w:hideMark/>
          </w:tcPr>
          <w:p w14:paraId="30EDCEC0"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691</w:t>
            </w:r>
          </w:p>
        </w:tc>
        <w:tc>
          <w:tcPr>
            <w:tcW w:w="1631" w:type="dxa"/>
            <w:tcBorders>
              <w:top w:val="nil"/>
              <w:left w:val="nil"/>
              <w:bottom w:val="nil"/>
              <w:right w:val="nil"/>
            </w:tcBorders>
            <w:shd w:val="clear" w:color="auto" w:fill="auto"/>
            <w:noWrap/>
            <w:vAlign w:val="center"/>
            <w:hideMark/>
          </w:tcPr>
          <w:p w14:paraId="2E216209"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184%</w:t>
            </w:r>
          </w:p>
        </w:tc>
      </w:tr>
      <w:tr w:rsidR="00E87104" w:rsidRPr="007F6332" w14:paraId="1A25AA0C" w14:textId="77777777" w:rsidTr="00E53368">
        <w:trPr>
          <w:trHeight w:val="340"/>
          <w:tblHeader/>
        </w:trPr>
        <w:tc>
          <w:tcPr>
            <w:tcW w:w="2410" w:type="dxa"/>
            <w:tcBorders>
              <w:top w:val="nil"/>
              <w:left w:val="nil"/>
              <w:bottom w:val="nil"/>
              <w:right w:val="nil"/>
            </w:tcBorders>
            <w:shd w:val="clear" w:color="000000" w:fill="A7A9AC"/>
            <w:noWrap/>
            <w:vAlign w:val="center"/>
            <w:hideMark/>
          </w:tcPr>
          <w:p w14:paraId="02C965F9" w14:textId="737580F5" w:rsidR="00E87104" w:rsidRPr="007F6332" w:rsidRDefault="00E87104" w:rsidP="00C718B4">
            <w:pPr>
              <w:keepNext/>
              <w:keepLines/>
              <w:spacing w:after="0" w:line="240" w:lineRule="auto"/>
              <w:contextualSpacing/>
              <w:rPr>
                <w:rFonts w:cs="Arial"/>
                <w:color w:val="000000"/>
              </w:rPr>
            </w:pPr>
            <w:r w:rsidRPr="007F6332">
              <w:rPr>
                <w:rFonts w:eastAsia="Times New Roman" w:cs="Arial"/>
                <w:color w:val="000000"/>
                <w:szCs w:val="22"/>
                <w:lang w:val="en-AU" w:eastAsia="en-AU"/>
              </w:rPr>
              <w:t xml:space="preserve">Other Neurological </w:t>
            </w:r>
          </w:p>
        </w:tc>
        <w:tc>
          <w:tcPr>
            <w:tcW w:w="1630" w:type="dxa"/>
            <w:tcBorders>
              <w:top w:val="nil"/>
              <w:left w:val="nil"/>
              <w:bottom w:val="nil"/>
              <w:right w:val="nil"/>
            </w:tcBorders>
            <w:shd w:val="clear" w:color="000000" w:fill="A7A9AC"/>
            <w:noWrap/>
            <w:vAlign w:val="center"/>
            <w:hideMark/>
          </w:tcPr>
          <w:p w14:paraId="0359BAA2"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653</w:t>
            </w:r>
          </w:p>
        </w:tc>
        <w:tc>
          <w:tcPr>
            <w:tcW w:w="1630" w:type="dxa"/>
            <w:tcBorders>
              <w:top w:val="nil"/>
              <w:left w:val="nil"/>
              <w:bottom w:val="nil"/>
              <w:right w:val="nil"/>
            </w:tcBorders>
            <w:shd w:val="clear" w:color="000000" w:fill="A7A9AC"/>
            <w:noWrap/>
            <w:vAlign w:val="center"/>
            <w:hideMark/>
          </w:tcPr>
          <w:p w14:paraId="24597CAC"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12</w:t>
            </w:r>
          </w:p>
        </w:tc>
        <w:tc>
          <w:tcPr>
            <w:tcW w:w="1630" w:type="dxa"/>
            <w:tcBorders>
              <w:top w:val="nil"/>
              <w:left w:val="nil"/>
              <w:bottom w:val="nil"/>
              <w:right w:val="nil"/>
            </w:tcBorders>
            <w:shd w:val="clear" w:color="000000" w:fill="A7A9AC"/>
            <w:noWrap/>
            <w:vAlign w:val="center"/>
            <w:hideMark/>
          </w:tcPr>
          <w:p w14:paraId="18109637"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641</w:t>
            </w:r>
          </w:p>
        </w:tc>
        <w:tc>
          <w:tcPr>
            <w:tcW w:w="1631" w:type="dxa"/>
            <w:tcBorders>
              <w:top w:val="nil"/>
              <w:left w:val="nil"/>
              <w:bottom w:val="nil"/>
              <w:right w:val="nil"/>
            </w:tcBorders>
            <w:shd w:val="clear" w:color="000000" w:fill="A7A9AC"/>
            <w:noWrap/>
            <w:vAlign w:val="center"/>
            <w:hideMark/>
          </w:tcPr>
          <w:p w14:paraId="4F5F6800"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5509%</w:t>
            </w:r>
          </w:p>
        </w:tc>
      </w:tr>
      <w:tr w:rsidR="00E87104" w:rsidRPr="007F6332" w14:paraId="7F44D89B" w14:textId="77777777" w:rsidTr="00E53368">
        <w:trPr>
          <w:trHeight w:val="340"/>
          <w:tblHeader/>
        </w:trPr>
        <w:tc>
          <w:tcPr>
            <w:tcW w:w="2410" w:type="dxa"/>
            <w:tcBorders>
              <w:top w:val="nil"/>
              <w:left w:val="nil"/>
              <w:bottom w:val="nil"/>
              <w:right w:val="nil"/>
            </w:tcBorders>
            <w:shd w:val="clear" w:color="auto" w:fill="auto"/>
            <w:noWrap/>
            <w:vAlign w:val="center"/>
            <w:hideMark/>
          </w:tcPr>
          <w:p w14:paraId="31F948A8" w14:textId="5BE19D71" w:rsidR="00E87104" w:rsidRPr="007F6332" w:rsidRDefault="00E87104" w:rsidP="00C718B4">
            <w:pPr>
              <w:keepNext/>
              <w:keepLines/>
              <w:spacing w:after="0" w:line="240" w:lineRule="auto"/>
              <w:contextualSpacing/>
              <w:rPr>
                <w:rFonts w:cs="Arial"/>
                <w:color w:val="000000"/>
              </w:rPr>
            </w:pPr>
            <w:r w:rsidRPr="007F6332">
              <w:rPr>
                <w:rFonts w:eastAsia="Times New Roman" w:cs="Arial"/>
                <w:color w:val="000000"/>
                <w:szCs w:val="22"/>
                <w:lang w:val="en-AU" w:eastAsia="en-AU"/>
              </w:rPr>
              <w:t xml:space="preserve">Psychosocial Disability </w:t>
            </w:r>
          </w:p>
        </w:tc>
        <w:tc>
          <w:tcPr>
            <w:tcW w:w="1630" w:type="dxa"/>
            <w:tcBorders>
              <w:top w:val="nil"/>
              <w:left w:val="nil"/>
              <w:bottom w:val="nil"/>
              <w:right w:val="nil"/>
            </w:tcBorders>
            <w:shd w:val="clear" w:color="auto" w:fill="auto"/>
            <w:noWrap/>
            <w:vAlign w:val="center"/>
            <w:hideMark/>
          </w:tcPr>
          <w:p w14:paraId="436514A5"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845</w:t>
            </w:r>
          </w:p>
        </w:tc>
        <w:tc>
          <w:tcPr>
            <w:tcW w:w="1630" w:type="dxa"/>
            <w:tcBorders>
              <w:top w:val="nil"/>
              <w:left w:val="nil"/>
              <w:bottom w:val="nil"/>
              <w:right w:val="nil"/>
            </w:tcBorders>
            <w:shd w:val="clear" w:color="auto" w:fill="auto"/>
            <w:noWrap/>
            <w:vAlign w:val="center"/>
            <w:hideMark/>
          </w:tcPr>
          <w:p w14:paraId="17D5DFF3"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296</w:t>
            </w:r>
          </w:p>
        </w:tc>
        <w:tc>
          <w:tcPr>
            <w:tcW w:w="1630" w:type="dxa"/>
            <w:tcBorders>
              <w:top w:val="nil"/>
              <w:left w:val="nil"/>
              <w:bottom w:val="nil"/>
              <w:right w:val="nil"/>
            </w:tcBorders>
            <w:shd w:val="clear" w:color="auto" w:fill="auto"/>
            <w:noWrap/>
            <w:vAlign w:val="center"/>
            <w:hideMark/>
          </w:tcPr>
          <w:p w14:paraId="02FD373C"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549</w:t>
            </w:r>
          </w:p>
        </w:tc>
        <w:tc>
          <w:tcPr>
            <w:tcW w:w="1631" w:type="dxa"/>
            <w:tcBorders>
              <w:top w:val="nil"/>
              <w:left w:val="nil"/>
              <w:bottom w:val="nil"/>
              <w:right w:val="nil"/>
            </w:tcBorders>
            <w:shd w:val="clear" w:color="auto" w:fill="auto"/>
            <w:noWrap/>
            <w:vAlign w:val="center"/>
            <w:hideMark/>
          </w:tcPr>
          <w:p w14:paraId="473CB6FD" w14:textId="77777777" w:rsidR="00E87104" w:rsidRPr="007F6332" w:rsidRDefault="00E87104" w:rsidP="00C718B4">
            <w:pPr>
              <w:keepNext/>
              <w:keepLines/>
              <w:spacing w:after="0" w:line="240" w:lineRule="auto"/>
              <w:contextualSpacing/>
              <w:jc w:val="right"/>
              <w:rPr>
                <w:rFonts w:cs="Arial"/>
                <w:color w:val="000000"/>
              </w:rPr>
            </w:pPr>
            <w:r w:rsidRPr="007F6332">
              <w:rPr>
                <w:rFonts w:eastAsia="Times New Roman" w:cs="Arial"/>
                <w:color w:val="000000"/>
                <w:szCs w:val="22"/>
                <w:lang w:val="en-AU" w:eastAsia="en-AU"/>
              </w:rPr>
              <w:t>186%</w:t>
            </w:r>
          </w:p>
        </w:tc>
      </w:tr>
      <w:tr w:rsidR="00E87104" w:rsidRPr="007F6332" w14:paraId="0B1894CD" w14:textId="77777777" w:rsidTr="00E53368">
        <w:trPr>
          <w:trHeight w:val="340"/>
          <w:tblHeader/>
        </w:trPr>
        <w:tc>
          <w:tcPr>
            <w:tcW w:w="2410" w:type="dxa"/>
            <w:tcBorders>
              <w:top w:val="nil"/>
              <w:left w:val="nil"/>
              <w:right w:val="nil"/>
            </w:tcBorders>
            <w:shd w:val="clear" w:color="000000" w:fill="A7A9AC"/>
            <w:noWrap/>
            <w:vAlign w:val="center"/>
            <w:hideMark/>
          </w:tcPr>
          <w:p w14:paraId="0F36BB35" w14:textId="7273DF92" w:rsidR="00E87104" w:rsidRPr="007F6332" w:rsidRDefault="00E87104" w:rsidP="00C718B4">
            <w:pPr>
              <w:keepNext/>
              <w:keepLines/>
              <w:spacing w:after="0" w:line="240" w:lineRule="auto"/>
              <w:contextualSpacing/>
              <w:rPr>
                <w:rFonts w:cs="Arial"/>
                <w:color w:val="000000"/>
              </w:rPr>
            </w:pPr>
            <w:r w:rsidRPr="007F6332">
              <w:rPr>
                <w:rFonts w:eastAsia="Times New Roman" w:cs="Arial"/>
                <w:color w:val="000000"/>
                <w:szCs w:val="22"/>
                <w:lang w:val="en-AU" w:eastAsia="en-AU"/>
              </w:rPr>
              <w:t xml:space="preserve">Other  </w:t>
            </w:r>
          </w:p>
        </w:tc>
        <w:tc>
          <w:tcPr>
            <w:tcW w:w="1630" w:type="dxa"/>
            <w:tcBorders>
              <w:top w:val="nil"/>
              <w:left w:val="nil"/>
              <w:right w:val="nil"/>
            </w:tcBorders>
            <w:shd w:val="clear" w:color="000000" w:fill="A7A9AC"/>
            <w:noWrap/>
            <w:vAlign w:val="center"/>
            <w:hideMark/>
          </w:tcPr>
          <w:p w14:paraId="41B88E56" w14:textId="77777777" w:rsidR="00E87104" w:rsidRPr="007F6332" w:rsidRDefault="00E87104" w:rsidP="00C718B4">
            <w:pPr>
              <w:keepNext/>
              <w:keepLines/>
              <w:spacing w:after="0" w:line="240" w:lineRule="auto"/>
              <w:contextualSpacing/>
              <w:jc w:val="right"/>
              <w:rPr>
                <w:rFonts w:cs="Arial"/>
                <w:color w:val="000000"/>
              </w:rPr>
            </w:pPr>
            <w:r w:rsidRPr="007F6332">
              <w:rPr>
                <w:rFonts w:cs="Arial"/>
                <w:color w:val="000000"/>
                <w:szCs w:val="22"/>
              </w:rPr>
              <w:t>1,647</w:t>
            </w:r>
          </w:p>
        </w:tc>
        <w:tc>
          <w:tcPr>
            <w:tcW w:w="1630" w:type="dxa"/>
            <w:tcBorders>
              <w:top w:val="nil"/>
              <w:left w:val="nil"/>
              <w:right w:val="nil"/>
            </w:tcBorders>
            <w:shd w:val="clear" w:color="000000" w:fill="A7A9AC"/>
            <w:noWrap/>
            <w:vAlign w:val="center"/>
            <w:hideMark/>
          </w:tcPr>
          <w:p w14:paraId="603947EA" w14:textId="77777777" w:rsidR="00E87104" w:rsidRPr="007F6332" w:rsidRDefault="00E87104" w:rsidP="00C718B4">
            <w:pPr>
              <w:keepNext/>
              <w:keepLines/>
              <w:spacing w:after="0" w:line="240" w:lineRule="auto"/>
              <w:contextualSpacing/>
              <w:jc w:val="right"/>
              <w:rPr>
                <w:rFonts w:cs="Arial"/>
                <w:color w:val="000000"/>
              </w:rPr>
            </w:pPr>
            <w:r w:rsidRPr="007F6332">
              <w:rPr>
                <w:rFonts w:cs="Arial"/>
                <w:color w:val="000000"/>
                <w:szCs w:val="22"/>
              </w:rPr>
              <w:t>234</w:t>
            </w:r>
          </w:p>
        </w:tc>
        <w:tc>
          <w:tcPr>
            <w:tcW w:w="1630" w:type="dxa"/>
            <w:tcBorders>
              <w:top w:val="nil"/>
              <w:left w:val="nil"/>
              <w:right w:val="nil"/>
            </w:tcBorders>
            <w:shd w:val="clear" w:color="000000" w:fill="A7A9AC"/>
            <w:noWrap/>
            <w:vAlign w:val="center"/>
            <w:hideMark/>
          </w:tcPr>
          <w:p w14:paraId="1088D193" w14:textId="77777777" w:rsidR="00E87104" w:rsidRPr="007F6332" w:rsidRDefault="00E87104" w:rsidP="00C718B4">
            <w:pPr>
              <w:keepNext/>
              <w:keepLines/>
              <w:spacing w:after="0" w:line="240" w:lineRule="auto"/>
              <w:contextualSpacing/>
              <w:jc w:val="right"/>
              <w:rPr>
                <w:rFonts w:cs="Arial"/>
                <w:color w:val="000000"/>
              </w:rPr>
            </w:pPr>
            <w:r w:rsidRPr="007F6332">
              <w:rPr>
                <w:rFonts w:cs="Arial"/>
                <w:color w:val="000000"/>
                <w:szCs w:val="22"/>
              </w:rPr>
              <w:t>1,413</w:t>
            </w:r>
          </w:p>
        </w:tc>
        <w:tc>
          <w:tcPr>
            <w:tcW w:w="1631" w:type="dxa"/>
            <w:tcBorders>
              <w:top w:val="nil"/>
              <w:left w:val="nil"/>
              <w:right w:val="nil"/>
            </w:tcBorders>
            <w:shd w:val="clear" w:color="000000" w:fill="A7A9AC"/>
            <w:noWrap/>
            <w:vAlign w:val="center"/>
            <w:hideMark/>
          </w:tcPr>
          <w:p w14:paraId="6BDCA7A7" w14:textId="77777777" w:rsidR="00E87104" w:rsidRPr="007F6332" w:rsidRDefault="00E87104" w:rsidP="00C718B4">
            <w:pPr>
              <w:keepNext/>
              <w:keepLines/>
              <w:spacing w:after="0" w:line="240" w:lineRule="auto"/>
              <w:contextualSpacing/>
              <w:jc w:val="right"/>
              <w:rPr>
                <w:rFonts w:cs="Arial"/>
                <w:color w:val="000000"/>
              </w:rPr>
            </w:pPr>
            <w:r w:rsidRPr="007F6332">
              <w:rPr>
                <w:rFonts w:cs="Arial"/>
                <w:color w:val="000000"/>
                <w:szCs w:val="22"/>
              </w:rPr>
              <w:t>605%</w:t>
            </w:r>
          </w:p>
        </w:tc>
      </w:tr>
      <w:tr w:rsidR="00E87104" w:rsidRPr="007F6332" w14:paraId="2B8F9E00" w14:textId="77777777" w:rsidTr="00E53368">
        <w:trPr>
          <w:trHeight w:val="340"/>
          <w:tblHeader/>
        </w:trPr>
        <w:tc>
          <w:tcPr>
            <w:tcW w:w="2410" w:type="dxa"/>
            <w:tcBorders>
              <w:left w:val="nil"/>
              <w:bottom w:val="single" w:sz="4" w:space="0" w:color="auto"/>
              <w:right w:val="nil"/>
            </w:tcBorders>
            <w:shd w:val="clear" w:color="auto" w:fill="B398B8"/>
            <w:noWrap/>
            <w:vAlign w:val="center"/>
            <w:hideMark/>
          </w:tcPr>
          <w:p w14:paraId="49113BF0" w14:textId="77777777" w:rsidR="00E87104" w:rsidRPr="007F6332" w:rsidRDefault="00E87104" w:rsidP="00C718B4">
            <w:pPr>
              <w:keepNext/>
              <w:keepLines/>
              <w:spacing w:after="0" w:line="240" w:lineRule="auto"/>
              <w:rPr>
                <w:rFonts w:cs="Arial"/>
                <w:b/>
                <w:bCs/>
              </w:rPr>
            </w:pPr>
            <w:r w:rsidRPr="007F6332">
              <w:rPr>
                <w:rFonts w:cs="Arial"/>
                <w:b/>
                <w:bCs/>
              </w:rPr>
              <w:t>Total</w:t>
            </w:r>
          </w:p>
        </w:tc>
        <w:tc>
          <w:tcPr>
            <w:tcW w:w="1630" w:type="dxa"/>
            <w:tcBorders>
              <w:left w:val="nil"/>
              <w:bottom w:val="single" w:sz="4" w:space="0" w:color="auto"/>
              <w:right w:val="nil"/>
            </w:tcBorders>
            <w:shd w:val="clear" w:color="auto" w:fill="B398B8"/>
            <w:noWrap/>
            <w:vAlign w:val="center"/>
            <w:hideMark/>
          </w:tcPr>
          <w:p w14:paraId="35353A42" w14:textId="77777777" w:rsidR="00E87104" w:rsidRPr="007F6332" w:rsidRDefault="00E87104" w:rsidP="00C718B4">
            <w:pPr>
              <w:keepNext/>
              <w:keepLines/>
              <w:spacing w:after="0" w:line="240" w:lineRule="auto"/>
              <w:jc w:val="right"/>
              <w:rPr>
                <w:rFonts w:cs="Arial"/>
                <w:b/>
                <w:bCs/>
              </w:rPr>
            </w:pPr>
            <w:r w:rsidRPr="007F6332">
              <w:rPr>
                <w:rFonts w:cs="Arial"/>
                <w:b/>
                <w:bCs/>
                <w:color w:val="000000"/>
              </w:rPr>
              <w:t>4,868</w:t>
            </w:r>
          </w:p>
        </w:tc>
        <w:tc>
          <w:tcPr>
            <w:tcW w:w="1630" w:type="dxa"/>
            <w:tcBorders>
              <w:left w:val="nil"/>
              <w:bottom w:val="single" w:sz="4" w:space="0" w:color="auto"/>
              <w:right w:val="nil"/>
            </w:tcBorders>
            <w:shd w:val="clear" w:color="auto" w:fill="B398B8"/>
            <w:noWrap/>
            <w:vAlign w:val="center"/>
            <w:hideMark/>
          </w:tcPr>
          <w:p w14:paraId="5608C82C" w14:textId="77777777" w:rsidR="00E87104" w:rsidRPr="007F6332" w:rsidRDefault="00E87104" w:rsidP="00C718B4">
            <w:pPr>
              <w:keepNext/>
              <w:keepLines/>
              <w:spacing w:after="0" w:line="240" w:lineRule="auto"/>
              <w:jc w:val="right"/>
              <w:rPr>
                <w:rFonts w:cs="Arial"/>
                <w:b/>
                <w:bCs/>
              </w:rPr>
            </w:pPr>
            <w:r w:rsidRPr="007F6332">
              <w:rPr>
                <w:rFonts w:cs="Arial"/>
                <w:b/>
                <w:bCs/>
                <w:color w:val="000000"/>
              </w:rPr>
              <w:t>1,361</w:t>
            </w:r>
          </w:p>
        </w:tc>
        <w:tc>
          <w:tcPr>
            <w:tcW w:w="1630" w:type="dxa"/>
            <w:tcBorders>
              <w:left w:val="nil"/>
              <w:bottom w:val="single" w:sz="4" w:space="0" w:color="auto"/>
              <w:right w:val="nil"/>
            </w:tcBorders>
            <w:shd w:val="clear" w:color="auto" w:fill="B398B8"/>
            <w:noWrap/>
            <w:vAlign w:val="center"/>
            <w:hideMark/>
          </w:tcPr>
          <w:p w14:paraId="29F423CA" w14:textId="77777777" w:rsidR="00E87104" w:rsidRPr="007F6332" w:rsidRDefault="00E87104" w:rsidP="00C718B4">
            <w:pPr>
              <w:keepNext/>
              <w:keepLines/>
              <w:spacing w:after="0" w:line="240" w:lineRule="auto"/>
              <w:jc w:val="right"/>
              <w:rPr>
                <w:rFonts w:cs="Arial"/>
                <w:b/>
                <w:bCs/>
              </w:rPr>
            </w:pPr>
            <w:r w:rsidRPr="007F6332">
              <w:rPr>
                <w:rFonts w:cs="Arial"/>
                <w:b/>
                <w:bCs/>
                <w:color w:val="000000"/>
              </w:rPr>
              <w:t>3,507</w:t>
            </w:r>
          </w:p>
        </w:tc>
        <w:tc>
          <w:tcPr>
            <w:tcW w:w="1631" w:type="dxa"/>
            <w:tcBorders>
              <w:left w:val="nil"/>
              <w:bottom w:val="single" w:sz="4" w:space="0" w:color="auto"/>
              <w:right w:val="nil"/>
            </w:tcBorders>
            <w:shd w:val="clear" w:color="auto" w:fill="B398B8"/>
            <w:noWrap/>
            <w:vAlign w:val="center"/>
            <w:hideMark/>
          </w:tcPr>
          <w:p w14:paraId="160DD420" w14:textId="77777777" w:rsidR="00E87104" w:rsidRPr="007F6332" w:rsidRDefault="00E87104" w:rsidP="00C718B4">
            <w:pPr>
              <w:keepNext/>
              <w:keepLines/>
              <w:spacing w:after="0" w:line="240" w:lineRule="auto"/>
              <w:jc w:val="right"/>
              <w:rPr>
                <w:rFonts w:cs="Arial"/>
                <w:b/>
                <w:bCs/>
              </w:rPr>
            </w:pPr>
            <w:r w:rsidRPr="007F6332">
              <w:rPr>
                <w:rFonts w:cs="Arial"/>
                <w:b/>
                <w:bCs/>
                <w:color w:val="000000"/>
              </w:rPr>
              <w:t>258%</w:t>
            </w:r>
          </w:p>
        </w:tc>
      </w:tr>
    </w:tbl>
    <w:p w14:paraId="122E4A44" w14:textId="77777777" w:rsidR="00766891" w:rsidRPr="007F6332" w:rsidRDefault="00766891" w:rsidP="00766891">
      <w:pPr>
        <w:spacing w:before="160"/>
        <w:rPr>
          <w:rFonts w:cs="Arial"/>
        </w:rPr>
      </w:pPr>
      <w:r w:rsidRPr="007F6332">
        <w:rPr>
          <w:rFonts w:cs="Arial"/>
        </w:rPr>
        <w:t>Overall, the higher-than-expected intake of participants with SIL in the 12 months to 30 June 2023 has increased the proportion of participants in the Scheme with SIL arrangements to 5.2% compared to 5.0% at 30 June 2022. The higher proportion of participants with SIL supports in 2022-23 contributed to higher overall, total Scheme level, average payments per participant.</w:t>
      </w:r>
    </w:p>
    <w:p w14:paraId="3AFB9C01" w14:textId="1954C2D0" w:rsidR="008333B3" w:rsidRPr="007F6332" w:rsidRDefault="00D67C0E" w:rsidP="00CD33D0">
      <w:pPr>
        <w:pStyle w:val="Heading4"/>
        <w:ind w:left="720"/>
        <w:rPr>
          <w:rFonts w:cs="Arial"/>
        </w:rPr>
      </w:pPr>
      <w:r w:rsidRPr="007F6332">
        <w:rPr>
          <w:rFonts w:cs="Arial"/>
        </w:rPr>
        <w:t>Growth in SIL has been influenced by changes to the Home and Living application process</w:t>
      </w:r>
      <w:r w:rsidR="008448AF" w:rsidRPr="007F6332">
        <w:rPr>
          <w:rFonts w:cs="Arial"/>
        </w:rPr>
        <w:t xml:space="preserve"> </w:t>
      </w:r>
    </w:p>
    <w:p w14:paraId="5E595DE1" w14:textId="77777777" w:rsidR="00D67C0E" w:rsidRPr="007F6332" w:rsidRDefault="00D67C0E" w:rsidP="00D67C0E">
      <w:pPr>
        <w:spacing w:before="120"/>
        <w:rPr>
          <w:rFonts w:cs="Arial"/>
        </w:rPr>
      </w:pPr>
      <w:r w:rsidRPr="007F6332">
        <w:rPr>
          <w:rFonts w:cs="Arial"/>
        </w:rPr>
        <w:t>The large net increase in participants with SIL supports in 2022-23 was influenced by changes in the Agency’s Home and Living (H&amp;L) application process.</w:t>
      </w:r>
    </w:p>
    <w:p w14:paraId="25736212" w14:textId="77777777" w:rsidR="00D67C0E" w:rsidRPr="007F6332" w:rsidRDefault="00D67C0E" w:rsidP="00D67C0E">
      <w:pPr>
        <w:spacing w:before="120"/>
        <w:rPr>
          <w:rFonts w:cs="Arial"/>
        </w:rPr>
      </w:pPr>
      <w:r w:rsidRPr="007F6332">
        <w:rPr>
          <w:rFonts w:cs="Arial"/>
        </w:rPr>
        <w:t>Prior to July 2022 a H&amp;L model was implemented that meant any participant could apply for a home and living decision at any time (not just at plan reassessment). This significantly increased the number of applications from participants seeking SIL supports for the first time. However, due to operational processes, there was often a delay of several months between approval of the H&amp;L decision and implementation of a new participant plan which included SIL arrangements.</w:t>
      </w:r>
    </w:p>
    <w:p w14:paraId="2E626724" w14:textId="32FB3981" w:rsidR="00F069D3" w:rsidRPr="007F6332" w:rsidRDefault="00D67C0E" w:rsidP="00D67C0E">
      <w:pPr>
        <w:spacing w:before="120"/>
        <w:rPr>
          <w:rFonts w:cs="Arial"/>
        </w:rPr>
      </w:pPr>
      <w:r w:rsidRPr="007F6332">
        <w:rPr>
          <w:rFonts w:cs="Arial"/>
        </w:rPr>
        <w:lastRenderedPageBreak/>
        <w:t>After July 2022, the SIL process was changed to require that H&amp;L assessments be linked to a plan reassessment. Improvements to operational process were also introduced, with more rigour being applied to H&amp;L decision making. This impacted decision rates and outcomes.</w:t>
      </w:r>
    </w:p>
    <w:p w14:paraId="101BA9B2" w14:textId="3F342B99" w:rsidR="00F069D3" w:rsidRPr="007F6332" w:rsidRDefault="00F069D3" w:rsidP="00F069D3">
      <w:pPr>
        <w:spacing w:before="120"/>
        <w:rPr>
          <w:rFonts w:cs="Arial"/>
        </w:rPr>
      </w:pPr>
      <w:r w:rsidRPr="007F6332">
        <w:rPr>
          <w:rFonts w:cs="Arial"/>
        </w:rPr>
        <w:t>This is illustrated in Figure 4.1</w:t>
      </w:r>
      <w:r w:rsidR="0039328A" w:rsidRPr="007F6332">
        <w:rPr>
          <w:rFonts w:cs="Arial"/>
        </w:rPr>
        <w:t>3</w:t>
      </w:r>
      <w:r w:rsidRPr="007F6332">
        <w:rPr>
          <w:rFonts w:cs="Arial"/>
        </w:rPr>
        <w:t xml:space="preserve"> which shows the monthly number of home and living decisions that were determined ‘eligible’ for participants new to SIL</w:t>
      </w:r>
      <w:r w:rsidR="005C0DF3" w:rsidRPr="007F6332">
        <w:rPr>
          <w:rFonts w:cs="Arial"/>
        </w:rPr>
        <w:t xml:space="preserve"> (SIL eligible decisions)</w:t>
      </w:r>
      <w:r w:rsidRPr="007F6332">
        <w:rPr>
          <w:rFonts w:cs="Arial"/>
        </w:rPr>
        <w:t xml:space="preserve"> as well as the number of participants new to SIL arrangements.</w:t>
      </w:r>
    </w:p>
    <w:p w14:paraId="1049CE6F" w14:textId="1881AEEB" w:rsidR="00F069D3" w:rsidRPr="007F6332" w:rsidRDefault="00F069D3" w:rsidP="00F069D3">
      <w:pPr>
        <w:spacing w:before="120"/>
        <w:rPr>
          <w:rFonts w:cs="Arial"/>
        </w:rPr>
      </w:pPr>
      <w:r w:rsidRPr="007F6332">
        <w:rPr>
          <w:rFonts w:cs="Arial"/>
        </w:rPr>
        <w:t xml:space="preserve">The volume of </w:t>
      </w:r>
      <w:r w:rsidR="005C0DF3" w:rsidRPr="007F6332">
        <w:rPr>
          <w:rFonts w:cs="Arial"/>
        </w:rPr>
        <w:t>SIL</w:t>
      </w:r>
      <w:r w:rsidRPr="007F6332">
        <w:rPr>
          <w:rFonts w:cs="Arial"/>
        </w:rPr>
        <w:t xml:space="preserve"> eligible decisions peaked around July 2022. The number of participants new to SIL supports peaked around January 2023, reflecting a six-month lag between SIL eligibility and first receipt of supports. This lag is driven by a number of factors including the time taken to make appropriate adjustments to the participant’s plan, finding an appropriate SIL provide</w:t>
      </w:r>
      <w:bookmarkStart w:id="86" w:name="_Hlk150698868"/>
      <w:r w:rsidRPr="007F6332">
        <w:rPr>
          <w:rFonts w:cs="Arial"/>
        </w:rPr>
        <w:t>r</w:t>
      </w:r>
      <w:r w:rsidR="005E502D" w:rsidRPr="007F6332">
        <w:rPr>
          <w:rFonts w:cs="Arial"/>
        </w:rPr>
        <w:t xml:space="preserve">, delays in SIL providers lodging </w:t>
      </w:r>
      <w:bookmarkEnd w:id="86"/>
      <w:r w:rsidR="005E502D" w:rsidRPr="007F6332">
        <w:rPr>
          <w:rFonts w:cs="Arial"/>
        </w:rPr>
        <w:t>claims,</w:t>
      </w:r>
      <w:r w:rsidRPr="007F6332">
        <w:rPr>
          <w:rFonts w:cs="Arial"/>
        </w:rPr>
        <w:t xml:space="preserve"> and the payment made to providers for SIL supports being processed.</w:t>
      </w:r>
    </w:p>
    <w:p w14:paraId="7A8137B6" w14:textId="77777777" w:rsidR="00F069D3" w:rsidRPr="007F6332" w:rsidRDefault="00F069D3" w:rsidP="00F069D3">
      <w:pPr>
        <w:rPr>
          <w:rFonts w:cs="Arial"/>
        </w:rPr>
      </w:pPr>
      <w:r w:rsidRPr="007F6332">
        <w:rPr>
          <w:rFonts w:cs="Arial"/>
        </w:rPr>
        <w:t>The number of home and living decisions on SIL eligibility has trended downwards since July 2022 and was stable in the 5 months to June 2023, indicating a reduction in outstanding decisions.</w:t>
      </w:r>
    </w:p>
    <w:p w14:paraId="101CB078" w14:textId="5D534AD5" w:rsidR="00EF5457" w:rsidRPr="007F6332" w:rsidRDefault="00EF5457" w:rsidP="006B61AA">
      <w:pPr>
        <w:pStyle w:val="FiguresandTablesHeading5"/>
      </w:pPr>
      <w:r w:rsidRPr="007F6332">
        <w:t>Figure 4.13: Monthly participants new to SIL supports and Home and Living SIL decisions that were ‘eligible’ over the past 2 years</w:t>
      </w:r>
      <w:r w:rsidRPr="007F6332">
        <w:rPr>
          <w:vertAlign w:val="superscript"/>
        </w:rPr>
        <w:footnoteReference w:id="63"/>
      </w:r>
    </w:p>
    <w:p w14:paraId="7E6A2AE9" w14:textId="0078EC21" w:rsidR="00AB324D" w:rsidRPr="007F6332" w:rsidRDefault="00E56A04" w:rsidP="00CD33D0">
      <w:pPr>
        <w:rPr>
          <w:rFonts w:cs="Arial"/>
        </w:rPr>
      </w:pPr>
      <w:bookmarkStart w:id="87" w:name="_Ref144320480"/>
      <w:r w:rsidRPr="007F6332">
        <w:rPr>
          <w:rFonts w:cs="Arial"/>
          <w:noProof/>
        </w:rPr>
        <w:drawing>
          <wp:inline distT="0" distB="0" distL="0" distR="0" wp14:anchorId="1AD64E86" wp14:editId="3887E068">
            <wp:extent cx="5329620" cy="2905125"/>
            <wp:effectExtent l="0" t="0" r="4445" b="0"/>
            <wp:docPr id="916015617" name="Picture 16" descr="Figure 4.13 Monthly participants new to SIL supports and Home and Living SIL decisions that were ‘eligible’ over the past 2 years. The figure shows monthly number of participants identified as receiving SIL supports for the first time (participants new to SIL) and monthly numbers of decisions made that a participant is eligible for SIL supports for the first time. Monthly numbers are shown for July 2021 to June 2023 inclusive.&#10;The monthly number of first eligible decisions is 221 in July 2021, follows a broadly increasing trend to reach a peak of 843 in July 2022, and then reduces to 352 in June 2023. The monthly number of participants new to SIL is 241 in July 2021, follows a broadly increasing trend to reach a peak of 842 in November 2022 and 838 in January 2023, and then reduces to 299 in June 2023. An arrow indicates there is an approximate 6-month lag between eligible decisions for SIL and participants being identified as receiving SIL suppor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15617" name="Picture 16" descr="Figure 4.13 Monthly participants new to SIL supports and Home and Living SIL decisions that were ‘eligible’ over the past 2 years. The figure shows monthly number of participants identified as receiving SIL supports for the first time (participants new to SIL) and monthly numbers of decisions made that a participant is eligible for SIL supports for the first time. Monthly numbers are shown for July 2021 to June 2023 inclusive.&#10;The monthly number of first eligible decisions is 221 in July 2021, follows a broadly increasing trend to reach a peak of 843 in July 2022, and then reduces to 352 in June 2023. The monthly number of participants new to SIL is 241 in July 2021, follows a broadly increasing trend to reach a peak of 842 in November 2022 and 838 in January 2023, and then reduces to 299 in June 2023. An arrow indicates there is an approximate 6-month lag between eligible decisions for SIL and participants being identified as receiving SIL supports.&#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3580" cy="2907284"/>
                    </a:xfrm>
                    <a:prstGeom prst="rect">
                      <a:avLst/>
                    </a:prstGeom>
                    <a:noFill/>
                  </pic:spPr>
                </pic:pic>
              </a:graphicData>
            </a:graphic>
          </wp:inline>
        </w:drawing>
      </w:r>
      <w:bookmarkStart w:id="88" w:name="_Ref144320377"/>
      <w:bookmarkStart w:id="89" w:name="_Toc146286152"/>
      <w:bookmarkStart w:id="90" w:name="_Toc152614977"/>
      <w:bookmarkEnd w:id="87"/>
    </w:p>
    <w:p w14:paraId="3EC9B536" w14:textId="77777777" w:rsidR="00C221F5" w:rsidRPr="007F6332" w:rsidRDefault="00C221F5">
      <w:pPr>
        <w:spacing w:line="276" w:lineRule="auto"/>
        <w:rPr>
          <w:rFonts w:cs="Arial"/>
          <w:b/>
          <w:color w:val="6A2875"/>
          <w:sz w:val="30"/>
          <w:szCs w:val="30"/>
        </w:rPr>
      </w:pPr>
      <w:r w:rsidRPr="007F6332">
        <w:rPr>
          <w:rFonts w:cs="Arial"/>
        </w:rPr>
        <w:br w:type="page"/>
      </w:r>
    </w:p>
    <w:p w14:paraId="67C8175E" w14:textId="779F8BF9" w:rsidR="002867E7" w:rsidRPr="007F6332" w:rsidRDefault="002867E7" w:rsidP="00CD33D0">
      <w:pPr>
        <w:pStyle w:val="Heading3"/>
        <w:ind w:left="709" w:hanging="709"/>
        <w:rPr>
          <w:rFonts w:cs="Arial"/>
        </w:rPr>
      </w:pPr>
      <w:r w:rsidRPr="007F6332">
        <w:rPr>
          <w:rFonts w:cs="Arial"/>
        </w:rPr>
        <w:lastRenderedPageBreak/>
        <w:t>Total Scheme expense</w:t>
      </w:r>
      <w:bookmarkEnd w:id="88"/>
      <w:bookmarkEnd w:id="89"/>
      <w:bookmarkEnd w:id="90"/>
    </w:p>
    <w:p w14:paraId="4826A9B0" w14:textId="7CF92207" w:rsidR="005923E5" w:rsidRPr="007F6332" w:rsidRDefault="005923E5" w:rsidP="00CD33D0">
      <w:pPr>
        <w:pStyle w:val="Heading4"/>
        <w:ind w:left="851" w:hanging="851"/>
        <w:rPr>
          <w:rFonts w:cs="Arial"/>
        </w:rPr>
      </w:pPr>
      <w:r w:rsidRPr="007F6332">
        <w:rPr>
          <w:rFonts w:cs="Arial"/>
        </w:rPr>
        <w:t>Scheme expenses for the year were higher than expected</w:t>
      </w:r>
    </w:p>
    <w:p w14:paraId="7024215B" w14:textId="77777777" w:rsidR="00897954" w:rsidRPr="007F6332" w:rsidRDefault="00897954" w:rsidP="00897954">
      <w:pPr>
        <w:rPr>
          <w:rFonts w:cs="Arial"/>
        </w:rPr>
      </w:pPr>
      <w:r w:rsidRPr="007F6332">
        <w:rPr>
          <w:rFonts w:cs="Arial"/>
        </w:rPr>
        <w:t>From 1 July</w:t>
      </w:r>
      <w:r w:rsidRPr="007F6332" w:rsidDel="00A17060">
        <w:rPr>
          <w:rFonts w:cs="Arial"/>
        </w:rPr>
        <w:t xml:space="preserve"> </w:t>
      </w:r>
      <w:r w:rsidRPr="007F6332">
        <w:rPr>
          <w:rFonts w:cs="Arial"/>
        </w:rPr>
        <w:t>2022 to 30 June 2023, $34.7 billion in Scheme expenses</w:t>
      </w:r>
      <w:r w:rsidRPr="007F6332">
        <w:rPr>
          <w:rStyle w:val="FootnoteReference"/>
          <w:rFonts w:cs="Arial"/>
        </w:rPr>
        <w:footnoteReference w:id="64"/>
      </w:r>
      <w:r w:rsidRPr="007F6332">
        <w:rPr>
          <w:rFonts w:cs="Arial"/>
        </w:rPr>
        <w:t xml:space="preserve"> were incurred on a cash basis</w:t>
      </w:r>
      <w:r w:rsidRPr="007F6332">
        <w:rPr>
          <w:rStyle w:val="FootnoteReference"/>
          <w:rFonts w:eastAsia="Times New Roman" w:cs="Arial"/>
        </w:rPr>
        <w:footnoteReference w:id="65"/>
      </w:r>
      <w:r w:rsidRPr="007F6332">
        <w:rPr>
          <w:rFonts w:cs="Arial"/>
        </w:rPr>
        <w:t xml:space="preserve"> across all participants. This was $1.2 billion or 3.7% higher than the estimate of $33.5 billion in the June 2022 projections</w:t>
      </w:r>
      <w:r w:rsidRPr="007F6332">
        <w:rPr>
          <w:rStyle w:val="FootnoteReference"/>
          <w:rFonts w:cs="Arial"/>
        </w:rPr>
        <w:footnoteReference w:id="66"/>
      </w:r>
      <w:r w:rsidRPr="007F6332">
        <w:rPr>
          <w:rFonts w:cs="Arial"/>
        </w:rPr>
        <w:t>. Scheme expenses on an accrual basis were $35.1 billion, 3.2% higher than the estimate of $34.0 billion in the June 2022 projections but in line with the December 2022 projections.</w:t>
      </w:r>
    </w:p>
    <w:p w14:paraId="41FE422C" w14:textId="0A29C4F5" w:rsidR="00A2767D" w:rsidRPr="007F6332" w:rsidRDefault="00C915FE" w:rsidP="00306084">
      <w:pPr>
        <w:rPr>
          <w:rFonts w:cs="Arial"/>
        </w:rPr>
      </w:pPr>
      <w:r w:rsidRPr="007F6332">
        <w:rPr>
          <w:rFonts w:cs="Arial"/>
        </w:rPr>
        <w:t xml:space="preserve">Table 4.11 </w:t>
      </w:r>
      <w:r w:rsidR="005923E5" w:rsidRPr="007F6332">
        <w:rPr>
          <w:rFonts w:cs="Arial"/>
        </w:rPr>
        <w:t xml:space="preserve">compares </w:t>
      </w:r>
      <w:r w:rsidR="00E77642" w:rsidRPr="007F6332">
        <w:rPr>
          <w:rFonts w:cs="Arial"/>
        </w:rPr>
        <w:t>Scheme expense</w:t>
      </w:r>
      <w:r w:rsidR="005923E5" w:rsidRPr="007F6332">
        <w:rPr>
          <w:rFonts w:cs="Arial"/>
        </w:rPr>
        <w:t xml:space="preserve"> experience in 2022-23 against expectations in the </w:t>
      </w:r>
      <w:r w:rsidR="00E77642" w:rsidRPr="007F6332">
        <w:rPr>
          <w:rFonts w:cs="Arial"/>
        </w:rPr>
        <w:t>June 2022 projections</w:t>
      </w:r>
      <w:r w:rsidR="005923E5" w:rsidRPr="007F6332">
        <w:rPr>
          <w:rFonts w:cs="Arial"/>
        </w:rPr>
        <w:t xml:space="preserve"> by SIL status. </w:t>
      </w:r>
      <w:r w:rsidR="00046F8A" w:rsidRPr="007F6332">
        <w:rPr>
          <w:rFonts w:eastAsia="Arial" w:cs="Arial"/>
          <w:color w:val="000000" w:themeColor="text1"/>
        </w:rPr>
        <w:t>Scheme expenses</w:t>
      </w:r>
      <w:r w:rsidR="005923E5" w:rsidRPr="007F6332">
        <w:rPr>
          <w:rFonts w:eastAsia="Arial" w:cs="Arial"/>
          <w:color w:val="000000" w:themeColor="text1"/>
        </w:rPr>
        <w:t xml:space="preserve"> related to participants with SIL supports </w:t>
      </w:r>
      <w:r w:rsidR="002F631C" w:rsidRPr="007F6332">
        <w:rPr>
          <w:rFonts w:eastAsia="Arial" w:cs="Arial"/>
          <w:color w:val="000000" w:themeColor="text1"/>
        </w:rPr>
        <w:t>were</w:t>
      </w:r>
      <w:r w:rsidR="005923E5" w:rsidRPr="007F6332">
        <w:rPr>
          <w:rFonts w:eastAsia="Arial" w:cs="Arial"/>
          <w:color w:val="000000" w:themeColor="text1"/>
        </w:rPr>
        <w:t xml:space="preserve"> $1.1 billion </w:t>
      </w:r>
      <w:r w:rsidR="005923E5" w:rsidRPr="007F6332">
        <w:rPr>
          <w:rFonts w:cs="Arial"/>
        </w:rPr>
        <w:t>(</w:t>
      </w:r>
      <w:r w:rsidR="00D337C5" w:rsidRPr="007F6332">
        <w:rPr>
          <w:rFonts w:cs="Arial"/>
        </w:rPr>
        <w:t>10.9</w:t>
      </w:r>
      <w:r w:rsidR="005923E5" w:rsidRPr="007F6332">
        <w:rPr>
          <w:rFonts w:cs="Arial"/>
        </w:rPr>
        <w:t>%) higher than expected.</w:t>
      </w:r>
    </w:p>
    <w:p w14:paraId="49893900" w14:textId="59D9D605" w:rsidR="004B75E2" w:rsidRPr="007F6332" w:rsidRDefault="004B75E2" w:rsidP="006B61AA">
      <w:pPr>
        <w:pStyle w:val="FiguresandTablesHeading5"/>
      </w:pPr>
      <w:r w:rsidRPr="007F6332">
        <w:t>Table 4.11: 2022-23 Scheme expense experience: participants with and without SIL supports ($m)</w:t>
      </w:r>
    </w:p>
    <w:tbl>
      <w:tblPr>
        <w:tblW w:w="4862" w:type="pct"/>
        <w:tblLook w:val="04A0" w:firstRow="1" w:lastRow="0" w:firstColumn="1" w:lastColumn="0" w:noHBand="0" w:noVBand="1"/>
      </w:tblPr>
      <w:tblGrid>
        <w:gridCol w:w="2519"/>
        <w:gridCol w:w="1408"/>
        <w:gridCol w:w="1633"/>
        <w:gridCol w:w="1633"/>
        <w:gridCol w:w="1607"/>
      </w:tblGrid>
      <w:tr w:rsidR="00AC644F" w:rsidRPr="007F6332" w14:paraId="5557F782" w14:textId="77777777" w:rsidTr="00F70F30">
        <w:trPr>
          <w:trHeight w:val="603"/>
        </w:trPr>
        <w:tc>
          <w:tcPr>
            <w:tcW w:w="1431" w:type="pct"/>
            <w:tcBorders>
              <w:top w:val="nil"/>
              <w:left w:val="nil"/>
              <w:right w:val="nil"/>
            </w:tcBorders>
            <w:shd w:val="clear" w:color="000000" w:fill="6B2976"/>
            <w:noWrap/>
            <w:vAlign w:val="center"/>
            <w:hideMark/>
          </w:tcPr>
          <w:p w14:paraId="0BB282F5" w14:textId="13D6ABFF" w:rsidR="00AC644F" w:rsidRPr="007F6332" w:rsidRDefault="00D86F5A" w:rsidP="00AC644F">
            <w:pPr>
              <w:spacing w:after="0"/>
              <w:rPr>
                <w:rFonts w:cs="Arial"/>
                <w:b/>
                <w:bCs/>
                <w:color w:val="FFFFFF"/>
              </w:rPr>
            </w:pPr>
            <w:r w:rsidRPr="007F6332">
              <w:rPr>
                <w:rFonts w:cs="Arial"/>
                <w:b/>
                <w:bCs/>
                <w:color w:val="FFFFFF"/>
              </w:rPr>
              <w:t>Scheme Expenses</w:t>
            </w:r>
          </w:p>
        </w:tc>
        <w:tc>
          <w:tcPr>
            <w:tcW w:w="800" w:type="pct"/>
            <w:tcBorders>
              <w:top w:val="nil"/>
              <w:left w:val="nil"/>
              <w:right w:val="nil"/>
            </w:tcBorders>
            <w:shd w:val="clear" w:color="000000" w:fill="6B2976"/>
            <w:vAlign w:val="center"/>
            <w:hideMark/>
          </w:tcPr>
          <w:p w14:paraId="5A56A72D" w14:textId="73B60291" w:rsidR="00AC644F" w:rsidRPr="007F6332" w:rsidRDefault="00AC644F" w:rsidP="00AC644F">
            <w:pPr>
              <w:spacing w:after="0"/>
              <w:jc w:val="right"/>
              <w:rPr>
                <w:rFonts w:cs="Arial"/>
                <w:b/>
                <w:bCs/>
                <w:color w:val="FFFFFF" w:themeColor="background1"/>
              </w:rPr>
            </w:pPr>
            <w:r w:rsidRPr="007F6332">
              <w:rPr>
                <w:rFonts w:cs="Arial"/>
                <w:b/>
                <w:bCs/>
                <w:color w:val="FFFFFF" w:themeColor="background1"/>
              </w:rPr>
              <w:t>Actual</w:t>
            </w:r>
          </w:p>
        </w:tc>
        <w:tc>
          <w:tcPr>
            <w:tcW w:w="928" w:type="pct"/>
            <w:tcBorders>
              <w:top w:val="nil"/>
              <w:left w:val="nil"/>
              <w:right w:val="nil"/>
            </w:tcBorders>
            <w:shd w:val="clear" w:color="000000" w:fill="6B2976"/>
            <w:vAlign w:val="center"/>
            <w:hideMark/>
          </w:tcPr>
          <w:p w14:paraId="49584FB3" w14:textId="5553D2DD" w:rsidR="00AC644F" w:rsidRPr="007F6332" w:rsidRDefault="00AC644F" w:rsidP="00AC644F">
            <w:pPr>
              <w:spacing w:after="0"/>
              <w:jc w:val="right"/>
              <w:rPr>
                <w:rFonts w:cs="Arial"/>
                <w:b/>
                <w:bCs/>
                <w:color w:val="FFFFFF" w:themeColor="background1"/>
              </w:rPr>
            </w:pPr>
            <w:r w:rsidRPr="007F6332">
              <w:rPr>
                <w:rFonts w:cs="Arial"/>
                <w:b/>
                <w:bCs/>
                <w:color w:val="FFFFFF" w:themeColor="background1"/>
              </w:rPr>
              <w:t xml:space="preserve">Expected </w:t>
            </w:r>
          </w:p>
        </w:tc>
        <w:tc>
          <w:tcPr>
            <w:tcW w:w="928" w:type="pct"/>
            <w:tcBorders>
              <w:top w:val="nil"/>
              <w:left w:val="nil"/>
              <w:right w:val="nil"/>
            </w:tcBorders>
            <w:shd w:val="clear" w:color="000000" w:fill="6B2976"/>
            <w:vAlign w:val="center"/>
            <w:hideMark/>
          </w:tcPr>
          <w:p w14:paraId="5BF66483" w14:textId="5B074776" w:rsidR="00AC644F" w:rsidRPr="007F6332" w:rsidRDefault="00AC644F" w:rsidP="00AC644F">
            <w:pPr>
              <w:spacing w:after="0"/>
              <w:jc w:val="right"/>
              <w:rPr>
                <w:rFonts w:cs="Arial"/>
                <w:b/>
                <w:bCs/>
                <w:color w:val="FFFFFF" w:themeColor="background1"/>
              </w:rPr>
            </w:pPr>
            <w:r w:rsidRPr="007F6332">
              <w:rPr>
                <w:rFonts w:cs="Arial"/>
                <w:b/>
                <w:bCs/>
                <w:color w:val="FFFFFF" w:themeColor="background1"/>
              </w:rPr>
              <w:t xml:space="preserve">Difference </w:t>
            </w:r>
          </w:p>
        </w:tc>
        <w:tc>
          <w:tcPr>
            <w:tcW w:w="913" w:type="pct"/>
            <w:tcBorders>
              <w:top w:val="nil"/>
              <w:left w:val="nil"/>
              <w:right w:val="nil"/>
            </w:tcBorders>
            <w:shd w:val="clear" w:color="000000" w:fill="6B2976"/>
            <w:vAlign w:val="center"/>
            <w:hideMark/>
          </w:tcPr>
          <w:p w14:paraId="167AD14E" w14:textId="50F55CE1" w:rsidR="00AC644F" w:rsidRPr="007F6332" w:rsidRDefault="00AC644F" w:rsidP="00AC644F">
            <w:pPr>
              <w:spacing w:after="0"/>
              <w:jc w:val="right"/>
              <w:rPr>
                <w:rFonts w:cs="Arial"/>
                <w:b/>
                <w:bCs/>
                <w:color w:val="FFFFFF" w:themeColor="background1"/>
              </w:rPr>
            </w:pPr>
            <w:r w:rsidRPr="007F6332">
              <w:rPr>
                <w:rFonts w:cs="Arial"/>
                <w:b/>
                <w:bCs/>
                <w:color w:val="FFFFFF" w:themeColor="background1"/>
              </w:rPr>
              <w:t xml:space="preserve">% Difference </w:t>
            </w:r>
          </w:p>
        </w:tc>
      </w:tr>
      <w:tr w:rsidR="005B43C9" w:rsidRPr="007F6332" w14:paraId="5313A1B3" w14:textId="77777777" w:rsidTr="00F70F30">
        <w:trPr>
          <w:trHeight w:val="340"/>
        </w:trPr>
        <w:tc>
          <w:tcPr>
            <w:tcW w:w="1431" w:type="pct"/>
            <w:tcBorders>
              <w:top w:val="nil"/>
              <w:left w:val="nil"/>
              <w:bottom w:val="nil"/>
              <w:right w:val="nil"/>
            </w:tcBorders>
            <w:shd w:val="clear" w:color="000000" w:fill="A7A9AC"/>
            <w:noWrap/>
            <w:vAlign w:val="center"/>
            <w:hideMark/>
          </w:tcPr>
          <w:p w14:paraId="2ABF0DD2" w14:textId="5F311BD8" w:rsidR="005B43C9" w:rsidRPr="007F6332" w:rsidRDefault="005B43C9" w:rsidP="005B43C9">
            <w:pPr>
              <w:spacing w:after="0"/>
              <w:rPr>
                <w:rFonts w:cs="Arial"/>
              </w:rPr>
            </w:pPr>
            <w:r w:rsidRPr="007F6332">
              <w:rPr>
                <w:rFonts w:cs="Arial"/>
              </w:rPr>
              <w:t>Participants with SIL</w:t>
            </w:r>
          </w:p>
        </w:tc>
        <w:tc>
          <w:tcPr>
            <w:tcW w:w="800" w:type="pct"/>
            <w:tcBorders>
              <w:top w:val="nil"/>
              <w:left w:val="nil"/>
              <w:bottom w:val="nil"/>
              <w:right w:val="nil"/>
            </w:tcBorders>
            <w:shd w:val="clear" w:color="000000" w:fill="A7A9AC"/>
            <w:noWrap/>
            <w:vAlign w:val="center"/>
            <w:hideMark/>
          </w:tcPr>
          <w:p w14:paraId="7E81FD30" w14:textId="546A3256" w:rsidR="005B43C9" w:rsidRPr="007F6332" w:rsidRDefault="005B43C9" w:rsidP="005B43C9">
            <w:pPr>
              <w:spacing w:after="0"/>
              <w:jc w:val="right"/>
              <w:rPr>
                <w:rFonts w:cs="Arial"/>
              </w:rPr>
            </w:pPr>
            <w:r w:rsidRPr="007F6332">
              <w:rPr>
                <w:rFonts w:cs="Arial"/>
              </w:rPr>
              <w:t>11,481</w:t>
            </w:r>
          </w:p>
        </w:tc>
        <w:tc>
          <w:tcPr>
            <w:tcW w:w="928" w:type="pct"/>
            <w:tcBorders>
              <w:top w:val="nil"/>
              <w:left w:val="nil"/>
              <w:bottom w:val="nil"/>
              <w:right w:val="nil"/>
            </w:tcBorders>
            <w:shd w:val="clear" w:color="000000" w:fill="A7A9AC"/>
            <w:noWrap/>
            <w:vAlign w:val="center"/>
            <w:hideMark/>
          </w:tcPr>
          <w:p w14:paraId="5BDB1AB7" w14:textId="42865982" w:rsidR="005B43C9" w:rsidRPr="007F6332" w:rsidRDefault="005B43C9" w:rsidP="005B43C9">
            <w:pPr>
              <w:spacing w:after="0"/>
              <w:jc w:val="right"/>
              <w:rPr>
                <w:rFonts w:cs="Arial"/>
              </w:rPr>
            </w:pPr>
            <w:r w:rsidRPr="007F6332">
              <w:rPr>
                <w:rFonts w:cs="Arial"/>
              </w:rPr>
              <w:t>10,350</w:t>
            </w:r>
          </w:p>
        </w:tc>
        <w:tc>
          <w:tcPr>
            <w:tcW w:w="928" w:type="pct"/>
            <w:tcBorders>
              <w:top w:val="nil"/>
              <w:left w:val="nil"/>
              <w:bottom w:val="nil"/>
              <w:right w:val="nil"/>
            </w:tcBorders>
            <w:shd w:val="clear" w:color="000000" w:fill="A7A9AC"/>
            <w:noWrap/>
            <w:vAlign w:val="center"/>
            <w:hideMark/>
          </w:tcPr>
          <w:p w14:paraId="7F9CB71E" w14:textId="12CB74CD" w:rsidR="005B43C9" w:rsidRPr="007F6332" w:rsidRDefault="005B43C9" w:rsidP="005B43C9">
            <w:pPr>
              <w:spacing w:after="0"/>
              <w:jc w:val="right"/>
              <w:rPr>
                <w:rFonts w:cs="Arial"/>
              </w:rPr>
            </w:pPr>
            <w:r w:rsidRPr="007F6332">
              <w:rPr>
                <w:rFonts w:cs="Arial"/>
              </w:rPr>
              <w:t>1,131</w:t>
            </w:r>
          </w:p>
        </w:tc>
        <w:tc>
          <w:tcPr>
            <w:tcW w:w="913" w:type="pct"/>
            <w:tcBorders>
              <w:top w:val="nil"/>
              <w:left w:val="nil"/>
              <w:bottom w:val="nil"/>
              <w:right w:val="nil"/>
            </w:tcBorders>
            <w:shd w:val="clear" w:color="000000" w:fill="A7A9AC"/>
            <w:noWrap/>
            <w:vAlign w:val="center"/>
            <w:hideMark/>
          </w:tcPr>
          <w:p w14:paraId="3A29F588" w14:textId="707A1515" w:rsidR="005B43C9" w:rsidRPr="007F6332" w:rsidRDefault="005B43C9" w:rsidP="005B43C9">
            <w:pPr>
              <w:spacing w:after="0"/>
              <w:jc w:val="right"/>
              <w:rPr>
                <w:rFonts w:cs="Arial"/>
              </w:rPr>
            </w:pPr>
            <w:r w:rsidRPr="007F6332">
              <w:rPr>
                <w:rFonts w:cs="Arial"/>
              </w:rPr>
              <w:t>10.9%</w:t>
            </w:r>
          </w:p>
        </w:tc>
      </w:tr>
      <w:tr w:rsidR="005B43C9" w:rsidRPr="007F6332" w14:paraId="393E766D" w14:textId="77777777" w:rsidTr="00F70F30">
        <w:trPr>
          <w:trHeight w:val="340"/>
        </w:trPr>
        <w:tc>
          <w:tcPr>
            <w:tcW w:w="1431" w:type="pct"/>
            <w:tcBorders>
              <w:top w:val="nil"/>
              <w:left w:val="nil"/>
              <w:right w:val="nil"/>
            </w:tcBorders>
            <w:shd w:val="clear" w:color="000000" w:fill="FFFFFF"/>
            <w:noWrap/>
            <w:vAlign w:val="center"/>
            <w:hideMark/>
          </w:tcPr>
          <w:p w14:paraId="332F25AC" w14:textId="6F098BF9" w:rsidR="005B43C9" w:rsidRPr="007F6332" w:rsidRDefault="005B43C9" w:rsidP="005B43C9">
            <w:pPr>
              <w:spacing w:after="0"/>
              <w:rPr>
                <w:rFonts w:cs="Arial"/>
              </w:rPr>
            </w:pPr>
            <w:r w:rsidRPr="007F6332">
              <w:rPr>
                <w:rFonts w:cs="Arial"/>
              </w:rPr>
              <w:t>Participants without SIL</w:t>
            </w:r>
          </w:p>
        </w:tc>
        <w:tc>
          <w:tcPr>
            <w:tcW w:w="800" w:type="pct"/>
            <w:tcBorders>
              <w:top w:val="nil"/>
              <w:left w:val="nil"/>
              <w:right w:val="nil"/>
            </w:tcBorders>
            <w:shd w:val="clear" w:color="000000" w:fill="FFFFFF"/>
            <w:noWrap/>
            <w:vAlign w:val="center"/>
            <w:hideMark/>
          </w:tcPr>
          <w:p w14:paraId="32C50290" w14:textId="60485C26" w:rsidR="005B43C9" w:rsidRPr="007F6332" w:rsidRDefault="005B43C9" w:rsidP="005B43C9">
            <w:pPr>
              <w:spacing w:after="0"/>
              <w:jc w:val="right"/>
              <w:rPr>
                <w:rFonts w:cs="Arial"/>
              </w:rPr>
            </w:pPr>
            <w:r w:rsidRPr="007F6332">
              <w:rPr>
                <w:rFonts w:cs="Arial"/>
              </w:rPr>
              <w:t>23,177</w:t>
            </w:r>
          </w:p>
        </w:tc>
        <w:tc>
          <w:tcPr>
            <w:tcW w:w="928" w:type="pct"/>
            <w:tcBorders>
              <w:top w:val="nil"/>
              <w:left w:val="nil"/>
              <w:right w:val="nil"/>
            </w:tcBorders>
            <w:shd w:val="clear" w:color="000000" w:fill="FFFFFF"/>
            <w:noWrap/>
            <w:vAlign w:val="center"/>
            <w:hideMark/>
          </w:tcPr>
          <w:p w14:paraId="4B00284D" w14:textId="5A03E954" w:rsidR="005B43C9" w:rsidRPr="007F6332" w:rsidRDefault="005B43C9" w:rsidP="005B43C9">
            <w:pPr>
              <w:spacing w:after="0"/>
              <w:jc w:val="right"/>
              <w:rPr>
                <w:rFonts w:cs="Arial"/>
              </w:rPr>
            </w:pPr>
            <w:r w:rsidRPr="007F6332">
              <w:rPr>
                <w:rFonts w:cs="Arial"/>
              </w:rPr>
              <w:t>23,125</w:t>
            </w:r>
          </w:p>
        </w:tc>
        <w:tc>
          <w:tcPr>
            <w:tcW w:w="928" w:type="pct"/>
            <w:tcBorders>
              <w:top w:val="nil"/>
              <w:left w:val="nil"/>
              <w:right w:val="nil"/>
            </w:tcBorders>
            <w:shd w:val="clear" w:color="000000" w:fill="FFFFFF"/>
            <w:noWrap/>
            <w:vAlign w:val="center"/>
            <w:hideMark/>
          </w:tcPr>
          <w:p w14:paraId="6016F194" w14:textId="22766591" w:rsidR="005B43C9" w:rsidRPr="007F6332" w:rsidRDefault="005B43C9" w:rsidP="005B43C9">
            <w:pPr>
              <w:spacing w:after="0"/>
              <w:jc w:val="right"/>
              <w:rPr>
                <w:rFonts w:cs="Arial"/>
              </w:rPr>
            </w:pPr>
            <w:r w:rsidRPr="007F6332">
              <w:rPr>
                <w:rFonts w:cs="Arial"/>
              </w:rPr>
              <w:t>52</w:t>
            </w:r>
          </w:p>
        </w:tc>
        <w:tc>
          <w:tcPr>
            <w:tcW w:w="913" w:type="pct"/>
            <w:tcBorders>
              <w:top w:val="nil"/>
              <w:left w:val="nil"/>
              <w:right w:val="nil"/>
            </w:tcBorders>
            <w:shd w:val="clear" w:color="000000" w:fill="FFFFFF"/>
            <w:noWrap/>
            <w:vAlign w:val="center"/>
            <w:hideMark/>
          </w:tcPr>
          <w:p w14:paraId="6B3EB246" w14:textId="68A7E7B9" w:rsidR="005B43C9" w:rsidRPr="007F6332" w:rsidRDefault="005B43C9" w:rsidP="005B43C9">
            <w:pPr>
              <w:spacing w:after="0"/>
              <w:jc w:val="right"/>
              <w:rPr>
                <w:rFonts w:cs="Arial"/>
              </w:rPr>
            </w:pPr>
            <w:r w:rsidRPr="007F6332">
              <w:rPr>
                <w:rFonts w:cs="Arial"/>
              </w:rPr>
              <w:t>0.2%</w:t>
            </w:r>
          </w:p>
        </w:tc>
      </w:tr>
      <w:tr w:rsidR="005B43C9" w:rsidRPr="007F6332" w14:paraId="0A37FC5D" w14:textId="77777777" w:rsidTr="00F70F30">
        <w:trPr>
          <w:trHeight w:val="311"/>
        </w:trPr>
        <w:tc>
          <w:tcPr>
            <w:tcW w:w="1431" w:type="pct"/>
            <w:tcBorders>
              <w:left w:val="nil"/>
              <w:bottom w:val="single" w:sz="4" w:space="0" w:color="auto"/>
              <w:right w:val="nil"/>
            </w:tcBorders>
            <w:shd w:val="clear" w:color="000000" w:fill="B398B8"/>
            <w:noWrap/>
            <w:vAlign w:val="center"/>
            <w:hideMark/>
          </w:tcPr>
          <w:p w14:paraId="2C520AAA" w14:textId="782618B9" w:rsidR="005B43C9" w:rsidRPr="007F6332" w:rsidRDefault="00E220FC" w:rsidP="00E220FC">
            <w:pPr>
              <w:spacing w:after="0"/>
              <w:rPr>
                <w:rFonts w:cs="Arial"/>
                <w:b/>
                <w:bCs/>
              </w:rPr>
            </w:pPr>
            <w:r w:rsidRPr="007F6332">
              <w:rPr>
                <w:rFonts w:cs="Arial"/>
                <w:b/>
                <w:bCs/>
              </w:rPr>
              <w:t>Total</w:t>
            </w:r>
          </w:p>
        </w:tc>
        <w:tc>
          <w:tcPr>
            <w:tcW w:w="800" w:type="pct"/>
            <w:tcBorders>
              <w:left w:val="nil"/>
              <w:bottom w:val="single" w:sz="4" w:space="0" w:color="auto"/>
              <w:right w:val="nil"/>
            </w:tcBorders>
            <w:shd w:val="clear" w:color="000000" w:fill="B398B8"/>
            <w:noWrap/>
            <w:vAlign w:val="center"/>
            <w:hideMark/>
          </w:tcPr>
          <w:p w14:paraId="626FF825" w14:textId="3DE77269" w:rsidR="005B43C9" w:rsidRPr="007F6332" w:rsidRDefault="005B43C9" w:rsidP="00E220FC">
            <w:pPr>
              <w:spacing w:after="0"/>
              <w:jc w:val="right"/>
              <w:rPr>
                <w:rFonts w:cs="Arial"/>
                <w:b/>
                <w:bCs/>
              </w:rPr>
            </w:pPr>
            <w:r w:rsidRPr="007F6332">
              <w:rPr>
                <w:rFonts w:cs="Arial"/>
                <w:b/>
                <w:bCs/>
              </w:rPr>
              <w:t>34,724</w:t>
            </w:r>
          </w:p>
        </w:tc>
        <w:tc>
          <w:tcPr>
            <w:tcW w:w="928" w:type="pct"/>
            <w:tcBorders>
              <w:left w:val="nil"/>
              <w:bottom w:val="single" w:sz="4" w:space="0" w:color="auto"/>
              <w:right w:val="nil"/>
            </w:tcBorders>
            <w:shd w:val="clear" w:color="000000" w:fill="B398B8"/>
            <w:noWrap/>
            <w:vAlign w:val="center"/>
            <w:hideMark/>
          </w:tcPr>
          <w:p w14:paraId="7C8F7BDA" w14:textId="380E7551" w:rsidR="005B43C9" w:rsidRPr="007F6332" w:rsidRDefault="005B43C9" w:rsidP="00E220FC">
            <w:pPr>
              <w:spacing w:after="0"/>
              <w:jc w:val="right"/>
              <w:rPr>
                <w:rFonts w:cs="Arial"/>
                <w:b/>
                <w:bCs/>
              </w:rPr>
            </w:pPr>
            <w:r w:rsidRPr="007F6332">
              <w:rPr>
                <w:rFonts w:cs="Arial"/>
                <w:b/>
                <w:bCs/>
              </w:rPr>
              <w:t>33,475</w:t>
            </w:r>
          </w:p>
        </w:tc>
        <w:tc>
          <w:tcPr>
            <w:tcW w:w="928" w:type="pct"/>
            <w:tcBorders>
              <w:left w:val="nil"/>
              <w:bottom w:val="single" w:sz="4" w:space="0" w:color="auto"/>
              <w:right w:val="nil"/>
            </w:tcBorders>
            <w:shd w:val="clear" w:color="000000" w:fill="B398B8"/>
            <w:noWrap/>
            <w:vAlign w:val="center"/>
            <w:hideMark/>
          </w:tcPr>
          <w:p w14:paraId="278F6749" w14:textId="245F7DC6" w:rsidR="005B43C9" w:rsidRPr="007F6332" w:rsidRDefault="005B43C9" w:rsidP="00E220FC">
            <w:pPr>
              <w:spacing w:after="0"/>
              <w:jc w:val="right"/>
              <w:rPr>
                <w:rFonts w:cs="Arial"/>
                <w:b/>
                <w:bCs/>
              </w:rPr>
            </w:pPr>
            <w:r w:rsidRPr="007F6332">
              <w:rPr>
                <w:rFonts w:cs="Arial"/>
                <w:b/>
                <w:bCs/>
              </w:rPr>
              <w:t>1,248</w:t>
            </w:r>
          </w:p>
        </w:tc>
        <w:tc>
          <w:tcPr>
            <w:tcW w:w="913" w:type="pct"/>
            <w:tcBorders>
              <w:left w:val="nil"/>
              <w:bottom w:val="single" w:sz="4" w:space="0" w:color="auto"/>
              <w:right w:val="nil"/>
            </w:tcBorders>
            <w:shd w:val="clear" w:color="000000" w:fill="B398B8"/>
            <w:noWrap/>
            <w:vAlign w:val="center"/>
            <w:hideMark/>
          </w:tcPr>
          <w:p w14:paraId="437A368F" w14:textId="52B31BB3" w:rsidR="005B43C9" w:rsidRPr="007F6332" w:rsidRDefault="009A59FF" w:rsidP="00E220FC">
            <w:pPr>
              <w:spacing w:after="0"/>
              <w:jc w:val="right"/>
              <w:rPr>
                <w:rFonts w:cs="Arial"/>
                <w:b/>
                <w:bCs/>
              </w:rPr>
            </w:pPr>
            <w:r w:rsidRPr="007F6332">
              <w:rPr>
                <w:rFonts w:cs="Arial"/>
                <w:b/>
                <w:bCs/>
              </w:rPr>
              <w:t>3.7%</w:t>
            </w:r>
          </w:p>
        </w:tc>
      </w:tr>
    </w:tbl>
    <w:p w14:paraId="21B89E87" w14:textId="77777777" w:rsidR="00430221" w:rsidRPr="007F6332" w:rsidRDefault="00430221" w:rsidP="00BB35B6">
      <w:pPr>
        <w:spacing w:before="120" w:after="120"/>
        <w:rPr>
          <w:rFonts w:cs="Arial"/>
        </w:rPr>
      </w:pPr>
      <w:r w:rsidRPr="007F6332">
        <w:rPr>
          <w:rFonts w:cs="Arial"/>
        </w:rPr>
        <w:t>Table 4.12 shows a breakdown of Scheme expenses related to participants with SIL by major primary disability groups. Scheme expenses for participants with SIL with a psychosocial disability or other neurological disability were each over $200 million higher than expected accounting for 39% of the total difference to expectations in the previous review. Scheme expenses for participants with SIL supports with autism or intellectual disability were around $100 million higher than expected accounting for a further 19% of the total difference compared to expected.</w:t>
      </w:r>
    </w:p>
    <w:p w14:paraId="6EF2A560" w14:textId="361889FD" w:rsidR="008B7A71" w:rsidRPr="007F6332" w:rsidRDefault="00306084" w:rsidP="006B61AA">
      <w:pPr>
        <w:pStyle w:val="FiguresandTablesHeading5"/>
      </w:pPr>
      <w:r w:rsidRPr="007F6332">
        <w:t xml:space="preserve">Table 4.12: </w:t>
      </w:r>
      <w:r w:rsidR="00A574D6" w:rsidRPr="007F6332">
        <w:t xml:space="preserve">Scheme expense experience: participants with SIL, by primary disability ($m) </w:t>
      </w:r>
    </w:p>
    <w:tbl>
      <w:tblPr>
        <w:tblpPr w:leftFromText="180" w:rightFromText="180" w:vertAnchor="text" w:horzAnchor="margin" w:tblpY="126"/>
        <w:tblW w:w="4862" w:type="pct"/>
        <w:tblLayout w:type="fixed"/>
        <w:tblLook w:val="04A0" w:firstRow="1" w:lastRow="0" w:firstColumn="1" w:lastColumn="0" w:noHBand="0" w:noVBand="1"/>
      </w:tblPr>
      <w:tblGrid>
        <w:gridCol w:w="2403"/>
        <w:gridCol w:w="1387"/>
        <w:gridCol w:w="1661"/>
        <w:gridCol w:w="1661"/>
        <w:gridCol w:w="1688"/>
      </w:tblGrid>
      <w:tr w:rsidR="00AF67F5" w:rsidRPr="007F6332" w14:paraId="7930AA4F" w14:textId="77777777" w:rsidTr="00F70F30">
        <w:trPr>
          <w:trHeight w:val="574"/>
        </w:trPr>
        <w:tc>
          <w:tcPr>
            <w:tcW w:w="1365" w:type="pct"/>
            <w:tcBorders>
              <w:top w:val="nil"/>
              <w:left w:val="nil"/>
              <w:right w:val="nil"/>
            </w:tcBorders>
            <w:shd w:val="clear" w:color="000000" w:fill="6B2976"/>
            <w:vAlign w:val="center"/>
            <w:hideMark/>
          </w:tcPr>
          <w:p w14:paraId="560F8CD5" w14:textId="6A67BBF0" w:rsidR="00AF67F5" w:rsidRPr="007F6332" w:rsidRDefault="00AF67F5" w:rsidP="00B62B34">
            <w:pPr>
              <w:spacing w:after="0" w:line="240" w:lineRule="auto"/>
              <w:rPr>
                <w:rFonts w:cs="Arial"/>
                <w:b/>
                <w:bCs/>
                <w:color w:val="FFFFFF" w:themeColor="background1"/>
              </w:rPr>
            </w:pPr>
            <w:r w:rsidRPr="007F6332">
              <w:rPr>
                <w:rFonts w:cs="Arial"/>
                <w:b/>
                <w:bCs/>
                <w:color w:val="FFFFFF" w:themeColor="background1"/>
              </w:rPr>
              <w:t xml:space="preserve">Primary Disability </w:t>
            </w:r>
          </w:p>
        </w:tc>
        <w:tc>
          <w:tcPr>
            <w:tcW w:w="788" w:type="pct"/>
            <w:tcBorders>
              <w:top w:val="nil"/>
              <w:left w:val="nil"/>
              <w:right w:val="nil"/>
            </w:tcBorders>
            <w:shd w:val="clear" w:color="000000" w:fill="6B2976"/>
            <w:vAlign w:val="center"/>
            <w:hideMark/>
          </w:tcPr>
          <w:p w14:paraId="2D9A9E72" w14:textId="1DBAC744" w:rsidR="00AF67F5" w:rsidRPr="007F6332" w:rsidRDefault="00AF67F5" w:rsidP="00C07822">
            <w:pPr>
              <w:spacing w:after="0" w:line="240" w:lineRule="auto"/>
              <w:jc w:val="center"/>
              <w:rPr>
                <w:rFonts w:cs="Arial"/>
                <w:b/>
                <w:bCs/>
                <w:color w:val="FFFFFF" w:themeColor="background1"/>
              </w:rPr>
            </w:pPr>
            <w:r w:rsidRPr="007F6332">
              <w:rPr>
                <w:rFonts w:cs="Arial"/>
                <w:b/>
                <w:bCs/>
                <w:color w:val="FFFFFF" w:themeColor="background1"/>
              </w:rPr>
              <w:t>Actual</w:t>
            </w:r>
          </w:p>
        </w:tc>
        <w:tc>
          <w:tcPr>
            <w:tcW w:w="944" w:type="pct"/>
            <w:tcBorders>
              <w:top w:val="nil"/>
              <w:left w:val="nil"/>
              <w:right w:val="nil"/>
            </w:tcBorders>
            <w:shd w:val="clear" w:color="000000" w:fill="6B2976"/>
            <w:vAlign w:val="center"/>
            <w:hideMark/>
          </w:tcPr>
          <w:p w14:paraId="1FBD57CE" w14:textId="217B3853" w:rsidR="00AF67F5" w:rsidRPr="007F6332" w:rsidRDefault="00AF67F5" w:rsidP="00C07822">
            <w:pPr>
              <w:spacing w:after="0" w:line="240" w:lineRule="auto"/>
              <w:jc w:val="center"/>
              <w:rPr>
                <w:rFonts w:cs="Arial"/>
                <w:b/>
                <w:bCs/>
                <w:color w:val="FFFFFF" w:themeColor="background1"/>
              </w:rPr>
            </w:pPr>
            <w:r w:rsidRPr="007F6332">
              <w:rPr>
                <w:rFonts w:cs="Arial"/>
                <w:b/>
                <w:bCs/>
                <w:color w:val="FFFFFF" w:themeColor="background1"/>
              </w:rPr>
              <w:t>Expected</w:t>
            </w:r>
          </w:p>
        </w:tc>
        <w:tc>
          <w:tcPr>
            <w:tcW w:w="944" w:type="pct"/>
            <w:tcBorders>
              <w:top w:val="nil"/>
              <w:left w:val="nil"/>
              <w:right w:val="nil"/>
            </w:tcBorders>
            <w:shd w:val="clear" w:color="000000" w:fill="6B2976"/>
            <w:vAlign w:val="center"/>
            <w:hideMark/>
          </w:tcPr>
          <w:p w14:paraId="3DDE2BE3" w14:textId="18D1790C" w:rsidR="00AF67F5" w:rsidRPr="007F6332" w:rsidRDefault="00AF67F5" w:rsidP="00C07822">
            <w:pPr>
              <w:spacing w:after="0" w:line="240" w:lineRule="auto"/>
              <w:jc w:val="center"/>
              <w:rPr>
                <w:rFonts w:cs="Arial"/>
                <w:b/>
                <w:bCs/>
                <w:color w:val="FFFFFF" w:themeColor="background1"/>
              </w:rPr>
            </w:pPr>
            <w:r w:rsidRPr="007F6332">
              <w:rPr>
                <w:rFonts w:cs="Arial"/>
                <w:b/>
                <w:bCs/>
                <w:color w:val="FFFFFF" w:themeColor="background1"/>
              </w:rPr>
              <w:t>Difference</w:t>
            </w:r>
          </w:p>
        </w:tc>
        <w:tc>
          <w:tcPr>
            <w:tcW w:w="959" w:type="pct"/>
            <w:tcBorders>
              <w:top w:val="nil"/>
              <w:left w:val="nil"/>
              <w:right w:val="nil"/>
            </w:tcBorders>
            <w:shd w:val="clear" w:color="000000" w:fill="6B2976"/>
            <w:vAlign w:val="center"/>
            <w:hideMark/>
          </w:tcPr>
          <w:p w14:paraId="0F468A32" w14:textId="065C8A5E" w:rsidR="00AF67F5" w:rsidRPr="007F6332" w:rsidRDefault="00D4137D" w:rsidP="00C07822">
            <w:pPr>
              <w:spacing w:after="0" w:line="240" w:lineRule="auto"/>
              <w:jc w:val="center"/>
              <w:rPr>
                <w:rFonts w:cs="Arial"/>
                <w:b/>
                <w:bCs/>
                <w:color w:val="FFFFFF" w:themeColor="background1"/>
              </w:rPr>
            </w:pPr>
            <w:r w:rsidRPr="007F6332">
              <w:rPr>
                <w:rFonts w:cs="Arial"/>
                <w:b/>
                <w:bCs/>
                <w:color w:val="FFFFFF" w:themeColor="background1"/>
              </w:rPr>
              <w:t xml:space="preserve">% </w:t>
            </w:r>
            <w:r w:rsidR="00AF67F5" w:rsidRPr="007F6332">
              <w:rPr>
                <w:rFonts w:cs="Arial"/>
                <w:b/>
                <w:bCs/>
                <w:color w:val="FFFFFF" w:themeColor="background1"/>
              </w:rPr>
              <w:t>Difference</w:t>
            </w:r>
          </w:p>
        </w:tc>
      </w:tr>
      <w:tr w:rsidR="00AF67F5" w:rsidRPr="007F6332" w14:paraId="5077359B" w14:textId="77777777" w:rsidTr="00F70F30">
        <w:trPr>
          <w:trHeight w:val="340"/>
        </w:trPr>
        <w:tc>
          <w:tcPr>
            <w:tcW w:w="1365" w:type="pct"/>
            <w:tcBorders>
              <w:top w:val="nil"/>
              <w:left w:val="nil"/>
              <w:bottom w:val="nil"/>
              <w:right w:val="nil"/>
            </w:tcBorders>
            <w:shd w:val="clear" w:color="000000" w:fill="A7A9AC"/>
            <w:noWrap/>
            <w:vAlign w:val="center"/>
            <w:hideMark/>
          </w:tcPr>
          <w:p w14:paraId="5B028100" w14:textId="77777777" w:rsidR="00AF67F5" w:rsidRPr="007F6332" w:rsidRDefault="00AF67F5" w:rsidP="00E87104">
            <w:pPr>
              <w:spacing w:after="0"/>
              <w:rPr>
                <w:rFonts w:cs="Arial"/>
                <w:color w:val="000000"/>
              </w:rPr>
            </w:pPr>
            <w:r w:rsidRPr="007F6332">
              <w:rPr>
                <w:rFonts w:cs="Arial"/>
                <w:color w:val="000000"/>
              </w:rPr>
              <w:t>Autism</w:t>
            </w:r>
          </w:p>
        </w:tc>
        <w:tc>
          <w:tcPr>
            <w:tcW w:w="788" w:type="pct"/>
            <w:tcBorders>
              <w:top w:val="nil"/>
              <w:left w:val="nil"/>
              <w:bottom w:val="nil"/>
              <w:right w:val="nil"/>
            </w:tcBorders>
            <w:shd w:val="clear" w:color="000000" w:fill="A7A9AC"/>
            <w:noWrap/>
            <w:vAlign w:val="center"/>
            <w:hideMark/>
          </w:tcPr>
          <w:p w14:paraId="0A1BB0D9" w14:textId="77777777" w:rsidR="00AF67F5" w:rsidRPr="007F6332" w:rsidRDefault="00AF67F5" w:rsidP="002D71C8">
            <w:pPr>
              <w:spacing w:after="0"/>
              <w:jc w:val="center"/>
              <w:rPr>
                <w:rFonts w:cs="Arial"/>
                <w:color w:val="000000"/>
              </w:rPr>
            </w:pPr>
            <w:r w:rsidRPr="007F6332">
              <w:rPr>
                <w:rFonts w:cs="Arial"/>
                <w:color w:val="000000"/>
              </w:rPr>
              <w:t>1,496</w:t>
            </w:r>
          </w:p>
        </w:tc>
        <w:tc>
          <w:tcPr>
            <w:tcW w:w="944" w:type="pct"/>
            <w:tcBorders>
              <w:top w:val="nil"/>
              <w:left w:val="nil"/>
              <w:bottom w:val="nil"/>
              <w:right w:val="nil"/>
            </w:tcBorders>
            <w:shd w:val="clear" w:color="000000" w:fill="A7A9AC"/>
            <w:noWrap/>
            <w:vAlign w:val="center"/>
            <w:hideMark/>
          </w:tcPr>
          <w:p w14:paraId="635C321F" w14:textId="77777777" w:rsidR="00AF67F5" w:rsidRPr="007F6332" w:rsidRDefault="00AF67F5" w:rsidP="002D71C8">
            <w:pPr>
              <w:spacing w:after="0"/>
              <w:jc w:val="center"/>
              <w:rPr>
                <w:rFonts w:cs="Arial"/>
                <w:color w:val="000000"/>
              </w:rPr>
            </w:pPr>
            <w:r w:rsidRPr="007F6332">
              <w:rPr>
                <w:rFonts w:cs="Arial"/>
                <w:color w:val="000000"/>
              </w:rPr>
              <w:t>1,403</w:t>
            </w:r>
          </w:p>
        </w:tc>
        <w:tc>
          <w:tcPr>
            <w:tcW w:w="944" w:type="pct"/>
            <w:tcBorders>
              <w:top w:val="nil"/>
              <w:left w:val="nil"/>
              <w:bottom w:val="nil"/>
              <w:right w:val="nil"/>
            </w:tcBorders>
            <w:shd w:val="clear" w:color="000000" w:fill="A7A9AC"/>
            <w:noWrap/>
            <w:vAlign w:val="center"/>
            <w:hideMark/>
          </w:tcPr>
          <w:p w14:paraId="62FBBF6D" w14:textId="77777777" w:rsidR="00AF67F5" w:rsidRPr="007F6332" w:rsidRDefault="00AF67F5" w:rsidP="002D71C8">
            <w:pPr>
              <w:spacing w:after="0"/>
              <w:jc w:val="center"/>
              <w:rPr>
                <w:rFonts w:cs="Arial"/>
                <w:color w:val="000000"/>
              </w:rPr>
            </w:pPr>
            <w:r w:rsidRPr="007F6332">
              <w:rPr>
                <w:rFonts w:cs="Arial"/>
                <w:color w:val="000000"/>
              </w:rPr>
              <w:t>93</w:t>
            </w:r>
          </w:p>
        </w:tc>
        <w:tc>
          <w:tcPr>
            <w:tcW w:w="959" w:type="pct"/>
            <w:tcBorders>
              <w:top w:val="nil"/>
              <w:left w:val="nil"/>
              <w:bottom w:val="nil"/>
              <w:right w:val="nil"/>
            </w:tcBorders>
            <w:shd w:val="clear" w:color="000000" w:fill="A7A9AC"/>
            <w:noWrap/>
            <w:vAlign w:val="center"/>
            <w:hideMark/>
          </w:tcPr>
          <w:p w14:paraId="6EEBB593" w14:textId="77777777" w:rsidR="00AF67F5" w:rsidRPr="007F6332" w:rsidRDefault="00AF67F5" w:rsidP="00E53368">
            <w:pPr>
              <w:spacing w:after="0"/>
              <w:jc w:val="right"/>
              <w:rPr>
                <w:rFonts w:cs="Arial"/>
                <w:color w:val="000000"/>
              </w:rPr>
            </w:pPr>
            <w:r w:rsidRPr="007F6332">
              <w:rPr>
                <w:rFonts w:cs="Arial"/>
                <w:color w:val="000000"/>
              </w:rPr>
              <w:t>6.6%</w:t>
            </w:r>
          </w:p>
        </w:tc>
      </w:tr>
      <w:tr w:rsidR="00AF67F5" w:rsidRPr="007F6332" w14:paraId="41A49D41" w14:textId="77777777" w:rsidTr="00F70F30">
        <w:trPr>
          <w:trHeight w:val="340"/>
        </w:trPr>
        <w:tc>
          <w:tcPr>
            <w:tcW w:w="1365" w:type="pct"/>
            <w:tcBorders>
              <w:top w:val="nil"/>
              <w:left w:val="nil"/>
              <w:bottom w:val="nil"/>
              <w:right w:val="nil"/>
            </w:tcBorders>
            <w:shd w:val="clear" w:color="auto" w:fill="auto"/>
            <w:noWrap/>
            <w:vAlign w:val="center"/>
            <w:hideMark/>
          </w:tcPr>
          <w:p w14:paraId="085066C2" w14:textId="77777777" w:rsidR="00AF67F5" w:rsidRPr="007F6332" w:rsidRDefault="00AF67F5" w:rsidP="00E87104">
            <w:pPr>
              <w:spacing w:after="0"/>
              <w:rPr>
                <w:rFonts w:cs="Arial"/>
                <w:color w:val="000000"/>
              </w:rPr>
            </w:pPr>
            <w:r w:rsidRPr="007F6332">
              <w:rPr>
                <w:rFonts w:cs="Arial"/>
                <w:color w:val="000000"/>
              </w:rPr>
              <w:t>Intellectual Disability</w:t>
            </w:r>
          </w:p>
        </w:tc>
        <w:tc>
          <w:tcPr>
            <w:tcW w:w="788" w:type="pct"/>
            <w:tcBorders>
              <w:top w:val="nil"/>
              <w:left w:val="nil"/>
              <w:bottom w:val="nil"/>
              <w:right w:val="nil"/>
            </w:tcBorders>
            <w:shd w:val="clear" w:color="auto" w:fill="auto"/>
            <w:noWrap/>
            <w:vAlign w:val="center"/>
            <w:hideMark/>
          </w:tcPr>
          <w:p w14:paraId="0F82E617" w14:textId="77777777" w:rsidR="00AF67F5" w:rsidRPr="007F6332" w:rsidRDefault="00AF67F5" w:rsidP="002D71C8">
            <w:pPr>
              <w:spacing w:after="0"/>
              <w:jc w:val="center"/>
              <w:rPr>
                <w:rFonts w:cs="Arial"/>
                <w:color w:val="000000"/>
              </w:rPr>
            </w:pPr>
            <w:r w:rsidRPr="007F6332">
              <w:rPr>
                <w:rFonts w:cs="Arial"/>
                <w:color w:val="000000"/>
              </w:rPr>
              <w:t>4,968</w:t>
            </w:r>
          </w:p>
        </w:tc>
        <w:tc>
          <w:tcPr>
            <w:tcW w:w="944" w:type="pct"/>
            <w:tcBorders>
              <w:top w:val="nil"/>
              <w:left w:val="nil"/>
              <w:bottom w:val="nil"/>
              <w:right w:val="nil"/>
            </w:tcBorders>
            <w:shd w:val="clear" w:color="auto" w:fill="auto"/>
            <w:noWrap/>
            <w:vAlign w:val="center"/>
            <w:hideMark/>
          </w:tcPr>
          <w:p w14:paraId="2BC1AA04" w14:textId="77777777" w:rsidR="00AF67F5" w:rsidRPr="007F6332" w:rsidRDefault="00AF67F5" w:rsidP="002D71C8">
            <w:pPr>
              <w:spacing w:after="0"/>
              <w:jc w:val="center"/>
              <w:rPr>
                <w:rFonts w:cs="Arial"/>
                <w:color w:val="000000"/>
              </w:rPr>
            </w:pPr>
            <w:r w:rsidRPr="007F6332">
              <w:rPr>
                <w:rFonts w:cs="Arial"/>
                <w:color w:val="000000"/>
              </w:rPr>
              <w:t>4,850</w:t>
            </w:r>
          </w:p>
        </w:tc>
        <w:tc>
          <w:tcPr>
            <w:tcW w:w="944" w:type="pct"/>
            <w:tcBorders>
              <w:top w:val="nil"/>
              <w:left w:val="nil"/>
              <w:bottom w:val="nil"/>
              <w:right w:val="nil"/>
            </w:tcBorders>
            <w:shd w:val="clear" w:color="auto" w:fill="auto"/>
            <w:noWrap/>
            <w:vAlign w:val="center"/>
            <w:hideMark/>
          </w:tcPr>
          <w:p w14:paraId="3FA434FE" w14:textId="77777777" w:rsidR="00AF67F5" w:rsidRPr="007F6332" w:rsidRDefault="00AF67F5" w:rsidP="002D71C8">
            <w:pPr>
              <w:spacing w:after="0"/>
              <w:jc w:val="center"/>
              <w:rPr>
                <w:rFonts w:cs="Arial"/>
                <w:color w:val="000000"/>
              </w:rPr>
            </w:pPr>
            <w:r w:rsidRPr="007F6332">
              <w:rPr>
                <w:rFonts w:cs="Arial"/>
                <w:color w:val="000000"/>
              </w:rPr>
              <w:t>119</w:t>
            </w:r>
          </w:p>
        </w:tc>
        <w:tc>
          <w:tcPr>
            <w:tcW w:w="959" w:type="pct"/>
            <w:tcBorders>
              <w:top w:val="nil"/>
              <w:left w:val="nil"/>
              <w:bottom w:val="nil"/>
              <w:right w:val="nil"/>
            </w:tcBorders>
            <w:shd w:val="clear" w:color="auto" w:fill="auto"/>
            <w:noWrap/>
            <w:vAlign w:val="center"/>
            <w:hideMark/>
          </w:tcPr>
          <w:p w14:paraId="1991D070" w14:textId="77777777" w:rsidR="00AF67F5" w:rsidRPr="007F6332" w:rsidRDefault="00AF67F5" w:rsidP="00E53368">
            <w:pPr>
              <w:spacing w:after="0"/>
              <w:jc w:val="right"/>
              <w:rPr>
                <w:rFonts w:cs="Arial"/>
                <w:color w:val="000000"/>
              </w:rPr>
            </w:pPr>
            <w:r w:rsidRPr="007F6332">
              <w:rPr>
                <w:rFonts w:cs="Arial"/>
                <w:color w:val="000000"/>
              </w:rPr>
              <w:t>2.4%</w:t>
            </w:r>
          </w:p>
        </w:tc>
      </w:tr>
      <w:tr w:rsidR="00AF67F5" w:rsidRPr="007F6332" w14:paraId="38BEF002" w14:textId="77777777" w:rsidTr="00F70F30">
        <w:trPr>
          <w:trHeight w:val="340"/>
        </w:trPr>
        <w:tc>
          <w:tcPr>
            <w:tcW w:w="1365" w:type="pct"/>
            <w:tcBorders>
              <w:top w:val="nil"/>
              <w:left w:val="nil"/>
              <w:bottom w:val="nil"/>
              <w:right w:val="nil"/>
            </w:tcBorders>
            <w:shd w:val="clear" w:color="000000" w:fill="A7A9AC"/>
            <w:noWrap/>
            <w:vAlign w:val="center"/>
            <w:hideMark/>
          </w:tcPr>
          <w:p w14:paraId="6331A073" w14:textId="77777777" w:rsidR="00AF67F5" w:rsidRPr="007F6332" w:rsidRDefault="00AF67F5" w:rsidP="00E87104">
            <w:pPr>
              <w:spacing w:after="0"/>
              <w:rPr>
                <w:rFonts w:cs="Arial"/>
                <w:color w:val="000000"/>
              </w:rPr>
            </w:pPr>
            <w:r w:rsidRPr="007F6332">
              <w:rPr>
                <w:rFonts w:cs="Arial"/>
                <w:color w:val="000000"/>
              </w:rPr>
              <w:t>Other Neurological</w:t>
            </w:r>
          </w:p>
        </w:tc>
        <w:tc>
          <w:tcPr>
            <w:tcW w:w="788" w:type="pct"/>
            <w:tcBorders>
              <w:top w:val="nil"/>
              <w:left w:val="nil"/>
              <w:bottom w:val="nil"/>
              <w:right w:val="nil"/>
            </w:tcBorders>
            <w:shd w:val="clear" w:color="000000" w:fill="A7A9AC"/>
            <w:noWrap/>
            <w:vAlign w:val="center"/>
            <w:hideMark/>
          </w:tcPr>
          <w:p w14:paraId="01E553D1" w14:textId="77777777" w:rsidR="00AF67F5" w:rsidRPr="007F6332" w:rsidRDefault="00AF67F5" w:rsidP="002D71C8">
            <w:pPr>
              <w:spacing w:after="0"/>
              <w:jc w:val="center"/>
              <w:rPr>
                <w:rFonts w:cs="Arial"/>
                <w:color w:val="000000"/>
              </w:rPr>
            </w:pPr>
            <w:r w:rsidRPr="007F6332">
              <w:rPr>
                <w:rFonts w:cs="Arial"/>
                <w:color w:val="000000"/>
              </w:rPr>
              <w:t>789</w:t>
            </w:r>
          </w:p>
        </w:tc>
        <w:tc>
          <w:tcPr>
            <w:tcW w:w="944" w:type="pct"/>
            <w:tcBorders>
              <w:top w:val="nil"/>
              <w:left w:val="nil"/>
              <w:bottom w:val="nil"/>
              <w:right w:val="nil"/>
            </w:tcBorders>
            <w:shd w:val="clear" w:color="000000" w:fill="A7A9AC"/>
            <w:noWrap/>
            <w:vAlign w:val="center"/>
            <w:hideMark/>
          </w:tcPr>
          <w:p w14:paraId="55CD2BF3" w14:textId="77777777" w:rsidR="00AF67F5" w:rsidRPr="007F6332" w:rsidRDefault="00AF67F5" w:rsidP="002D71C8">
            <w:pPr>
              <w:spacing w:after="0"/>
              <w:jc w:val="center"/>
              <w:rPr>
                <w:rFonts w:cs="Arial"/>
                <w:color w:val="000000"/>
              </w:rPr>
            </w:pPr>
            <w:r w:rsidRPr="007F6332">
              <w:rPr>
                <w:rFonts w:cs="Arial"/>
                <w:color w:val="000000"/>
              </w:rPr>
              <w:t>570</w:t>
            </w:r>
          </w:p>
        </w:tc>
        <w:tc>
          <w:tcPr>
            <w:tcW w:w="944" w:type="pct"/>
            <w:tcBorders>
              <w:top w:val="nil"/>
              <w:left w:val="nil"/>
              <w:bottom w:val="nil"/>
              <w:right w:val="nil"/>
            </w:tcBorders>
            <w:shd w:val="clear" w:color="000000" w:fill="A7A9AC"/>
            <w:noWrap/>
            <w:vAlign w:val="center"/>
            <w:hideMark/>
          </w:tcPr>
          <w:p w14:paraId="3B1BFDDE" w14:textId="77777777" w:rsidR="00AF67F5" w:rsidRPr="007F6332" w:rsidRDefault="00AF67F5" w:rsidP="002D71C8">
            <w:pPr>
              <w:spacing w:after="0"/>
              <w:jc w:val="center"/>
              <w:rPr>
                <w:rFonts w:cs="Arial"/>
                <w:color w:val="000000"/>
              </w:rPr>
            </w:pPr>
            <w:r w:rsidRPr="007F6332">
              <w:rPr>
                <w:rFonts w:cs="Arial"/>
                <w:color w:val="000000"/>
              </w:rPr>
              <w:t>220</w:t>
            </w:r>
          </w:p>
        </w:tc>
        <w:tc>
          <w:tcPr>
            <w:tcW w:w="959" w:type="pct"/>
            <w:tcBorders>
              <w:top w:val="nil"/>
              <w:left w:val="nil"/>
              <w:bottom w:val="nil"/>
              <w:right w:val="nil"/>
            </w:tcBorders>
            <w:shd w:val="clear" w:color="000000" w:fill="A7A9AC"/>
            <w:noWrap/>
            <w:vAlign w:val="center"/>
            <w:hideMark/>
          </w:tcPr>
          <w:p w14:paraId="3BE71068" w14:textId="77777777" w:rsidR="00AF67F5" w:rsidRPr="007F6332" w:rsidRDefault="00AF67F5" w:rsidP="00E53368">
            <w:pPr>
              <w:spacing w:after="0"/>
              <w:jc w:val="right"/>
              <w:rPr>
                <w:rFonts w:cs="Arial"/>
                <w:color w:val="000000"/>
              </w:rPr>
            </w:pPr>
            <w:r w:rsidRPr="007F6332">
              <w:rPr>
                <w:rFonts w:cs="Arial"/>
                <w:color w:val="000000"/>
              </w:rPr>
              <w:t>38.6%</w:t>
            </w:r>
          </w:p>
        </w:tc>
      </w:tr>
      <w:tr w:rsidR="00AF67F5" w:rsidRPr="007F6332" w14:paraId="7C3FDB3F" w14:textId="77777777" w:rsidTr="00F70F30">
        <w:trPr>
          <w:trHeight w:val="340"/>
        </w:trPr>
        <w:tc>
          <w:tcPr>
            <w:tcW w:w="1365" w:type="pct"/>
            <w:tcBorders>
              <w:top w:val="nil"/>
              <w:left w:val="nil"/>
              <w:bottom w:val="nil"/>
              <w:right w:val="nil"/>
            </w:tcBorders>
            <w:shd w:val="clear" w:color="auto" w:fill="auto"/>
            <w:noWrap/>
            <w:vAlign w:val="center"/>
            <w:hideMark/>
          </w:tcPr>
          <w:p w14:paraId="100A512D" w14:textId="77777777" w:rsidR="00AF67F5" w:rsidRPr="007F6332" w:rsidRDefault="00AF67F5" w:rsidP="00E87104">
            <w:pPr>
              <w:spacing w:after="0"/>
              <w:rPr>
                <w:rFonts w:cs="Arial"/>
                <w:color w:val="000000"/>
              </w:rPr>
            </w:pPr>
            <w:r w:rsidRPr="007F6332">
              <w:rPr>
                <w:rFonts w:cs="Arial"/>
                <w:color w:val="000000"/>
              </w:rPr>
              <w:t>Psychosocial Disability</w:t>
            </w:r>
          </w:p>
        </w:tc>
        <w:tc>
          <w:tcPr>
            <w:tcW w:w="788" w:type="pct"/>
            <w:tcBorders>
              <w:top w:val="nil"/>
              <w:left w:val="nil"/>
              <w:bottom w:val="nil"/>
              <w:right w:val="nil"/>
            </w:tcBorders>
            <w:shd w:val="clear" w:color="auto" w:fill="auto"/>
            <w:noWrap/>
            <w:vAlign w:val="center"/>
            <w:hideMark/>
          </w:tcPr>
          <w:p w14:paraId="76D8D3A8" w14:textId="77777777" w:rsidR="00AF67F5" w:rsidRPr="007F6332" w:rsidRDefault="00AF67F5" w:rsidP="002D71C8">
            <w:pPr>
              <w:spacing w:after="0"/>
              <w:jc w:val="center"/>
              <w:rPr>
                <w:rFonts w:cs="Arial"/>
                <w:color w:val="000000"/>
              </w:rPr>
            </w:pPr>
            <w:r w:rsidRPr="007F6332">
              <w:rPr>
                <w:rFonts w:cs="Arial"/>
                <w:color w:val="000000"/>
              </w:rPr>
              <w:t>1,166</w:t>
            </w:r>
          </w:p>
        </w:tc>
        <w:tc>
          <w:tcPr>
            <w:tcW w:w="944" w:type="pct"/>
            <w:tcBorders>
              <w:top w:val="nil"/>
              <w:left w:val="nil"/>
              <w:bottom w:val="nil"/>
              <w:right w:val="nil"/>
            </w:tcBorders>
            <w:shd w:val="clear" w:color="auto" w:fill="auto"/>
            <w:noWrap/>
            <w:vAlign w:val="center"/>
            <w:hideMark/>
          </w:tcPr>
          <w:p w14:paraId="773CC997" w14:textId="77777777" w:rsidR="00AF67F5" w:rsidRPr="007F6332" w:rsidRDefault="00AF67F5" w:rsidP="002D71C8">
            <w:pPr>
              <w:spacing w:after="0"/>
              <w:jc w:val="center"/>
              <w:rPr>
                <w:rFonts w:cs="Arial"/>
                <w:color w:val="000000"/>
              </w:rPr>
            </w:pPr>
            <w:r w:rsidRPr="007F6332">
              <w:rPr>
                <w:rFonts w:cs="Arial"/>
                <w:color w:val="000000"/>
              </w:rPr>
              <w:t>940</w:t>
            </w:r>
          </w:p>
        </w:tc>
        <w:tc>
          <w:tcPr>
            <w:tcW w:w="944" w:type="pct"/>
            <w:tcBorders>
              <w:top w:val="nil"/>
              <w:left w:val="nil"/>
              <w:bottom w:val="nil"/>
              <w:right w:val="nil"/>
            </w:tcBorders>
            <w:shd w:val="clear" w:color="auto" w:fill="auto"/>
            <w:noWrap/>
            <w:vAlign w:val="center"/>
            <w:hideMark/>
          </w:tcPr>
          <w:p w14:paraId="720EA5E8" w14:textId="77777777" w:rsidR="00AF67F5" w:rsidRPr="007F6332" w:rsidRDefault="00AF67F5" w:rsidP="002D71C8">
            <w:pPr>
              <w:spacing w:after="0"/>
              <w:jc w:val="center"/>
              <w:rPr>
                <w:rFonts w:cs="Arial"/>
                <w:color w:val="000000"/>
              </w:rPr>
            </w:pPr>
            <w:r w:rsidRPr="007F6332">
              <w:rPr>
                <w:rFonts w:cs="Arial"/>
                <w:color w:val="000000"/>
              </w:rPr>
              <w:t>226</w:t>
            </w:r>
          </w:p>
        </w:tc>
        <w:tc>
          <w:tcPr>
            <w:tcW w:w="959" w:type="pct"/>
            <w:tcBorders>
              <w:top w:val="nil"/>
              <w:left w:val="nil"/>
              <w:bottom w:val="nil"/>
              <w:right w:val="nil"/>
            </w:tcBorders>
            <w:shd w:val="clear" w:color="auto" w:fill="auto"/>
            <w:noWrap/>
            <w:vAlign w:val="center"/>
            <w:hideMark/>
          </w:tcPr>
          <w:p w14:paraId="36FF9F75" w14:textId="77777777" w:rsidR="00AF67F5" w:rsidRPr="007F6332" w:rsidRDefault="00AF67F5" w:rsidP="00E53368">
            <w:pPr>
              <w:spacing w:after="0"/>
              <w:jc w:val="right"/>
              <w:rPr>
                <w:rFonts w:cs="Arial"/>
                <w:color w:val="000000"/>
              </w:rPr>
            </w:pPr>
            <w:r w:rsidRPr="007F6332">
              <w:rPr>
                <w:rFonts w:cs="Arial"/>
                <w:color w:val="000000"/>
              </w:rPr>
              <w:t>24.0%</w:t>
            </w:r>
          </w:p>
        </w:tc>
      </w:tr>
      <w:tr w:rsidR="00AF67F5" w:rsidRPr="007F6332" w14:paraId="1465E729" w14:textId="77777777" w:rsidTr="00F70F30">
        <w:trPr>
          <w:trHeight w:val="340"/>
        </w:trPr>
        <w:tc>
          <w:tcPr>
            <w:tcW w:w="1365" w:type="pct"/>
            <w:tcBorders>
              <w:top w:val="nil"/>
              <w:left w:val="nil"/>
              <w:right w:val="nil"/>
            </w:tcBorders>
            <w:shd w:val="clear" w:color="000000" w:fill="A7A9AC"/>
            <w:noWrap/>
            <w:vAlign w:val="center"/>
            <w:hideMark/>
          </w:tcPr>
          <w:p w14:paraId="38CAF54D" w14:textId="77777777" w:rsidR="00AF67F5" w:rsidRPr="007F6332" w:rsidRDefault="00AF67F5" w:rsidP="00E87104">
            <w:pPr>
              <w:spacing w:after="0"/>
              <w:rPr>
                <w:rFonts w:cs="Arial"/>
                <w:color w:val="000000"/>
              </w:rPr>
            </w:pPr>
            <w:r w:rsidRPr="007F6332">
              <w:rPr>
                <w:rFonts w:cs="Arial"/>
                <w:color w:val="000000"/>
              </w:rPr>
              <w:t>Other</w:t>
            </w:r>
          </w:p>
        </w:tc>
        <w:tc>
          <w:tcPr>
            <w:tcW w:w="788" w:type="pct"/>
            <w:tcBorders>
              <w:top w:val="nil"/>
              <w:left w:val="nil"/>
              <w:right w:val="nil"/>
            </w:tcBorders>
            <w:shd w:val="clear" w:color="000000" w:fill="A7A9AC"/>
            <w:noWrap/>
            <w:vAlign w:val="center"/>
            <w:hideMark/>
          </w:tcPr>
          <w:p w14:paraId="5D3156B9" w14:textId="77777777" w:rsidR="00AF67F5" w:rsidRPr="007F6332" w:rsidRDefault="00AF67F5" w:rsidP="002D71C8">
            <w:pPr>
              <w:spacing w:after="0"/>
              <w:jc w:val="center"/>
              <w:rPr>
                <w:rFonts w:cs="Arial"/>
                <w:color w:val="000000"/>
              </w:rPr>
            </w:pPr>
            <w:r w:rsidRPr="007F6332">
              <w:rPr>
                <w:rFonts w:cs="Arial"/>
                <w:color w:val="000000"/>
              </w:rPr>
              <w:t>3,061</w:t>
            </w:r>
          </w:p>
        </w:tc>
        <w:tc>
          <w:tcPr>
            <w:tcW w:w="944" w:type="pct"/>
            <w:tcBorders>
              <w:top w:val="nil"/>
              <w:left w:val="nil"/>
              <w:right w:val="nil"/>
            </w:tcBorders>
            <w:shd w:val="clear" w:color="000000" w:fill="A7A9AC"/>
            <w:noWrap/>
            <w:vAlign w:val="center"/>
            <w:hideMark/>
          </w:tcPr>
          <w:p w14:paraId="48D8E98C" w14:textId="313C07EF" w:rsidR="00AF67F5" w:rsidRPr="007F6332" w:rsidRDefault="00AF67F5" w:rsidP="002D71C8">
            <w:pPr>
              <w:spacing w:after="0"/>
              <w:jc w:val="center"/>
              <w:rPr>
                <w:rFonts w:cs="Arial"/>
                <w:color w:val="000000"/>
              </w:rPr>
            </w:pPr>
            <w:r w:rsidRPr="007F6332">
              <w:rPr>
                <w:rFonts w:cs="Arial"/>
                <w:color w:val="000000"/>
              </w:rPr>
              <w:t>2,</w:t>
            </w:r>
            <w:r w:rsidR="00023ED9" w:rsidRPr="007F6332">
              <w:rPr>
                <w:rFonts w:cs="Arial"/>
                <w:color w:val="000000"/>
              </w:rPr>
              <w:t>58</w:t>
            </w:r>
            <w:r w:rsidR="00D72064" w:rsidRPr="007F6332">
              <w:rPr>
                <w:rFonts w:cs="Arial"/>
                <w:color w:val="000000"/>
              </w:rPr>
              <w:t>7</w:t>
            </w:r>
          </w:p>
        </w:tc>
        <w:tc>
          <w:tcPr>
            <w:tcW w:w="944" w:type="pct"/>
            <w:tcBorders>
              <w:top w:val="nil"/>
              <w:left w:val="nil"/>
              <w:right w:val="nil"/>
            </w:tcBorders>
            <w:shd w:val="clear" w:color="000000" w:fill="A7A9AC"/>
            <w:noWrap/>
            <w:vAlign w:val="center"/>
            <w:hideMark/>
          </w:tcPr>
          <w:p w14:paraId="448480BE" w14:textId="668D95BD" w:rsidR="00AF67F5" w:rsidRPr="007F6332" w:rsidRDefault="00AF67F5" w:rsidP="002D71C8">
            <w:pPr>
              <w:spacing w:after="0"/>
              <w:jc w:val="center"/>
              <w:rPr>
                <w:rFonts w:cs="Arial"/>
                <w:color w:val="000000"/>
              </w:rPr>
            </w:pPr>
            <w:r w:rsidRPr="007F6332">
              <w:rPr>
                <w:rFonts w:cs="Arial"/>
                <w:color w:val="000000"/>
              </w:rPr>
              <w:t>47</w:t>
            </w:r>
            <w:r w:rsidR="00D72064" w:rsidRPr="007F6332">
              <w:rPr>
                <w:rFonts w:cs="Arial"/>
                <w:color w:val="000000"/>
              </w:rPr>
              <w:t>4</w:t>
            </w:r>
          </w:p>
        </w:tc>
        <w:tc>
          <w:tcPr>
            <w:tcW w:w="959" w:type="pct"/>
            <w:tcBorders>
              <w:top w:val="nil"/>
              <w:left w:val="nil"/>
              <w:right w:val="nil"/>
            </w:tcBorders>
            <w:shd w:val="clear" w:color="000000" w:fill="A7A9AC"/>
            <w:noWrap/>
            <w:vAlign w:val="center"/>
            <w:hideMark/>
          </w:tcPr>
          <w:p w14:paraId="2A4BCD8B" w14:textId="77777777" w:rsidR="00AF67F5" w:rsidRPr="007F6332" w:rsidRDefault="00AF67F5" w:rsidP="00E53368">
            <w:pPr>
              <w:spacing w:after="0"/>
              <w:jc w:val="right"/>
              <w:rPr>
                <w:rFonts w:cs="Arial"/>
                <w:color w:val="000000"/>
              </w:rPr>
            </w:pPr>
            <w:r w:rsidRPr="007F6332">
              <w:rPr>
                <w:rFonts w:cs="Arial"/>
                <w:color w:val="000000"/>
              </w:rPr>
              <w:t>18.3%</w:t>
            </w:r>
          </w:p>
        </w:tc>
      </w:tr>
      <w:tr w:rsidR="00AF67F5" w:rsidRPr="007F6332" w14:paraId="52A3ACB4" w14:textId="77777777" w:rsidTr="00F70F30">
        <w:trPr>
          <w:trHeight w:val="340"/>
        </w:trPr>
        <w:tc>
          <w:tcPr>
            <w:tcW w:w="1365" w:type="pct"/>
            <w:tcBorders>
              <w:top w:val="nil"/>
              <w:left w:val="nil"/>
              <w:bottom w:val="single" w:sz="8" w:space="0" w:color="auto"/>
              <w:right w:val="nil"/>
            </w:tcBorders>
            <w:shd w:val="clear" w:color="000000" w:fill="B398B8"/>
            <w:noWrap/>
            <w:vAlign w:val="center"/>
            <w:hideMark/>
          </w:tcPr>
          <w:p w14:paraId="2461C386" w14:textId="77777777" w:rsidR="00AF67F5" w:rsidRPr="007F6332" w:rsidRDefault="00AF67F5" w:rsidP="00E87104">
            <w:pPr>
              <w:spacing w:after="0"/>
              <w:rPr>
                <w:rFonts w:cs="Arial"/>
                <w:b/>
                <w:bCs/>
              </w:rPr>
            </w:pPr>
            <w:r w:rsidRPr="007F6332">
              <w:rPr>
                <w:rFonts w:cs="Arial"/>
                <w:b/>
                <w:bCs/>
              </w:rPr>
              <w:t>Total</w:t>
            </w:r>
          </w:p>
        </w:tc>
        <w:tc>
          <w:tcPr>
            <w:tcW w:w="788" w:type="pct"/>
            <w:tcBorders>
              <w:top w:val="nil"/>
              <w:left w:val="nil"/>
              <w:bottom w:val="single" w:sz="8" w:space="0" w:color="auto"/>
              <w:right w:val="nil"/>
            </w:tcBorders>
            <w:shd w:val="clear" w:color="000000" w:fill="B398B8"/>
            <w:noWrap/>
            <w:vAlign w:val="center"/>
            <w:hideMark/>
          </w:tcPr>
          <w:p w14:paraId="5596A4ED" w14:textId="77777777" w:rsidR="00AF67F5" w:rsidRPr="007F6332" w:rsidRDefault="00AF67F5" w:rsidP="002D71C8">
            <w:pPr>
              <w:spacing w:after="0"/>
              <w:jc w:val="center"/>
              <w:rPr>
                <w:rFonts w:cs="Arial"/>
                <w:b/>
                <w:bCs/>
              </w:rPr>
            </w:pPr>
            <w:r w:rsidRPr="007F6332">
              <w:rPr>
                <w:rFonts w:cs="Arial"/>
                <w:b/>
                <w:bCs/>
              </w:rPr>
              <w:t>11,481</w:t>
            </w:r>
          </w:p>
        </w:tc>
        <w:tc>
          <w:tcPr>
            <w:tcW w:w="944" w:type="pct"/>
            <w:tcBorders>
              <w:top w:val="nil"/>
              <w:left w:val="nil"/>
              <w:bottom w:val="single" w:sz="8" w:space="0" w:color="auto"/>
              <w:right w:val="nil"/>
            </w:tcBorders>
            <w:shd w:val="clear" w:color="000000" w:fill="B398B8"/>
            <w:noWrap/>
            <w:vAlign w:val="center"/>
            <w:hideMark/>
          </w:tcPr>
          <w:p w14:paraId="0F41E940" w14:textId="77777777" w:rsidR="00AF67F5" w:rsidRPr="007F6332" w:rsidRDefault="00AF67F5" w:rsidP="002D71C8">
            <w:pPr>
              <w:spacing w:after="0"/>
              <w:jc w:val="center"/>
              <w:rPr>
                <w:rFonts w:cs="Arial"/>
                <w:b/>
                <w:bCs/>
              </w:rPr>
            </w:pPr>
            <w:r w:rsidRPr="007F6332">
              <w:rPr>
                <w:rFonts w:cs="Arial"/>
                <w:b/>
                <w:bCs/>
              </w:rPr>
              <w:t>10,350</w:t>
            </w:r>
          </w:p>
        </w:tc>
        <w:tc>
          <w:tcPr>
            <w:tcW w:w="944" w:type="pct"/>
            <w:tcBorders>
              <w:top w:val="nil"/>
              <w:left w:val="nil"/>
              <w:bottom w:val="single" w:sz="8" w:space="0" w:color="auto"/>
              <w:right w:val="nil"/>
            </w:tcBorders>
            <w:shd w:val="clear" w:color="000000" w:fill="B398B8"/>
            <w:noWrap/>
            <w:vAlign w:val="center"/>
            <w:hideMark/>
          </w:tcPr>
          <w:p w14:paraId="6E9DE4DC" w14:textId="77777777" w:rsidR="00AF67F5" w:rsidRPr="007F6332" w:rsidRDefault="00AF67F5" w:rsidP="002D71C8">
            <w:pPr>
              <w:spacing w:after="0"/>
              <w:jc w:val="center"/>
              <w:rPr>
                <w:rFonts w:cs="Arial"/>
                <w:b/>
                <w:bCs/>
              </w:rPr>
            </w:pPr>
            <w:r w:rsidRPr="007F6332">
              <w:rPr>
                <w:rFonts w:cs="Arial"/>
                <w:b/>
                <w:bCs/>
              </w:rPr>
              <w:t>1,131</w:t>
            </w:r>
          </w:p>
        </w:tc>
        <w:tc>
          <w:tcPr>
            <w:tcW w:w="959" w:type="pct"/>
            <w:tcBorders>
              <w:top w:val="nil"/>
              <w:left w:val="nil"/>
              <w:bottom w:val="single" w:sz="8" w:space="0" w:color="auto"/>
              <w:right w:val="nil"/>
            </w:tcBorders>
            <w:shd w:val="clear" w:color="000000" w:fill="B398B8"/>
            <w:noWrap/>
            <w:vAlign w:val="center"/>
            <w:hideMark/>
          </w:tcPr>
          <w:p w14:paraId="3A61B6FF" w14:textId="77777777" w:rsidR="00AF67F5" w:rsidRPr="007F6332" w:rsidRDefault="00AF67F5" w:rsidP="00E53368">
            <w:pPr>
              <w:spacing w:after="0"/>
              <w:jc w:val="right"/>
              <w:rPr>
                <w:rFonts w:cs="Arial"/>
                <w:b/>
                <w:bCs/>
              </w:rPr>
            </w:pPr>
            <w:r w:rsidRPr="007F6332">
              <w:rPr>
                <w:rFonts w:cs="Arial"/>
                <w:b/>
                <w:bCs/>
              </w:rPr>
              <w:t>10.9%</w:t>
            </w:r>
          </w:p>
        </w:tc>
      </w:tr>
    </w:tbl>
    <w:p w14:paraId="0FCC9C0B" w14:textId="77777777" w:rsidR="008209FD" w:rsidRPr="007F6332" w:rsidRDefault="00FC1CCA" w:rsidP="008209FD">
      <w:pPr>
        <w:spacing w:before="120"/>
        <w:rPr>
          <w:rFonts w:cs="Arial"/>
        </w:rPr>
      </w:pPr>
      <w:bookmarkStart w:id="91" w:name="_Ref144826282"/>
      <w:r w:rsidRPr="007F6332">
        <w:rPr>
          <w:rFonts w:cs="Arial"/>
        </w:rPr>
        <w:lastRenderedPageBreak/>
        <w:t>Table 4.13 shows a breakdown of Scheme expenses related to participants without SIL by the main primary disability groups. Scheme expenses for participants with developmental delay were $148 million or 19% more than expected, driven by the high number of children entering the Scheme. Scheme expenses for participants without SIL and with autism were lower than expected, and differences for other disability types were relatively small.</w:t>
      </w:r>
    </w:p>
    <w:p w14:paraId="6F4B632B" w14:textId="7F759F3A" w:rsidR="005063D3" w:rsidRPr="007F6332" w:rsidRDefault="008209FD" w:rsidP="00CD33D0">
      <w:pPr>
        <w:rPr>
          <w:rFonts w:cs="Arial"/>
        </w:rPr>
      </w:pPr>
      <w:bookmarkStart w:id="92" w:name="_Hlk148106459"/>
      <w:r w:rsidRPr="007F6332">
        <w:rPr>
          <w:rFonts w:cs="Arial"/>
        </w:rPr>
        <w:t>Overall, in aggregate, the total payments for participants without SIL supports was close to expected, for the financial year 2022-23, as reflected in June 2022 projections. This is due to high-cost participants, initially without SIL supports, transition</w:t>
      </w:r>
      <w:r w:rsidR="000555C4" w:rsidRPr="007F6332">
        <w:rPr>
          <w:rFonts w:cs="Arial"/>
        </w:rPr>
        <w:t>ing</w:t>
      </w:r>
      <w:r w:rsidRPr="007F6332">
        <w:rPr>
          <w:rFonts w:cs="Arial"/>
        </w:rPr>
        <w:t xml:space="preserve"> into SIL arrangements during the year.</w:t>
      </w:r>
      <w:bookmarkEnd w:id="92"/>
    </w:p>
    <w:p w14:paraId="20C0256F" w14:textId="00F0FA47" w:rsidR="00CD2259" w:rsidRPr="007F6332" w:rsidRDefault="004C0F06" w:rsidP="006B61AA">
      <w:pPr>
        <w:pStyle w:val="FiguresandTablesHeading5"/>
      </w:pPr>
      <w:r w:rsidRPr="007F6332">
        <w:t>Table 4.</w:t>
      </w:r>
      <w:bookmarkEnd w:id="91"/>
      <w:r w:rsidR="00BD38FA" w:rsidRPr="007F6332">
        <w:t>13</w:t>
      </w:r>
      <w:r w:rsidRPr="007F6332">
        <w:t xml:space="preserve">: </w:t>
      </w:r>
      <w:r w:rsidR="00C07822" w:rsidRPr="007F6332">
        <w:t>Scheme expense experience: participants without SIL, by primary disability</w:t>
      </w:r>
      <w:r w:rsidR="00C07822" w:rsidRPr="007F6332" w:rsidDel="00CD2259">
        <w:t xml:space="preserve"> </w:t>
      </w:r>
      <w:r w:rsidR="00C07822" w:rsidRPr="007F6332">
        <w:t>($m)</w:t>
      </w:r>
    </w:p>
    <w:tbl>
      <w:tblPr>
        <w:tblW w:w="5000" w:type="pct"/>
        <w:tblLook w:val="04A0" w:firstRow="1" w:lastRow="0" w:firstColumn="1" w:lastColumn="0" w:noHBand="0" w:noVBand="1"/>
      </w:tblPr>
      <w:tblGrid>
        <w:gridCol w:w="2442"/>
        <w:gridCol w:w="1650"/>
        <w:gridCol w:w="1652"/>
        <w:gridCol w:w="1653"/>
        <w:gridCol w:w="1653"/>
      </w:tblGrid>
      <w:tr w:rsidR="00154712" w:rsidRPr="007F6332" w14:paraId="1AF4C96A" w14:textId="77777777" w:rsidTr="00D248F0">
        <w:trPr>
          <w:trHeight w:val="480"/>
        </w:trPr>
        <w:tc>
          <w:tcPr>
            <w:tcW w:w="1349" w:type="pct"/>
            <w:tcBorders>
              <w:top w:val="nil"/>
              <w:left w:val="nil"/>
              <w:right w:val="nil"/>
            </w:tcBorders>
            <w:shd w:val="clear" w:color="000000" w:fill="6B2976"/>
            <w:vAlign w:val="center"/>
          </w:tcPr>
          <w:p w14:paraId="585854FF" w14:textId="78DCDE4E" w:rsidR="00154712" w:rsidRPr="007F6332" w:rsidRDefault="00154712" w:rsidP="00F00761">
            <w:pPr>
              <w:spacing w:after="60"/>
              <w:rPr>
                <w:rFonts w:eastAsia="Times New Roman" w:cs="Arial"/>
                <w:b/>
                <w:bCs/>
                <w:color w:val="FFFFFF"/>
                <w:szCs w:val="22"/>
                <w:lang w:eastAsia="en-AU"/>
              </w:rPr>
            </w:pPr>
            <w:r w:rsidRPr="007F6332">
              <w:rPr>
                <w:rFonts w:eastAsia="Times New Roman" w:cs="Arial"/>
                <w:b/>
                <w:bCs/>
                <w:color w:val="FFFFFF"/>
                <w:szCs w:val="22"/>
                <w:lang w:eastAsia="en-AU"/>
              </w:rPr>
              <w:t>Primary Disability</w:t>
            </w:r>
          </w:p>
        </w:tc>
        <w:tc>
          <w:tcPr>
            <w:tcW w:w="912" w:type="pct"/>
            <w:tcBorders>
              <w:top w:val="nil"/>
              <w:left w:val="nil"/>
              <w:right w:val="nil"/>
            </w:tcBorders>
            <w:shd w:val="clear" w:color="000000" w:fill="6B2976"/>
            <w:vAlign w:val="center"/>
          </w:tcPr>
          <w:p w14:paraId="4FC19C6B" w14:textId="2BEF8E45" w:rsidR="00154712" w:rsidRPr="007F6332" w:rsidRDefault="00154712" w:rsidP="00C07822">
            <w:pPr>
              <w:spacing w:after="60"/>
              <w:jc w:val="center"/>
              <w:rPr>
                <w:rFonts w:eastAsia="Times New Roman" w:cs="Arial"/>
                <w:b/>
                <w:bCs/>
                <w:color w:val="FFFFFF"/>
                <w:szCs w:val="22"/>
                <w:lang w:eastAsia="en-AU"/>
              </w:rPr>
            </w:pPr>
            <w:r w:rsidRPr="007F6332">
              <w:rPr>
                <w:rFonts w:eastAsia="Times New Roman" w:cs="Arial"/>
                <w:b/>
                <w:bCs/>
                <w:color w:val="FFFFFF"/>
                <w:szCs w:val="22"/>
                <w:lang w:eastAsia="en-AU"/>
              </w:rPr>
              <w:t>Actual</w:t>
            </w:r>
          </w:p>
        </w:tc>
        <w:tc>
          <w:tcPr>
            <w:tcW w:w="913" w:type="pct"/>
            <w:tcBorders>
              <w:top w:val="nil"/>
              <w:left w:val="nil"/>
              <w:right w:val="nil"/>
            </w:tcBorders>
            <w:shd w:val="clear" w:color="000000" w:fill="6B2976"/>
            <w:vAlign w:val="center"/>
          </w:tcPr>
          <w:p w14:paraId="519A9048" w14:textId="532BB8D8" w:rsidR="00154712" w:rsidRPr="007F6332" w:rsidRDefault="00154712" w:rsidP="00C07822">
            <w:pPr>
              <w:spacing w:after="60"/>
              <w:jc w:val="center"/>
              <w:rPr>
                <w:rFonts w:eastAsia="Times New Roman" w:cs="Arial"/>
                <w:b/>
                <w:bCs/>
                <w:color w:val="FFFFFF"/>
                <w:szCs w:val="22"/>
                <w:lang w:eastAsia="en-AU"/>
              </w:rPr>
            </w:pPr>
            <w:r w:rsidRPr="007F6332">
              <w:rPr>
                <w:rFonts w:eastAsia="Times New Roman" w:cs="Arial"/>
                <w:b/>
                <w:bCs/>
                <w:color w:val="FFFFFF"/>
                <w:szCs w:val="22"/>
                <w:lang w:eastAsia="en-AU"/>
              </w:rPr>
              <w:t>Expected</w:t>
            </w:r>
          </w:p>
        </w:tc>
        <w:tc>
          <w:tcPr>
            <w:tcW w:w="913" w:type="pct"/>
            <w:tcBorders>
              <w:top w:val="nil"/>
              <w:left w:val="nil"/>
              <w:right w:val="nil"/>
            </w:tcBorders>
            <w:shd w:val="clear" w:color="000000" w:fill="6B2976"/>
            <w:vAlign w:val="center"/>
          </w:tcPr>
          <w:p w14:paraId="319E0B13" w14:textId="237809E3" w:rsidR="00154712" w:rsidRPr="007F6332" w:rsidRDefault="00154712" w:rsidP="00C07822">
            <w:pPr>
              <w:spacing w:after="60"/>
              <w:jc w:val="center"/>
              <w:rPr>
                <w:rFonts w:eastAsia="Times New Roman" w:cs="Arial"/>
                <w:b/>
                <w:bCs/>
                <w:color w:val="FFFFFF"/>
                <w:szCs w:val="22"/>
                <w:lang w:eastAsia="en-AU"/>
              </w:rPr>
            </w:pPr>
            <w:r w:rsidRPr="007F6332">
              <w:rPr>
                <w:rFonts w:eastAsia="Times New Roman" w:cs="Arial"/>
                <w:b/>
                <w:bCs/>
                <w:color w:val="FFFFFF"/>
                <w:szCs w:val="22"/>
                <w:lang w:eastAsia="en-AU"/>
              </w:rPr>
              <w:t>Difference</w:t>
            </w:r>
          </w:p>
        </w:tc>
        <w:tc>
          <w:tcPr>
            <w:tcW w:w="913" w:type="pct"/>
            <w:tcBorders>
              <w:top w:val="nil"/>
              <w:left w:val="nil"/>
              <w:right w:val="nil"/>
            </w:tcBorders>
            <w:shd w:val="clear" w:color="000000" w:fill="6B2976"/>
            <w:vAlign w:val="center"/>
          </w:tcPr>
          <w:p w14:paraId="171BA77B" w14:textId="4A428B6F" w:rsidR="00154712" w:rsidRPr="007F6332" w:rsidRDefault="00154712" w:rsidP="00C07822">
            <w:pPr>
              <w:spacing w:after="60"/>
              <w:jc w:val="center"/>
              <w:rPr>
                <w:rFonts w:eastAsia="Times New Roman" w:cs="Arial"/>
                <w:b/>
                <w:bCs/>
                <w:color w:val="FFFFFF"/>
                <w:szCs w:val="22"/>
                <w:lang w:eastAsia="en-AU"/>
              </w:rPr>
            </w:pPr>
            <w:r w:rsidRPr="007F6332">
              <w:rPr>
                <w:rFonts w:eastAsia="Times New Roman" w:cs="Arial"/>
                <w:b/>
                <w:bCs/>
                <w:color w:val="FFFFFF"/>
                <w:szCs w:val="22"/>
                <w:lang w:eastAsia="en-AU"/>
              </w:rPr>
              <w:t>% Difference</w:t>
            </w:r>
          </w:p>
        </w:tc>
      </w:tr>
      <w:tr w:rsidR="00C07822" w:rsidRPr="007F6332" w14:paraId="23CBF5EC" w14:textId="77777777" w:rsidTr="00D248F0">
        <w:trPr>
          <w:trHeight w:val="340"/>
        </w:trPr>
        <w:tc>
          <w:tcPr>
            <w:tcW w:w="1349" w:type="pct"/>
            <w:tcBorders>
              <w:top w:val="nil"/>
              <w:left w:val="nil"/>
              <w:bottom w:val="nil"/>
              <w:right w:val="nil"/>
            </w:tcBorders>
            <w:shd w:val="clear" w:color="auto" w:fill="auto"/>
            <w:noWrap/>
            <w:vAlign w:val="center"/>
            <w:hideMark/>
          </w:tcPr>
          <w:p w14:paraId="028B4120" w14:textId="77777777" w:rsidR="00C07822" w:rsidRPr="007F6332" w:rsidRDefault="00C07822" w:rsidP="00F00761">
            <w:pPr>
              <w:spacing w:after="0"/>
              <w:rPr>
                <w:rFonts w:eastAsia="Times New Roman" w:cs="Arial"/>
                <w:color w:val="000000"/>
                <w:szCs w:val="22"/>
                <w:lang w:eastAsia="en-AU"/>
              </w:rPr>
            </w:pPr>
            <w:r w:rsidRPr="007F6332">
              <w:rPr>
                <w:rFonts w:eastAsia="Times New Roman" w:cs="Arial"/>
                <w:color w:val="000000"/>
                <w:szCs w:val="22"/>
                <w:lang w:eastAsia="en-AU"/>
              </w:rPr>
              <w:t>Autism</w:t>
            </w:r>
          </w:p>
        </w:tc>
        <w:tc>
          <w:tcPr>
            <w:tcW w:w="912" w:type="pct"/>
            <w:tcBorders>
              <w:top w:val="nil"/>
              <w:left w:val="nil"/>
              <w:bottom w:val="nil"/>
              <w:right w:val="nil"/>
            </w:tcBorders>
            <w:shd w:val="clear" w:color="auto" w:fill="auto"/>
            <w:noWrap/>
            <w:vAlign w:val="center"/>
            <w:hideMark/>
          </w:tcPr>
          <w:p w14:paraId="334E2B89"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5,233</w:t>
            </w:r>
          </w:p>
        </w:tc>
        <w:tc>
          <w:tcPr>
            <w:tcW w:w="913" w:type="pct"/>
            <w:tcBorders>
              <w:top w:val="nil"/>
              <w:left w:val="nil"/>
              <w:bottom w:val="nil"/>
              <w:right w:val="nil"/>
            </w:tcBorders>
            <w:shd w:val="clear" w:color="auto" w:fill="auto"/>
            <w:noWrap/>
            <w:vAlign w:val="center"/>
            <w:hideMark/>
          </w:tcPr>
          <w:p w14:paraId="58E9087A"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5,374</w:t>
            </w:r>
          </w:p>
        </w:tc>
        <w:tc>
          <w:tcPr>
            <w:tcW w:w="913" w:type="pct"/>
            <w:tcBorders>
              <w:top w:val="nil"/>
              <w:left w:val="nil"/>
              <w:bottom w:val="nil"/>
              <w:right w:val="nil"/>
            </w:tcBorders>
            <w:shd w:val="clear" w:color="auto" w:fill="auto"/>
            <w:noWrap/>
            <w:vAlign w:val="center"/>
            <w:hideMark/>
          </w:tcPr>
          <w:p w14:paraId="7EF71BC4"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-141</w:t>
            </w:r>
          </w:p>
        </w:tc>
        <w:tc>
          <w:tcPr>
            <w:tcW w:w="913" w:type="pct"/>
            <w:tcBorders>
              <w:top w:val="nil"/>
              <w:left w:val="nil"/>
              <w:bottom w:val="nil"/>
              <w:right w:val="nil"/>
            </w:tcBorders>
            <w:shd w:val="clear" w:color="auto" w:fill="auto"/>
            <w:noWrap/>
            <w:vAlign w:val="center"/>
            <w:hideMark/>
          </w:tcPr>
          <w:p w14:paraId="68F11A2C" w14:textId="77777777" w:rsidR="00C07822" w:rsidRPr="007F6332" w:rsidRDefault="00C07822" w:rsidP="00C1755E">
            <w:pPr>
              <w:spacing w:after="0"/>
              <w:jc w:val="right"/>
              <w:rPr>
                <w:rFonts w:eastAsia="Times New Roman" w:cs="Arial"/>
                <w:color w:val="000000"/>
                <w:szCs w:val="22"/>
                <w:lang w:eastAsia="en-AU"/>
              </w:rPr>
            </w:pPr>
            <w:r w:rsidRPr="007F6332">
              <w:rPr>
                <w:rFonts w:eastAsia="Times New Roman" w:cs="Arial"/>
                <w:color w:val="000000"/>
                <w:szCs w:val="22"/>
                <w:lang w:eastAsia="en-AU"/>
              </w:rPr>
              <w:t>-2.6%</w:t>
            </w:r>
          </w:p>
        </w:tc>
      </w:tr>
      <w:tr w:rsidR="00C07822" w:rsidRPr="007F6332" w14:paraId="5A72FAE5" w14:textId="77777777" w:rsidTr="00D248F0">
        <w:trPr>
          <w:trHeight w:val="340"/>
        </w:trPr>
        <w:tc>
          <w:tcPr>
            <w:tcW w:w="1349" w:type="pct"/>
            <w:tcBorders>
              <w:top w:val="nil"/>
              <w:left w:val="nil"/>
              <w:bottom w:val="nil"/>
              <w:right w:val="nil"/>
            </w:tcBorders>
            <w:shd w:val="clear" w:color="000000" w:fill="A7A9AC"/>
            <w:noWrap/>
            <w:vAlign w:val="center"/>
            <w:hideMark/>
          </w:tcPr>
          <w:p w14:paraId="62A636C6" w14:textId="591D0443" w:rsidR="00C07822" w:rsidRPr="007F6332" w:rsidRDefault="00C07822" w:rsidP="00F00761">
            <w:pPr>
              <w:spacing w:after="0"/>
              <w:rPr>
                <w:rFonts w:eastAsia="Times New Roman" w:cs="Arial"/>
                <w:color w:val="000000"/>
                <w:szCs w:val="22"/>
                <w:lang w:eastAsia="en-AU"/>
              </w:rPr>
            </w:pPr>
            <w:r w:rsidRPr="007F6332">
              <w:rPr>
                <w:rFonts w:eastAsia="Times New Roman" w:cs="Arial"/>
                <w:color w:val="000000"/>
                <w:szCs w:val="22"/>
                <w:lang w:eastAsia="en-AU"/>
              </w:rPr>
              <w:t>Developmental Delay</w:t>
            </w:r>
          </w:p>
        </w:tc>
        <w:tc>
          <w:tcPr>
            <w:tcW w:w="912" w:type="pct"/>
            <w:tcBorders>
              <w:top w:val="nil"/>
              <w:left w:val="nil"/>
              <w:bottom w:val="nil"/>
              <w:right w:val="nil"/>
            </w:tcBorders>
            <w:shd w:val="clear" w:color="000000" w:fill="A7A9AC"/>
            <w:noWrap/>
            <w:vAlign w:val="center"/>
            <w:hideMark/>
          </w:tcPr>
          <w:p w14:paraId="1D90342E"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907</w:t>
            </w:r>
          </w:p>
        </w:tc>
        <w:tc>
          <w:tcPr>
            <w:tcW w:w="913" w:type="pct"/>
            <w:tcBorders>
              <w:top w:val="nil"/>
              <w:left w:val="nil"/>
              <w:bottom w:val="nil"/>
              <w:right w:val="nil"/>
            </w:tcBorders>
            <w:shd w:val="clear" w:color="000000" w:fill="A7A9AC"/>
            <w:noWrap/>
            <w:vAlign w:val="center"/>
            <w:hideMark/>
          </w:tcPr>
          <w:p w14:paraId="402E91EB"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759</w:t>
            </w:r>
          </w:p>
        </w:tc>
        <w:tc>
          <w:tcPr>
            <w:tcW w:w="913" w:type="pct"/>
            <w:tcBorders>
              <w:top w:val="nil"/>
              <w:left w:val="nil"/>
              <w:bottom w:val="nil"/>
              <w:right w:val="nil"/>
            </w:tcBorders>
            <w:shd w:val="clear" w:color="000000" w:fill="A7A9AC"/>
            <w:noWrap/>
            <w:vAlign w:val="center"/>
            <w:hideMark/>
          </w:tcPr>
          <w:p w14:paraId="55A0A99B"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148</w:t>
            </w:r>
          </w:p>
        </w:tc>
        <w:tc>
          <w:tcPr>
            <w:tcW w:w="913" w:type="pct"/>
            <w:tcBorders>
              <w:top w:val="nil"/>
              <w:left w:val="nil"/>
              <w:bottom w:val="nil"/>
              <w:right w:val="nil"/>
            </w:tcBorders>
            <w:shd w:val="clear" w:color="000000" w:fill="A7A9AC"/>
            <w:noWrap/>
            <w:vAlign w:val="center"/>
            <w:hideMark/>
          </w:tcPr>
          <w:p w14:paraId="0F9772DB" w14:textId="77777777" w:rsidR="00C07822" w:rsidRPr="007F6332" w:rsidRDefault="00C07822" w:rsidP="00C1755E">
            <w:pPr>
              <w:spacing w:after="0"/>
              <w:jc w:val="right"/>
              <w:rPr>
                <w:rFonts w:eastAsia="Times New Roman" w:cs="Arial"/>
                <w:color w:val="000000"/>
                <w:szCs w:val="22"/>
                <w:lang w:eastAsia="en-AU"/>
              </w:rPr>
            </w:pPr>
            <w:r w:rsidRPr="007F6332">
              <w:rPr>
                <w:rFonts w:eastAsia="Times New Roman" w:cs="Arial"/>
                <w:color w:val="000000"/>
                <w:szCs w:val="22"/>
                <w:lang w:eastAsia="en-AU"/>
              </w:rPr>
              <w:t>19.4%</w:t>
            </w:r>
          </w:p>
        </w:tc>
      </w:tr>
      <w:tr w:rsidR="00C07822" w:rsidRPr="007F6332" w14:paraId="7E05F44B" w14:textId="77777777" w:rsidTr="00D248F0">
        <w:trPr>
          <w:trHeight w:val="340"/>
        </w:trPr>
        <w:tc>
          <w:tcPr>
            <w:tcW w:w="1349" w:type="pct"/>
            <w:tcBorders>
              <w:top w:val="nil"/>
              <w:left w:val="nil"/>
              <w:bottom w:val="nil"/>
              <w:right w:val="nil"/>
            </w:tcBorders>
            <w:shd w:val="clear" w:color="auto" w:fill="auto"/>
            <w:noWrap/>
            <w:vAlign w:val="center"/>
            <w:hideMark/>
          </w:tcPr>
          <w:p w14:paraId="080FF850" w14:textId="77777777" w:rsidR="00C07822" w:rsidRPr="007F6332" w:rsidRDefault="00C07822" w:rsidP="00F00761">
            <w:pPr>
              <w:spacing w:after="0"/>
              <w:rPr>
                <w:rFonts w:eastAsia="Times New Roman" w:cs="Arial"/>
                <w:color w:val="000000"/>
                <w:szCs w:val="22"/>
                <w:lang w:eastAsia="en-AU"/>
              </w:rPr>
            </w:pPr>
            <w:r w:rsidRPr="007F6332">
              <w:rPr>
                <w:rFonts w:eastAsia="Times New Roman" w:cs="Arial"/>
                <w:color w:val="000000"/>
                <w:szCs w:val="22"/>
                <w:lang w:eastAsia="en-AU"/>
              </w:rPr>
              <w:t>Intellectual Disability</w:t>
            </w:r>
          </w:p>
        </w:tc>
        <w:tc>
          <w:tcPr>
            <w:tcW w:w="912" w:type="pct"/>
            <w:tcBorders>
              <w:top w:val="nil"/>
              <w:left w:val="nil"/>
              <w:bottom w:val="nil"/>
              <w:right w:val="nil"/>
            </w:tcBorders>
            <w:shd w:val="clear" w:color="auto" w:fill="auto"/>
            <w:noWrap/>
            <w:vAlign w:val="center"/>
            <w:hideMark/>
          </w:tcPr>
          <w:p w14:paraId="67B5D5B9"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4,872</w:t>
            </w:r>
          </w:p>
        </w:tc>
        <w:tc>
          <w:tcPr>
            <w:tcW w:w="913" w:type="pct"/>
            <w:tcBorders>
              <w:top w:val="nil"/>
              <w:left w:val="nil"/>
              <w:bottom w:val="nil"/>
              <w:right w:val="nil"/>
            </w:tcBorders>
            <w:shd w:val="clear" w:color="auto" w:fill="auto"/>
            <w:noWrap/>
            <w:vAlign w:val="center"/>
            <w:hideMark/>
          </w:tcPr>
          <w:p w14:paraId="45D5110B"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4,904</w:t>
            </w:r>
          </w:p>
        </w:tc>
        <w:tc>
          <w:tcPr>
            <w:tcW w:w="913" w:type="pct"/>
            <w:tcBorders>
              <w:top w:val="nil"/>
              <w:left w:val="nil"/>
              <w:bottom w:val="nil"/>
              <w:right w:val="nil"/>
            </w:tcBorders>
            <w:shd w:val="clear" w:color="auto" w:fill="auto"/>
            <w:noWrap/>
            <w:vAlign w:val="center"/>
            <w:hideMark/>
          </w:tcPr>
          <w:p w14:paraId="19FBAFFC"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-31</w:t>
            </w:r>
          </w:p>
        </w:tc>
        <w:tc>
          <w:tcPr>
            <w:tcW w:w="913" w:type="pct"/>
            <w:tcBorders>
              <w:top w:val="nil"/>
              <w:left w:val="nil"/>
              <w:bottom w:val="nil"/>
              <w:right w:val="nil"/>
            </w:tcBorders>
            <w:shd w:val="clear" w:color="auto" w:fill="auto"/>
            <w:noWrap/>
            <w:vAlign w:val="center"/>
            <w:hideMark/>
          </w:tcPr>
          <w:p w14:paraId="679B19FB" w14:textId="77777777" w:rsidR="00C07822" w:rsidRPr="007F6332" w:rsidRDefault="00C07822" w:rsidP="00C1755E">
            <w:pPr>
              <w:spacing w:after="0"/>
              <w:jc w:val="right"/>
              <w:rPr>
                <w:rFonts w:eastAsia="Times New Roman" w:cs="Arial"/>
                <w:color w:val="000000"/>
                <w:szCs w:val="22"/>
                <w:lang w:eastAsia="en-AU"/>
              </w:rPr>
            </w:pPr>
            <w:r w:rsidRPr="007F6332">
              <w:rPr>
                <w:rFonts w:eastAsia="Times New Roman" w:cs="Arial"/>
                <w:color w:val="000000"/>
                <w:szCs w:val="22"/>
                <w:lang w:eastAsia="en-AU"/>
              </w:rPr>
              <w:t>-0.6%</w:t>
            </w:r>
          </w:p>
        </w:tc>
      </w:tr>
      <w:tr w:rsidR="00C07822" w:rsidRPr="007F6332" w14:paraId="39CF2DC6" w14:textId="77777777" w:rsidTr="00D248F0">
        <w:trPr>
          <w:trHeight w:val="340"/>
        </w:trPr>
        <w:tc>
          <w:tcPr>
            <w:tcW w:w="1349" w:type="pct"/>
            <w:tcBorders>
              <w:top w:val="nil"/>
              <w:left w:val="nil"/>
              <w:bottom w:val="nil"/>
              <w:right w:val="nil"/>
            </w:tcBorders>
            <w:shd w:val="clear" w:color="000000" w:fill="A7A9AC"/>
            <w:noWrap/>
            <w:vAlign w:val="center"/>
            <w:hideMark/>
          </w:tcPr>
          <w:p w14:paraId="4579D8E8" w14:textId="77777777" w:rsidR="00C07822" w:rsidRPr="007F6332" w:rsidRDefault="00C07822" w:rsidP="00F00761">
            <w:pPr>
              <w:spacing w:after="0"/>
              <w:rPr>
                <w:rFonts w:eastAsia="Times New Roman" w:cs="Arial"/>
                <w:color w:val="000000"/>
                <w:szCs w:val="22"/>
                <w:lang w:eastAsia="en-AU"/>
              </w:rPr>
            </w:pPr>
            <w:r w:rsidRPr="007F6332">
              <w:rPr>
                <w:rFonts w:eastAsia="Times New Roman" w:cs="Arial"/>
                <w:color w:val="000000"/>
                <w:szCs w:val="22"/>
                <w:lang w:eastAsia="en-AU"/>
              </w:rPr>
              <w:t>Other Neurological</w:t>
            </w:r>
          </w:p>
        </w:tc>
        <w:tc>
          <w:tcPr>
            <w:tcW w:w="912" w:type="pct"/>
            <w:tcBorders>
              <w:top w:val="nil"/>
              <w:left w:val="nil"/>
              <w:bottom w:val="nil"/>
              <w:right w:val="nil"/>
            </w:tcBorders>
            <w:shd w:val="clear" w:color="000000" w:fill="A7A9AC"/>
            <w:noWrap/>
            <w:vAlign w:val="center"/>
            <w:hideMark/>
          </w:tcPr>
          <w:p w14:paraId="6E831944"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1,932</w:t>
            </w:r>
          </w:p>
        </w:tc>
        <w:tc>
          <w:tcPr>
            <w:tcW w:w="913" w:type="pct"/>
            <w:tcBorders>
              <w:top w:val="nil"/>
              <w:left w:val="nil"/>
              <w:bottom w:val="nil"/>
              <w:right w:val="nil"/>
            </w:tcBorders>
            <w:shd w:val="clear" w:color="000000" w:fill="A7A9AC"/>
            <w:noWrap/>
            <w:vAlign w:val="center"/>
            <w:hideMark/>
          </w:tcPr>
          <w:p w14:paraId="366D2F81"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1,908</w:t>
            </w:r>
          </w:p>
        </w:tc>
        <w:tc>
          <w:tcPr>
            <w:tcW w:w="913" w:type="pct"/>
            <w:tcBorders>
              <w:top w:val="nil"/>
              <w:left w:val="nil"/>
              <w:bottom w:val="nil"/>
              <w:right w:val="nil"/>
            </w:tcBorders>
            <w:shd w:val="clear" w:color="000000" w:fill="A7A9AC"/>
            <w:noWrap/>
            <w:vAlign w:val="center"/>
            <w:hideMark/>
          </w:tcPr>
          <w:p w14:paraId="15C42DA0"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24</w:t>
            </w:r>
          </w:p>
        </w:tc>
        <w:tc>
          <w:tcPr>
            <w:tcW w:w="913" w:type="pct"/>
            <w:tcBorders>
              <w:top w:val="nil"/>
              <w:left w:val="nil"/>
              <w:bottom w:val="nil"/>
              <w:right w:val="nil"/>
            </w:tcBorders>
            <w:shd w:val="clear" w:color="000000" w:fill="A7A9AC"/>
            <w:noWrap/>
            <w:vAlign w:val="center"/>
            <w:hideMark/>
          </w:tcPr>
          <w:p w14:paraId="22170AB9" w14:textId="77777777" w:rsidR="00C07822" w:rsidRPr="007F6332" w:rsidRDefault="00C07822" w:rsidP="00C1755E">
            <w:pPr>
              <w:spacing w:after="0"/>
              <w:jc w:val="right"/>
              <w:rPr>
                <w:rFonts w:eastAsia="Times New Roman" w:cs="Arial"/>
                <w:color w:val="000000"/>
                <w:szCs w:val="22"/>
                <w:lang w:eastAsia="en-AU"/>
              </w:rPr>
            </w:pPr>
            <w:r w:rsidRPr="007F6332">
              <w:rPr>
                <w:rFonts w:eastAsia="Times New Roman" w:cs="Arial"/>
                <w:color w:val="000000"/>
                <w:szCs w:val="22"/>
                <w:lang w:eastAsia="en-AU"/>
              </w:rPr>
              <w:t>1.3%</w:t>
            </w:r>
          </w:p>
        </w:tc>
      </w:tr>
      <w:tr w:rsidR="00C07822" w:rsidRPr="007F6332" w14:paraId="399EEC05" w14:textId="77777777" w:rsidTr="00D248F0">
        <w:trPr>
          <w:trHeight w:val="340"/>
        </w:trPr>
        <w:tc>
          <w:tcPr>
            <w:tcW w:w="1349" w:type="pct"/>
            <w:tcBorders>
              <w:top w:val="nil"/>
              <w:left w:val="nil"/>
              <w:bottom w:val="nil"/>
              <w:right w:val="nil"/>
            </w:tcBorders>
            <w:shd w:val="clear" w:color="auto" w:fill="auto"/>
            <w:noWrap/>
            <w:vAlign w:val="center"/>
            <w:hideMark/>
          </w:tcPr>
          <w:p w14:paraId="5C1BE7C2" w14:textId="77777777" w:rsidR="00C07822" w:rsidRPr="007F6332" w:rsidRDefault="00C07822" w:rsidP="00F00761">
            <w:pPr>
              <w:spacing w:after="0"/>
              <w:rPr>
                <w:rFonts w:eastAsia="Times New Roman" w:cs="Arial"/>
                <w:color w:val="000000"/>
                <w:szCs w:val="22"/>
                <w:lang w:eastAsia="en-AU"/>
              </w:rPr>
            </w:pPr>
            <w:r w:rsidRPr="007F6332">
              <w:rPr>
                <w:rFonts w:eastAsia="Times New Roman" w:cs="Arial"/>
                <w:color w:val="000000"/>
                <w:szCs w:val="22"/>
                <w:lang w:eastAsia="en-AU"/>
              </w:rPr>
              <w:t>Psychosocial Disability</w:t>
            </w:r>
          </w:p>
        </w:tc>
        <w:tc>
          <w:tcPr>
            <w:tcW w:w="912" w:type="pct"/>
            <w:tcBorders>
              <w:top w:val="nil"/>
              <w:left w:val="nil"/>
              <w:bottom w:val="nil"/>
              <w:right w:val="nil"/>
            </w:tcBorders>
            <w:shd w:val="clear" w:color="auto" w:fill="auto"/>
            <w:noWrap/>
            <w:vAlign w:val="center"/>
            <w:hideMark/>
          </w:tcPr>
          <w:p w14:paraId="3596EDB8"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3,088</w:t>
            </w:r>
          </w:p>
        </w:tc>
        <w:tc>
          <w:tcPr>
            <w:tcW w:w="913" w:type="pct"/>
            <w:tcBorders>
              <w:top w:val="nil"/>
              <w:left w:val="nil"/>
              <w:bottom w:val="nil"/>
              <w:right w:val="nil"/>
            </w:tcBorders>
            <w:shd w:val="clear" w:color="auto" w:fill="auto"/>
            <w:noWrap/>
            <w:vAlign w:val="center"/>
            <w:hideMark/>
          </w:tcPr>
          <w:p w14:paraId="7A2A896D"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3,000</w:t>
            </w:r>
          </w:p>
        </w:tc>
        <w:tc>
          <w:tcPr>
            <w:tcW w:w="913" w:type="pct"/>
            <w:tcBorders>
              <w:top w:val="nil"/>
              <w:left w:val="nil"/>
              <w:bottom w:val="nil"/>
              <w:right w:val="nil"/>
            </w:tcBorders>
            <w:shd w:val="clear" w:color="auto" w:fill="auto"/>
            <w:noWrap/>
            <w:vAlign w:val="center"/>
            <w:hideMark/>
          </w:tcPr>
          <w:p w14:paraId="4CE715C8"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88</w:t>
            </w:r>
          </w:p>
        </w:tc>
        <w:tc>
          <w:tcPr>
            <w:tcW w:w="913" w:type="pct"/>
            <w:tcBorders>
              <w:top w:val="nil"/>
              <w:left w:val="nil"/>
              <w:bottom w:val="nil"/>
              <w:right w:val="nil"/>
            </w:tcBorders>
            <w:shd w:val="clear" w:color="auto" w:fill="auto"/>
            <w:noWrap/>
            <w:vAlign w:val="center"/>
            <w:hideMark/>
          </w:tcPr>
          <w:p w14:paraId="583B64CF" w14:textId="77777777" w:rsidR="00C07822" w:rsidRPr="007F6332" w:rsidRDefault="00C07822" w:rsidP="00C1755E">
            <w:pPr>
              <w:spacing w:after="0"/>
              <w:jc w:val="right"/>
              <w:rPr>
                <w:rFonts w:eastAsia="Times New Roman" w:cs="Arial"/>
                <w:color w:val="000000"/>
                <w:szCs w:val="22"/>
                <w:lang w:eastAsia="en-AU"/>
              </w:rPr>
            </w:pPr>
            <w:r w:rsidRPr="007F6332">
              <w:rPr>
                <w:rFonts w:eastAsia="Times New Roman" w:cs="Arial"/>
                <w:color w:val="000000"/>
                <w:szCs w:val="22"/>
                <w:lang w:eastAsia="en-AU"/>
              </w:rPr>
              <w:t>2.9%</w:t>
            </w:r>
          </w:p>
        </w:tc>
      </w:tr>
      <w:tr w:rsidR="00C07822" w:rsidRPr="007F6332" w14:paraId="4FC72871" w14:textId="77777777" w:rsidTr="00D248F0">
        <w:trPr>
          <w:trHeight w:val="340"/>
        </w:trPr>
        <w:tc>
          <w:tcPr>
            <w:tcW w:w="1349" w:type="pct"/>
            <w:tcBorders>
              <w:top w:val="nil"/>
              <w:left w:val="nil"/>
              <w:right w:val="nil"/>
            </w:tcBorders>
            <w:shd w:val="clear" w:color="000000" w:fill="A7A9AC"/>
            <w:noWrap/>
            <w:vAlign w:val="center"/>
            <w:hideMark/>
          </w:tcPr>
          <w:p w14:paraId="20D14D6A" w14:textId="35D59911" w:rsidR="00C07822" w:rsidRPr="007F6332" w:rsidRDefault="00C07822" w:rsidP="00F00761">
            <w:pPr>
              <w:spacing w:after="0"/>
              <w:rPr>
                <w:rFonts w:eastAsia="Times New Roman" w:cs="Arial"/>
                <w:color w:val="000000"/>
                <w:szCs w:val="22"/>
                <w:lang w:eastAsia="en-AU"/>
              </w:rPr>
            </w:pPr>
            <w:r w:rsidRPr="007F6332">
              <w:rPr>
                <w:rFonts w:eastAsia="Times New Roman" w:cs="Arial"/>
                <w:color w:val="000000"/>
                <w:szCs w:val="22"/>
                <w:lang w:eastAsia="en-AU"/>
              </w:rPr>
              <w:t>Other</w:t>
            </w:r>
          </w:p>
        </w:tc>
        <w:tc>
          <w:tcPr>
            <w:tcW w:w="912" w:type="pct"/>
            <w:tcBorders>
              <w:top w:val="nil"/>
              <w:left w:val="nil"/>
              <w:right w:val="nil"/>
            </w:tcBorders>
            <w:shd w:val="clear" w:color="000000" w:fill="A7A9AC"/>
            <w:noWrap/>
            <w:vAlign w:val="center"/>
            <w:hideMark/>
          </w:tcPr>
          <w:p w14:paraId="1893ADEF"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7,145</w:t>
            </w:r>
          </w:p>
        </w:tc>
        <w:tc>
          <w:tcPr>
            <w:tcW w:w="913" w:type="pct"/>
            <w:tcBorders>
              <w:top w:val="nil"/>
              <w:left w:val="nil"/>
              <w:right w:val="nil"/>
            </w:tcBorders>
            <w:shd w:val="clear" w:color="000000" w:fill="A7A9AC"/>
            <w:noWrap/>
            <w:vAlign w:val="center"/>
            <w:hideMark/>
          </w:tcPr>
          <w:p w14:paraId="748455CE"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7,181</w:t>
            </w:r>
          </w:p>
        </w:tc>
        <w:tc>
          <w:tcPr>
            <w:tcW w:w="913" w:type="pct"/>
            <w:tcBorders>
              <w:top w:val="nil"/>
              <w:left w:val="nil"/>
              <w:right w:val="nil"/>
            </w:tcBorders>
            <w:shd w:val="clear" w:color="000000" w:fill="A7A9AC"/>
            <w:noWrap/>
            <w:vAlign w:val="center"/>
            <w:hideMark/>
          </w:tcPr>
          <w:p w14:paraId="13DCB195" w14:textId="77777777" w:rsidR="00C07822" w:rsidRPr="007F6332" w:rsidRDefault="00C07822" w:rsidP="002D71C8">
            <w:pPr>
              <w:spacing w:after="0"/>
              <w:jc w:val="center"/>
              <w:rPr>
                <w:rFonts w:eastAsia="Times New Roman" w:cs="Arial"/>
                <w:color w:val="000000"/>
                <w:szCs w:val="22"/>
                <w:lang w:eastAsia="en-AU"/>
              </w:rPr>
            </w:pPr>
            <w:r w:rsidRPr="007F6332">
              <w:rPr>
                <w:rFonts w:eastAsia="Times New Roman" w:cs="Arial"/>
                <w:color w:val="000000"/>
                <w:szCs w:val="22"/>
                <w:lang w:eastAsia="en-AU"/>
              </w:rPr>
              <w:t>-36</w:t>
            </w:r>
          </w:p>
        </w:tc>
        <w:tc>
          <w:tcPr>
            <w:tcW w:w="913" w:type="pct"/>
            <w:tcBorders>
              <w:top w:val="nil"/>
              <w:left w:val="nil"/>
              <w:right w:val="nil"/>
            </w:tcBorders>
            <w:shd w:val="clear" w:color="000000" w:fill="A7A9AC"/>
            <w:noWrap/>
            <w:vAlign w:val="center"/>
            <w:hideMark/>
          </w:tcPr>
          <w:p w14:paraId="14954A6B" w14:textId="77777777" w:rsidR="00C07822" w:rsidRPr="007F6332" w:rsidRDefault="00C07822" w:rsidP="00C1755E">
            <w:pPr>
              <w:spacing w:after="0"/>
              <w:jc w:val="right"/>
              <w:rPr>
                <w:rFonts w:eastAsia="Times New Roman" w:cs="Arial"/>
                <w:color w:val="000000"/>
                <w:szCs w:val="22"/>
                <w:lang w:eastAsia="en-AU"/>
              </w:rPr>
            </w:pPr>
            <w:r w:rsidRPr="007F6332">
              <w:rPr>
                <w:rFonts w:eastAsia="Times New Roman" w:cs="Arial"/>
                <w:color w:val="000000"/>
                <w:szCs w:val="22"/>
                <w:lang w:eastAsia="en-AU"/>
              </w:rPr>
              <w:t>-0.5%</w:t>
            </w:r>
          </w:p>
        </w:tc>
      </w:tr>
      <w:tr w:rsidR="00C07822" w:rsidRPr="007F6332" w14:paraId="60AF7598" w14:textId="77777777" w:rsidTr="00C07822">
        <w:trPr>
          <w:trHeight w:val="340"/>
        </w:trPr>
        <w:tc>
          <w:tcPr>
            <w:tcW w:w="1349" w:type="pct"/>
            <w:tcBorders>
              <w:left w:val="nil"/>
              <w:bottom w:val="single" w:sz="4" w:space="0" w:color="auto"/>
              <w:right w:val="nil"/>
            </w:tcBorders>
            <w:shd w:val="clear" w:color="000000" w:fill="B398B8"/>
            <w:noWrap/>
            <w:vAlign w:val="center"/>
            <w:hideMark/>
          </w:tcPr>
          <w:p w14:paraId="26675F0E" w14:textId="77777777" w:rsidR="00C07822" w:rsidRPr="007F6332" w:rsidRDefault="00C07822" w:rsidP="00F00761">
            <w:pPr>
              <w:spacing w:after="0"/>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912" w:type="pct"/>
            <w:tcBorders>
              <w:left w:val="nil"/>
              <w:bottom w:val="single" w:sz="4" w:space="0" w:color="auto"/>
              <w:right w:val="nil"/>
            </w:tcBorders>
            <w:shd w:val="clear" w:color="000000" w:fill="B398B8"/>
            <w:noWrap/>
            <w:vAlign w:val="center"/>
            <w:hideMark/>
          </w:tcPr>
          <w:p w14:paraId="66B6540E" w14:textId="77777777" w:rsidR="00C07822" w:rsidRPr="007F6332" w:rsidRDefault="00C07822" w:rsidP="002D71C8">
            <w:pPr>
              <w:spacing w:after="0"/>
              <w:jc w:val="center"/>
              <w:rPr>
                <w:rFonts w:eastAsia="Times New Roman" w:cs="Arial"/>
                <w:b/>
                <w:bCs/>
                <w:color w:val="000000"/>
                <w:szCs w:val="22"/>
                <w:lang w:eastAsia="en-AU"/>
              </w:rPr>
            </w:pPr>
            <w:r w:rsidRPr="007F6332">
              <w:rPr>
                <w:rFonts w:eastAsia="Times New Roman" w:cs="Arial"/>
                <w:b/>
                <w:bCs/>
                <w:color w:val="000000"/>
                <w:szCs w:val="22"/>
                <w:lang w:eastAsia="en-AU"/>
              </w:rPr>
              <w:t>23,177</w:t>
            </w:r>
          </w:p>
        </w:tc>
        <w:tc>
          <w:tcPr>
            <w:tcW w:w="913" w:type="pct"/>
            <w:tcBorders>
              <w:left w:val="nil"/>
              <w:bottom w:val="single" w:sz="4" w:space="0" w:color="auto"/>
              <w:right w:val="nil"/>
            </w:tcBorders>
            <w:shd w:val="clear" w:color="000000" w:fill="B398B8"/>
            <w:noWrap/>
            <w:vAlign w:val="center"/>
            <w:hideMark/>
          </w:tcPr>
          <w:p w14:paraId="7BC39139" w14:textId="77777777" w:rsidR="00C07822" w:rsidRPr="007F6332" w:rsidRDefault="00C07822" w:rsidP="002D71C8">
            <w:pPr>
              <w:spacing w:after="0"/>
              <w:jc w:val="center"/>
              <w:rPr>
                <w:rFonts w:eastAsia="Times New Roman" w:cs="Arial"/>
                <w:b/>
                <w:bCs/>
                <w:color w:val="000000"/>
                <w:szCs w:val="22"/>
                <w:lang w:eastAsia="en-AU"/>
              </w:rPr>
            </w:pPr>
            <w:r w:rsidRPr="007F6332">
              <w:rPr>
                <w:rFonts w:eastAsia="Times New Roman" w:cs="Arial"/>
                <w:b/>
                <w:bCs/>
                <w:color w:val="000000"/>
                <w:szCs w:val="22"/>
                <w:lang w:eastAsia="en-AU"/>
              </w:rPr>
              <w:t>23,125</w:t>
            </w:r>
          </w:p>
        </w:tc>
        <w:tc>
          <w:tcPr>
            <w:tcW w:w="913" w:type="pct"/>
            <w:tcBorders>
              <w:left w:val="nil"/>
              <w:bottom w:val="single" w:sz="4" w:space="0" w:color="auto"/>
              <w:right w:val="nil"/>
            </w:tcBorders>
            <w:shd w:val="clear" w:color="000000" w:fill="B398B8"/>
            <w:noWrap/>
            <w:vAlign w:val="center"/>
            <w:hideMark/>
          </w:tcPr>
          <w:p w14:paraId="18A72661" w14:textId="77777777" w:rsidR="00C07822" w:rsidRPr="007F6332" w:rsidRDefault="00C07822" w:rsidP="002D71C8">
            <w:pPr>
              <w:spacing w:after="0"/>
              <w:jc w:val="center"/>
              <w:rPr>
                <w:rFonts w:eastAsia="Times New Roman" w:cs="Arial"/>
                <w:b/>
                <w:bCs/>
                <w:color w:val="000000"/>
                <w:szCs w:val="22"/>
                <w:lang w:eastAsia="en-AU"/>
              </w:rPr>
            </w:pPr>
            <w:r w:rsidRPr="007F6332">
              <w:rPr>
                <w:rFonts w:eastAsia="Times New Roman" w:cs="Arial"/>
                <w:b/>
                <w:bCs/>
                <w:color w:val="000000"/>
                <w:szCs w:val="22"/>
                <w:lang w:eastAsia="en-AU"/>
              </w:rPr>
              <w:t>52</w:t>
            </w:r>
          </w:p>
        </w:tc>
        <w:tc>
          <w:tcPr>
            <w:tcW w:w="913" w:type="pct"/>
            <w:tcBorders>
              <w:left w:val="nil"/>
              <w:bottom w:val="single" w:sz="4" w:space="0" w:color="auto"/>
              <w:right w:val="nil"/>
            </w:tcBorders>
            <w:shd w:val="clear" w:color="000000" w:fill="B398B8"/>
            <w:noWrap/>
            <w:vAlign w:val="center"/>
            <w:hideMark/>
          </w:tcPr>
          <w:p w14:paraId="5F7815A7" w14:textId="77777777" w:rsidR="00C07822" w:rsidRPr="007F6332" w:rsidRDefault="00C07822" w:rsidP="00C1755E">
            <w:pPr>
              <w:spacing w:after="0"/>
              <w:jc w:val="right"/>
              <w:rPr>
                <w:rFonts w:eastAsia="Times New Roman" w:cs="Arial"/>
                <w:b/>
                <w:bCs/>
                <w:color w:val="000000"/>
                <w:szCs w:val="22"/>
                <w:lang w:eastAsia="en-AU"/>
              </w:rPr>
            </w:pPr>
            <w:r w:rsidRPr="007F6332">
              <w:rPr>
                <w:rFonts w:eastAsia="Times New Roman" w:cs="Arial"/>
                <w:b/>
                <w:bCs/>
                <w:color w:val="000000"/>
                <w:szCs w:val="22"/>
                <w:lang w:eastAsia="en-AU"/>
              </w:rPr>
              <w:t>0.2%</w:t>
            </w:r>
          </w:p>
        </w:tc>
      </w:tr>
    </w:tbl>
    <w:p w14:paraId="383156CE" w14:textId="77777777" w:rsidR="005063D3" w:rsidRPr="007F6332" w:rsidRDefault="005063D3" w:rsidP="00CD33D0">
      <w:pPr>
        <w:pStyle w:val="FSRnormal"/>
        <w:spacing w:before="0" w:after="0"/>
        <w:rPr>
          <w:rFonts w:cs="Arial"/>
        </w:rPr>
      </w:pPr>
      <w:bookmarkStart w:id="93" w:name="_Ref144320403"/>
      <w:bookmarkStart w:id="94" w:name="_Toc146286153"/>
      <w:bookmarkStart w:id="95" w:name="_Toc152614978"/>
    </w:p>
    <w:p w14:paraId="7C5C5DA8" w14:textId="7EE1D18F" w:rsidR="002867E7" w:rsidRPr="007F6332" w:rsidRDefault="002867E7" w:rsidP="00CD33D0">
      <w:pPr>
        <w:pStyle w:val="Heading3"/>
        <w:ind w:left="709" w:hanging="709"/>
        <w:rPr>
          <w:rFonts w:cs="Arial"/>
        </w:rPr>
      </w:pPr>
      <w:r w:rsidRPr="007F6332">
        <w:rPr>
          <w:rFonts w:cs="Arial"/>
        </w:rPr>
        <w:t>Average payments per participant</w:t>
      </w:r>
      <w:bookmarkEnd w:id="93"/>
      <w:bookmarkEnd w:id="94"/>
      <w:bookmarkEnd w:id="95"/>
    </w:p>
    <w:p w14:paraId="3206B2A7" w14:textId="77777777" w:rsidR="003B1559" w:rsidRPr="007F6332" w:rsidRDefault="003B1559" w:rsidP="00CD33D0">
      <w:pPr>
        <w:pStyle w:val="Heading4"/>
        <w:ind w:left="720"/>
        <w:rPr>
          <w:rFonts w:cs="Arial"/>
        </w:rPr>
      </w:pPr>
      <w:r w:rsidRPr="007F6332">
        <w:rPr>
          <w:rFonts w:cs="Arial"/>
        </w:rPr>
        <w:t>Average payments experience in 2022-23 was 2% higher than expected</w:t>
      </w:r>
    </w:p>
    <w:p w14:paraId="546BBA04" w14:textId="77777777" w:rsidR="00BB35B6" w:rsidRPr="007F6332" w:rsidRDefault="00EA3BBE" w:rsidP="00F70F30">
      <w:pPr>
        <w:pStyle w:val="FSRnormal"/>
        <w:spacing w:before="120" w:after="120"/>
        <w:rPr>
          <w:rFonts w:cs="Arial"/>
        </w:rPr>
      </w:pPr>
      <w:r w:rsidRPr="007F6332">
        <w:rPr>
          <w:rFonts w:cs="Arial"/>
        </w:rPr>
        <w:t>Table 4.14 shows for participants with SIL supports, average payments per participant in 2022-23 were 3.4% higher than the estimate in the June 2022 projections</w:t>
      </w:r>
      <w:bookmarkStart w:id="96" w:name="_Hlk148106583"/>
      <w:r w:rsidR="00F72C84" w:rsidRPr="007F6332">
        <w:rPr>
          <w:rFonts w:cs="Arial"/>
        </w:rPr>
        <w:t>, and 1.2% lower for participants without SIL supports, based on the expected mix of participants without SIL supports in the June 2022 projections</w:t>
      </w:r>
      <w:r w:rsidRPr="007F6332">
        <w:rPr>
          <w:rFonts w:cs="Arial"/>
        </w:rPr>
        <w:t xml:space="preserve">. </w:t>
      </w:r>
      <w:r w:rsidR="00F72C84" w:rsidRPr="007F6332">
        <w:rPr>
          <w:rFonts w:cs="Arial"/>
        </w:rPr>
        <w:t>Adjusting for the actual mix of participants without SIL supports, average payments per participant were 1.5% higher than expected on a like for like basis.</w:t>
      </w:r>
      <w:bookmarkEnd w:id="96"/>
      <w:r w:rsidRPr="007F6332">
        <w:rPr>
          <w:rFonts w:cs="Arial"/>
        </w:rPr>
        <w:t xml:space="preserve"> </w:t>
      </w:r>
    </w:p>
    <w:p w14:paraId="6F81430A" w14:textId="4915625F" w:rsidR="00430221" w:rsidRPr="007F6332" w:rsidRDefault="0045717D" w:rsidP="006B61AA">
      <w:pPr>
        <w:pStyle w:val="FiguresandTablesHeading5"/>
      </w:pPr>
      <w:r w:rsidRPr="007F6332">
        <w:t>Table 4.14</w:t>
      </w:r>
      <w:r w:rsidR="002916CB" w:rsidRPr="007F6332">
        <w:t>:</w:t>
      </w:r>
      <w:r w:rsidRPr="007F6332">
        <w:t xml:space="preserve"> </w:t>
      </w:r>
      <w:r w:rsidR="00430221" w:rsidRPr="007F6332">
        <w:t>2022-23 average payments experience: participants with and without SIL supports ($)</w:t>
      </w:r>
    </w:p>
    <w:tbl>
      <w:tblPr>
        <w:tblW w:w="5032" w:type="pct"/>
        <w:tblLayout w:type="fixed"/>
        <w:tblLook w:val="04A0" w:firstRow="1" w:lastRow="0" w:firstColumn="1" w:lastColumn="0" w:noHBand="0" w:noVBand="1"/>
      </w:tblPr>
      <w:tblGrid>
        <w:gridCol w:w="2271"/>
        <w:gridCol w:w="1557"/>
        <w:gridCol w:w="1701"/>
        <w:gridCol w:w="1701"/>
        <w:gridCol w:w="1878"/>
      </w:tblGrid>
      <w:tr w:rsidR="00154712" w:rsidRPr="007F6332" w14:paraId="4C660174" w14:textId="77777777" w:rsidTr="00154712">
        <w:trPr>
          <w:trHeight w:val="300"/>
        </w:trPr>
        <w:tc>
          <w:tcPr>
            <w:tcW w:w="1246" w:type="pct"/>
            <w:tcBorders>
              <w:top w:val="nil"/>
              <w:left w:val="nil"/>
              <w:right w:val="nil"/>
            </w:tcBorders>
            <w:shd w:val="clear" w:color="000000" w:fill="6B2976"/>
            <w:vAlign w:val="center"/>
            <w:hideMark/>
          </w:tcPr>
          <w:p w14:paraId="7E8EAE84" w14:textId="537E3CEE" w:rsidR="007C2D03" w:rsidRPr="007F6332" w:rsidRDefault="00017141" w:rsidP="00A406C9">
            <w:pPr>
              <w:spacing w:before="40" w:after="4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 xml:space="preserve"> Average p</w:t>
            </w:r>
            <w:r w:rsidR="002A18F3" w:rsidRPr="007F6332">
              <w:rPr>
                <w:rFonts w:eastAsia="Times New Roman" w:cs="Arial"/>
                <w:b/>
                <w:bCs/>
                <w:color w:val="FFFFFF"/>
                <w:szCs w:val="22"/>
                <w:lang w:val="en-AU" w:eastAsia="en-AU"/>
              </w:rPr>
              <w:t>aymen</w:t>
            </w:r>
            <w:r w:rsidR="00F341D0" w:rsidRPr="007F6332">
              <w:rPr>
                <w:rFonts w:eastAsia="Times New Roman" w:cs="Arial"/>
                <w:b/>
                <w:bCs/>
                <w:color w:val="FFFFFF"/>
                <w:szCs w:val="22"/>
                <w:lang w:val="en-AU" w:eastAsia="en-AU"/>
              </w:rPr>
              <w:t>t</w:t>
            </w:r>
            <w:r w:rsidRPr="007F6332">
              <w:rPr>
                <w:rFonts w:eastAsia="Times New Roman" w:cs="Arial"/>
                <w:b/>
                <w:bCs/>
                <w:color w:val="FFFFFF"/>
                <w:szCs w:val="22"/>
                <w:lang w:val="en-AU" w:eastAsia="en-AU"/>
              </w:rPr>
              <w:t xml:space="preserve"> per participant</w:t>
            </w:r>
          </w:p>
        </w:tc>
        <w:tc>
          <w:tcPr>
            <w:tcW w:w="855" w:type="pct"/>
            <w:tcBorders>
              <w:top w:val="nil"/>
              <w:left w:val="nil"/>
              <w:right w:val="nil"/>
            </w:tcBorders>
            <w:shd w:val="clear" w:color="000000" w:fill="6B2976"/>
            <w:vAlign w:val="center"/>
            <w:hideMark/>
          </w:tcPr>
          <w:p w14:paraId="42CA0BF1" w14:textId="267E3756" w:rsidR="007C2D03" w:rsidRPr="007F6332" w:rsidRDefault="002A18F3" w:rsidP="00017141">
            <w:pPr>
              <w:spacing w:before="40" w:after="4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Actual</w:t>
            </w:r>
          </w:p>
        </w:tc>
        <w:tc>
          <w:tcPr>
            <w:tcW w:w="934" w:type="pct"/>
            <w:tcBorders>
              <w:top w:val="nil"/>
              <w:left w:val="nil"/>
              <w:right w:val="nil"/>
            </w:tcBorders>
            <w:shd w:val="clear" w:color="000000" w:fill="6B2976"/>
            <w:vAlign w:val="center"/>
            <w:hideMark/>
          </w:tcPr>
          <w:p w14:paraId="5C38FE7B" w14:textId="6316FFA9" w:rsidR="007C2D03" w:rsidRPr="007F6332" w:rsidRDefault="002A18F3" w:rsidP="00017141">
            <w:pPr>
              <w:spacing w:before="40" w:after="4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Expected</w:t>
            </w:r>
          </w:p>
        </w:tc>
        <w:tc>
          <w:tcPr>
            <w:tcW w:w="934" w:type="pct"/>
            <w:tcBorders>
              <w:top w:val="nil"/>
              <w:left w:val="nil"/>
              <w:right w:val="nil"/>
            </w:tcBorders>
            <w:shd w:val="clear" w:color="000000" w:fill="6B2976"/>
            <w:vAlign w:val="center"/>
            <w:hideMark/>
          </w:tcPr>
          <w:p w14:paraId="11879E09" w14:textId="594AD4F4" w:rsidR="007C2D03" w:rsidRPr="007F6332" w:rsidRDefault="002A18F3" w:rsidP="00A406C9">
            <w:pPr>
              <w:spacing w:before="40" w:after="4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 xml:space="preserve"> Difference</w:t>
            </w:r>
          </w:p>
        </w:tc>
        <w:tc>
          <w:tcPr>
            <w:tcW w:w="1031" w:type="pct"/>
            <w:tcBorders>
              <w:top w:val="nil"/>
              <w:left w:val="nil"/>
              <w:right w:val="nil"/>
            </w:tcBorders>
            <w:shd w:val="clear" w:color="000000" w:fill="6B2976"/>
            <w:vAlign w:val="center"/>
            <w:hideMark/>
          </w:tcPr>
          <w:p w14:paraId="1AC68195" w14:textId="6512DDF1" w:rsidR="007C2D03" w:rsidRPr="007F6332" w:rsidRDefault="00017141" w:rsidP="00017141">
            <w:pPr>
              <w:spacing w:before="40" w:after="4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w:t>
            </w:r>
            <w:r w:rsidR="002A18F3" w:rsidRPr="007F6332">
              <w:rPr>
                <w:rFonts w:eastAsia="Times New Roman" w:cs="Arial"/>
                <w:b/>
                <w:bCs/>
                <w:color w:val="FFFFFF"/>
                <w:szCs w:val="22"/>
                <w:lang w:val="en-AU" w:eastAsia="en-AU"/>
              </w:rPr>
              <w:t xml:space="preserve"> Difference </w:t>
            </w:r>
          </w:p>
        </w:tc>
      </w:tr>
      <w:tr w:rsidR="0069190F" w:rsidRPr="007F6332" w14:paraId="71561BBE" w14:textId="77777777" w:rsidTr="00E53368">
        <w:trPr>
          <w:trHeight w:val="340"/>
        </w:trPr>
        <w:tc>
          <w:tcPr>
            <w:tcW w:w="1246" w:type="pct"/>
            <w:tcBorders>
              <w:top w:val="nil"/>
              <w:left w:val="nil"/>
              <w:bottom w:val="nil"/>
              <w:right w:val="nil"/>
            </w:tcBorders>
            <w:shd w:val="clear" w:color="auto" w:fill="auto"/>
            <w:noWrap/>
            <w:vAlign w:val="center"/>
            <w:hideMark/>
          </w:tcPr>
          <w:p w14:paraId="00528E32" w14:textId="39936FA7" w:rsidR="007C2D03" w:rsidRPr="007F6332" w:rsidRDefault="00F341D0" w:rsidP="003A42DC">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Participant</w:t>
            </w:r>
            <w:r w:rsidR="007531A9" w:rsidRPr="007F6332">
              <w:rPr>
                <w:rFonts w:eastAsia="Times New Roman" w:cs="Arial"/>
                <w:color w:val="000000"/>
                <w:szCs w:val="22"/>
                <w:lang w:val="en-AU" w:eastAsia="en-AU"/>
              </w:rPr>
              <w:t>s</w:t>
            </w:r>
            <w:r w:rsidRPr="007F6332">
              <w:rPr>
                <w:rFonts w:eastAsia="Times New Roman" w:cs="Arial"/>
                <w:color w:val="000000"/>
                <w:szCs w:val="22"/>
                <w:lang w:val="en-AU" w:eastAsia="en-AU"/>
              </w:rPr>
              <w:t xml:space="preserve"> with </w:t>
            </w:r>
            <w:r w:rsidR="007C2D03" w:rsidRPr="007F6332">
              <w:rPr>
                <w:rFonts w:eastAsia="Times New Roman" w:cs="Arial"/>
                <w:color w:val="000000"/>
                <w:szCs w:val="22"/>
                <w:lang w:val="en-AU" w:eastAsia="en-AU"/>
              </w:rPr>
              <w:t>SIL</w:t>
            </w:r>
          </w:p>
        </w:tc>
        <w:tc>
          <w:tcPr>
            <w:tcW w:w="855" w:type="pct"/>
            <w:tcBorders>
              <w:top w:val="nil"/>
              <w:left w:val="nil"/>
              <w:bottom w:val="nil"/>
              <w:right w:val="nil"/>
            </w:tcBorders>
            <w:shd w:val="clear" w:color="auto" w:fill="auto"/>
            <w:noWrap/>
            <w:vAlign w:val="center"/>
            <w:hideMark/>
          </w:tcPr>
          <w:p w14:paraId="7A25B97A" w14:textId="58C561F0" w:rsidR="007C2D03" w:rsidRPr="007F6332" w:rsidRDefault="007C2D03" w:rsidP="003A42DC">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387,700</w:t>
            </w:r>
          </w:p>
        </w:tc>
        <w:tc>
          <w:tcPr>
            <w:tcW w:w="934" w:type="pct"/>
            <w:tcBorders>
              <w:top w:val="nil"/>
              <w:left w:val="nil"/>
              <w:bottom w:val="nil"/>
              <w:right w:val="nil"/>
            </w:tcBorders>
            <w:shd w:val="clear" w:color="auto" w:fill="auto"/>
            <w:noWrap/>
            <w:vAlign w:val="center"/>
            <w:hideMark/>
          </w:tcPr>
          <w:p w14:paraId="144968B2" w14:textId="764DB9B3" w:rsidR="007C2D03" w:rsidRPr="007F6332" w:rsidRDefault="007C2D03" w:rsidP="003A42DC">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375,000</w:t>
            </w:r>
          </w:p>
        </w:tc>
        <w:tc>
          <w:tcPr>
            <w:tcW w:w="934" w:type="pct"/>
            <w:tcBorders>
              <w:top w:val="nil"/>
              <w:left w:val="nil"/>
              <w:bottom w:val="nil"/>
              <w:right w:val="nil"/>
            </w:tcBorders>
            <w:shd w:val="clear" w:color="auto" w:fill="auto"/>
            <w:noWrap/>
            <w:vAlign w:val="center"/>
            <w:hideMark/>
          </w:tcPr>
          <w:p w14:paraId="5F4241C4" w14:textId="0116975A" w:rsidR="007C2D03" w:rsidRPr="007F6332" w:rsidRDefault="007C2D03" w:rsidP="003A42DC">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12,700</w:t>
            </w:r>
          </w:p>
        </w:tc>
        <w:tc>
          <w:tcPr>
            <w:tcW w:w="1031" w:type="pct"/>
            <w:tcBorders>
              <w:top w:val="nil"/>
              <w:left w:val="nil"/>
              <w:bottom w:val="nil"/>
              <w:right w:val="nil"/>
            </w:tcBorders>
            <w:shd w:val="clear" w:color="auto" w:fill="auto"/>
            <w:noWrap/>
            <w:vAlign w:val="center"/>
            <w:hideMark/>
          </w:tcPr>
          <w:p w14:paraId="0BE1D286" w14:textId="6B651B59" w:rsidR="007C2D03" w:rsidRPr="007F6332" w:rsidRDefault="007C2D03" w:rsidP="003A42DC">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3.4%</w:t>
            </w:r>
          </w:p>
        </w:tc>
      </w:tr>
      <w:tr w:rsidR="00154712" w:rsidRPr="007F6332" w14:paraId="126510AA" w14:textId="77777777" w:rsidTr="00154712">
        <w:trPr>
          <w:trHeight w:val="340"/>
        </w:trPr>
        <w:tc>
          <w:tcPr>
            <w:tcW w:w="1246" w:type="pct"/>
            <w:tcBorders>
              <w:top w:val="nil"/>
              <w:left w:val="nil"/>
              <w:right w:val="nil"/>
            </w:tcBorders>
            <w:shd w:val="clear" w:color="000000" w:fill="A7A9AC"/>
            <w:noWrap/>
            <w:vAlign w:val="center"/>
            <w:hideMark/>
          </w:tcPr>
          <w:p w14:paraId="0F7349A7" w14:textId="595C00B1" w:rsidR="007C2D03" w:rsidRPr="007F6332" w:rsidRDefault="00F341D0" w:rsidP="003A42DC">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Participants</w:t>
            </w:r>
            <w:r w:rsidR="007531A9" w:rsidRPr="007F6332">
              <w:rPr>
                <w:rFonts w:eastAsia="Times New Roman" w:cs="Arial"/>
                <w:color w:val="000000"/>
                <w:szCs w:val="22"/>
                <w:lang w:val="en-AU" w:eastAsia="en-AU"/>
              </w:rPr>
              <w:t xml:space="preserve"> </w:t>
            </w:r>
            <w:r w:rsidRPr="007F6332">
              <w:rPr>
                <w:rFonts w:eastAsia="Times New Roman" w:cs="Arial"/>
                <w:color w:val="000000"/>
                <w:szCs w:val="22"/>
                <w:lang w:val="en-AU" w:eastAsia="en-AU"/>
              </w:rPr>
              <w:t>without</w:t>
            </w:r>
            <w:r w:rsidR="007C2D03" w:rsidRPr="007F6332">
              <w:rPr>
                <w:rFonts w:eastAsia="Times New Roman" w:cs="Arial"/>
                <w:color w:val="000000"/>
                <w:szCs w:val="22"/>
                <w:lang w:val="en-AU" w:eastAsia="en-AU"/>
              </w:rPr>
              <w:t xml:space="preserve"> SIL</w:t>
            </w:r>
          </w:p>
        </w:tc>
        <w:tc>
          <w:tcPr>
            <w:tcW w:w="855" w:type="pct"/>
            <w:tcBorders>
              <w:top w:val="nil"/>
              <w:left w:val="nil"/>
              <w:right w:val="nil"/>
            </w:tcBorders>
            <w:shd w:val="clear" w:color="000000" w:fill="A7A9AC"/>
            <w:noWrap/>
            <w:vAlign w:val="center"/>
            <w:hideMark/>
          </w:tcPr>
          <w:p w14:paraId="54DD486F" w14:textId="77777777" w:rsidR="007C2D03" w:rsidRPr="007F6332" w:rsidRDefault="007C2D03" w:rsidP="003A42DC">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42,700</w:t>
            </w:r>
          </w:p>
        </w:tc>
        <w:tc>
          <w:tcPr>
            <w:tcW w:w="934" w:type="pct"/>
            <w:tcBorders>
              <w:top w:val="nil"/>
              <w:left w:val="nil"/>
              <w:right w:val="nil"/>
            </w:tcBorders>
            <w:shd w:val="clear" w:color="000000" w:fill="A7A9AC"/>
            <w:noWrap/>
            <w:vAlign w:val="center"/>
            <w:hideMark/>
          </w:tcPr>
          <w:p w14:paraId="4830B014" w14:textId="1152665E" w:rsidR="007C2D03" w:rsidRPr="007F6332" w:rsidRDefault="007C2D03" w:rsidP="003A42DC">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43,200</w:t>
            </w:r>
          </w:p>
        </w:tc>
        <w:tc>
          <w:tcPr>
            <w:tcW w:w="934" w:type="pct"/>
            <w:tcBorders>
              <w:top w:val="nil"/>
              <w:left w:val="nil"/>
              <w:right w:val="nil"/>
            </w:tcBorders>
            <w:shd w:val="clear" w:color="000000" w:fill="A7A9AC"/>
            <w:noWrap/>
            <w:vAlign w:val="center"/>
            <w:hideMark/>
          </w:tcPr>
          <w:p w14:paraId="0EDFBC5F" w14:textId="26D9C56F" w:rsidR="007C2D03" w:rsidRPr="007F6332" w:rsidRDefault="007C2D03" w:rsidP="003A42DC">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- 500</w:t>
            </w:r>
          </w:p>
        </w:tc>
        <w:tc>
          <w:tcPr>
            <w:tcW w:w="1031" w:type="pct"/>
            <w:tcBorders>
              <w:top w:val="nil"/>
              <w:left w:val="nil"/>
              <w:right w:val="nil"/>
            </w:tcBorders>
            <w:shd w:val="clear" w:color="000000" w:fill="A7A9AC"/>
            <w:noWrap/>
            <w:vAlign w:val="center"/>
            <w:hideMark/>
          </w:tcPr>
          <w:p w14:paraId="384A3877" w14:textId="0691B583" w:rsidR="007C2D03" w:rsidRPr="007F6332" w:rsidRDefault="007C2D03" w:rsidP="003A42DC">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-1.2%</w:t>
            </w:r>
          </w:p>
        </w:tc>
      </w:tr>
      <w:tr w:rsidR="000555C4" w:rsidRPr="007F6332" w14:paraId="59F25DF4" w14:textId="77777777" w:rsidTr="00E53368">
        <w:trPr>
          <w:trHeight w:val="340"/>
        </w:trPr>
        <w:tc>
          <w:tcPr>
            <w:tcW w:w="1246" w:type="pct"/>
            <w:tcBorders>
              <w:top w:val="nil"/>
              <w:left w:val="nil"/>
              <w:right w:val="nil"/>
            </w:tcBorders>
            <w:shd w:val="clear" w:color="auto" w:fill="auto"/>
            <w:noWrap/>
            <w:vAlign w:val="center"/>
          </w:tcPr>
          <w:p w14:paraId="3E2862CF" w14:textId="7EC759E8" w:rsidR="000555C4" w:rsidRPr="007F6332" w:rsidRDefault="000555C4" w:rsidP="000555C4">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Participants without SIL - Mix adjusted</w:t>
            </w:r>
          </w:p>
        </w:tc>
        <w:tc>
          <w:tcPr>
            <w:tcW w:w="855" w:type="pct"/>
            <w:tcBorders>
              <w:top w:val="nil"/>
              <w:left w:val="nil"/>
              <w:right w:val="nil"/>
            </w:tcBorders>
            <w:shd w:val="clear" w:color="auto" w:fill="auto"/>
            <w:noWrap/>
            <w:vAlign w:val="center"/>
          </w:tcPr>
          <w:p w14:paraId="2E6369D4" w14:textId="363637F1" w:rsidR="000555C4" w:rsidRPr="007F6332" w:rsidRDefault="000555C4" w:rsidP="000555C4">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42,700</w:t>
            </w:r>
          </w:p>
        </w:tc>
        <w:tc>
          <w:tcPr>
            <w:tcW w:w="934" w:type="pct"/>
            <w:tcBorders>
              <w:top w:val="nil"/>
              <w:left w:val="nil"/>
              <w:right w:val="nil"/>
            </w:tcBorders>
            <w:shd w:val="clear" w:color="auto" w:fill="auto"/>
            <w:noWrap/>
            <w:vAlign w:val="center"/>
          </w:tcPr>
          <w:p w14:paraId="36DFC08F" w14:textId="7B94FF26" w:rsidR="000555C4" w:rsidRPr="007F6332" w:rsidRDefault="000555C4" w:rsidP="000555C4">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42,000</w:t>
            </w:r>
          </w:p>
        </w:tc>
        <w:tc>
          <w:tcPr>
            <w:tcW w:w="934" w:type="pct"/>
            <w:tcBorders>
              <w:top w:val="nil"/>
              <w:left w:val="nil"/>
              <w:right w:val="nil"/>
            </w:tcBorders>
            <w:shd w:val="clear" w:color="auto" w:fill="auto"/>
            <w:noWrap/>
            <w:vAlign w:val="center"/>
          </w:tcPr>
          <w:p w14:paraId="40EAFFEC" w14:textId="1B3ECF5E" w:rsidR="000555C4" w:rsidRPr="007F6332" w:rsidRDefault="000555C4" w:rsidP="000555C4">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700</w:t>
            </w:r>
          </w:p>
        </w:tc>
        <w:tc>
          <w:tcPr>
            <w:tcW w:w="1031" w:type="pct"/>
            <w:tcBorders>
              <w:top w:val="nil"/>
              <w:left w:val="nil"/>
              <w:right w:val="nil"/>
            </w:tcBorders>
            <w:shd w:val="clear" w:color="auto" w:fill="auto"/>
            <w:noWrap/>
            <w:vAlign w:val="center"/>
          </w:tcPr>
          <w:p w14:paraId="1268CFA3" w14:textId="4AB87F09" w:rsidR="000555C4" w:rsidRPr="007F6332" w:rsidRDefault="000555C4" w:rsidP="000555C4">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1.5%</w:t>
            </w:r>
          </w:p>
        </w:tc>
      </w:tr>
      <w:tr w:rsidR="00154712" w:rsidRPr="007F6332" w14:paraId="1C2C4CA6" w14:textId="77777777" w:rsidTr="00154712">
        <w:trPr>
          <w:trHeight w:val="340"/>
        </w:trPr>
        <w:tc>
          <w:tcPr>
            <w:tcW w:w="1246" w:type="pct"/>
            <w:tcBorders>
              <w:left w:val="nil"/>
              <w:bottom w:val="single" w:sz="4" w:space="0" w:color="auto"/>
              <w:right w:val="nil"/>
            </w:tcBorders>
            <w:shd w:val="clear" w:color="000000" w:fill="B398B8"/>
            <w:noWrap/>
            <w:vAlign w:val="center"/>
            <w:hideMark/>
          </w:tcPr>
          <w:p w14:paraId="4A3CFEA8" w14:textId="77777777" w:rsidR="000555C4" w:rsidRPr="007F6332" w:rsidRDefault="000555C4" w:rsidP="000555C4">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855" w:type="pct"/>
            <w:tcBorders>
              <w:left w:val="nil"/>
              <w:bottom w:val="single" w:sz="4" w:space="0" w:color="auto"/>
              <w:right w:val="nil"/>
            </w:tcBorders>
            <w:shd w:val="clear" w:color="000000" w:fill="B398B8"/>
            <w:noWrap/>
            <w:vAlign w:val="center"/>
            <w:hideMark/>
          </w:tcPr>
          <w:p w14:paraId="21025604" w14:textId="77777777" w:rsidR="000555C4" w:rsidRPr="007F6332" w:rsidRDefault="000555C4" w:rsidP="000555C4">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60,700</w:t>
            </w:r>
          </w:p>
        </w:tc>
        <w:tc>
          <w:tcPr>
            <w:tcW w:w="934" w:type="pct"/>
            <w:tcBorders>
              <w:left w:val="nil"/>
              <w:bottom w:val="single" w:sz="4" w:space="0" w:color="auto"/>
              <w:right w:val="nil"/>
            </w:tcBorders>
            <w:shd w:val="clear" w:color="000000" w:fill="B398B8"/>
            <w:noWrap/>
            <w:vAlign w:val="center"/>
            <w:hideMark/>
          </w:tcPr>
          <w:p w14:paraId="71AA88E7" w14:textId="77777777" w:rsidR="000555C4" w:rsidRPr="007F6332" w:rsidRDefault="000555C4" w:rsidP="000555C4">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59,600</w:t>
            </w:r>
          </w:p>
        </w:tc>
        <w:tc>
          <w:tcPr>
            <w:tcW w:w="934" w:type="pct"/>
            <w:tcBorders>
              <w:left w:val="nil"/>
              <w:bottom w:val="single" w:sz="4" w:space="0" w:color="auto"/>
              <w:right w:val="nil"/>
            </w:tcBorders>
            <w:shd w:val="clear" w:color="000000" w:fill="B398B8"/>
            <w:noWrap/>
            <w:vAlign w:val="center"/>
            <w:hideMark/>
          </w:tcPr>
          <w:p w14:paraId="365301A0" w14:textId="77777777" w:rsidR="000555C4" w:rsidRPr="007F6332" w:rsidRDefault="000555C4" w:rsidP="000555C4">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1,100</w:t>
            </w:r>
          </w:p>
        </w:tc>
        <w:tc>
          <w:tcPr>
            <w:tcW w:w="1031" w:type="pct"/>
            <w:tcBorders>
              <w:left w:val="nil"/>
              <w:bottom w:val="single" w:sz="4" w:space="0" w:color="auto"/>
              <w:right w:val="nil"/>
            </w:tcBorders>
            <w:shd w:val="clear" w:color="000000" w:fill="B398B8"/>
            <w:noWrap/>
            <w:vAlign w:val="center"/>
            <w:hideMark/>
          </w:tcPr>
          <w:p w14:paraId="29722CC5" w14:textId="1FD6130C" w:rsidR="000555C4" w:rsidRPr="007F6332" w:rsidRDefault="000555C4" w:rsidP="000555C4">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2.0%</w:t>
            </w:r>
          </w:p>
        </w:tc>
      </w:tr>
    </w:tbl>
    <w:p w14:paraId="28C481FE" w14:textId="77777777" w:rsidR="005063D3" w:rsidRPr="007F6332" w:rsidRDefault="005063D3" w:rsidP="00FC5FE6">
      <w:pPr>
        <w:pStyle w:val="FSRnormal"/>
        <w:spacing w:after="120"/>
        <w:rPr>
          <w:rFonts w:cs="Arial"/>
        </w:rPr>
      </w:pPr>
      <w:bookmarkStart w:id="97" w:name="_Hlk146722368"/>
      <w:bookmarkStart w:id="98" w:name="_Ref144324239"/>
    </w:p>
    <w:p w14:paraId="5FF213C8" w14:textId="77777777" w:rsidR="005063D3" w:rsidRPr="007F6332" w:rsidRDefault="005063D3">
      <w:pPr>
        <w:spacing w:line="276" w:lineRule="auto"/>
        <w:rPr>
          <w:rFonts w:cs="Arial"/>
          <w:lang w:val="en-AU"/>
        </w:rPr>
      </w:pPr>
      <w:r w:rsidRPr="007F6332">
        <w:rPr>
          <w:rFonts w:cs="Arial"/>
        </w:rPr>
        <w:br w:type="page"/>
      </w:r>
    </w:p>
    <w:p w14:paraId="2E2DD38C" w14:textId="406C8EFA" w:rsidR="004B0DE9" w:rsidRPr="007F6332" w:rsidRDefault="00FC5FE6" w:rsidP="00FC5FE6">
      <w:pPr>
        <w:pStyle w:val="FSRnormal"/>
        <w:spacing w:after="120"/>
        <w:rPr>
          <w:rFonts w:cs="Arial"/>
        </w:rPr>
      </w:pPr>
      <w:r w:rsidRPr="007F6332">
        <w:rPr>
          <w:rFonts w:cs="Arial"/>
        </w:rPr>
        <w:lastRenderedPageBreak/>
        <w:t>Over the past three years, average payments per participant increased at a rate of 6.0% p.a. Figure 4.14 shows that between 2021-22 and 2022-23, average payments per participant increased by 9.9% to $60,700. The higher increase in 2022-23 was driven by the price increase of 9% on attendant care in July 2022, the experience of participants with SIL supports during 2022-23, and high non-price plan growth. It was also likely to have been impacted by a weakening of the constraints on the supply of disability support workers and COVID-19 related impacts which were observed in 2021-22</w:t>
      </w:r>
      <w:bookmarkEnd w:id="97"/>
      <w:r w:rsidR="004B0DE9" w:rsidRPr="007F6332">
        <w:rPr>
          <w:rFonts w:cs="Arial"/>
        </w:rPr>
        <w:t>.</w:t>
      </w:r>
    </w:p>
    <w:bookmarkEnd w:id="98"/>
    <w:p w14:paraId="15610D20" w14:textId="53521635" w:rsidR="00C97220" w:rsidRPr="007F6332" w:rsidRDefault="0045717D" w:rsidP="006B61AA">
      <w:pPr>
        <w:pStyle w:val="FiguresandTablesHeading5"/>
      </w:pPr>
      <w:r w:rsidRPr="007F6332">
        <w:t>Figure 4.14</w:t>
      </w:r>
      <w:r w:rsidR="002916CB" w:rsidRPr="007F6332">
        <w:t xml:space="preserve">: </w:t>
      </w:r>
      <w:r w:rsidR="00A81614" w:rsidRPr="007F6332">
        <w:t>Trend in average payments experience: all participants ($</w:t>
      </w:r>
      <w:r w:rsidR="00C97220" w:rsidRPr="007F6332">
        <w:t>)</w:t>
      </w:r>
      <w:r w:rsidR="00C97220" w:rsidRPr="007F6332">
        <w:rPr>
          <w:vertAlign w:val="superscript"/>
        </w:rPr>
        <w:footnoteReference w:id="67"/>
      </w:r>
      <w:r w:rsidR="005923E5" w:rsidRPr="007F6332">
        <w:t xml:space="preserve"> </w:t>
      </w:r>
    </w:p>
    <w:p w14:paraId="32102707" w14:textId="1D6DFCA8" w:rsidR="004B0DE9" w:rsidRPr="007F6332" w:rsidRDefault="00BE0863" w:rsidP="004B0DE9">
      <w:pPr>
        <w:rPr>
          <w:rFonts w:cs="Arial"/>
        </w:rPr>
      </w:pPr>
      <w:r w:rsidRPr="007F6332">
        <w:rPr>
          <w:rFonts w:cs="Arial"/>
          <w:noProof/>
        </w:rPr>
        <w:drawing>
          <wp:inline distT="0" distB="0" distL="0" distR="0" wp14:anchorId="4F784F1B" wp14:editId="45FBCA01">
            <wp:extent cx="5566410" cy="3581400"/>
            <wp:effectExtent l="0" t="0" r="0" b="0"/>
            <wp:docPr id="1701442494" name="Picture 1701442494" descr="Figure 4.14 Trend in average payments experience: all participants. The graph is  shown for the years at 30 June 2019 to 30 June 2023. Average payments per participant has increased at 6.0% on average over the 2019-20 to the 2022-23 period. &#10;In comparison, the 2022-23 financial year observed an increase of 9.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42494" name="Picture 1701442494" descr="Figure 4.14 Trend in average payments experience: all participants. The graph is  shown for the years at 30 June 2019 to 30 June 2023. Average payments per participant has increased at 6.0% on average over the 2019-20 to the 2022-23 period. &#10;In comparison, the 2022-23 financial year observed an increase of 9.9%. "/>
                    <pic:cNvPicPr/>
                  </pic:nvPicPr>
                  <pic:blipFill>
                    <a:blip r:embed="rId26"/>
                    <a:stretch>
                      <a:fillRect/>
                    </a:stretch>
                  </pic:blipFill>
                  <pic:spPr>
                    <a:xfrm>
                      <a:off x="0" y="0"/>
                      <a:ext cx="5566410" cy="3581400"/>
                    </a:xfrm>
                    <a:prstGeom prst="rect">
                      <a:avLst/>
                    </a:prstGeom>
                  </pic:spPr>
                </pic:pic>
              </a:graphicData>
            </a:graphic>
          </wp:inline>
        </w:drawing>
      </w:r>
    </w:p>
    <w:p w14:paraId="7BD03A62" w14:textId="77777777" w:rsidR="009D3223" w:rsidRPr="007F6332" w:rsidRDefault="006C10FA" w:rsidP="009D3223">
      <w:pPr>
        <w:rPr>
          <w:rFonts w:cs="Arial"/>
        </w:rPr>
      </w:pPr>
      <w:bookmarkStart w:id="99" w:name="_Ref144324269"/>
      <w:bookmarkStart w:id="100" w:name="_Hlk151820237"/>
      <w:r w:rsidRPr="007F6332">
        <w:rPr>
          <w:rFonts w:cs="Arial"/>
        </w:rPr>
        <w:t>Figure 4</w:t>
      </w:r>
      <w:r w:rsidR="005C0DF3" w:rsidRPr="007F6332">
        <w:rPr>
          <w:rFonts w:cs="Arial"/>
        </w:rPr>
        <w:t>.</w:t>
      </w:r>
      <w:r w:rsidRPr="007F6332">
        <w:rPr>
          <w:rFonts w:cs="Arial"/>
        </w:rPr>
        <w:t xml:space="preserve">15 shows </w:t>
      </w:r>
      <w:r w:rsidR="00A80A6E" w:rsidRPr="007F6332">
        <w:rPr>
          <w:rFonts w:cs="Arial"/>
        </w:rPr>
        <w:t xml:space="preserve">the trend in </w:t>
      </w:r>
      <w:r w:rsidRPr="007F6332">
        <w:rPr>
          <w:rFonts w:cs="Arial"/>
        </w:rPr>
        <w:t xml:space="preserve">average payments </w:t>
      </w:r>
      <w:r w:rsidR="00A80A6E" w:rsidRPr="007F6332">
        <w:rPr>
          <w:rFonts w:cs="Arial"/>
        </w:rPr>
        <w:t>experience for the three years 2019</w:t>
      </w:r>
      <w:r w:rsidR="008A75A2" w:rsidRPr="007F6332">
        <w:rPr>
          <w:rFonts w:cs="Arial"/>
        </w:rPr>
        <w:t>-20</w:t>
      </w:r>
      <w:r w:rsidR="00A80A6E" w:rsidRPr="007F6332">
        <w:rPr>
          <w:rFonts w:cs="Arial"/>
        </w:rPr>
        <w:t xml:space="preserve"> to </w:t>
      </w:r>
      <w:r w:rsidR="008A75A2" w:rsidRPr="007F6332">
        <w:rPr>
          <w:rFonts w:cs="Arial"/>
        </w:rPr>
        <w:t>2022-23</w:t>
      </w:r>
      <w:r w:rsidR="00A80A6E" w:rsidRPr="007F6332">
        <w:rPr>
          <w:rFonts w:cs="Arial"/>
        </w:rPr>
        <w:t xml:space="preserve">. </w:t>
      </w:r>
      <w:r w:rsidRPr="007F6332">
        <w:rPr>
          <w:rFonts w:cs="Arial"/>
        </w:rPr>
        <w:t xml:space="preserve">In 2022-23, average payments increased by 15.2% and 8.1% for participants </w:t>
      </w:r>
      <w:r w:rsidR="003609E3" w:rsidRPr="007F6332">
        <w:rPr>
          <w:rFonts w:cs="Arial"/>
        </w:rPr>
        <w:t xml:space="preserve">with and </w:t>
      </w:r>
      <w:r w:rsidRPr="007F6332">
        <w:rPr>
          <w:rFonts w:cs="Arial"/>
        </w:rPr>
        <w:t>without SIL</w:t>
      </w:r>
      <w:r w:rsidR="003609E3" w:rsidRPr="007F6332">
        <w:rPr>
          <w:rFonts w:cs="Arial"/>
        </w:rPr>
        <w:t xml:space="preserve"> supports respectively</w:t>
      </w:r>
      <w:r w:rsidRPr="007F6332">
        <w:rPr>
          <w:rFonts w:cs="Arial"/>
        </w:rPr>
        <w:t xml:space="preserve">. Over the last three years, the average </w:t>
      </w:r>
      <w:r w:rsidR="007D4DC3" w:rsidRPr="007F6332">
        <w:rPr>
          <w:rFonts w:cs="Arial"/>
        </w:rPr>
        <w:t xml:space="preserve">annual growth in </w:t>
      </w:r>
      <w:r w:rsidRPr="007F6332">
        <w:rPr>
          <w:rFonts w:cs="Arial"/>
        </w:rPr>
        <w:t xml:space="preserve">payments </w:t>
      </w:r>
      <w:r w:rsidR="000F1CE8" w:rsidRPr="007F6332">
        <w:rPr>
          <w:rFonts w:cs="Arial"/>
        </w:rPr>
        <w:t xml:space="preserve">was </w:t>
      </w:r>
      <w:r w:rsidRPr="007F6332">
        <w:rPr>
          <w:rFonts w:cs="Arial"/>
        </w:rPr>
        <w:t xml:space="preserve">9.8% and 8.6% for </w:t>
      </w:r>
      <w:r w:rsidR="000F1CE8" w:rsidRPr="007F6332">
        <w:rPr>
          <w:rFonts w:cs="Arial"/>
        </w:rPr>
        <w:t>participants with and</w:t>
      </w:r>
      <w:r w:rsidRPr="007F6332">
        <w:rPr>
          <w:rFonts w:cs="Arial"/>
        </w:rPr>
        <w:t xml:space="preserve"> without SIL</w:t>
      </w:r>
      <w:r w:rsidR="000F1CE8" w:rsidRPr="007F6332">
        <w:rPr>
          <w:rFonts w:cs="Arial"/>
        </w:rPr>
        <w:t xml:space="preserve"> respectively</w:t>
      </w:r>
      <w:r w:rsidR="004D59A1" w:rsidRPr="007F6332">
        <w:rPr>
          <w:rFonts w:cs="Arial"/>
        </w:rPr>
        <w:t>.</w:t>
      </w:r>
      <w:bookmarkEnd w:id="99"/>
      <w:r w:rsidR="00F70F30" w:rsidRPr="007F6332">
        <w:rPr>
          <w:rFonts w:cs="Arial"/>
        </w:rPr>
        <w:t xml:space="preserve"> </w:t>
      </w:r>
    </w:p>
    <w:p w14:paraId="2699DD26" w14:textId="77777777" w:rsidR="005063D3" w:rsidRPr="007F6332" w:rsidRDefault="005063D3" w:rsidP="009D3223">
      <w:pPr>
        <w:rPr>
          <w:rStyle w:val="Heading7Char"/>
          <w:rFonts w:cs="Arial"/>
        </w:rPr>
      </w:pPr>
      <w:r w:rsidRPr="007F6332">
        <w:rPr>
          <w:rStyle w:val="Heading7Char"/>
          <w:rFonts w:cs="Arial"/>
        </w:rPr>
        <w:br w:type="page"/>
      </w:r>
    </w:p>
    <w:p w14:paraId="5BE7F572" w14:textId="471C5FF4" w:rsidR="005923E5" w:rsidRPr="007F6332" w:rsidRDefault="0045717D" w:rsidP="006B61AA">
      <w:pPr>
        <w:pStyle w:val="FiguresandTablesHeading5"/>
      </w:pPr>
      <w:r w:rsidRPr="007F6332">
        <w:lastRenderedPageBreak/>
        <w:t>Figure 4.15:</w:t>
      </w:r>
      <w:r w:rsidR="00190D7E" w:rsidRPr="007F6332">
        <w:t xml:space="preserve"> </w:t>
      </w:r>
      <w:r w:rsidR="007D6DBB" w:rsidRPr="007F6332">
        <w:t xml:space="preserve">Trend in average payments experience: participants with and without SIL supports </w:t>
      </w:r>
      <w:r w:rsidR="005923E5" w:rsidRPr="007F6332">
        <w:t>status ($)</w:t>
      </w:r>
      <w:r w:rsidR="009D3223" w:rsidRPr="007F6332">
        <w:rPr>
          <w:vertAlign w:val="superscript"/>
        </w:rPr>
        <w:footnoteReference w:id="68"/>
      </w:r>
    </w:p>
    <w:bookmarkEnd w:id="100"/>
    <w:p w14:paraId="17607F40" w14:textId="2AF776EE" w:rsidR="005923E5" w:rsidRPr="007F6332" w:rsidRDefault="006F0EBA" w:rsidP="005923E5">
      <w:pPr>
        <w:pStyle w:val="FSRnormal"/>
        <w:rPr>
          <w:rFonts w:cs="Arial"/>
          <w:highlight w:val="yellow"/>
        </w:rPr>
      </w:pPr>
      <w:r w:rsidRPr="007F6332">
        <w:rPr>
          <w:rFonts w:cs="Arial"/>
          <w:noProof/>
        </w:rPr>
        <w:drawing>
          <wp:inline distT="0" distB="0" distL="0" distR="0" wp14:anchorId="2CD9FDD6" wp14:editId="390CCD8B">
            <wp:extent cx="6181725" cy="2886075"/>
            <wp:effectExtent l="0" t="0" r="9525" b="9525"/>
            <wp:docPr id="87921120" name="Picture 1" descr="Figure 4.15 Trend in average payments experience: participants with and without SIL supports status. shows for the years at 30 June 2019 to 30 June 2023 the actual growth in average payments per participant with SIL increasing at a higher rate on average, over the last three years at 9.8% compared to those not in SIL arrangements at 8.6%. In 2022-23 the increase in average payments was higher, at 15.2% for participants with SIL and 8.1% for participants not in SIL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1120" name="Picture 1" descr="Figure 4.15 Trend in average payments experience: participants with and without SIL supports status. shows for the years at 30 June 2019 to 30 June 2023 the actual growth in average payments per participant with SIL increasing at a higher rate on average, over the last three years at 9.8% compared to those not in SIL arrangements at 8.6%. In 2022-23 the increase in average payments was higher, at 15.2% for participants with SIL and 8.1% for participants not in SIL arrangements."/>
                    <pic:cNvPicPr/>
                  </pic:nvPicPr>
                  <pic:blipFill>
                    <a:blip r:embed="rId27"/>
                    <a:stretch>
                      <a:fillRect/>
                    </a:stretch>
                  </pic:blipFill>
                  <pic:spPr>
                    <a:xfrm>
                      <a:off x="0" y="0"/>
                      <a:ext cx="6181725" cy="2886075"/>
                    </a:xfrm>
                    <a:prstGeom prst="rect">
                      <a:avLst/>
                    </a:prstGeom>
                  </pic:spPr>
                </pic:pic>
              </a:graphicData>
            </a:graphic>
          </wp:inline>
        </w:drawing>
      </w:r>
    </w:p>
    <w:p w14:paraId="6BFE834D" w14:textId="570332EA" w:rsidR="005923E5" w:rsidRPr="007F6332" w:rsidRDefault="005923E5" w:rsidP="00CD33D0">
      <w:pPr>
        <w:pStyle w:val="Heading4"/>
        <w:ind w:left="720"/>
        <w:rPr>
          <w:rFonts w:cs="Arial"/>
        </w:rPr>
      </w:pPr>
      <w:r w:rsidRPr="007F6332">
        <w:rPr>
          <w:rFonts w:cs="Arial"/>
        </w:rPr>
        <w:t>Higher average payment growth was observed at older age</w:t>
      </w:r>
      <w:r w:rsidR="006E2AD6" w:rsidRPr="007F6332">
        <w:rPr>
          <w:rFonts w:cs="Arial"/>
        </w:rPr>
        <w:t xml:space="preserve">s </w:t>
      </w:r>
      <w:r w:rsidRPr="007F6332">
        <w:rPr>
          <w:rFonts w:cs="Arial"/>
        </w:rPr>
        <w:t>for participants without SIL</w:t>
      </w:r>
    </w:p>
    <w:p w14:paraId="5DD91724" w14:textId="7AE974D7" w:rsidR="00EF5457" w:rsidRPr="007F6332" w:rsidRDefault="00D5734C" w:rsidP="000E1381">
      <w:pPr>
        <w:pStyle w:val="FSRnormal"/>
        <w:rPr>
          <w:rFonts w:cs="Arial"/>
        </w:rPr>
      </w:pPr>
      <w:bookmarkStart w:id="101" w:name="_Hlk151820557"/>
      <w:bookmarkStart w:id="102" w:name="_Ref144324309"/>
      <w:r w:rsidRPr="007F6332">
        <w:rPr>
          <w:rFonts w:cs="Arial"/>
        </w:rPr>
        <w:t>Figure 4.16 shows the change in average payments per participant over time by age group for participants without SIL. The average annual increase over the last three years ranged between 4% and 12%. For participants without SIL, average payments per participant have increased at a faster rate for adults (aged over 25), reflecting a material increase in the hours of attendant care supports</w:t>
      </w:r>
      <w:bookmarkEnd w:id="101"/>
      <w:r w:rsidRPr="007F6332">
        <w:rPr>
          <w:rFonts w:cs="Arial"/>
        </w:rPr>
        <w:t>.</w:t>
      </w:r>
    </w:p>
    <w:p w14:paraId="2CC6EA45" w14:textId="77777777" w:rsidR="005063D3" w:rsidRPr="007F6332" w:rsidRDefault="005063D3">
      <w:pPr>
        <w:spacing w:line="276" w:lineRule="auto"/>
        <w:rPr>
          <w:rFonts w:cs="Arial"/>
          <w:b/>
          <w:bCs/>
          <w:lang w:val="en-AU"/>
        </w:rPr>
      </w:pPr>
      <w:r w:rsidRPr="007F6332">
        <w:rPr>
          <w:rFonts w:cs="Arial"/>
          <w:b/>
          <w:bCs/>
        </w:rPr>
        <w:br w:type="page"/>
      </w:r>
    </w:p>
    <w:p w14:paraId="2C48AB89" w14:textId="2546EB8B" w:rsidR="00C97220" w:rsidRPr="007F6332" w:rsidRDefault="00EF5457" w:rsidP="006B61AA">
      <w:pPr>
        <w:pStyle w:val="FiguresandTablesHeading5"/>
      </w:pPr>
      <w:r w:rsidRPr="007F6332">
        <w:lastRenderedPageBreak/>
        <w:t>Figure 4.16: Trend in average payments experience: participants without SIL, by age band ($)</w:t>
      </w:r>
      <w:r w:rsidRPr="007F6332">
        <w:rPr>
          <w:vertAlign w:val="superscript"/>
        </w:rPr>
        <w:footnoteReference w:id="69"/>
      </w:r>
    </w:p>
    <w:p w14:paraId="55974F7F" w14:textId="48B6D8A7" w:rsidR="00004E38" w:rsidRPr="007F6332" w:rsidRDefault="00004E38" w:rsidP="00536741">
      <w:pPr>
        <w:rPr>
          <w:rFonts w:cs="Arial"/>
        </w:rPr>
      </w:pPr>
      <w:r w:rsidRPr="007F6332">
        <w:rPr>
          <w:rFonts w:cs="Arial"/>
          <w:noProof/>
        </w:rPr>
        <w:drawing>
          <wp:inline distT="0" distB="0" distL="0" distR="0" wp14:anchorId="29A266E5" wp14:editId="32ED3AAB">
            <wp:extent cx="5746750" cy="3667125"/>
            <wp:effectExtent l="0" t="0" r="6350" b="9525"/>
            <wp:docPr id="1450290175" name="Picture 1" descr="Figure 4.16 Trend in average payments experience: participants without SIL, by age band . The chart reflects the increase of SIL payments by age group for the years 2019-20 to 2022-23. &#10;Age group 0 to 14 for the years 2019-20 to 2022-23 shows an annual growth trend of 5%, dollar range growth from 2019-20 approx. $17,000 to 2022-23 approx. $20,000, with a 5% growth in 2022-23 financial year.&#10;Age group 15 to 24 for the years 2019-20 to 2022-23 shows an annual growth trend of 4%, dollar range growth from 2019-20 approx, $37,000 to 2022-23 approx. $42,000, with a 4% growth in 2022-23 financial year.&#10;Age group 25 to 64 for the years 2019-20 to 2022-23 shows an annual growth trend of 12%, dollar range growth from 2019-20 approx. $48,000 to 2022-23  approx. $68,000, with a 12% growth in 2022-23 financial year.&#10;Age group 65+ for the years 2019-20 to 2022-23 shows an annual growth trend of 10%, dollar range growth from 2019-20 approx. $56,000 to 2022-23 approx. $75,000, with a 11% growth in 2022-23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90175" name="Picture 1" descr="Figure 4.16 Trend in average payments experience: participants without SIL, by age band . The chart reflects the increase of SIL payments by age group for the years 2019-20 to 2022-23. &#10;Age group 0 to 14 for the years 2019-20 to 2022-23 shows an annual growth trend of 5%, dollar range growth from 2019-20 approx. $17,000 to 2022-23 approx. $20,000, with a 5% growth in 2022-23 financial year.&#10;Age group 15 to 24 for the years 2019-20 to 2022-23 shows an annual growth trend of 4%, dollar range growth from 2019-20 approx, $37,000 to 2022-23 approx. $42,000, with a 4% growth in 2022-23 financial year.&#10;Age group 25 to 64 for the years 2019-20 to 2022-23 shows an annual growth trend of 12%, dollar range growth from 2019-20 approx. $48,000 to 2022-23  approx. $68,000, with a 12% growth in 2022-23 financial year.&#10;Age group 65+ for the years 2019-20 to 2022-23 shows an annual growth trend of 10%, dollar range growth from 2019-20 approx. $56,000 to 2022-23 approx. $75,000, with a 11% growth in 2022-23 financial year."/>
                    <pic:cNvPicPr/>
                  </pic:nvPicPr>
                  <pic:blipFill>
                    <a:blip r:embed="rId53"/>
                    <a:stretch>
                      <a:fillRect/>
                    </a:stretch>
                  </pic:blipFill>
                  <pic:spPr>
                    <a:xfrm>
                      <a:off x="0" y="0"/>
                      <a:ext cx="5746750" cy="3667125"/>
                    </a:xfrm>
                    <a:prstGeom prst="rect">
                      <a:avLst/>
                    </a:prstGeom>
                  </pic:spPr>
                </pic:pic>
              </a:graphicData>
            </a:graphic>
          </wp:inline>
        </w:drawing>
      </w:r>
    </w:p>
    <w:bookmarkEnd w:id="102"/>
    <w:p w14:paraId="2F0EBAA2" w14:textId="2F6D26AB" w:rsidR="005923E5" w:rsidRPr="007F6332" w:rsidRDefault="005923E5" w:rsidP="00CD33D0">
      <w:pPr>
        <w:pStyle w:val="Heading4"/>
        <w:ind w:left="720"/>
        <w:rPr>
          <w:rFonts w:cs="Arial"/>
        </w:rPr>
      </w:pPr>
      <w:r w:rsidRPr="007F6332">
        <w:rPr>
          <w:rFonts w:cs="Arial"/>
        </w:rPr>
        <w:t xml:space="preserve">Higher average payment growth was observed </w:t>
      </w:r>
      <w:r w:rsidR="006E2AD6" w:rsidRPr="007F6332">
        <w:rPr>
          <w:rFonts w:cs="Arial"/>
        </w:rPr>
        <w:t xml:space="preserve">in 2022-23 </w:t>
      </w:r>
      <w:r w:rsidRPr="007F6332">
        <w:rPr>
          <w:rFonts w:cs="Arial"/>
        </w:rPr>
        <w:t>across all age groups for participants with SIL</w:t>
      </w:r>
    </w:p>
    <w:p w14:paraId="7E1003CD" w14:textId="097129D8" w:rsidR="00612119" w:rsidRPr="007F6332" w:rsidRDefault="006B0813" w:rsidP="001D7BC3">
      <w:pPr>
        <w:pStyle w:val="FSRnormal"/>
        <w:rPr>
          <w:rFonts w:cs="Arial"/>
        </w:rPr>
      </w:pPr>
      <w:bookmarkStart w:id="103" w:name="_Hlk151822636"/>
      <w:r w:rsidRPr="007F6332">
        <w:rPr>
          <w:rFonts w:cs="Arial"/>
        </w:rPr>
        <w:t>Figure 4.17 shows the change in average payments per participant over time by age group for participants with SIL. Over the last three years, average payments per participant, for participants with SIL supports increased by at least 10% per annum across all age groups. Growth between 2021-22 and 2022-23 was particularly high, at over 15% across all age groups.</w:t>
      </w:r>
    </w:p>
    <w:bookmarkEnd w:id="103"/>
    <w:p w14:paraId="42EF4C47" w14:textId="77777777" w:rsidR="00612119" w:rsidRPr="007F6332" w:rsidRDefault="00612119" w:rsidP="001D7BC3">
      <w:pPr>
        <w:pStyle w:val="FSRnormal"/>
        <w:rPr>
          <w:rFonts w:cs="Arial"/>
        </w:rPr>
        <w:sectPr w:rsidR="00612119" w:rsidRPr="007F6332" w:rsidSect="00CE7E91">
          <w:headerReference w:type="even" r:id="rId54"/>
          <w:headerReference w:type="default" r:id="rId55"/>
          <w:footerReference w:type="default" r:id="rId56"/>
          <w:headerReference w:type="first" r:id="rId57"/>
          <w:pgSz w:w="11906" w:h="16838"/>
          <w:pgMar w:top="1440" w:right="1416" w:bottom="1440" w:left="1440" w:header="708" w:footer="850" w:gutter="0"/>
          <w:cols w:space="708"/>
          <w:titlePg/>
          <w:docGrid w:linePitch="360"/>
        </w:sectPr>
      </w:pPr>
    </w:p>
    <w:p w14:paraId="0F163B50" w14:textId="35DE62FA" w:rsidR="00D13921" w:rsidRPr="007F6332" w:rsidRDefault="008D7E3C" w:rsidP="006B61AA">
      <w:pPr>
        <w:pStyle w:val="FiguresandTablesHeading5"/>
      </w:pPr>
      <w:bookmarkStart w:id="104" w:name="_Hlk151822651"/>
      <w:r w:rsidRPr="007F6332">
        <w:lastRenderedPageBreak/>
        <w:t>Figure 4.17: Trend in average payments experience: participants with SIL, by age band ($)</w:t>
      </w:r>
    </w:p>
    <w:p w14:paraId="0093ECAB" w14:textId="2F87E1E5" w:rsidR="00C221F5" w:rsidRPr="007F6332" w:rsidRDefault="00D13921" w:rsidP="00CD33D0">
      <w:pPr>
        <w:rPr>
          <w:rFonts w:cs="Arial"/>
        </w:rPr>
      </w:pPr>
      <w:r w:rsidRPr="007F6332">
        <w:rPr>
          <w:rFonts w:cs="Arial"/>
          <w:b/>
          <w:iCs/>
          <w:noProof/>
        </w:rPr>
        <w:drawing>
          <wp:inline distT="0" distB="0" distL="0" distR="0" wp14:anchorId="4D808880" wp14:editId="6F9721D7">
            <wp:extent cx="5746750" cy="3433445"/>
            <wp:effectExtent l="0" t="0" r="6350" b="0"/>
            <wp:docPr id="54722252" name="Picture 1" descr="Figure 4.17: Trend in average payments experience: participants with SIL, by age band ($)  &#10;The trend over the last 3 years has seen an increase to SIL payments by 10% per annum across all age groups. Between 2021-22 growth over 15% across all ages. &#10;Age group 0 to 24 for the years 2019-20 to 2022-23 shows an annual growth trend of 13%, dollar range growth from 2019-20 approx. $350,000 to 2022-23 approx. $500,000.&#10;Age group 25 to 64 for the years 2019-20 to 2022-23 shows an annual growth trend of 10%, dollar range growth from 2019-20 approx. $290,000 to 2022-23 approx. $380,000.&#10;Age group 65+ for the years 2019-20 to 2022-23 shows an annual growth trend of 10%, dollar range growth from 2019-20 approx. $280,000 to 2022-23 approx. $36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2252" name="Picture 1" descr="Figure 4.17: Trend in average payments experience: participants with SIL, by age band ($)  &#10;The trend over the last 3 years has seen an increase to SIL payments by 10% per annum across all age groups. Between 2021-22 growth over 15% across all ages. &#10;Age group 0 to 24 for the years 2019-20 to 2022-23 shows an annual growth trend of 13%, dollar range growth from 2019-20 approx. $350,000 to 2022-23 approx. $500,000.&#10;Age group 25 to 64 for the years 2019-20 to 2022-23 shows an annual growth trend of 10%, dollar range growth from 2019-20 approx. $290,000 to 2022-23 approx. $380,000.&#10;Age group 65+ for the years 2019-20 to 2022-23 shows an annual growth trend of 10%, dollar range growth from 2019-20 approx. $280,000 to 2022-23 approx. $360,000."/>
                    <pic:cNvPicPr/>
                  </pic:nvPicPr>
                  <pic:blipFill>
                    <a:blip r:embed="rId58"/>
                    <a:stretch>
                      <a:fillRect/>
                    </a:stretch>
                  </pic:blipFill>
                  <pic:spPr>
                    <a:xfrm>
                      <a:off x="0" y="0"/>
                      <a:ext cx="5746750" cy="3433445"/>
                    </a:xfrm>
                    <a:prstGeom prst="rect">
                      <a:avLst/>
                    </a:prstGeom>
                  </pic:spPr>
                </pic:pic>
              </a:graphicData>
            </a:graphic>
          </wp:inline>
        </w:drawing>
      </w:r>
    </w:p>
    <w:bookmarkEnd w:id="104"/>
    <w:p w14:paraId="213A5840" w14:textId="77777777" w:rsidR="00796A1E" w:rsidRPr="007F6332" w:rsidRDefault="00796A1E" w:rsidP="00CD33D0">
      <w:pPr>
        <w:pStyle w:val="Heading4"/>
        <w:ind w:left="720"/>
        <w:rPr>
          <w:rFonts w:cs="Arial"/>
        </w:rPr>
      </w:pPr>
      <w:r w:rsidRPr="007F6332">
        <w:rPr>
          <w:rFonts w:cs="Arial"/>
        </w:rPr>
        <w:t>Average payments per participant continue to be lower for recent entrants</w:t>
      </w:r>
    </w:p>
    <w:p w14:paraId="42369E8E" w14:textId="1C6D09EF" w:rsidR="00612119" w:rsidRPr="007F6332" w:rsidRDefault="00623A2E" w:rsidP="005923E5">
      <w:pPr>
        <w:pStyle w:val="FSRnormal"/>
        <w:rPr>
          <w:rFonts w:cs="Arial"/>
        </w:rPr>
        <w:sectPr w:rsidR="00612119" w:rsidRPr="007F6332" w:rsidSect="00CE7E91">
          <w:pgSz w:w="11906" w:h="16838"/>
          <w:pgMar w:top="1440" w:right="1416" w:bottom="1440" w:left="1440" w:header="708" w:footer="850" w:gutter="0"/>
          <w:cols w:space="708"/>
          <w:titlePg/>
          <w:docGrid w:linePitch="360"/>
        </w:sectPr>
      </w:pPr>
      <w:bookmarkStart w:id="105" w:name="_Hlk151824654"/>
      <w:r w:rsidRPr="007F6332">
        <w:rPr>
          <w:rFonts w:cs="Arial"/>
        </w:rPr>
        <w:t>Figure 4.18 shows in 2022-23, average payments per participant, for participants without SIL who recently entered the Scheme were approximately 14% lower than the average annualised payments for all participants, on a mix-adjusted basis</w:t>
      </w:r>
      <w:r w:rsidRPr="007F6332">
        <w:rPr>
          <w:rStyle w:val="FootnoteReference"/>
          <w:rFonts w:cs="Arial"/>
        </w:rPr>
        <w:footnoteReference w:id="70"/>
      </w:r>
      <w:r w:rsidRPr="007F6332">
        <w:rPr>
          <w:rFonts w:cs="Arial"/>
        </w:rPr>
        <w:t xml:space="preserve">. This difference in average payments per participant is anticipated as a substantial proportion of new entrants are expected to be younger and with relatively lower average payments. It is a trend that </w:t>
      </w:r>
      <w:r w:rsidR="00AD0FBF" w:rsidRPr="007F6332">
        <w:rPr>
          <w:rFonts w:cs="Arial"/>
        </w:rPr>
        <w:t>was</w:t>
      </w:r>
      <w:r w:rsidRPr="007F6332">
        <w:rPr>
          <w:rFonts w:cs="Arial"/>
        </w:rPr>
        <w:t xml:space="preserve"> observed historically, particularly as the Scheme has matured</w:t>
      </w:r>
      <w:bookmarkEnd w:id="105"/>
      <w:r w:rsidR="000A34E2" w:rsidRPr="007F6332">
        <w:rPr>
          <w:rFonts w:cs="Arial"/>
        </w:rPr>
        <w:t>.</w:t>
      </w:r>
    </w:p>
    <w:p w14:paraId="4ACA0708" w14:textId="253A56A8" w:rsidR="00330FF5" w:rsidRPr="007F6332" w:rsidRDefault="001D7BC3" w:rsidP="006B61AA">
      <w:pPr>
        <w:pStyle w:val="FiguresandTablesHeading5"/>
      </w:pPr>
      <w:bookmarkStart w:id="106" w:name="_Ref144325056"/>
      <w:r w:rsidRPr="007F6332">
        <w:lastRenderedPageBreak/>
        <w:t>Figure 4.1</w:t>
      </w:r>
      <w:r w:rsidR="0039328A" w:rsidRPr="007F6332">
        <w:t>8</w:t>
      </w:r>
      <w:r w:rsidRPr="007F6332">
        <w:t xml:space="preserve">: </w:t>
      </w:r>
      <w:r w:rsidR="00507A8D" w:rsidRPr="007F6332">
        <w:t>Mix-adjusted average payments experience: participants without SIL</w:t>
      </w:r>
      <w:r w:rsidR="00D13921" w:rsidRPr="007F6332">
        <w:t xml:space="preserve"> ($)</w:t>
      </w:r>
    </w:p>
    <w:p w14:paraId="4451DC8B" w14:textId="08210486" w:rsidR="00D13921" w:rsidRPr="007F6332" w:rsidRDefault="00D13921" w:rsidP="00CD33D0">
      <w:pPr>
        <w:rPr>
          <w:rFonts w:cs="Arial"/>
        </w:rPr>
      </w:pPr>
      <w:r w:rsidRPr="007F6332">
        <w:rPr>
          <w:rFonts w:cs="Arial"/>
          <w:noProof/>
        </w:rPr>
        <w:drawing>
          <wp:inline distT="0" distB="0" distL="0" distR="0" wp14:anchorId="75B7485E" wp14:editId="1188D59F">
            <wp:extent cx="5746750" cy="3153410"/>
            <wp:effectExtent l="0" t="0" r="6350" b="8890"/>
            <wp:docPr id="2000778951" name="Picture 1" descr="Figure 4.18 Mix-adjusted average payments for participants without SIL. Adjusting average payments for each cohort on a comparable basis, average payments for all participants without SIL show a decreasing trend in years 2020-21 to 2022-23. Average payments for recent entrants without SIL are on average between 14% to 17% lower than for all participants without SIL. This relates to the higher proportion of new entrants at younger ages, with lower support costs, joining the Scheme.&#10;2020-21, average payments - all participants $41,700&#10;2020-21, average payments - recent entrants $34,700, 17% lower &#10;2021-22, average payments - all participants $39,900&#10;2021-22, average payments - recent entrants $33,900, 15% lower&#10;2022-23, average payments - all participants $39,600&#10;2022-23, average payments - recent entrants $34,200, 14%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78951" name="Picture 1" descr="Figure 4.18 Mix-adjusted average payments for participants without SIL. Adjusting average payments for each cohort on a comparable basis, average payments for all participants without SIL show a decreasing trend in years 2020-21 to 2022-23. Average payments for recent entrants without SIL are on average between 14% to 17% lower than for all participants without SIL. This relates to the higher proportion of new entrants at younger ages, with lower support costs, joining the Scheme.&#10;2020-21, average payments - all participants $41,700&#10;2020-21, average payments - recent entrants $34,700, 17% lower &#10;2021-22, average payments - all participants $39,900&#10;2021-22, average payments - recent entrants $33,900, 15% lower&#10;2022-23, average payments - all participants $39,600&#10;2022-23, average payments - recent entrants $34,200, 14% lower"/>
                    <pic:cNvPicPr/>
                  </pic:nvPicPr>
                  <pic:blipFill>
                    <a:blip r:embed="rId59"/>
                    <a:stretch>
                      <a:fillRect/>
                    </a:stretch>
                  </pic:blipFill>
                  <pic:spPr>
                    <a:xfrm>
                      <a:off x="0" y="0"/>
                      <a:ext cx="5746750" cy="3153410"/>
                    </a:xfrm>
                    <a:prstGeom prst="rect">
                      <a:avLst/>
                    </a:prstGeom>
                  </pic:spPr>
                </pic:pic>
              </a:graphicData>
            </a:graphic>
          </wp:inline>
        </w:drawing>
      </w:r>
    </w:p>
    <w:p w14:paraId="08495B48" w14:textId="6C831D50" w:rsidR="002867E7" w:rsidRPr="007F6332" w:rsidRDefault="002867E7" w:rsidP="00CD33D0">
      <w:pPr>
        <w:pStyle w:val="Heading3"/>
        <w:ind w:left="709" w:hanging="709"/>
        <w:rPr>
          <w:rFonts w:cs="Arial"/>
        </w:rPr>
      </w:pPr>
      <w:bookmarkStart w:id="107" w:name="_Toc146286154"/>
      <w:bookmarkStart w:id="108" w:name="_Toc152614979"/>
      <w:bookmarkEnd w:id="106"/>
      <w:r w:rsidRPr="007F6332">
        <w:rPr>
          <w:rFonts w:cs="Arial"/>
        </w:rPr>
        <w:t xml:space="preserve">Growth in </w:t>
      </w:r>
      <w:r w:rsidR="00E748F2" w:rsidRPr="007F6332">
        <w:rPr>
          <w:rFonts w:cs="Arial"/>
        </w:rPr>
        <w:t xml:space="preserve">average </w:t>
      </w:r>
      <w:r w:rsidRPr="007F6332">
        <w:rPr>
          <w:rFonts w:cs="Arial"/>
        </w:rPr>
        <w:t>payments</w:t>
      </w:r>
      <w:bookmarkEnd w:id="107"/>
      <w:bookmarkEnd w:id="108"/>
      <w:r w:rsidRPr="007F6332">
        <w:rPr>
          <w:rFonts w:cs="Arial"/>
        </w:rPr>
        <w:t xml:space="preserve"> </w:t>
      </w:r>
    </w:p>
    <w:p w14:paraId="57EABAF5" w14:textId="77777777" w:rsidR="00E748F2" w:rsidRPr="007F6332" w:rsidRDefault="00E748F2" w:rsidP="00E748F2">
      <w:pPr>
        <w:spacing w:after="120" w:line="264" w:lineRule="auto"/>
        <w:rPr>
          <w:rFonts w:cs="Arial"/>
          <w:szCs w:val="22"/>
          <w:lang w:eastAsia="en-US"/>
        </w:rPr>
      </w:pPr>
      <w:r w:rsidRPr="007F6332">
        <w:rPr>
          <w:rFonts w:cs="Arial"/>
          <w:szCs w:val="22"/>
          <w:lang w:eastAsia="en-US"/>
        </w:rPr>
        <w:t>Scheme expenses increase over time with growth in average payments and plan budgets per participant, both from normal inflationary sources (such as general increases in wages and consumer prices) and from additional cost pressures, referred to as additional growth</w:t>
      </w:r>
      <w:r w:rsidRPr="007F6332">
        <w:rPr>
          <w:rStyle w:val="FootnoteReference"/>
          <w:rFonts w:cs="Arial"/>
        </w:rPr>
        <w:footnoteReference w:id="71"/>
      </w:r>
      <w:r w:rsidRPr="007F6332">
        <w:rPr>
          <w:rFonts w:cs="Arial"/>
          <w:szCs w:val="22"/>
          <w:lang w:eastAsia="en-US"/>
        </w:rPr>
        <w:t>.</w:t>
      </w:r>
    </w:p>
    <w:p w14:paraId="63133307" w14:textId="77777777" w:rsidR="00E748F2" w:rsidRPr="007F6332" w:rsidRDefault="00E748F2" w:rsidP="00CD33D0">
      <w:pPr>
        <w:pStyle w:val="Heading4"/>
        <w:ind w:left="851" w:hanging="851"/>
        <w:rPr>
          <w:rFonts w:cs="Arial"/>
        </w:rPr>
      </w:pPr>
      <w:r w:rsidRPr="007F6332">
        <w:rPr>
          <w:rFonts w:cs="Arial"/>
        </w:rPr>
        <w:t>Growth in average payments per participant was 10% over 2022-23</w:t>
      </w:r>
    </w:p>
    <w:p w14:paraId="72996E34" w14:textId="4F404163" w:rsidR="00E748F2" w:rsidRPr="007F6332" w:rsidRDefault="00C915FE" w:rsidP="00E748F2">
      <w:pPr>
        <w:spacing w:after="120" w:line="264" w:lineRule="auto"/>
        <w:rPr>
          <w:rFonts w:cs="Arial"/>
          <w:szCs w:val="22"/>
          <w:lang w:eastAsia="en-US"/>
        </w:rPr>
      </w:pPr>
      <w:r w:rsidRPr="007F6332">
        <w:rPr>
          <w:rFonts w:cs="Arial"/>
          <w:szCs w:val="22"/>
          <w:lang w:eastAsia="en-US"/>
        </w:rPr>
        <w:t>Table 4</w:t>
      </w:r>
      <w:r w:rsidR="00035E5C" w:rsidRPr="007F6332">
        <w:rPr>
          <w:rFonts w:cs="Arial"/>
          <w:szCs w:val="22"/>
          <w:lang w:eastAsia="en-US"/>
        </w:rPr>
        <w:t xml:space="preserve">.15 </w:t>
      </w:r>
      <w:r w:rsidR="00E748F2" w:rsidRPr="007F6332">
        <w:rPr>
          <w:rFonts w:cs="Arial"/>
          <w:szCs w:val="22"/>
          <w:lang w:eastAsia="en-US"/>
        </w:rPr>
        <w:t xml:space="preserve">shows observed historic growth rates in average payments measured as the annual change in average payments per participant. This is further split into growth from pricing impacts, the impact of changes in mix of participants, and the </w:t>
      </w:r>
      <w:r w:rsidR="00E748F2" w:rsidRPr="007F6332">
        <w:rPr>
          <w:rFonts w:cs="Arial"/>
        </w:rPr>
        <w:t xml:space="preserve">additional growth </w:t>
      </w:r>
      <w:r w:rsidR="00E748F2" w:rsidRPr="007F6332">
        <w:rPr>
          <w:rFonts w:cs="Arial"/>
          <w:szCs w:val="22"/>
          <w:lang w:eastAsia="en-US"/>
        </w:rPr>
        <w:t>above normal inflation.</w:t>
      </w:r>
    </w:p>
    <w:p w14:paraId="5DBFEC20" w14:textId="486BBD17" w:rsidR="00E748F2" w:rsidRPr="007F6332" w:rsidRDefault="00E748F2" w:rsidP="006B61AA">
      <w:pPr>
        <w:pStyle w:val="FiguresandTablesHeading5"/>
      </w:pPr>
      <w:bookmarkStart w:id="109" w:name="_Ref144326573"/>
      <w:r w:rsidRPr="007F6332">
        <w:t xml:space="preserve">Table </w:t>
      </w:r>
      <w:bookmarkEnd w:id="109"/>
      <w:r w:rsidR="00035E5C" w:rsidRPr="007F6332">
        <w:t>4.15</w:t>
      </w:r>
      <w:r w:rsidR="0053344D" w:rsidRPr="007F6332">
        <w:t>:</w:t>
      </w:r>
      <w:r w:rsidR="00BD38FA" w:rsidRPr="007F6332">
        <w:t xml:space="preserve"> </w:t>
      </w:r>
      <w:r w:rsidRPr="007F6332">
        <w:t>Breakdown of growth in payments per participant</w:t>
      </w:r>
      <w:r w:rsidRPr="007F6332">
        <w:rPr>
          <w:vertAlign w:val="superscript"/>
        </w:rPr>
        <w:footnoteReference w:id="72"/>
      </w:r>
    </w:p>
    <w:tbl>
      <w:tblPr>
        <w:tblW w:w="8784" w:type="dxa"/>
        <w:tblLook w:val="04A0" w:firstRow="1" w:lastRow="0" w:firstColumn="1" w:lastColumn="0" w:noHBand="0" w:noVBand="1"/>
      </w:tblPr>
      <w:tblGrid>
        <w:gridCol w:w="2263"/>
        <w:gridCol w:w="1304"/>
        <w:gridCol w:w="1304"/>
        <w:gridCol w:w="1304"/>
        <w:gridCol w:w="1304"/>
        <w:gridCol w:w="1305"/>
      </w:tblGrid>
      <w:tr w:rsidR="00BD38FA" w:rsidRPr="007F6332" w14:paraId="53DA2545" w14:textId="77777777" w:rsidTr="00DB4B41">
        <w:trPr>
          <w:trHeight w:val="300"/>
        </w:trPr>
        <w:tc>
          <w:tcPr>
            <w:tcW w:w="2263" w:type="dxa"/>
            <w:vMerge w:val="restart"/>
            <w:shd w:val="clear" w:color="000000" w:fill="6B2976"/>
            <w:vAlign w:val="center"/>
            <w:hideMark/>
          </w:tcPr>
          <w:p w14:paraId="593155B1" w14:textId="77777777" w:rsidR="00E748F2" w:rsidRPr="007F6332" w:rsidRDefault="00E748F2" w:rsidP="00E748F2">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Item of growth</w:t>
            </w:r>
          </w:p>
        </w:tc>
        <w:tc>
          <w:tcPr>
            <w:tcW w:w="1304" w:type="dxa"/>
            <w:vMerge w:val="restart"/>
            <w:shd w:val="clear" w:color="000000" w:fill="6B2976"/>
            <w:vAlign w:val="center"/>
            <w:hideMark/>
          </w:tcPr>
          <w:p w14:paraId="54B1409E"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r w:rsidRPr="007F6332">
              <w:rPr>
                <w:rFonts w:eastAsia="Times New Roman" w:cs="Arial"/>
                <w:b/>
                <w:bCs/>
                <w:color w:val="FFFFFF"/>
                <w:szCs w:val="22"/>
                <w:lang w:eastAsia="en-AU"/>
              </w:rPr>
              <w:t>2019-20</w:t>
            </w:r>
          </w:p>
        </w:tc>
        <w:tc>
          <w:tcPr>
            <w:tcW w:w="1304" w:type="dxa"/>
            <w:vMerge w:val="restart"/>
            <w:shd w:val="clear" w:color="000000" w:fill="6B2976"/>
            <w:vAlign w:val="center"/>
            <w:hideMark/>
          </w:tcPr>
          <w:p w14:paraId="2F08CBA9"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r w:rsidRPr="007F6332">
              <w:rPr>
                <w:rFonts w:eastAsia="Times New Roman" w:cs="Arial"/>
                <w:b/>
                <w:bCs/>
                <w:color w:val="FFFFFF"/>
                <w:szCs w:val="22"/>
                <w:lang w:eastAsia="en-AU"/>
              </w:rPr>
              <w:t>2020-21</w:t>
            </w:r>
          </w:p>
        </w:tc>
        <w:tc>
          <w:tcPr>
            <w:tcW w:w="1304" w:type="dxa"/>
            <w:vMerge w:val="restart"/>
            <w:shd w:val="clear" w:color="000000" w:fill="6B2976"/>
            <w:vAlign w:val="center"/>
            <w:hideMark/>
          </w:tcPr>
          <w:p w14:paraId="7F79D933"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r w:rsidRPr="007F6332">
              <w:rPr>
                <w:rFonts w:eastAsia="Times New Roman" w:cs="Arial"/>
                <w:b/>
                <w:bCs/>
                <w:color w:val="FFFFFF"/>
                <w:szCs w:val="22"/>
                <w:lang w:eastAsia="en-AU"/>
              </w:rPr>
              <w:t>2021-22</w:t>
            </w:r>
          </w:p>
        </w:tc>
        <w:tc>
          <w:tcPr>
            <w:tcW w:w="1304" w:type="dxa"/>
            <w:vMerge w:val="restart"/>
            <w:tcBorders>
              <w:right w:val="dashed" w:sz="8" w:space="0" w:color="auto"/>
            </w:tcBorders>
            <w:shd w:val="clear" w:color="000000" w:fill="6B2976"/>
            <w:vAlign w:val="center"/>
            <w:hideMark/>
          </w:tcPr>
          <w:p w14:paraId="008E6C52"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r w:rsidRPr="007F6332">
              <w:rPr>
                <w:rFonts w:eastAsia="Times New Roman" w:cs="Arial"/>
                <w:b/>
                <w:bCs/>
                <w:color w:val="FFFFFF"/>
                <w:szCs w:val="22"/>
                <w:lang w:eastAsia="en-AU"/>
              </w:rPr>
              <w:t>2022-23</w:t>
            </w:r>
          </w:p>
        </w:tc>
        <w:tc>
          <w:tcPr>
            <w:tcW w:w="1305" w:type="dxa"/>
            <w:tcBorders>
              <w:left w:val="dashed" w:sz="8" w:space="0" w:color="auto"/>
            </w:tcBorders>
            <w:shd w:val="clear" w:color="000000" w:fill="6B2976"/>
            <w:vAlign w:val="bottom"/>
            <w:hideMark/>
          </w:tcPr>
          <w:p w14:paraId="72DE43C1"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r w:rsidRPr="007F6332">
              <w:rPr>
                <w:rFonts w:eastAsia="Times New Roman" w:cs="Arial"/>
                <w:b/>
                <w:bCs/>
                <w:color w:val="FFFFFF"/>
                <w:szCs w:val="22"/>
                <w:lang w:eastAsia="en-AU"/>
              </w:rPr>
              <w:t>Average</w:t>
            </w:r>
          </w:p>
        </w:tc>
      </w:tr>
      <w:tr w:rsidR="00E748F2" w:rsidRPr="007F6332" w14:paraId="17D9EE32" w14:textId="77777777" w:rsidTr="0046022E">
        <w:trPr>
          <w:trHeight w:val="300"/>
        </w:trPr>
        <w:tc>
          <w:tcPr>
            <w:tcW w:w="2263" w:type="dxa"/>
            <w:vMerge/>
            <w:vAlign w:val="center"/>
            <w:hideMark/>
          </w:tcPr>
          <w:p w14:paraId="72D4AB7E" w14:textId="77777777" w:rsidR="00E748F2" w:rsidRPr="007F6332" w:rsidRDefault="00E748F2" w:rsidP="001908C7">
            <w:pPr>
              <w:spacing w:after="0" w:line="240" w:lineRule="auto"/>
              <w:rPr>
                <w:rFonts w:eastAsia="Times New Roman" w:cs="Arial"/>
                <w:b/>
                <w:bCs/>
                <w:color w:val="FFFFFF"/>
                <w:szCs w:val="22"/>
                <w:lang w:eastAsia="en-AU"/>
              </w:rPr>
            </w:pPr>
          </w:p>
        </w:tc>
        <w:tc>
          <w:tcPr>
            <w:tcW w:w="1304" w:type="dxa"/>
            <w:vMerge/>
            <w:vAlign w:val="center"/>
            <w:hideMark/>
          </w:tcPr>
          <w:p w14:paraId="63C40266"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p>
        </w:tc>
        <w:tc>
          <w:tcPr>
            <w:tcW w:w="1304" w:type="dxa"/>
            <w:vMerge/>
            <w:vAlign w:val="center"/>
            <w:hideMark/>
          </w:tcPr>
          <w:p w14:paraId="719CE62F"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p>
        </w:tc>
        <w:tc>
          <w:tcPr>
            <w:tcW w:w="1304" w:type="dxa"/>
            <w:vMerge/>
            <w:vAlign w:val="center"/>
            <w:hideMark/>
          </w:tcPr>
          <w:p w14:paraId="2B377ED4"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p>
        </w:tc>
        <w:tc>
          <w:tcPr>
            <w:tcW w:w="1304" w:type="dxa"/>
            <w:vMerge/>
            <w:tcBorders>
              <w:right w:val="dashed" w:sz="8" w:space="0" w:color="auto"/>
            </w:tcBorders>
            <w:vAlign w:val="center"/>
            <w:hideMark/>
          </w:tcPr>
          <w:p w14:paraId="0B095845"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p>
        </w:tc>
        <w:tc>
          <w:tcPr>
            <w:tcW w:w="1305" w:type="dxa"/>
            <w:tcBorders>
              <w:left w:val="dashed" w:sz="8" w:space="0" w:color="auto"/>
            </w:tcBorders>
            <w:shd w:val="clear" w:color="000000" w:fill="6B2976"/>
            <w:vAlign w:val="bottom"/>
            <w:hideMark/>
          </w:tcPr>
          <w:p w14:paraId="008C0CF6" w14:textId="77777777" w:rsidR="00E748F2" w:rsidRPr="007F6332" w:rsidRDefault="00E748F2" w:rsidP="00896AA9">
            <w:pPr>
              <w:spacing w:after="0" w:line="240" w:lineRule="auto"/>
              <w:ind w:firstLine="40"/>
              <w:jc w:val="right"/>
              <w:rPr>
                <w:rFonts w:eastAsia="Times New Roman" w:cs="Arial"/>
                <w:b/>
                <w:bCs/>
                <w:color w:val="FFFFFF"/>
                <w:szCs w:val="22"/>
                <w:lang w:eastAsia="en-AU"/>
              </w:rPr>
            </w:pPr>
            <w:r w:rsidRPr="007F6332">
              <w:rPr>
                <w:rFonts w:eastAsia="Times New Roman" w:cs="Arial"/>
                <w:b/>
                <w:bCs/>
                <w:color w:val="FFFFFF"/>
                <w:szCs w:val="22"/>
                <w:lang w:eastAsia="en-AU"/>
              </w:rPr>
              <w:t>2020-23</w:t>
            </w:r>
          </w:p>
        </w:tc>
      </w:tr>
      <w:tr w:rsidR="00BD38FA" w:rsidRPr="007F6332" w14:paraId="435289E1" w14:textId="77777777" w:rsidTr="0046022E">
        <w:trPr>
          <w:trHeight w:val="300"/>
        </w:trPr>
        <w:tc>
          <w:tcPr>
            <w:tcW w:w="2263" w:type="dxa"/>
            <w:shd w:val="clear" w:color="auto" w:fill="A7A9AC"/>
            <w:vAlign w:val="center"/>
            <w:hideMark/>
          </w:tcPr>
          <w:p w14:paraId="1E93A9D1" w14:textId="77777777" w:rsidR="00E748F2" w:rsidRPr="007F6332" w:rsidRDefault="00E748F2" w:rsidP="001908C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Observed growth</w:t>
            </w:r>
          </w:p>
        </w:tc>
        <w:tc>
          <w:tcPr>
            <w:tcW w:w="1304" w:type="dxa"/>
            <w:shd w:val="clear" w:color="auto" w:fill="A7A9AC"/>
            <w:noWrap/>
            <w:vAlign w:val="center"/>
            <w:hideMark/>
          </w:tcPr>
          <w:p w14:paraId="21E67801"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19.6%</w:t>
            </w:r>
          </w:p>
        </w:tc>
        <w:tc>
          <w:tcPr>
            <w:tcW w:w="1304" w:type="dxa"/>
            <w:shd w:val="clear" w:color="auto" w:fill="A7A9AC"/>
            <w:noWrap/>
            <w:vAlign w:val="center"/>
            <w:hideMark/>
          </w:tcPr>
          <w:p w14:paraId="21967B9F"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6.9%</w:t>
            </w:r>
          </w:p>
        </w:tc>
        <w:tc>
          <w:tcPr>
            <w:tcW w:w="1304" w:type="dxa"/>
            <w:shd w:val="clear" w:color="auto" w:fill="A7A9AC"/>
            <w:noWrap/>
            <w:vAlign w:val="center"/>
            <w:hideMark/>
          </w:tcPr>
          <w:p w14:paraId="251135E7"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1.6%</w:t>
            </w:r>
          </w:p>
        </w:tc>
        <w:tc>
          <w:tcPr>
            <w:tcW w:w="1304" w:type="dxa"/>
            <w:tcBorders>
              <w:right w:val="dashed" w:sz="8" w:space="0" w:color="auto"/>
            </w:tcBorders>
            <w:shd w:val="clear" w:color="auto" w:fill="A7A9AC"/>
            <w:noWrap/>
            <w:vAlign w:val="center"/>
            <w:hideMark/>
          </w:tcPr>
          <w:p w14:paraId="204DA46B"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9.9%</w:t>
            </w:r>
          </w:p>
        </w:tc>
        <w:tc>
          <w:tcPr>
            <w:tcW w:w="1305" w:type="dxa"/>
            <w:tcBorders>
              <w:left w:val="dashed" w:sz="8" w:space="0" w:color="auto"/>
            </w:tcBorders>
            <w:shd w:val="clear" w:color="auto" w:fill="A7A9AC"/>
            <w:vAlign w:val="center"/>
            <w:hideMark/>
          </w:tcPr>
          <w:p w14:paraId="5DA94F42"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6.0%</w:t>
            </w:r>
          </w:p>
        </w:tc>
      </w:tr>
      <w:tr w:rsidR="00BD38FA" w:rsidRPr="007F6332" w14:paraId="48750040" w14:textId="77777777" w:rsidTr="0046022E">
        <w:trPr>
          <w:trHeight w:val="300"/>
        </w:trPr>
        <w:tc>
          <w:tcPr>
            <w:tcW w:w="2263" w:type="dxa"/>
            <w:shd w:val="clear" w:color="auto" w:fill="auto"/>
            <w:noWrap/>
            <w:vAlign w:val="center"/>
            <w:hideMark/>
          </w:tcPr>
          <w:p w14:paraId="5080584D" w14:textId="77777777" w:rsidR="00E748F2" w:rsidRPr="007F6332" w:rsidRDefault="00E748F2" w:rsidP="001908C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less pricing impact</w:t>
            </w:r>
          </w:p>
        </w:tc>
        <w:tc>
          <w:tcPr>
            <w:tcW w:w="1304" w:type="dxa"/>
            <w:shd w:val="clear" w:color="auto" w:fill="auto"/>
            <w:vAlign w:val="center"/>
            <w:hideMark/>
          </w:tcPr>
          <w:p w14:paraId="66C85A76"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12.0%</w:t>
            </w:r>
          </w:p>
        </w:tc>
        <w:tc>
          <w:tcPr>
            <w:tcW w:w="1304" w:type="dxa"/>
            <w:shd w:val="clear" w:color="auto" w:fill="auto"/>
            <w:vAlign w:val="center"/>
            <w:hideMark/>
          </w:tcPr>
          <w:p w14:paraId="2F434E90"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2.1%</w:t>
            </w:r>
          </w:p>
        </w:tc>
        <w:tc>
          <w:tcPr>
            <w:tcW w:w="1304" w:type="dxa"/>
            <w:shd w:val="clear" w:color="auto" w:fill="auto"/>
            <w:vAlign w:val="center"/>
            <w:hideMark/>
          </w:tcPr>
          <w:p w14:paraId="4429C128"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2.4%</w:t>
            </w:r>
          </w:p>
        </w:tc>
        <w:tc>
          <w:tcPr>
            <w:tcW w:w="1304" w:type="dxa"/>
            <w:tcBorders>
              <w:right w:val="dashed" w:sz="8" w:space="0" w:color="auto"/>
            </w:tcBorders>
            <w:shd w:val="clear" w:color="auto" w:fill="auto"/>
            <w:vAlign w:val="center"/>
            <w:hideMark/>
          </w:tcPr>
          <w:p w14:paraId="10E3E304"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6.8%</w:t>
            </w:r>
          </w:p>
        </w:tc>
        <w:tc>
          <w:tcPr>
            <w:tcW w:w="1305" w:type="dxa"/>
            <w:tcBorders>
              <w:left w:val="dashed" w:sz="8" w:space="0" w:color="auto"/>
            </w:tcBorders>
            <w:shd w:val="clear" w:color="auto" w:fill="auto"/>
            <w:vAlign w:val="center"/>
            <w:hideMark/>
          </w:tcPr>
          <w:p w14:paraId="1188CEDF"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3.7%</w:t>
            </w:r>
          </w:p>
        </w:tc>
      </w:tr>
      <w:tr w:rsidR="00BD38FA" w:rsidRPr="007F6332" w14:paraId="2F1ABB76" w14:textId="77777777" w:rsidTr="0046022E">
        <w:trPr>
          <w:trHeight w:val="300"/>
        </w:trPr>
        <w:tc>
          <w:tcPr>
            <w:tcW w:w="2263" w:type="dxa"/>
            <w:shd w:val="clear" w:color="auto" w:fill="auto"/>
            <w:vAlign w:val="center"/>
            <w:hideMark/>
          </w:tcPr>
          <w:p w14:paraId="4B977CC7" w14:textId="77777777" w:rsidR="00E748F2" w:rsidRPr="007F6332" w:rsidRDefault="00196ACD" w:rsidP="001908C7">
            <w:pPr>
              <w:spacing w:after="0" w:line="240" w:lineRule="auto"/>
              <w:rPr>
                <w:rFonts w:eastAsia="Times New Roman" w:cs="Arial"/>
                <w:color w:val="000000"/>
                <w:szCs w:val="22"/>
                <w:lang w:eastAsia="en-AU"/>
              </w:rPr>
            </w:pPr>
            <w:hyperlink r:id="rId60" w:anchor="RANGE!B35" w:history="1">
              <w:r w:rsidR="00E748F2" w:rsidRPr="007F6332">
                <w:rPr>
                  <w:rFonts w:eastAsia="Times New Roman" w:cs="Arial"/>
                  <w:color w:val="000000"/>
                  <w:szCs w:val="22"/>
                  <w:lang w:eastAsia="en-AU"/>
                </w:rPr>
                <w:t>less change in mix</w:t>
              </w:r>
            </w:hyperlink>
            <w:r w:rsidR="00E748F2" w:rsidRPr="007F6332">
              <w:rPr>
                <w:rStyle w:val="FootnoteReference"/>
                <w:rFonts w:eastAsia="Times New Roman" w:cs="Arial"/>
                <w:color w:val="000000"/>
                <w:szCs w:val="22"/>
                <w:lang w:eastAsia="en-AU"/>
              </w:rPr>
              <w:footnoteReference w:id="73"/>
            </w:r>
          </w:p>
        </w:tc>
        <w:tc>
          <w:tcPr>
            <w:tcW w:w="1304" w:type="dxa"/>
            <w:shd w:val="clear" w:color="auto" w:fill="auto"/>
            <w:noWrap/>
            <w:vAlign w:val="center"/>
            <w:hideMark/>
          </w:tcPr>
          <w:p w14:paraId="0D9ABCDB"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-6.7%</w:t>
            </w:r>
          </w:p>
        </w:tc>
        <w:tc>
          <w:tcPr>
            <w:tcW w:w="1304" w:type="dxa"/>
            <w:shd w:val="clear" w:color="auto" w:fill="auto"/>
            <w:noWrap/>
            <w:vAlign w:val="center"/>
            <w:hideMark/>
          </w:tcPr>
          <w:p w14:paraId="044BD9E1"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-9.2%</w:t>
            </w:r>
          </w:p>
        </w:tc>
        <w:tc>
          <w:tcPr>
            <w:tcW w:w="1304" w:type="dxa"/>
            <w:shd w:val="clear" w:color="auto" w:fill="auto"/>
            <w:noWrap/>
            <w:vAlign w:val="center"/>
            <w:hideMark/>
          </w:tcPr>
          <w:p w14:paraId="6CF248AE"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-6.2%</w:t>
            </w:r>
          </w:p>
        </w:tc>
        <w:tc>
          <w:tcPr>
            <w:tcW w:w="1304" w:type="dxa"/>
            <w:tcBorders>
              <w:right w:val="dashed" w:sz="8" w:space="0" w:color="auto"/>
            </w:tcBorders>
            <w:shd w:val="clear" w:color="auto" w:fill="auto"/>
            <w:noWrap/>
            <w:vAlign w:val="center"/>
            <w:hideMark/>
          </w:tcPr>
          <w:p w14:paraId="25DB210A"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-4.3%</w:t>
            </w:r>
          </w:p>
        </w:tc>
        <w:tc>
          <w:tcPr>
            <w:tcW w:w="1305" w:type="dxa"/>
            <w:tcBorders>
              <w:left w:val="dashed" w:sz="8" w:space="0" w:color="auto"/>
            </w:tcBorders>
            <w:shd w:val="clear" w:color="auto" w:fill="auto"/>
            <w:vAlign w:val="center"/>
            <w:hideMark/>
          </w:tcPr>
          <w:p w14:paraId="628F50C7" w14:textId="77777777" w:rsidR="00E748F2" w:rsidRPr="007F6332" w:rsidRDefault="00E748F2" w:rsidP="00896AA9">
            <w:pPr>
              <w:spacing w:after="0" w:line="240" w:lineRule="auto"/>
              <w:ind w:firstLine="40"/>
              <w:jc w:val="right"/>
              <w:rPr>
                <w:rFonts w:eastAsia="Times New Roman" w:cs="Arial"/>
                <w:color w:val="000000"/>
                <w:szCs w:val="22"/>
                <w:lang w:eastAsia="en-AU"/>
              </w:rPr>
            </w:pPr>
            <w:r w:rsidRPr="007F6332">
              <w:rPr>
                <w:rFonts w:eastAsia="Times New Roman" w:cs="Arial"/>
                <w:color w:val="000000"/>
                <w:szCs w:val="22"/>
                <w:lang w:eastAsia="en-AU"/>
              </w:rPr>
              <w:t>-6.6%</w:t>
            </w:r>
          </w:p>
        </w:tc>
      </w:tr>
      <w:tr w:rsidR="00BD38FA" w:rsidRPr="007F6332" w14:paraId="56A305E3" w14:textId="77777777" w:rsidTr="0046022E">
        <w:trPr>
          <w:trHeight w:val="300"/>
        </w:trPr>
        <w:tc>
          <w:tcPr>
            <w:tcW w:w="2263" w:type="dxa"/>
            <w:tcBorders>
              <w:bottom w:val="single" w:sz="4" w:space="0" w:color="auto"/>
            </w:tcBorders>
            <w:shd w:val="clear" w:color="000000" w:fill="A7A9AC"/>
            <w:noWrap/>
            <w:vAlign w:val="center"/>
            <w:hideMark/>
          </w:tcPr>
          <w:p w14:paraId="2F965730" w14:textId="77777777" w:rsidR="00E748F2" w:rsidRPr="007F6332" w:rsidRDefault="00196ACD" w:rsidP="001908C7">
            <w:pPr>
              <w:spacing w:after="0" w:line="240" w:lineRule="auto"/>
              <w:rPr>
                <w:rFonts w:eastAsia="Times New Roman" w:cs="Arial"/>
                <w:b/>
                <w:bCs/>
                <w:color w:val="000000"/>
                <w:szCs w:val="22"/>
                <w:lang w:eastAsia="en-AU"/>
              </w:rPr>
            </w:pPr>
            <w:hyperlink r:id="rId61" w:anchor="RANGE!_ftn3" w:history="1">
              <w:r w:rsidR="00E748F2" w:rsidRPr="007F6332">
                <w:rPr>
                  <w:rFonts w:eastAsia="Times New Roman" w:cs="Arial"/>
                  <w:b/>
                  <w:bCs/>
                  <w:color w:val="000000"/>
                  <w:szCs w:val="22"/>
                  <w:lang w:eastAsia="en-AU"/>
                </w:rPr>
                <w:t>Additional growth</w:t>
              </w:r>
            </w:hyperlink>
          </w:p>
        </w:tc>
        <w:tc>
          <w:tcPr>
            <w:tcW w:w="1304" w:type="dxa"/>
            <w:tcBorders>
              <w:bottom w:val="single" w:sz="4" w:space="0" w:color="auto"/>
            </w:tcBorders>
            <w:shd w:val="clear" w:color="000000" w:fill="A7A9AC"/>
            <w:vAlign w:val="center"/>
            <w:hideMark/>
          </w:tcPr>
          <w:p w14:paraId="359BA48E"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14.3%</w:t>
            </w:r>
          </w:p>
        </w:tc>
        <w:tc>
          <w:tcPr>
            <w:tcW w:w="1304" w:type="dxa"/>
            <w:tcBorders>
              <w:bottom w:val="single" w:sz="4" w:space="0" w:color="auto"/>
            </w:tcBorders>
            <w:shd w:val="clear" w:color="000000" w:fill="A7A9AC"/>
            <w:vAlign w:val="center"/>
            <w:hideMark/>
          </w:tcPr>
          <w:p w14:paraId="2F04A671"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14.0%</w:t>
            </w:r>
          </w:p>
        </w:tc>
        <w:tc>
          <w:tcPr>
            <w:tcW w:w="1304" w:type="dxa"/>
            <w:tcBorders>
              <w:bottom w:val="single" w:sz="4" w:space="0" w:color="auto"/>
            </w:tcBorders>
            <w:shd w:val="clear" w:color="000000" w:fill="A7A9AC"/>
            <w:vAlign w:val="center"/>
            <w:hideMark/>
          </w:tcPr>
          <w:p w14:paraId="60720222"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5.3%</w:t>
            </w:r>
          </w:p>
        </w:tc>
        <w:tc>
          <w:tcPr>
            <w:tcW w:w="1304" w:type="dxa"/>
            <w:tcBorders>
              <w:bottom w:val="single" w:sz="4" w:space="0" w:color="auto"/>
              <w:right w:val="dashed" w:sz="8" w:space="0" w:color="auto"/>
            </w:tcBorders>
            <w:shd w:val="clear" w:color="000000" w:fill="A7A9AC"/>
            <w:vAlign w:val="center"/>
            <w:hideMark/>
          </w:tcPr>
          <w:p w14:paraId="10C8BE54"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7.4%</w:t>
            </w:r>
          </w:p>
        </w:tc>
        <w:tc>
          <w:tcPr>
            <w:tcW w:w="1305" w:type="dxa"/>
            <w:tcBorders>
              <w:left w:val="dashed" w:sz="8" w:space="0" w:color="auto"/>
              <w:bottom w:val="single" w:sz="4" w:space="0" w:color="auto"/>
            </w:tcBorders>
            <w:shd w:val="clear" w:color="000000" w:fill="A7A9AC"/>
            <w:vAlign w:val="center"/>
            <w:hideMark/>
          </w:tcPr>
          <w:p w14:paraId="003A462E" w14:textId="77777777" w:rsidR="00E748F2" w:rsidRPr="007F6332" w:rsidRDefault="00E748F2" w:rsidP="00896AA9">
            <w:pPr>
              <w:spacing w:after="0" w:line="240" w:lineRule="auto"/>
              <w:ind w:firstLine="40"/>
              <w:jc w:val="right"/>
              <w:rPr>
                <w:rFonts w:eastAsia="Times New Roman" w:cs="Arial"/>
                <w:b/>
                <w:bCs/>
                <w:color w:val="000000"/>
                <w:szCs w:val="22"/>
                <w:lang w:eastAsia="en-AU"/>
              </w:rPr>
            </w:pPr>
            <w:r w:rsidRPr="007F6332">
              <w:rPr>
                <w:rFonts w:eastAsia="Times New Roman" w:cs="Arial"/>
                <w:b/>
                <w:bCs/>
                <w:color w:val="000000"/>
                <w:szCs w:val="22"/>
                <w:lang w:eastAsia="en-AU"/>
              </w:rPr>
              <w:t>8.9%</w:t>
            </w:r>
          </w:p>
        </w:tc>
      </w:tr>
    </w:tbl>
    <w:p w14:paraId="5391EC47" w14:textId="77777777" w:rsidR="00F64928" w:rsidRPr="007F6332" w:rsidRDefault="00F64928" w:rsidP="00F64928">
      <w:pPr>
        <w:pStyle w:val="FSRnormal"/>
        <w:rPr>
          <w:rFonts w:cs="Arial"/>
          <w:lang w:eastAsia="en-US"/>
        </w:rPr>
      </w:pPr>
      <w:r w:rsidRPr="007F6332">
        <w:rPr>
          <w:rFonts w:cs="Arial"/>
          <w:lang w:eastAsia="en-US"/>
        </w:rPr>
        <w:lastRenderedPageBreak/>
        <w:t>The observed growth in average payments was 6.0% </w:t>
      </w:r>
      <w:r w:rsidRPr="007F6332">
        <w:rPr>
          <w:rFonts w:cs="Arial"/>
        </w:rPr>
        <w:t>per annum</w:t>
      </w:r>
      <w:r w:rsidRPr="007F6332">
        <w:rPr>
          <w:rFonts w:cs="Arial"/>
          <w:lang w:eastAsia="en-US"/>
        </w:rPr>
        <w:t xml:space="preserve"> over the last three years. This comprises three components:</w:t>
      </w:r>
    </w:p>
    <w:p w14:paraId="35F7274B" w14:textId="77777777" w:rsidR="00E168F5" w:rsidRPr="007F6332" w:rsidRDefault="00E168F5" w:rsidP="00C1755E">
      <w:pPr>
        <w:pStyle w:val="FSRlist"/>
        <w:rPr>
          <w:rFonts w:cs="Arial"/>
          <w:lang w:eastAsia="en-US"/>
        </w:rPr>
      </w:pPr>
      <w:bookmarkStart w:id="110" w:name="_Toc146286155"/>
      <w:r w:rsidRPr="007F6332">
        <w:rPr>
          <w:rFonts w:cs="Arial"/>
        </w:rPr>
        <w:t>Average</w:t>
      </w:r>
      <w:r w:rsidRPr="007F6332">
        <w:rPr>
          <w:rFonts w:cs="Arial"/>
          <w:b/>
          <w:bCs/>
          <w:lang w:eastAsia="en-US"/>
        </w:rPr>
        <w:t xml:space="preserve"> price changes</w:t>
      </w:r>
      <w:r w:rsidRPr="007F6332">
        <w:rPr>
          <w:rFonts w:cs="Arial"/>
          <w:lang w:eastAsia="en-US"/>
        </w:rPr>
        <w:t xml:space="preserve"> of 3.7% per annum, i.e., changes to the NDIS price limits, resulting from general price and wage inflation as well as pricing decisions made by the Agency. Increases to wages for disability support workers have been the primary driver of these changes. Increases in prices in 2022-23 of 6.8% were higher than the previous two financial years.</w:t>
      </w:r>
    </w:p>
    <w:p w14:paraId="65AB31C0" w14:textId="77777777" w:rsidR="00E168F5" w:rsidRPr="007F6332" w:rsidRDefault="00E168F5" w:rsidP="00C1755E">
      <w:pPr>
        <w:pStyle w:val="FSRlist"/>
        <w:rPr>
          <w:rFonts w:cs="Arial"/>
          <w:lang w:eastAsia="en-US"/>
        </w:rPr>
      </w:pPr>
      <w:r w:rsidRPr="007F6332">
        <w:rPr>
          <w:rFonts w:cs="Arial"/>
          <w:lang w:eastAsia="en-US"/>
        </w:rPr>
        <w:t xml:space="preserve">A reduction due to </w:t>
      </w:r>
      <w:r w:rsidRPr="007F6332">
        <w:rPr>
          <w:rFonts w:cs="Arial"/>
          <w:b/>
          <w:bCs/>
          <w:lang w:eastAsia="en-US"/>
        </w:rPr>
        <w:t>change in participant mix</w:t>
      </w:r>
      <w:r w:rsidRPr="007F6332">
        <w:rPr>
          <w:rFonts w:cs="Arial"/>
          <w:lang w:eastAsia="en-US"/>
        </w:rPr>
        <w:t xml:space="preserve"> of 6.6% per annum. In particular, average payments for children are lower compared with adults, so the increasing proportion of children in the Scheme taken in isolation will reduce the average payment per participant. </w:t>
      </w:r>
    </w:p>
    <w:p w14:paraId="73A073DB" w14:textId="77777777" w:rsidR="00E168F5" w:rsidRPr="007F6332" w:rsidRDefault="00E168F5" w:rsidP="00C1755E">
      <w:pPr>
        <w:pStyle w:val="FSRlist"/>
        <w:rPr>
          <w:rFonts w:cs="Arial"/>
          <w:lang w:eastAsia="en-US"/>
        </w:rPr>
      </w:pPr>
      <w:r w:rsidRPr="007F6332">
        <w:rPr>
          <w:rFonts w:cs="Arial"/>
          <w:b/>
          <w:bCs/>
          <w:lang w:eastAsia="en-US"/>
        </w:rPr>
        <w:t>Residual additional growth</w:t>
      </w:r>
      <w:r w:rsidRPr="007F6332">
        <w:rPr>
          <w:rFonts w:cs="Arial"/>
          <w:lang w:eastAsia="en-US"/>
        </w:rPr>
        <w:t xml:space="preserve"> of 8.9% per annum. This arises from various sources, such as deterioration in participants’ level of function, and more varied supports being provided. Significant components include participants receiving more hours of care from disability support workers and greater proportions of hours in higher intensity supports. </w:t>
      </w:r>
    </w:p>
    <w:p w14:paraId="6D8981FB" w14:textId="77777777" w:rsidR="00E168F5" w:rsidRPr="007F6332" w:rsidRDefault="00E168F5" w:rsidP="00C1755E">
      <w:pPr>
        <w:pStyle w:val="FSRlist"/>
        <w:rPr>
          <w:rFonts w:cs="Arial"/>
          <w:lang w:eastAsia="en-US"/>
        </w:rPr>
      </w:pPr>
      <w:r w:rsidRPr="007F6332">
        <w:rPr>
          <w:rFonts w:cs="Arial"/>
          <w:lang w:eastAsia="en-US"/>
        </w:rPr>
        <w:t xml:space="preserve">Observed additional growth was 7.4% in 2022-23 and 5.3% in 2021-22. There is some evidence that additional growth in 2021-22 was constrained by the labour supply shortages, as well as COVID-19 related demand factors. </w:t>
      </w:r>
    </w:p>
    <w:p w14:paraId="2E1B0C39" w14:textId="0A21B722" w:rsidR="00E168F5" w:rsidRPr="007F6332" w:rsidRDefault="00501F4C" w:rsidP="00C1755E">
      <w:pPr>
        <w:pStyle w:val="FSRlist"/>
        <w:rPr>
          <w:rFonts w:cs="Arial"/>
          <w:lang w:eastAsia="en-US"/>
        </w:rPr>
      </w:pPr>
      <w:r w:rsidRPr="007F6332">
        <w:rPr>
          <w:rStyle w:val="DotPointChar"/>
          <w:rFonts w:cs="Arial"/>
        </w:rPr>
        <w:t>Despite ongoing low unemployment across the Australian economy as a whole, the higher observed additional growth in 2022-23 may indicates a less material impact of labour supply shortages in 2022-23 compared with 2021-22</w:t>
      </w:r>
    </w:p>
    <w:p w14:paraId="3B6EA380" w14:textId="390C7616" w:rsidR="002867E7" w:rsidRPr="007F6332" w:rsidRDefault="002867E7" w:rsidP="00CD33D0">
      <w:pPr>
        <w:pStyle w:val="Heading3"/>
        <w:ind w:left="709" w:hanging="709"/>
        <w:rPr>
          <w:rFonts w:cs="Arial"/>
        </w:rPr>
      </w:pPr>
      <w:bookmarkStart w:id="111" w:name="_Toc152614980"/>
      <w:r w:rsidRPr="007F6332">
        <w:rPr>
          <w:rFonts w:cs="Arial"/>
        </w:rPr>
        <w:t>Plan budgets</w:t>
      </w:r>
      <w:bookmarkEnd w:id="110"/>
      <w:bookmarkEnd w:id="111"/>
    </w:p>
    <w:p w14:paraId="46F81E9F" w14:textId="68D4AB00" w:rsidR="006A4AE4" w:rsidRPr="007F6332" w:rsidRDefault="006A4AE4" w:rsidP="00CD33D0">
      <w:pPr>
        <w:pStyle w:val="Heading4"/>
        <w:ind w:left="851" w:hanging="851"/>
        <w:rPr>
          <w:rFonts w:cs="Arial"/>
        </w:rPr>
      </w:pPr>
      <w:r w:rsidRPr="007F6332">
        <w:rPr>
          <w:rFonts w:cs="Arial"/>
        </w:rPr>
        <w:t xml:space="preserve">Total annualised plan budgets </w:t>
      </w:r>
      <w:r w:rsidR="00F64928" w:rsidRPr="007F6332">
        <w:rPr>
          <w:rFonts w:cs="Arial"/>
        </w:rPr>
        <w:t>increased by 24%</w:t>
      </w:r>
      <w:r w:rsidR="0046437C" w:rsidRPr="007F6332">
        <w:rPr>
          <w:rFonts w:cs="Arial"/>
        </w:rPr>
        <w:t xml:space="preserve"> </w:t>
      </w:r>
      <w:r w:rsidR="00F64928" w:rsidRPr="007F6332">
        <w:rPr>
          <w:rFonts w:cs="Arial"/>
        </w:rPr>
        <w:t xml:space="preserve">over </w:t>
      </w:r>
      <w:r w:rsidRPr="007F6332">
        <w:rPr>
          <w:rFonts w:cs="Arial"/>
        </w:rPr>
        <w:t xml:space="preserve">2022-23 </w:t>
      </w:r>
    </w:p>
    <w:p w14:paraId="3F4E0783" w14:textId="4C918E23" w:rsidR="00E168F5" w:rsidRPr="007F6332" w:rsidRDefault="002376F8" w:rsidP="00E168F5">
      <w:pPr>
        <w:pStyle w:val="FSRnormal"/>
        <w:rPr>
          <w:rFonts w:cs="Arial"/>
        </w:rPr>
      </w:pPr>
      <w:bookmarkStart w:id="112" w:name="_Hlk151827652"/>
      <w:r w:rsidRPr="007F6332">
        <w:rPr>
          <w:rFonts w:cs="Arial"/>
        </w:rPr>
        <w:t xml:space="preserve">Total annualised </w:t>
      </w:r>
      <w:r w:rsidR="00E168F5" w:rsidRPr="007F6332">
        <w:rPr>
          <w:rFonts w:cs="Arial"/>
        </w:rPr>
        <w:t xml:space="preserve">plan budgets </w:t>
      </w:r>
      <w:r w:rsidRPr="007F6332">
        <w:rPr>
          <w:rFonts w:cs="Arial"/>
        </w:rPr>
        <w:t>at</w:t>
      </w:r>
      <w:r w:rsidR="00E168F5" w:rsidRPr="007F6332">
        <w:rPr>
          <w:rFonts w:cs="Arial"/>
        </w:rPr>
        <w:t xml:space="preserve"> 30 June 2023 were $45.7 billion, 24% higher than those at 30 June 2022</w:t>
      </w:r>
      <w:bookmarkEnd w:id="112"/>
      <w:r w:rsidR="00E168F5" w:rsidRPr="007F6332">
        <w:rPr>
          <w:rFonts w:cs="Arial"/>
        </w:rPr>
        <w:t xml:space="preserve">. The overall growth in plan budgets over 2022-23 was higher than in 2021-22 due to higher price increases and more participants transitioning into SIL, and higher residual </w:t>
      </w:r>
      <w:r w:rsidR="0046437C" w:rsidRPr="007F6332">
        <w:rPr>
          <w:rFonts w:cs="Arial"/>
        </w:rPr>
        <w:t>growth</w:t>
      </w:r>
      <w:r w:rsidR="00E168F5" w:rsidRPr="007F6332">
        <w:rPr>
          <w:rFonts w:cs="Arial"/>
        </w:rPr>
        <w:t xml:space="preserve"> after allowing for these factors.</w:t>
      </w:r>
    </w:p>
    <w:p w14:paraId="37BDA01C" w14:textId="77777777" w:rsidR="00612119" w:rsidRPr="007F6332" w:rsidRDefault="00612119" w:rsidP="00F64928">
      <w:pPr>
        <w:pStyle w:val="FSRnormal"/>
        <w:rPr>
          <w:rFonts w:cs="Arial"/>
        </w:rPr>
      </w:pPr>
    </w:p>
    <w:p w14:paraId="3483F2BC" w14:textId="77777777" w:rsidR="00612119" w:rsidRPr="007F6332" w:rsidRDefault="00612119" w:rsidP="00F64928">
      <w:pPr>
        <w:pStyle w:val="FSRnormal"/>
        <w:rPr>
          <w:rFonts w:cs="Arial"/>
        </w:rPr>
        <w:sectPr w:rsidR="00612119" w:rsidRPr="007F6332" w:rsidSect="00E53368">
          <w:pgSz w:w="11906" w:h="16838"/>
          <w:pgMar w:top="1440" w:right="1416" w:bottom="1440" w:left="1440" w:header="708" w:footer="680" w:gutter="0"/>
          <w:cols w:space="708"/>
          <w:titlePg/>
          <w:docGrid w:linePitch="360"/>
        </w:sectPr>
      </w:pPr>
    </w:p>
    <w:p w14:paraId="46F68395" w14:textId="708CC8BF" w:rsidR="006E1CF5" w:rsidRPr="007F6332" w:rsidRDefault="0045717D" w:rsidP="00823FC9">
      <w:pPr>
        <w:pStyle w:val="FiguresandTablesHeading5"/>
      </w:pPr>
      <w:r w:rsidRPr="007F6332">
        <w:lastRenderedPageBreak/>
        <w:t>Figure 4.19</w:t>
      </w:r>
      <w:r w:rsidR="003A4CDC" w:rsidRPr="007F6332">
        <w:t>:</w:t>
      </w:r>
      <w:r w:rsidR="00190D7E" w:rsidRPr="007F6332">
        <w:t xml:space="preserve"> </w:t>
      </w:r>
      <w:r w:rsidR="006A4AE4" w:rsidRPr="007F6332">
        <w:t>Total annualised plan budgets at</w:t>
      </w:r>
      <w:r w:rsidR="00445657" w:rsidRPr="007F6332">
        <w:t xml:space="preserve"> 30 June over time</w:t>
      </w:r>
      <w:r w:rsidR="006A4AE4" w:rsidRPr="007F6332">
        <w:t xml:space="preserve"> </w:t>
      </w:r>
    </w:p>
    <w:p w14:paraId="08CD7F01" w14:textId="450BCB8D" w:rsidR="00172996" w:rsidRPr="007F6332" w:rsidRDefault="006E1CF5" w:rsidP="00172996">
      <w:pPr>
        <w:rPr>
          <w:rFonts w:cs="Arial"/>
        </w:rPr>
      </w:pPr>
      <w:r w:rsidRPr="007F6332">
        <w:rPr>
          <w:rFonts w:cs="Arial"/>
          <w:noProof/>
        </w:rPr>
        <w:drawing>
          <wp:inline distT="0" distB="0" distL="0" distR="0" wp14:anchorId="503B44A8" wp14:editId="0BF7153A">
            <wp:extent cx="5699051" cy="3561615"/>
            <wp:effectExtent l="0" t="0" r="0" b="1270"/>
            <wp:docPr id="814513198" name="Picture 9" descr="Figure 4.19:  Total annualised plan budgets at 30 June over time. &#10;2020 Total annualised plan budget $27.5b.&#10;2021 Total annualised plan budget $32.3b.&#10;2022 Total annualised plan budget $36.8b.&#10;2023 Total annualised plan budget $4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13198" name="Picture 9" descr="Figure 4.19:  Total annualised plan budgets at 30 June over time. &#10;2020 Total annualised plan budget $27.5b.&#10;2021 Total annualised plan budget $32.3b.&#10;2022 Total annualised plan budget $36.8b.&#10;2023 Total annualised plan budget $45.7b."/>
                    <pic:cNvPicPr>
                      <a:picLocks noChangeAspect="1" noChangeArrowheads="1"/>
                    </pic:cNvPicPr>
                  </pic:nvPicPr>
                  <pic:blipFill rotWithShape="1">
                    <a:blip r:embed="rId62">
                      <a:extLst>
                        <a:ext uri="{28A0092B-C50C-407E-A947-70E740481C1C}">
                          <a14:useLocalDpi xmlns:a14="http://schemas.microsoft.com/office/drawing/2010/main" val="0"/>
                        </a:ext>
                      </a:extLst>
                    </a:blip>
                    <a:srcRect r="8307"/>
                    <a:stretch/>
                  </pic:blipFill>
                  <pic:spPr bwMode="auto">
                    <a:xfrm>
                      <a:off x="0" y="0"/>
                      <a:ext cx="5699518" cy="3561907"/>
                    </a:xfrm>
                    <a:prstGeom prst="rect">
                      <a:avLst/>
                    </a:prstGeom>
                    <a:noFill/>
                    <a:ln>
                      <a:noFill/>
                    </a:ln>
                    <a:extLst>
                      <a:ext uri="{53640926-AAD7-44D8-BBD7-CCE9431645EC}">
                        <a14:shadowObscured xmlns:a14="http://schemas.microsoft.com/office/drawing/2010/main"/>
                      </a:ext>
                    </a:extLst>
                  </pic:spPr>
                </pic:pic>
              </a:graphicData>
            </a:graphic>
          </wp:inline>
        </w:drawing>
      </w:r>
    </w:p>
    <w:p w14:paraId="0BB62CBB" w14:textId="0706B839" w:rsidR="00B913F7" w:rsidRPr="007F6332" w:rsidRDefault="00B913F7" w:rsidP="00CD33D0">
      <w:pPr>
        <w:pStyle w:val="Heading4"/>
        <w:ind w:left="851" w:hanging="851"/>
        <w:rPr>
          <w:rFonts w:cs="Arial"/>
        </w:rPr>
      </w:pPr>
      <w:r w:rsidRPr="007F6332">
        <w:rPr>
          <w:rFonts w:cs="Arial"/>
        </w:rPr>
        <w:t xml:space="preserve">Plan </w:t>
      </w:r>
      <w:r w:rsidR="00FC5A3F" w:rsidRPr="007F6332">
        <w:rPr>
          <w:rFonts w:cs="Arial"/>
        </w:rPr>
        <w:t>growth</w:t>
      </w:r>
      <w:r w:rsidRPr="007F6332">
        <w:rPr>
          <w:rFonts w:cs="Arial"/>
        </w:rPr>
        <w:t xml:space="preserve"> was 19% over 2022-23, on a rolling </w:t>
      </w:r>
      <w:r w:rsidR="00DC593E" w:rsidRPr="007F6332">
        <w:rPr>
          <w:rFonts w:cs="Arial"/>
        </w:rPr>
        <w:t>12-month</w:t>
      </w:r>
      <w:r w:rsidRPr="007F6332">
        <w:rPr>
          <w:rFonts w:cs="Arial"/>
        </w:rPr>
        <w:t xml:space="preserve"> basis</w:t>
      </w:r>
    </w:p>
    <w:p w14:paraId="426B6AAE" w14:textId="77777777" w:rsidR="00946472" w:rsidRPr="007F6332" w:rsidRDefault="006E2F2D" w:rsidP="00946472">
      <w:pPr>
        <w:spacing w:before="240"/>
        <w:rPr>
          <w:rFonts w:cs="Arial"/>
        </w:rPr>
      </w:pPr>
      <w:r w:rsidRPr="007F6332">
        <w:rPr>
          <w:rFonts w:cs="Arial"/>
        </w:rPr>
        <w:t>Additional growth observed in plan budgets is an indicator of future additional growth in average payments, hence it is considered when setting additional growth assumptions. Figure 4.20 shows a breakdown of the observed growth in plan budgets</w:t>
      </w:r>
      <w:r w:rsidR="00F64928" w:rsidRPr="007F6332">
        <w:rPr>
          <w:rStyle w:val="FootnoteReference"/>
          <w:rFonts w:cs="Arial"/>
        </w:rPr>
        <w:footnoteReference w:id="74"/>
      </w:r>
      <w:r w:rsidR="00F64928" w:rsidRPr="007F6332">
        <w:rPr>
          <w:rFonts w:cs="Arial"/>
        </w:rPr>
        <w:t xml:space="preserve">. </w:t>
      </w:r>
    </w:p>
    <w:p w14:paraId="7510286D" w14:textId="77777777" w:rsidR="00946472" w:rsidRPr="007F6332" w:rsidRDefault="00946472" w:rsidP="00946472">
      <w:pPr>
        <w:spacing w:before="240"/>
        <w:rPr>
          <w:rFonts w:cs="Arial"/>
        </w:rPr>
        <w:sectPr w:rsidR="00946472" w:rsidRPr="007F6332" w:rsidSect="009D3223">
          <w:headerReference w:type="even" r:id="rId63"/>
          <w:headerReference w:type="default" r:id="rId64"/>
          <w:footerReference w:type="default" r:id="rId65"/>
          <w:headerReference w:type="first" r:id="rId66"/>
          <w:pgSz w:w="11906" w:h="16838"/>
          <w:pgMar w:top="1440" w:right="1416" w:bottom="1276" w:left="1440" w:header="708" w:footer="850" w:gutter="0"/>
          <w:cols w:space="708"/>
          <w:titlePg/>
          <w:docGrid w:linePitch="360"/>
        </w:sectPr>
      </w:pPr>
    </w:p>
    <w:p w14:paraId="554A04CD" w14:textId="3A468FE2" w:rsidR="00B913F7" w:rsidRPr="007F6332" w:rsidRDefault="0045717D" w:rsidP="00823FC9">
      <w:pPr>
        <w:pStyle w:val="FiguresandTablesHeading5"/>
      </w:pPr>
      <w:r w:rsidRPr="007F6332">
        <w:lastRenderedPageBreak/>
        <w:t>Figure 4.20</w:t>
      </w:r>
      <w:r w:rsidR="003A4CDC" w:rsidRPr="007F6332">
        <w:t>:</w:t>
      </w:r>
      <w:r w:rsidR="00190D7E" w:rsidRPr="007F6332">
        <w:t xml:space="preserve"> </w:t>
      </w:r>
      <w:r w:rsidR="00B913F7" w:rsidRPr="007F6332">
        <w:t>Plan budget growth for active participants (rolling 12 months)</w:t>
      </w:r>
    </w:p>
    <w:p w14:paraId="018DB7B2" w14:textId="452D6101" w:rsidR="009D1122" w:rsidRPr="007F6332" w:rsidRDefault="009D1122" w:rsidP="009D1122">
      <w:pPr>
        <w:rPr>
          <w:rFonts w:cs="Arial"/>
        </w:rPr>
      </w:pPr>
      <w:r w:rsidRPr="007F6332">
        <w:rPr>
          <w:rFonts w:cs="Arial"/>
          <w:noProof/>
        </w:rPr>
        <w:drawing>
          <wp:inline distT="0" distB="0" distL="0" distR="0" wp14:anchorId="28900E75" wp14:editId="71E35BD3">
            <wp:extent cx="5304077" cy="2828260"/>
            <wp:effectExtent l="0" t="0" r="0" b="0"/>
            <wp:docPr id="108992523" name="Picture 41" descr="Figure 4.20. Plan budget growth for active participants (rolling 12 months). Breakdown of past observed growth in plan budgets per participant. Breakdown of plan budgets is as follows.&#10;30 June 2021: additional growth at 4.0%. first year at 1.7%.  SIL entry + exit. at 1.4%. Pricing impact 2.2%. 30 June 2021 total 9.3%. 30 June 2022: additional growth 3.7%. First year 1.1%. SIL entry + exit 2.2%. Pricing impact 1.9%. 30 June 2022 total 8.9%. 30 June 2023: additional growth 9.1%. first year 1.4%. SIL entry+exit 2.7%. pricing impact 6.3%. 30 June 2023 total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2523" name="Picture 41" descr="Figure 4.20. Plan budget growth for active participants (rolling 12 months). Breakdown of past observed growth in plan budgets per participant. Breakdown of plan budgets is as follows.&#10;30 June 2021: additional growth at 4.0%. first year at 1.7%.  SIL entry + exit. at 1.4%. Pricing impact 2.2%. 30 June 2021 total 9.3%. 30 June 2022: additional growth 3.7%. First year 1.1%. SIL entry + exit 2.2%. Pricing impact 1.9%. 30 June 2022 total 8.9%. 30 June 2023: additional growth 9.1%. first year 1.4%. SIL entry+exit 2.7%. pricing impact 6.3%. 30 June 2023 total 19.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04077" cy="2828260"/>
                    </a:xfrm>
                    <a:prstGeom prst="rect">
                      <a:avLst/>
                    </a:prstGeom>
                    <a:noFill/>
                  </pic:spPr>
                </pic:pic>
              </a:graphicData>
            </a:graphic>
          </wp:inline>
        </w:drawing>
      </w:r>
    </w:p>
    <w:p w14:paraId="0E76CE29" w14:textId="5ADF74EF" w:rsidR="006E2F2D" w:rsidRPr="007F6332" w:rsidRDefault="006E2F2D" w:rsidP="006E2F2D">
      <w:pPr>
        <w:pStyle w:val="Tables"/>
        <w:rPr>
          <w:rFonts w:cs="Arial"/>
          <w:b w:val="0"/>
          <w:bCs w:val="0"/>
        </w:rPr>
      </w:pPr>
      <w:r w:rsidRPr="007F6332">
        <w:rPr>
          <w:rFonts w:cs="Arial"/>
          <w:b w:val="0"/>
          <w:bCs w:val="0"/>
        </w:rPr>
        <w:t>The total plan growth</w:t>
      </w:r>
      <w:r w:rsidR="005A56FB" w:rsidRPr="007F6332">
        <w:rPr>
          <w:rStyle w:val="FootnoteReference"/>
          <w:rFonts w:cs="Arial"/>
          <w:b w:val="0"/>
          <w:bCs w:val="0"/>
        </w:rPr>
        <w:footnoteReference w:id="75"/>
      </w:r>
      <w:r w:rsidRPr="007F6332">
        <w:rPr>
          <w:rFonts w:cs="Arial"/>
          <w:b w:val="0"/>
          <w:bCs w:val="0"/>
        </w:rPr>
        <w:t xml:space="preserve"> in the 12-month period ending 30 June 2023 was 19.4%, which included:</w:t>
      </w:r>
    </w:p>
    <w:p w14:paraId="1E510610" w14:textId="0AD320D2" w:rsidR="00B913F7" w:rsidRPr="007F6332" w:rsidRDefault="00B913F7" w:rsidP="00C1755E">
      <w:pPr>
        <w:pStyle w:val="FSRlist"/>
        <w:ind w:left="714" w:hanging="357"/>
        <w:rPr>
          <w:rFonts w:cs="Arial"/>
          <w:b/>
          <w:bCs/>
        </w:rPr>
      </w:pPr>
      <w:r w:rsidRPr="007F6332">
        <w:rPr>
          <w:rFonts w:cs="Arial"/>
        </w:rPr>
        <w:t>6.3% due to growth from changes to NDIS price limits (‘Pricing impact</w:t>
      </w:r>
      <w:r w:rsidR="005C0DF3" w:rsidRPr="007F6332">
        <w:rPr>
          <w:rFonts w:cs="Arial"/>
        </w:rPr>
        <w:t>’</w:t>
      </w:r>
      <w:r w:rsidRPr="007F6332">
        <w:rPr>
          <w:rFonts w:cs="Arial"/>
        </w:rPr>
        <w:t>).</w:t>
      </w:r>
    </w:p>
    <w:p w14:paraId="2562530E" w14:textId="45D0FD53" w:rsidR="00B913F7" w:rsidRPr="007F6332" w:rsidRDefault="00B913F7" w:rsidP="00C1755E">
      <w:pPr>
        <w:pStyle w:val="FSRlist"/>
        <w:ind w:left="714" w:hanging="357"/>
        <w:rPr>
          <w:rFonts w:cs="Arial"/>
          <w:b/>
          <w:bCs/>
        </w:rPr>
      </w:pPr>
      <w:r w:rsidRPr="007F6332">
        <w:rPr>
          <w:rFonts w:cs="Arial"/>
        </w:rPr>
        <w:t>2.7% due to growth in plan budgets from participants transitioning into, or out of, SIL arrangements (‘SIL entry + exit’).</w:t>
      </w:r>
    </w:p>
    <w:p w14:paraId="4818FF40" w14:textId="1403C158" w:rsidR="00B913F7" w:rsidRPr="007F6332" w:rsidRDefault="00B913F7" w:rsidP="00C1755E">
      <w:pPr>
        <w:pStyle w:val="FSRlist"/>
        <w:ind w:left="714" w:hanging="357"/>
        <w:rPr>
          <w:rFonts w:cs="Arial"/>
          <w:b/>
          <w:bCs/>
        </w:rPr>
      </w:pPr>
      <w:r w:rsidRPr="007F6332">
        <w:rPr>
          <w:rFonts w:cs="Arial"/>
        </w:rPr>
        <w:t>1.4% due to growth in participant plans during the first 12 months (‘First Year’).</w:t>
      </w:r>
    </w:p>
    <w:p w14:paraId="18C99D3C" w14:textId="0F7FE03A" w:rsidR="006E2F2D" w:rsidRPr="007F6332" w:rsidRDefault="006E2F2D" w:rsidP="00C1755E">
      <w:pPr>
        <w:pStyle w:val="FSRlist"/>
        <w:ind w:left="714" w:hanging="357"/>
        <w:rPr>
          <w:rFonts w:cs="Arial"/>
        </w:rPr>
      </w:pPr>
      <w:r w:rsidRPr="007F6332">
        <w:rPr>
          <w:rFonts w:cs="Arial"/>
        </w:rPr>
        <w:t>9.1% that is residual growth in participant plans budgets (‘Additional’). This component increased by 5.4% between June 2022 (3.7%) and June 2023 (9.1%).</w:t>
      </w:r>
    </w:p>
    <w:p w14:paraId="12512FA6" w14:textId="741D98AD" w:rsidR="00F64928" w:rsidRPr="007F6332" w:rsidRDefault="00F64928" w:rsidP="00F64928">
      <w:pPr>
        <w:pStyle w:val="FSRnormal"/>
        <w:rPr>
          <w:rFonts w:cs="Arial"/>
          <w:b/>
          <w:bCs/>
        </w:rPr>
      </w:pPr>
      <w:r w:rsidRPr="007F6332">
        <w:rPr>
          <w:rFonts w:cs="Arial"/>
        </w:rPr>
        <w:t>The first three of these components are allowed for elsewhere in the projection with the residual growth being covered by the additional growth assumption</w:t>
      </w:r>
      <w:r w:rsidR="0046437C" w:rsidRPr="007F6332">
        <w:rPr>
          <w:rStyle w:val="FootnoteReference"/>
          <w:rFonts w:cs="Arial"/>
        </w:rPr>
        <w:footnoteReference w:id="76"/>
      </w:r>
      <w:r w:rsidRPr="007F6332">
        <w:rPr>
          <w:rFonts w:cs="Arial"/>
        </w:rPr>
        <w:t>.</w:t>
      </w:r>
    </w:p>
    <w:p w14:paraId="4F9DA4C2" w14:textId="31DC1471" w:rsidR="00F64928" w:rsidRPr="007F6332" w:rsidRDefault="00F64928" w:rsidP="00F64928">
      <w:pPr>
        <w:pStyle w:val="FSRnormal"/>
        <w:rPr>
          <w:rFonts w:cs="Arial"/>
        </w:rPr>
      </w:pPr>
      <w:r w:rsidRPr="007F6332">
        <w:rPr>
          <w:rFonts w:cs="Arial"/>
        </w:rPr>
        <w:t xml:space="preserve">Observed growth in annualised plan budgets across all active participants is lower than the plan </w:t>
      </w:r>
      <w:r w:rsidR="00E45F5D" w:rsidRPr="007F6332">
        <w:rPr>
          <w:rFonts w:cs="Arial"/>
        </w:rPr>
        <w:t>growth</w:t>
      </w:r>
      <w:r w:rsidRPr="007F6332">
        <w:rPr>
          <w:rFonts w:cs="Arial"/>
        </w:rPr>
        <w:t xml:space="preserve"> metric because plan budgets for new participants are lower than those for existing participants. This is reflected in the results </w:t>
      </w:r>
      <w:r w:rsidR="002008D7" w:rsidRPr="007F6332">
        <w:rPr>
          <w:rFonts w:cs="Arial"/>
        </w:rPr>
        <w:t xml:space="preserve">shown in Figure </w:t>
      </w:r>
      <w:r w:rsidR="00D2188F" w:rsidRPr="007F6332">
        <w:rPr>
          <w:rFonts w:cs="Arial"/>
        </w:rPr>
        <w:t>4.20</w:t>
      </w:r>
      <w:r w:rsidRPr="007F6332">
        <w:rPr>
          <w:rFonts w:cs="Arial"/>
        </w:rPr>
        <w:t>.</w:t>
      </w:r>
    </w:p>
    <w:p w14:paraId="7EFE97A3" w14:textId="18324B54" w:rsidR="006A4AE4" w:rsidRPr="007F6332" w:rsidRDefault="006A4AE4" w:rsidP="00CD33D0">
      <w:pPr>
        <w:pStyle w:val="Heading4"/>
        <w:ind w:left="851" w:hanging="851"/>
        <w:rPr>
          <w:rFonts w:cs="Arial"/>
        </w:rPr>
      </w:pPr>
      <w:r w:rsidRPr="007F6332">
        <w:rPr>
          <w:rFonts w:cs="Arial"/>
        </w:rPr>
        <w:t xml:space="preserve">Average annualised plan budgets increased by 9% in 2022-23 </w:t>
      </w:r>
    </w:p>
    <w:p w14:paraId="18DB90D7" w14:textId="30D441E2" w:rsidR="00F64928" w:rsidRPr="007F6332" w:rsidRDefault="00F64928" w:rsidP="00F64928">
      <w:pPr>
        <w:pStyle w:val="FSRnormal"/>
        <w:rPr>
          <w:rFonts w:cs="Arial"/>
        </w:rPr>
      </w:pPr>
      <w:bookmarkStart w:id="114" w:name="_Ref144320875"/>
      <w:r w:rsidRPr="007F6332">
        <w:rPr>
          <w:rFonts w:cs="Arial"/>
        </w:rPr>
        <w:t xml:space="preserve">The average annualised plan budgets at the end of the financial year increased in 2022-23 after being relatively stable over previous years </w:t>
      </w:r>
      <w:r w:rsidR="000C2974" w:rsidRPr="007F6332">
        <w:rPr>
          <w:rFonts w:cs="Arial"/>
        </w:rPr>
        <w:t>as shown in Figure 4.2</w:t>
      </w:r>
      <w:r w:rsidR="007A1806" w:rsidRPr="007F6332">
        <w:rPr>
          <w:rFonts w:cs="Arial"/>
        </w:rPr>
        <w:t>1</w:t>
      </w:r>
      <w:r w:rsidR="000C2974" w:rsidRPr="007F6332">
        <w:rPr>
          <w:rFonts w:cs="Arial"/>
        </w:rPr>
        <w:t>.</w:t>
      </w:r>
    </w:p>
    <w:p w14:paraId="31E2B30A" w14:textId="0371E785" w:rsidR="006A4AE4" w:rsidRPr="007F6332" w:rsidRDefault="006A4AE4" w:rsidP="00823FC9">
      <w:pPr>
        <w:pStyle w:val="FiguresandTablesHeading5"/>
      </w:pPr>
      <w:r w:rsidRPr="007F6332">
        <w:lastRenderedPageBreak/>
        <w:t xml:space="preserve">Figure </w:t>
      </w:r>
      <w:bookmarkEnd w:id="114"/>
      <w:r w:rsidR="0045717D" w:rsidRPr="007F6332">
        <w:t>4.21</w:t>
      </w:r>
      <w:r w:rsidR="00311A6B" w:rsidRPr="007F6332">
        <w:t>:</w:t>
      </w:r>
      <w:r w:rsidR="00190D7E" w:rsidRPr="007F6332">
        <w:t xml:space="preserve"> </w:t>
      </w:r>
      <w:r w:rsidRPr="007F6332">
        <w:t>Average annualised plan budget at 30 June over time</w:t>
      </w:r>
    </w:p>
    <w:p w14:paraId="3CCC5003" w14:textId="3D23A7D3" w:rsidR="005B3DA8" w:rsidRPr="007F6332" w:rsidRDefault="001F2E3D" w:rsidP="005B3DA8">
      <w:pPr>
        <w:rPr>
          <w:rFonts w:cs="Arial"/>
        </w:rPr>
      </w:pPr>
      <w:r w:rsidRPr="007F6332">
        <w:rPr>
          <w:rFonts w:cs="Arial"/>
          <w:noProof/>
        </w:rPr>
        <w:drawing>
          <wp:inline distT="0" distB="0" distL="0" distR="0" wp14:anchorId="2BF8BF42" wp14:editId="726E6D70">
            <wp:extent cx="5496488" cy="3976577"/>
            <wp:effectExtent l="0" t="0" r="9525" b="5080"/>
            <wp:docPr id="1893334226" name="Picture 7" descr="Figure 4.21 The average annualised plan budgets increased from 30 June 2020 to 30 June 2023 by 2.2% per annum, with a higher increase between 30 June 2022 to 30 June 2023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34226" name="Picture 7" descr="Figure 4.21 The average annualised plan budgets increased from 30 June 2020 to 30 June 2023 by 2.2% per annum, with a higher increase between 30 June 2022 to 30 June 2023 8.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34571" cy="4004129"/>
                    </a:xfrm>
                    <a:prstGeom prst="rect">
                      <a:avLst/>
                    </a:prstGeom>
                    <a:noFill/>
                  </pic:spPr>
                </pic:pic>
              </a:graphicData>
            </a:graphic>
          </wp:inline>
        </w:drawing>
      </w:r>
      <w:r w:rsidR="005B3DA8" w:rsidRPr="007F6332">
        <w:rPr>
          <w:rFonts w:cs="Arial"/>
        </w:rPr>
        <w:t xml:space="preserve">Average plan budgets over time have continued to increase for both participants with and without SIL. Over the last </w:t>
      </w:r>
      <w:r w:rsidR="00866584" w:rsidRPr="007F6332">
        <w:rPr>
          <w:rFonts w:cs="Arial"/>
        </w:rPr>
        <w:t>three</w:t>
      </w:r>
      <w:r w:rsidR="005B3DA8" w:rsidRPr="007F6332">
        <w:rPr>
          <w:rFonts w:cs="Arial"/>
        </w:rPr>
        <w:t xml:space="preserve"> years, the average plan budget for participants with and without SIL have increased by 6.4% and 2.7% per annum respectively</w:t>
      </w:r>
      <w:r w:rsidR="00231B71" w:rsidRPr="007F6332">
        <w:rPr>
          <w:rFonts w:cs="Arial"/>
        </w:rPr>
        <w:t xml:space="preserve"> (Figure 4.22)</w:t>
      </w:r>
      <w:r w:rsidR="005B3DA8" w:rsidRPr="007F6332">
        <w:rPr>
          <w:rFonts w:cs="Arial"/>
        </w:rPr>
        <w:t>. This was more pronounced in 2022-23, whe</w:t>
      </w:r>
      <w:r w:rsidR="00866584" w:rsidRPr="007F6332">
        <w:rPr>
          <w:rFonts w:cs="Arial"/>
        </w:rPr>
        <w:t>re</w:t>
      </w:r>
      <w:r w:rsidR="005B3DA8" w:rsidRPr="007F6332">
        <w:rPr>
          <w:rFonts w:cs="Arial"/>
        </w:rPr>
        <w:t xml:space="preserve"> the average annualised plan budget increased by 15.9% compared to 1.1% in 2021-22 for participants with SIL, and 5.4% per annum in 2022-23 </w:t>
      </w:r>
      <w:r w:rsidR="005C0DF3" w:rsidRPr="007F6332">
        <w:rPr>
          <w:rFonts w:cs="Arial"/>
        </w:rPr>
        <w:t xml:space="preserve">compared to </w:t>
      </w:r>
      <w:r w:rsidR="005B3DA8" w:rsidRPr="007F6332">
        <w:rPr>
          <w:rFonts w:cs="Arial"/>
        </w:rPr>
        <w:t>0.1% per annum in 2021-22 for participants without SIL.</w:t>
      </w:r>
    </w:p>
    <w:p w14:paraId="31986C51" w14:textId="10D0C19F" w:rsidR="006A4AE4" w:rsidRPr="007F6332" w:rsidRDefault="0045717D" w:rsidP="00823FC9">
      <w:pPr>
        <w:pStyle w:val="FiguresandTablesHeading5"/>
      </w:pPr>
      <w:r w:rsidRPr="007F6332">
        <w:t>Figure 4.22</w:t>
      </w:r>
      <w:r w:rsidR="00311A6B" w:rsidRPr="007F6332">
        <w:t>:</w:t>
      </w:r>
      <w:r w:rsidR="006A4AE4" w:rsidRPr="007F6332">
        <w:t xml:space="preserve"> Average annualised plan budgets over time by SIL status</w:t>
      </w:r>
      <w:r w:rsidR="00264BD7" w:rsidRPr="007F6332">
        <w:t xml:space="preserve"> at 30 June</w:t>
      </w:r>
    </w:p>
    <w:p w14:paraId="277803A6" w14:textId="46A770EB" w:rsidR="00004E38" w:rsidRPr="007F6332" w:rsidRDefault="00004E38" w:rsidP="00536741">
      <w:pPr>
        <w:rPr>
          <w:rFonts w:cs="Arial"/>
        </w:rPr>
      </w:pPr>
      <w:r w:rsidRPr="007F6332">
        <w:rPr>
          <w:rFonts w:cs="Arial"/>
          <w:noProof/>
        </w:rPr>
        <w:drawing>
          <wp:inline distT="0" distB="0" distL="0" distR="0" wp14:anchorId="20A3C14A" wp14:editId="56133AF4">
            <wp:extent cx="5746750" cy="2129155"/>
            <wp:effectExtent l="0" t="0" r="6350" b="4445"/>
            <wp:docPr id="614786279" name="Picture 1" descr="Figure 4.22 The average annualised plan budgets increased across participants with and without SIL at 30 June 2020 to 30 June 2023, with a considerable increase between the years 30 June 2022 to 30 June 2023 for SIL at +15.9%. The average annualised plan budgets growth for participants with SIL was 6.4% and 2.7% for participants without SIL from 30 June 2020 to 30 June 2023. Average plan budget growth for participants without SIL between 30 June 2022 to 30 June 2023 increased by 5.4% with only slight growth in the years between 30 June 2020 to 30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86279" name="Picture 1" descr="Figure 4.22 The average annualised plan budgets increased across participants with and without SIL at 30 June 2020 to 30 June 2023, with a considerable increase between the years 30 June 2022 to 30 June 2023 for SIL at +15.9%. The average annualised plan budgets growth for participants with SIL was 6.4% and 2.7% for participants without SIL from 30 June 2020 to 30 June 2023. Average plan budget growth for participants without SIL between 30 June 2022 to 30 June 2023 increased by 5.4% with only slight growth in the years between 30 June 2020 to 30 June 2022."/>
                    <pic:cNvPicPr/>
                  </pic:nvPicPr>
                  <pic:blipFill>
                    <a:blip r:embed="rId69"/>
                    <a:stretch>
                      <a:fillRect/>
                    </a:stretch>
                  </pic:blipFill>
                  <pic:spPr>
                    <a:xfrm>
                      <a:off x="0" y="0"/>
                      <a:ext cx="5746750" cy="2129155"/>
                    </a:xfrm>
                    <a:prstGeom prst="rect">
                      <a:avLst/>
                    </a:prstGeom>
                  </pic:spPr>
                </pic:pic>
              </a:graphicData>
            </a:graphic>
          </wp:inline>
        </w:drawing>
      </w:r>
    </w:p>
    <w:p w14:paraId="41F61974" w14:textId="6F517697" w:rsidR="000A481E" w:rsidRPr="007F6332" w:rsidRDefault="000A481E" w:rsidP="000A481E">
      <w:pPr>
        <w:rPr>
          <w:rFonts w:cs="Arial"/>
        </w:rPr>
      </w:pPr>
    </w:p>
    <w:p w14:paraId="07800E55" w14:textId="77777777" w:rsidR="00946472" w:rsidRPr="007F6332" w:rsidRDefault="00946472" w:rsidP="009D3223">
      <w:pPr>
        <w:rPr>
          <w:rFonts w:cs="Arial"/>
        </w:rPr>
        <w:sectPr w:rsidR="00946472" w:rsidRPr="007F6332" w:rsidSect="009D3223">
          <w:pgSz w:w="11906" w:h="16838"/>
          <w:pgMar w:top="1440" w:right="1416" w:bottom="1276" w:left="1440" w:header="708" w:footer="850" w:gutter="0"/>
          <w:cols w:space="708"/>
          <w:titlePg/>
          <w:docGrid w:linePitch="360"/>
        </w:sectPr>
      </w:pPr>
    </w:p>
    <w:p w14:paraId="69A61B70" w14:textId="64A51067" w:rsidR="006A4AE4" w:rsidRPr="007F6332" w:rsidRDefault="00E56CE6" w:rsidP="000A37B5">
      <w:pPr>
        <w:pStyle w:val="FSRnormal"/>
        <w:spacing w:before="0"/>
        <w:rPr>
          <w:rFonts w:cs="Arial"/>
        </w:rPr>
      </w:pPr>
      <w:r w:rsidRPr="007F6332">
        <w:rPr>
          <w:rFonts w:cs="Arial"/>
        </w:rPr>
        <w:lastRenderedPageBreak/>
        <w:t>Between June 2020 and June 2023, average annualised plan budgets increased across most age groups</w:t>
      </w:r>
      <w:r w:rsidR="00866584" w:rsidRPr="007F6332">
        <w:rPr>
          <w:rFonts w:cs="Arial"/>
        </w:rPr>
        <w:t xml:space="preserve"> (Figure 4.23)</w:t>
      </w:r>
      <w:r w:rsidRPr="007F6332">
        <w:rPr>
          <w:rFonts w:cs="Arial"/>
        </w:rPr>
        <w:t>. Between 2021-22 and 2022-23, average plan budgets for those aged 25 to 64 and 65 and over both increased by 13.2%. Lower growth in recent years for younger age groups was driven by the shift of the profile of participants due to new entrants and is expected to continue.</w:t>
      </w:r>
    </w:p>
    <w:p w14:paraId="364F4908" w14:textId="21846E2A" w:rsidR="006A4AE4" w:rsidRPr="007F6332" w:rsidRDefault="0045717D" w:rsidP="00823FC9">
      <w:pPr>
        <w:pStyle w:val="FiguresandTablesHeading5"/>
      </w:pPr>
      <w:r w:rsidRPr="007F6332">
        <w:t>Figure 4.23:</w:t>
      </w:r>
      <w:r w:rsidR="009D6A01" w:rsidRPr="007F6332">
        <w:t xml:space="preserve"> </w:t>
      </w:r>
      <w:r w:rsidR="006A4AE4" w:rsidRPr="007F6332">
        <w:t>Average annualised plan budgets over time by age band</w:t>
      </w:r>
      <w:r w:rsidR="00264BD7" w:rsidRPr="007F6332">
        <w:t xml:space="preserve"> at 30 June </w:t>
      </w:r>
    </w:p>
    <w:p w14:paraId="56914D79" w14:textId="45FADDF9" w:rsidR="00603EF8" w:rsidRPr="007F6332" w:rsidRDefault="00292D2C" w:rsidP="00603EF8">
      <w:pPr>
        <w:rPr>
          <w:rFonts w:cs="Arial"/>
        </w:rPr>
      </w:pPr>
      <w:r w:rsidRPr="007F6332">
        <w:rPr>
          <w:rFonts w:cs="Arial"/>
          <w:noProof/>
        </w:rPr>
        <w:drawing>
          <wp:inline distT="0" distB="0" distL="0" distR="0" wp14:anchorId="1BCFCA07" wp14:editId="64DE60A4">
            <wp:extent cx="5794744" cy="2978171"/>
            <wp:effectExtent l="0" t="0" r="0" b="0"/>
            <wp:docPr id="1479186202" name="Picture 6" descr="Figure 4.23: Average annualised plan budgets over time by age band at 30 June.&#10;Average annual growth for 0 to 14 years was 1.7%.&#10;Average annual growth for 15 to 24 years was -0.3% .&#10;Average annual growth for 25 to 64 years was 4.2%.&#10;Average annual growth for 65+years was 7.0%   Significate increase across all bands between 2022 to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86202" name="Picture 6" descr="Figure 4.23: Average annualised plan budgets over time by age band at 30 June.&#10;Average annual growth for 0 to 14 years was 1.7%.&#10;Average annual growth for 15 to 24 years was -0.3% .&#10;Average annual growth for 25 to 64 years was 4.2%.&#10;Average annual growth for 65+years was 7.0%   Significate increase across all bands between 2022 to 2023.&#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32759" cy="2997709"/>
                    </a:xfrm>
                    <a:prstGeom prst="rect">
                      <a:avLst/>
                    </a:prstGeom>
                    <a:noFill/>
                  </pic:spPr>
                </pic:pic>
              </a:graphicData>
            </a:graphic>
          </wp:inline>
        </w:drawing>
      </w:r>
    </w:p>
    <w:p w14:paraId="39E3E370" w14:textId="543E2D04" w:rsidR="006A4AE4" w:rsidRPr="007F6332" w:rsidRDefault="00FE66E1" w:rsidP="00FE66E1">
      <w:pPr>
        <w:pStyle w:val="FSRnormal"/>
        <w:rPr>
          <w:rFonts w:cs="Arial"/>
        </w:rPr>
      </w:pPr>
      <w:r w:rsidRPr="007F6332">
        <w:rPr>
          <w:rFonts w:cs="Arial"/>
          <w:noProof/>
        </w:rPr>
        <w:t>For</w:t>
      </w:r>
      <w:r w:rsidRPr="007F6332">
        <w:rPr>
          <w:rFonts w:cs="Arial"/>
        </w:rPr>
        <w:t xml:space="preserve"> participants without SIL, those aged 65 and over exhibited the highest growth in plan budgets over time at 5.6% per annum (</w:t>
      </w:r>
      <w:r w:rsidR="007B470F" w:rsidRPr="007F6332">
        <w:rPr>
          <w:rFonts w:cs="Arial"/>
        </w:rPr>
        <w:t>Figure 4.24</w:t>
      </w:r>
      <w:r w:rsidRPr="007F6332">
        <w:rPr>
          <w:rFonts w:cs="Arial"/>
        </w:rPr>
        <w:t>).</w:t>
      </w:r>
    </w:p>
    <w:p w14:paraId="1F0F80F3" w14:textId="77C7F9BE" w:rsidR="006A4AE4" w:rsidRPr="007F6332" w:rsidRDefault="0045717D" w:rsidP="00823FC9">
      <w:pPr>
        <w:pStyle w:val="FiguresandTablesHeading5"/>
        <w:rPr>
          <w:rStyle w:val="Strong"/>
          <w:b/>
          <w:bCs w:val="0"/>
        </w:rPr>
      </w:pPr>
      <w:r w:rsidRPr="007F6332">
        <w:rPr>
          <w:rStyle w:val="Strong"/>
          <w:b/>
          <w:bCs w:val="0"/>
        </w:rPr>
        <w:t>Figure 4.24:</w:t>
      </w:r>
      <w:r w:rsidR="009D6A01" w:rsidRPr="007F6332">
        <w:rPr>
          <w:rStyle w:val="Strong"/>
          <w:b/>
          <w:bCs w:val="0"/>
        </w:rPr>
        <w:t xml:space="preserve"> </w:t>
      </w:r>
      <w:r w:rsidR="006A4AE4" w:rsidRPr="007F6332">
        <w:rPr>
          <w:rStyle w:val="Strong"/>
          <w:b/>
          <w:bCs w:val="0"/>
        </w:rPr>
        <w:t>Average annualised plan budget over time for participants without SIL by age band</w:t>
      </w:r>
      <w:r w:rsidR="00264BD7" w:rsidRPr="007F6332">
        <w:rPr>
          <w:rStyle w:val="Strong"/>
          <w:b/>
          <w:bCs w:val="0"/>
        </w:rPr>
        <w:t xml:space="preserve"> at 30 June</w:t>
      </w:r>
    </w:p>
    <w:p w14:paraId="0A2185F8" w14:textId="4A4159F6" w:rsidR="00921B5D" w:rsidRPr="007F6332" w:rsidRDefault="00E03DDD" w:rsidP="009D3223">
      <w:pPr>
        <w:ind w:right="686"/>
        <w:rPr>
          <w:rFonts w:cs="Arial"/>
        </w:rPr>
      </w:pPr>
      <w:r w:rsidRPr="007F6332">
        <w:rPr>
          <w:rFonts w:cs="Arial"/>
          <w:noProof/>
        </w:rPr>
        <w:drawing>
          <wp:inline distT="0" distB="0" distL="0" distR="0" wp14:anchorId="5EDF6F3D" wp14:editId="7B6B84BA">
            <wp:extent cx="5826642" cy="3134996"/>
            <wp:effectExtent l="0" t="0" r="3175" b="8255"/>
            <wp:docPr id="691151786" name="Picture 15" descr="Figure 4.24:  Average annualised plan budget over time for participants without SIL by age band at 30 June.&#10; 0 to 14 years of age 2020-2023 average annual growth 1.7% - 2022 to 2023 experienced +4.7% growth.&#10;15 to 24 years of age 2020-2023 average annual growth 0.2% - 2022 to 2023 experienced +3.3% growth.&#10;25 to 64 years of age 2020-2023 average annual growth 4.8% - 2022 to 2023 experienced +9.2% growth.&#10;65+ years of age 2020-2023 average annual growth 5.6% - 2022 to 2023 experienced +8.4% grow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51786" name="Picture 15" descr="Figure 4.24:  Average annualised plan budget over time for participants without SIL by age band at 30 June.&#10; 0 to 14 years of age 2020-2023 average annual growth 1.7% - 2022 to 2023 experienced +4.7% growth.&#10;15 to 24 years of age 2020-2023 average annual growth 0.2% - 2022 to 2023 experienced +3.3% growth.&#10;25 to 64 years of age 2020-2023 average annual growth 4.8% - 2022 to 2023 experienced +9.2% growth.&#10;65+ years of age 2020-2023 average annual growth 5.6% - 2022 to 2023 experienced +8.4% growth.&#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49864" cy="3147491"/>
                    </a:xfrm>
                    <a:prstGeom prst="rect">
                      <a:avLst/>
                    </a:prstGeom>
                    <a:noFill/>
                  </pic:spPr>
                </pic:pic>
              </a:graphicData>
            </a:graphic>
          </wp:inline>
        </w:drawing>
      </w:r>
    </w:p>
    <w:p w14:paraId="2016EFA8" w14:textId="36D46809" w:rsidR="0040600A" w:rsidRPr="007F6332" w:rsidRDefault="0040600A" w:rsidP="0040600A">
      <w:pPr>
        <w:rPr>
          <w:rFonts w:cs="Arial"/>
        </w:rPr>
      </w:pPr>
    </w:p>
    <w:p w14:paraId="7A5F2CF2" w14:textId="481BD2AD" w:rsidR="00231B71" w:rsidRPr="007F6332" w:rsidRDefault="00231B71" w:rsidP="001810AD">
      <w:pPr>
        <w:rPr>
          <w:rFonts w:cs="Arial"/>
        </w:rPr>
      </w:pPr>
      <w:bookmarkStart w:id="115" w:name="_Ref144321325"/>
      <w:r w:rsidRPr="007F6332">
        <w:rPr>
          <w:rFonts w:cs="Arial"/>
        </w:rPr>
        <w:lastRenderedPageBreak/>
        <w:t>For participants with SIL, all age groups show a similar increase in average plan budget over time of between 6.5%</w:t>
      </w:r>
      <w:r w:rsidR="00B92EBB" w:rsidRPr="007F6332">
        <w:rPr>
          <w:rFonts w:cs="Arial"/>
        </w:rPr>
        <w:t xml:space="preserve"> </w:t>
      </w:r>
      <w:r w:rsidR="00557AF4" w:rsidRPr="007F6332">
        <w:rPr>
          <w:rFonts w:cs="Arial"/>
        </w:rPr>
        <w:t xml:space="preserve">to </w:t>
      </w:r>
      <w:r w:rsidRPr="007F6332">
        <w:rPr>
          <w:rFonts w:cs="Arial"/>
        </w:rPr>
        <w:t>6.9%</w:t>
      </w:r>
      <w:r w:rsidR="00B92EBB" w:rsidRPr="007F6332">
        <w:rPr>
          <w:rFonts w:cs="Arial"/>
        </w:rPr>
        <w:t xml:space="preserve"> per annum</w:t>
      </w:r>
      <w:r w:rsidRPr="007F6332">
        <w:rPr>
          <w:rFonts w:cs="Arial"/>
        </w:rPr>
        <w:t>, and a relatively higher increase of at least 14.2% up to 16.7% between 2021-22 and 2022-23 (Figure 4.25).</w:t>
      </w:r>
    </w:p>
    <w:bookmarkEnd w:id="115"/>
    <w:p w14:paraId="11033EC1" w14:textId="3B5712E2" w:rsidR="006A4AE4" w:rsidRPr="007F6332" w:rsidRDefault="0045717D" w:rsidP="00823FC9">
      <w:pPr>
        <w:pStyle w:val="FiguresandTablesHeading5"/>
      </w:pPr>
      <w:r w:rsidRPr="007F6332">
        <w:t>Figure 4.25</w:t>
      </w:r>
      <w:r w:rsidR="0036381F" w:rsidRPr="007F6332">
        <w:t>:</w:t>
      </w:r>
      <w:r w:rsidR="009D6A01" w:rsidRPr="007F6332">
        <w:t xml:space="preserve"> </w:t>
      </w:r>
      <w:r w:rsidR="006A4AE4" w:rsidRPr="007F6332">
        <w:t>Average annualised plan budget over time for participants with SIL by age band</w:t>
      </w:r>
      <w:r w:rsidR="00264BD7" w:rsidRPr="007F6332">
        <w:t xml:space="preserve"> at 30 June </w:t>
      </w:r>
    </w:p>
    <w:p w14:paraId="0D8D4ACE" w14:textId="1601DB8E" w:rsidR="00E03DDD" w:rsidRPr="007F6332" w:rsidRDefault="00E03DDD" w:rsidP="00C1755E">
      <w:pPr>
        <w:rPr>
          <w:rFonts w:cs="Arial"/>
        </w:rPr>
      </w:pPr>
      <w:r w:rsidRPr="007F6332">
        <w:rPr>
          <w:rFonts w:cs="Arial"/>
          <w:noProof/>
        </w:rPr>
        <w:drawing>
          <wp:inline distT="0" distB="0" distL="0" distR="0" wp14:anchorId="70F9DFB7" wp14:editId="17F82C12">
            <wp:extent cx="6031304" cy="3639493"/>
            <wp:effectExtent l="0" t="0" r="7620" b="0"/>
            <wp:docPr id="1618785636" name="Picture 16" descr="Figure 4.25 The average annualised plan budgets for participants with SIL by age band for the years 30 June 2020 to 30 June 2023. An increase in growth was experienced across all aged bands.&#10;Age group 0 to 24 for the years 30 June 2020 to 30 June 23 shows an average annualised plan budgets growth trend of 6.9%. The average annualised plan budgets for the age band was +14.2% for the year between 30 June 2022 to 30 June 2023&#10;Age group 25 to 64 for the years 30 June 2020 to 30 June 23 shows an average annualised plan budgets growth trend of 6.5%. The average annualised plan budgets for the age band was +16.0% for the year between 30 June 2022 to 30 June 2023&#10;Age group 65+ for the years 30 June 2020 to 30 June 23 shows an average annualised plan budgets growth trend of 6.9%. The average annualised plan budgets for the age band was +16.7% for the year between 30 June 2022 to 30 Jun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85636" name="Picture 16" descr="Figure 4.25 The average annualised plan budgets for participants with SIL by age band for the years 30 June 2020 to 30 June 2023. An increase in growth was experienced across all aged bands.&#10;Age group 0 to 24 for the years 30 June 2020 to 30 June 23 shows an average annualised plan budgets growth trend of 6.9%. The average annualised plan budgets for the age band was +14.2% for the year between 30 June 2022 to 30 June 2023&#10;Age group 25 to 64 for the years 30 June 2020 to 30 June 23 shows an average annualised plan budgets growth trend of 6.5%. The average annualised plan budgets for the age band was +16.0% for the year between 30 June 2022 to 30 June 2023&#10;Age group 65+ for the years 30 June 2020 to 30 June 23 shows an average annualised plan budgets growth trend of 6.9%. The average annualised plan budgets for the age band was +16.7% for the year between 30 June 2022 to 30 June 20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43595" cy="3646910"/>
                    </a:xfrm>
                    <a:prstGeom prst="rect">
                      <a:avLst/>
                    </a:prstGeom>
                    <a:noFill/>
                  </pic:spPr>
                </pic:pic>
              </a:graphicData>
            </a:graphic>
          </wp:inline>
        </w:drawing>
      </w:r>
    </w:p>
    <w:p w14:paraId="154B1B36" w14:textId="007B2EE9" w:rsidR="00001DAA" w:rsidRPr="007F6332" w:rsidRDefault="00001DAA" w:rsidP="00CD33D0">
      <w:pPr>
        <w:pStyle w:val="Heading4"/>
        <w:ind w:left="720"/>
        <w:rPr>
          <w:rFonts w:cs="Arial"/>
        </w:rPr>
      </w:pPr>
      <w:r w:rsidRPr="007F6332">
        <w:rPr>
          <w:rFonts w:cs="Arial"/>
        </w:rPr>
        <w:t xml:space="preserve">Plan budgets </w:t>
      </w:r>
      <w:r w:rsidR="005923E5" w:rsidRPr="007F6332">
        <w:rPr>
          <w:rFonts w:cs="Arial"/>
        </w:rPr>
        <w:t>do not show signs of stabilising over a participant’s time in the Scheme</w:t>
      </w:r>
    </w:p>
    <w:p w14:paraId="2486FE76" w14:textId="24838525" w:rsidR="00CC770A" w:rsidRPr="007F6332" w:rsidRDefault="00CC770A" w:rsidP="00CC770A">
      <w:pPr>
        <w:rPr>
          <w:rFonts w:cs="Arial"/>
        </w:rPr>
      </w:pPr>
      <w:bookmarkStart w:id="116" w:name="_Ref144321587"/>
      <w:r w:rsidRPr="007F6332">
        <w:rPr>
          <w:rFonts w:cs="Arial"/>
          <w:color w:val="000000"/>
        </w:rPr>
        <w:t>Increases in average plan budgets by duration in the Scheme are shown in Figure 4.2</w:t>
      </w:r>
      <w:r w:rsidR="007A1806" w:rsidRPr="007F6332">
        <w:rPr>
          <w:rFonts w:cs="Arial"/>
          <w:color w:val="000000"/>
        </w:rPr>
        <w:t>6</w:t>
      </w:r>
      <w:r w:rsidRPr="007F6332">
        <w:rPr>
          <w:rFonts w:cs="Arial"/>
          <w:color w:val="000000"/>
        </w:rPr>
        <w:t xml:space="preserve">. </w:t>
      </w:r>
      <w:r w:rsidRPr="007F6332">
        <w:rPr>
          <w:rFonts w:cs="Arial"/>
        </w:rPr>
        <w:t xml:space="preserve">Increases of </w:t>
      </w:r>
      <w:r w:rsidR="00EA5D0A" w:rsidRPr="007F6332">
        <w:rPr>
          <w:rFonts w:cs="Arial"/>
        </w:rPr>
        <w:t xml:space="preserve">around </w:t>
      </w:r>
      <w:r w:rsidRPr="007F6332">
        <w:rPr>
          <w:rFonts w:cs="Arial"/>
        </w:rPr>
        <w:t>20% were observed in plan values between first and second plans</w:t>
      </w:r>
      <w:r w:rsidR="00EA5D0A" w:rsidRPr="007F6332">
        <w:rPr>
          <w:rFonts w:cs="Arial"/>
        </w:rPr>
        <w:t>, increasing by approximately 15% to 16% per plan for participants with three or more plans.</w:t>
      </w:r>
    </w:p>
    <w:bookmarkEnd w:id="116"/>
    <w:p w14:paraId="6EDD433B" w14:textId="77777777" w:rsidR="00F12DCC" w:rsidRPr="007F6332" w:rsidRDefault="00F12DCC">
      <w:pPr>
        <w:spacing w:line="276" w:lineRule="auto"/>
        <w:rPr>
          <w:rFonts w:eastAsiaTheme="majorEastAsia" w:cs="Arial"/>
          <w:b/>
          <w:iCs/>
        </w:rPr>
      </w:pPr>
      <w:r w:rsidRPr="007F6332">
        <w:rPr>
          <w:rFonts w:cs="Arial"/>
        </w:rPr>
        <w:br w:type="page"/>
      </w:r>
    </w:p>
    <w:p w14:paraId="49BE0F84" w14:textId="64ECE36A" w:rsidR="00921B5D" w:rsidRPr="007F6332" w:rsidRDefault="00921B5D" w:rsidP="00823FC9">
      <w:pPr>
        <w:pStyle w:val="FiguresandTablesHeading5"/>
      </w:pPr>
      <w:r w:rsidRPr="007F6332">
        <w:lastRenderedPageBreak/>
        <w:t xml:space="preserve">Figure 4.26: Average annualised plan budget </w:t>
      </w:r>
      <w:r w:rsidRPr="007F6332">
        <w:rPr>
          <w:bCs/>
        </w:rPr>
        <w:t>for participants over time</w:t>
      </w:r>
    </w:p>
    <w:p w14:paraId="7A0429E4" w14:textId="2E3C0669" w:rsidR="00001DAA" w:rsidRPr="007F6332" w:rsidRDefault="00824136" w:rsidP="005B26B9">
      <w:pPr>
        <w:rPr>
          <w:rFonts w:cs="Arial"/>
        </w:rPr>
      </w:pPr>
      <w:r w:rsidRPr="007F6332">
        <w:rPr>
          <w:rFonts w:cs="Arial"/>
          <w:noProof/>
        </w:rPr>
        <w:drawing>
          <wp:inline distT="0" distB="0" distL="0" distR="0" wp14:anchorId="6F714295" wp14:editId="45BE264D">
            <wp:extent cx="5835572" cy="2902858"/>
            <wp:effectExtent l="0" t="0" r="0" b="0"/>
            <wp:docPr id="203" name="Picture 203" descr="Figure 4.26 The average annualised plan budgets for participants over time for participants for plans, First, Second, third, forth, fifth, sixth and more plans. Growth between first and second plan was around 20%.&#10;2 plans, shows the average growth of 20.5% per plan.&#10;3 plans, shows the average growth of 15.4% per plan.&#10;4 plans, shows the average growth of 14.8% per plan.&#10;5 plans, shows the average growth of 14.8% per plan.&#10;6 plans or more, shows the average growth of 16.1% per pl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Figure 4.26 The average annualised plan budgets for participants over time for participants for plans, First, Second, third, forth, fifth, sixth and more plans. Growth between first and second plan was around 20%.&#10;2 plans, shows the average growth of 20.5% per plan.&#10;3 plans, shows the average growth of 15.4% per plan.&#10;4 plans, shows the average growth of 14.8% per plan.&#10;5 plans, shows the average growth of 14.8% per plan.&#10;6 plans or more, shows the average growth of 16.1% per plan.&#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63495" cy="2916748"/>
                    </a:xfrm>
                    <a:prstGeom prst="rect">
                      <a:avLst/>
                    </a:prstGeom>
                    <a:noFill/>
                  </pic:spPr>
                </pic:pic>
              </a:graphicData>
            </a:graphic>
          </wp:inline>
        </w:drawing>
      </w:r>
      <w:r w:rsidRPr="007F6332">
        <w:rPr>
          <w:rFonts w:cs="Arial"/>
        </w:rPr>
        <w:t xml:space="preserve"> </w:t>
      </w:r>
    </w:p>
    <w:p w14:paraId="47EA199C" w14:textId="01C247DA" w:rsidR="002867E7" w:rsidRPr="007F6332" w:rsidRDefault="002867E7" w:rsidP="00CD33D0">
      <w:pPr>
        <w:pStyle w:val="Heading3"/>
        <w:ind w:left="709" w:hanging="709"/>
        <w:rPr>
          <w:rFonts w:cs="Arial"/>
        </w:rPr>
      </w:pPr>
      <w:bookmarkStart w:id="117" w:name="_Toc146286156"/>
      <w:bookmarkStart w:id="118" w:name="_Toc152614981"/>
      <w:r w:rsidRPr="007F6332">
        <w:rPr>
          <w:rFonts w:cs="Arial"/>
        </w:rPr>
        <w:t>Utilisation</w:t>
      </w:r>
      <w:bookmarkEnd w:id="117"/>
      <w:bookmarkEnd w:id="118"/>
    </w:p>
    <w:p w14:paraId="3D041558" w14:textId="0B5E4315" w:rsidR="00FE66E1" w:rsidRPr="007F6332" w:rsidRDefault="00FE66E1" w:rsidP="00FE66E1">
      <w:pPr>
        <w:pStyle w:val="FSRnormal"/>
        <w:rPr>
          <w:rFonts w:cs="Arial"/>
        </w:rPr>
      </w:pPr>
      <w:r w:rsidRPr="007F6332">
        <w:rPr>
          <w:rFonts w:cs="Arial"/>
        </w:rPr>
        <w:t>Plan budgets represent the total supports available to participants in their plans. The proportion of budgets resulting in actual payments is referred to as the utilisation rate.</w:t>
      </w:r>
    </w:p>
    <w:p w14:paraId="3FA61BA6" w14:textId="58EF5555" w:rsidR="003555EE" w:rsidRPr="007F6332" w:rsidRDefault="003555EE" w:rsidP="00CD33D0">
      <w:pPr>
        <w:pStyle w:val="Heading4"/>
        <w:ind w:left="851" w:hanging="851"/>
        <w:rPr>
          <w:rFonts w:cs="Arial"/>
        </w:rPr>
      </w:pPr>
      <w:r w:rsidRPr="007F6332">
        <w:rPr>
          <w:rFonts w:cs="Arial"/>
        </w:rPr>
        <w:t>Scheme utilisation was 77% for the 2022-23 financial year</w:t>
      </w:r>
    </w:p>
    <w:p w14:paraId="335DA489" w14:textId="315C09A0" w:rsidR="00E7147C" w:rsidRPr="007F6332" w:rsidRDefault="00FE66E1" w:rsidP="00E7147C">
      <w:pPr>
        <w:pStyle w:val="FSRnormal"/>
        <w:rPr>
          <w:rFonts w:cs="Arial"/>
        </w:rPr>
        <w:sectPr w:rsidR="00E7147C" w:rsidRPr="007F6332" w:rsidSect="009D3223">
          <w:pgSz w:w="11906" w:h="16838"/>
          <w:pgMar w:top="1440" w:right="1416" w:bottom="1276" w:left="1440" w:header="708" w:footer="850" w:gutter="0"/>
          <w:cols w:space="708"/>
          <w:titlePg/>
          <w:docGrid w:linePitch="360"/>
        </w:sectPr>
      </w:pPr>
      <w:r w:rsidRPr="007F6332">
        <w:rPr>
          <w:rFonts w:cs="Arial"/>
        </w:rPr>
        <w:t>Observed utilisation rates to 2019-20 were about 71%, increasing to 77% in 2022-23</w:t>
      </w:r>
      <w:r w:rsidR="00AA32CC" w:rsidRPr="007F6332">
        <w:rPr>
          <w:rFonts w:cs="Arial"/>
        </w:rPr>
        <w:t>. Table4.16</w:t>
      </w:r>
      <w:r w:rsidRPr="007F6332">
        <w:rPr>
          <w:rFonts w:cs="Arial"/>
        </w:rPr>
        <w:t xml:space="preserve"> provides an overview of “ultimate” utilisation rates by support year at 30 June 2023</w:t>
      </w:r>
      <w:r w:rsidRPr="007F6332">
        <w:rPr>
          <w:rStyle w:val="FootnoteReference"/>
          <w:rFonts w:cs="Arial"/>
        </w:rPr>
        <w:footnoteReference w:id="77"/>
      </w:r>
      <w:r w:rsidRPr="007F6332">
        <w:rPr>
          <w:rFonts w:cs="Arial"/>
        </w:rPr>
        <w:t>.</w:t>
      </w:r>
    </w:p>
    <w:p w14:paraId="2F944BFF" w14:textId="3C6A0061" w:rsidR="003555EE" w:rsidRPr="007F6332" w:rsidRDefault="0045717D" w:rsidP="00823FC9">
      <w:pPr>
        <w:pStyle w:val="FiguresandTablesHeading5"/>
      </w:pPr>
      <w:r w:rsidRPr="007F6332">
        <w:lastRenderedPageBreak/>
        <w:t>Table 4.16:</w:t>
      </w:r>
      <w:r w:rsidR="003555EE" w:rsidRPr="007F6332">
        <w:t xml:space="preserve"> Estimated utilisation rate by support year at 30 June 2023</w:t>
      </w:r>
    </w:p>
    <w:tbl>
      <w:tblPr>
        <w:tblStyle w:val="FSRtable"/>
        <w:tblW w:w="5000" w:type="pct"/>
        <w:tblInd w:w="0" w:type="dxa"/>
        <w:tblLayout w:type="fixed"/>
        <w:tblLook w:val="04A0" w:firstRow="1" w:lastRow="0" w:firstColumn="1" w:lastColumn="0" w:noHBand="0" w:noVBand="1"/>
      </w:tblPr>
      <w:tblGrid>
        <w:gridCol w:w="2647"/>
        <w:gridCol w:w="1253"/>
        <w:gridCol w:w="1030"/>
        <w:gridCol w:w="1030"/>
        <w:gridCol w:w="1030"/>
        <w:gridCol w:w="1030"/>
        <w:gridCol w:w="1030"/>
      </w:tblGrid>
      <w:tr w:rsidR="00203953" w:rsidRPr="007F6332" w14:paraId="41BF5390" w14:textId="77777777" w:rsidTr="006735EE">
        <w:trPr>
          <w:cnfStyle w:val="100000000000" w:firstRow="1" w:lastRow="0" w:firstColumn="0" w:lastColumn="0" w:oddVBand="0" w:evenVBand="0" w:oddHBand="0" w:evenHBand="0" w:firstRowFirstColumn="0" w:firstRowLastColumn="0" w:lastRowFirstColumn="0" w:lastRowLastColumn="0"/>
          <w:trHeight w:val="675"/>
          <w:tblHeader/>
        </w:trPr>
        <w:tc>
          <w:tcPr>
            <w:cnfStyle w:val="001000000000" w:firstRow="0" w:lastRow="0" w:firstColumn="1" w:lastColumn="0" w:oddVBand="0" w:evenVBand="0" w:oddHBand="0" w:evenHBand="0" w:firstRowFirstColumn="0" w:firstRowLastColumn="0" w:lastRowFirstColumn="0" w:lastRowLastColumn="0"/>
            <w:tcW w:w="1463" w:type="pct"/>
            <w:tcBorders>
              <w:bottom w:val="nil"/>
            </w:tcBorders>
          </w:tcPr>
          <w:p w14:paraId="53CDA202" w14:textId="77777777" w:rsidR="003555EE" w:rsidRPr="007F6332" w:rsidRDefault="003555EE" w:rsidP="00223F62">
            <w:pPr>
              <w:pStyle w:val="Tables"/>
              <w:spacing w:before="0"/>
              <w:rPr>
                <w:b/>
                <w:bCs w:val="0"/>
              </w:rPr>
            </w:pPr>
            <w:r w:rsidRPr="007F6332">
              <w:rPr>
                <w:b/>
                <w:bCs w:val="0"/>
              </w:rPr>
              <w:t>Utilisation component</w:t>
            </w:r>
          </w:p>
        </w:tc>
        <w:tc>
          <w:tcPr>
            <w:tcW w:w="692" w:type="pct"/>
            <w:tcBorders>
              <w:bottom w:val="nil"/>
            </w:tcBorders>
          </w:tcPr>
          <w:p w14:paraId="12CCF76D" w14:textId="77777777" w:rsidR="003555EE" w:rsidRPr="007F6332" w:rsidRDefault="003555EE" w:rsidP="00223F62">
            <w:pPr>
              <w:pStyle w:val="Tables"/>
              <w:spacing w:before="0"/>
              <w:cnfStyle w:val="100000000000" w:firstRow="1" w:lastRow="0" w:firstColumn="0" w:lastColumn="0" w:oddVBand="0" w:evenVBand="0" w:oddHBand="0" w:evenHBand="0" w:firstRowFirstColumn="0" w:firstRowLastColumn="0" w:lastRowFirstColumn="0" w:lastRowLastColumn="0"/>
              <w:rPr>
                <w:b/>
                <w:bCs w:val="0"/>
              </w:rPr>
            </w:pPr>
            <w:r w:rsidRPr="007F6332">
              <w:rPr>
                <w:b/>
                <w:bCs w:val="0"/>
              </w:rPr>
              <w:t>2018-19 and prior</w:t>
            </w:r>
          </w:p>
        </w:tc>
        <w:tc>
          <w:tcPr>
            <w:tcW w:w="569" w:type="pct"/>
            <w:tcBorders>
              <w:bottom w:val="nil"/>
            </w:tcBorders>
          </w:tcPr>
          <w:p w14:paraId="5C3CDC20" w14:textId="77777777" w:rsidR="003555EE" w:rsidRPr="007F6332" w:rsidRDefault="003555EE" w:rsidP="00B62B34">
            <w:pPr>
              <w:pStyle w:val="Tables"/>
              <w:spacing w:before="0"/>
              <w:ind w:left="-213"/>
              <w:cnfStyle w:val="100000000000" w:firstRow="1" w:lastRow="0" w:firstColumn="0" w:lastColumn="0" w:oddVBand="0" w:evenVBand="0" w:oddHBand="0" w:evenHBand="0" w:firstRowFirstColumn="0" w:firstRowLastColumn="0" w:lastRowFirstColumn="0" w:lastRowLastColumn="0"/>
              <w:rPr>
                <w:b/>
                <w:bCs w:val="0"/>
              </w:rPr>
            </w:pPr>
            <w:r w:rsidRPr="007F6332">
              <w:rPr>
                <w:b/>
                <w:bCs w:val="0"/>
              </w:rPr>
              <w:t>2019-20</w:t>
            </w:r>
          </w:p>
        </w:tc>
        <w:tc>
          <w:tcPr>
            <w:tcW w:w="569" w:type="pct"/>
            <w:tcBorders>
              <w:bottom w:val="nil"/>
            </w:tcBorders>
          </w:tcPr>
          <w:p w14:paraId="25D59510" w14:textId="77777777" w:rsidR="003555EE" w:rsidRPr="007F6332" w:rsidRDefault="003555EE" w:rsidP="00B62B34">
            <w:pPr>
              <w:pStyle w:val="Tables"/>
              <w:spacing w:before="0"/>
              <w:ind w:left="-79"/>
              <w:cnfStyle w:val="100000000000" w:firstRow="1" w:lastRow="0" w:firstColumn="0" w:lastColumn="0" w:oddVBand="0" w:evenVBand="0" w:oddHBand="0" w:evenHBand="0" w:firstRowFirstColumn="0" w:firstRowLastColumn="0" w:lastRowFirstColumn="0" w:lastRowLastColumn="0"/>
              <w:rPr>
                <w:b/>
                <w:bCs w:val="0"/>
              </w:rPr>
            </w:pPr>
            <w:r w:rsidRPr="007F6332">
              <w:rPr>
                <w:b/>
                <w:bCs w:val="0"/>
              </w:rPr>
              <w:t>2020-21</w:t>
            </w:r>
          </w:p>
        </w:tc>
        <w:tc>
          <w:tcPr>
            <w:tcW w:w="569" w:type="pct"/>
            <w:tcBorders>
              <w:bottom w:val="nil"/>
            </w:tcBorders>
          </w:tcPr>
          <w:p w14:paraId="0DC44DB3" w14:textId="77777777" w:rsidR="003555EE" w:rsidRPr="007F6332" w:rsidRDefault="003555EE" w:rsidP="00B62B34">
            <w:pPr>
              <w:pStyle w:val="Tables"/>
              <w:spacing w:before="0"/>
              <w:ind w:left="-73"/>
              <w:cnfStyle w:val="100000000000" w:firstRow="1" w:lastRow="0" w:firstColumn="0" w:lastColumn="0" w:oddVBand="0" w:evenVBand="0" w:oddHBand="0" w:evenHBand="0" w:firstRowFirstColumn="0" w:firstRowLastColumn="0" w:lastRowFirstColumn="0" w:lastRowLastColumn="0"/>
              <w:rPr>
                <w:b/>
                <w:bCs w:val="0"/>
              </w:rPr>
            </w:pPr>
            <w:r w:rsidRPr="007F6332">
              <w:rPr>
                <w:b/>
                <w:bCs w:val="0"/>
              </w:rPr>
              <w:t>2021-22</w:t>
            </w:r>
          </w:p>
        </w:tc>
        <w:tc>
          <w:tcPr>
            <w:tcW w:w="569" w:type="pct"/>
            <w:tcBorders>
              <w:bottom w:val="nil"/>
            </w:tcBorders>
          </w:tcPr>
          <w:p w14:paraId="3EE5790F" w14:textId="77777777" w:rsidR="003555EE" w:rsidRPr="007F6332" w:rsidRDefault="003555EE" w:rsidP="00223F62">
            <w:pPr>
              <w:pStyle w:val="Tables"/>
              <w:spacing w:before="0"/>
              <w:cnfStyle w:val="100000000000" w:firstRow="1" w:lastRow="0" w:firstColumn="0" w:lastColumn="0" w:oddVBand="0" w:evenVBand="0" w:oddHBand="0" w:evenHBand="0" w:firstRowFirstColumn="0" w:firstRowLastColumn="0" w:lastRowFirstColumn="0" w:lastRowLastColumn="0"/>
              <w:rPr>
                <w:b/>
                <w:bCs w:val="0"/>
              </w:rPr>
            </w:pPr>
            <w:r w:rsidRPr="007F6332">
              <w:rPr>
                <w:b/>
                <w:bCs w:val="0"/>
              </w:rPr>
              <w:t>2022-23</w:t>
            </w:r>
          </w:p>
        </w:tc>
        <w:tc>
          <w:tcPr>
            <w:tcW w:w="570" w:type="pct"/>
            <w:tcBorders>
              <w:bottom w:val="nil"/>
            </w:tcBorders>
          </w:tcPr>
          <w:p w14:paraId="046214A9" w14:textId="77777777" w:rsidR="003555EE" w:rsidRPr="007F6332" w:rsidRDefault="003555EE" w:rsidP="00223F62">
            <w:pPr>
              <w:pStyle w:val="Tables"/>
              <w:spacing w:before="0"/>
              <w:cnfStyle w:val="100000000000" w:firstRow="1" w:lastRow="0" w:firstColumn="0" w:lastColumn="0" w:oddVBand="0" w:evenVBand="0" w:oddHBand="0" w:evenHBand="0" w:firstRowFirstColumn="0" w:firstRowLastColumn="0" w:lastRowFirstColumn="0" w:lastRowLastColumn="0"/>
              <w:rPr>
                <w:b/>
                <w:bCs w:val="0"/>
              </w:rPr>
            </w:pPr>
            <w:r w:rsidRPr="007F6332">
              <w:rPr>
                <w:b/>
                <w:bCs w:val="0"/>
              </w:rPr>
              <w:t>Total</w:t>
            </w:r>
          </w:p>
        </w:tc>
      </w:tr>
      <w:tr w:rsidR="00190D7E" w:rsidRPr="007F6332" w14:paraId="47D4E5C2" w14:textId="77777777" w:rsidTr="00F70F30">
        <w:trPr>
          <w:trHeight w:val="454"/>
        </w:trPr>
        <w:tc>
          <w:tcPr>
            <w:cnfStyle w:val="001000000000" w:firstRow="0" w:lastRow="0" w:firstColumn="1" w:lastColumn="0" w:oddVBand="0" w:evenVBand="0" w:oddHBand="0" w:evenHBand="0" w:firstRowFirstColumn="0" w:firstRowLastColumn="0" w:lastRowFirstColumn="0" w:lastRowLastColumn="0"/>
            <w:tcW w:w="1463" w:type="pct"/>
            <w:tcBorders>
              <w:top w:val="nil"/>
              <w:bottom w:val="nil"/>
            </w:tcBorders>
            <w:shd w:val="clear" w:color="auto" w:fill="auto"/>
          </w:tcPr>
          <w:p w14:paraId="64C10816" w14:textId="73FA7DF3" w:rsidR="003555EE" w:rsidRPr="007F6332" w:rsidRDefault="003555EE" w:rsidP="00223F62">
            <w:pPr>
              <w:pStyle w:val="Tables"/>
              <w:spacing w:before="0"/>
              <w:rPr>
                <w:rFonts w:cs="Arial"/>
              </w:rPr>
            </w:pPr>
            <w:r w:rsidRPr="007F6332">
              <w:rPr>
                <w:rFonts w:cs="Arial"/>
              </w:rPr>
              <w:t xml:space="preserve">Projected ultimate plan budgets </w:t>
            </w:r>
            <w:r w:rsidR="003C1462" w:rsidRPr="007F6332">
              <w:rPr>
                <w:rStyle w:val="FootnoteReference"/>
                <w:rFonts w:cs="Arial"/>
                <w:b w:val="0"/>
                <w:color w:val="000000"/>
                <w:szCs w:val="22"/>
              </w:rPr>
              <w:footnoteReference w:id="78"/>
            </w:r>
            <w:r w:rsidRPr="007F6332">
              <w:rPr>
                <w:rFonts w:cs="Arial"/>
              </w:rPr>
              <w:t>($m)</w:t>
            </w:r>
          </w:p>
        </w:tc>
        <w:tc>
          <w:tcPr>
            <w:tcW w:w="692" w:type="pct"/>
            <w:tcBorders>
              <w:top w:val="nil"/>
              <w:bottom w:val="nil"/>
            </w:tcBorders>
            <w:shd w:val="clear" w:color="auto" w:fill="auto"/>
          </w:tcPr>
          <w:p w14:paraId="5C601732"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27,150</w:t>
            </w:r>
          </w:p>
        </w:tc>
        <w:tc>
          <w:tcPr>
            <w:tcW w:w="569" w:type="pct"/>
            <w:tcBorders>
              <w:top w:val="nil"/>
              <w:bottom w:val="nil"/>
            </w:tcBorders>
            <w:shd w:val="clear" w:color="auto" w:fill="auto"/>
          </w:tcPr>
          <w:p w14:paraId="6D66C5E2"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24,358</w:t>
            </w:r>
          </w:p>
        </w:tc>
        <w:tc>
          <w:tcPr>
            <w:tcW w:w="569" w:type="pct"/>
            <w:tcBorders>
              <w:top w:val="nil"/>
              <w:bottom w:val="nil"/>
            </w:tcBorders>
            <w:shd w:val="clear" w:color="auto" w:fill="auto"/>
          </w:tcPr>
          <w:p w14:paraId="1AC25E73"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32,282</w:t>
            </w:r>
          </w:p>
        </w:tc>
        <w:tc>
          <w:tcPr>
            <w:tcW w:w="569" w:type="pct"/>
            <w:tcBorders>
              <w:top w:val="nil"/>
              <w:bottom w:val="nil"/>
            </w:tcBorders>
            <w:shd w:val="clear" w:color="auto" w:fill="auto"/>
          </w:tcPr>
          <w:p w14:paraId="2DAE1242"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37,014</w:t>
            </w:r>
          </w:p>
        </w:tc>
        <w:tc>
          <w:tcPr>
            <w:tcW w:w="569" w:type="pct"/>
            <w:tcBorders>
              <w:top w:val="nil"/>
              <w:bottom w:val="nil"/>
            </w:tcBorders>
            <w:shd w:val="clear" w:color="auto" w:fill="auto"/>
          </w:tcPr>
          <w:p w14:paraId="09FF3576"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45,955</w:t>
            </w:r>
          </w:p>
        </w:tc>
        <w:tc>
          <w:tcPr>
            <w:tcW w:w="570" w:type="pct"/>
            <w:tcBorders>
              <w:top w:val="nil"/>
              <w:bottom w:val="nil"/>
            </w:tcBorders>
            <w:shd w:val="clear" w:color="auto" w:fill="auto"/>
          </w:tcPr>
          <w:p w14:paraId="1EB2AE49"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166,759</w:t>
            </w:r>
          </w:p>
        </w:tc>
      </w:tr>
      <w:tr w:rsidR="00190D7E" w:rsidRPr="007F6332" w14:paraId="4E7CB3CC" w14:textId="77777777" w:rsidTr="00F70F3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63" w:type="pct"/>
            <w:tcBorders>
              <w:top w:val="nil"/>
              <w:bottom w:val="nil"/>
            </w:tcBorders>
            <w:shd w:val="clear" w:color="000000" w:fill="A7A9AC"/>
          </w:tcPr>
          <w:p w14:paraId="4D7F2901" w14:textId="77777777" w:rsidR="003555EE" w:rsidRPr="007F6332" w:rsidRDefault="003555EE" w:rsidP="00223F62">
            <w:pPr>
              <w:pStyle w:val="Tables"/>
              <w:spacing w:before="0"/>
              <w:rPr>
                <w:rFonts w:cs="Arial"/>
              </w:rPr>
            </w:pPr>
            <w:r w:rsidRPr="007F6332">
              <w:rPr>
                <w:rFonts w:cs="Arial"/>
              </w:rPr>
              <w:t>Payments to date ($m)</w:t>
            </w:r>
          </w:p>
        </w:tc>
        <w:tc>
          <w:tcPr>
            <w:tcW w:w="692" w:type="pct"/>
            <w:tcBorders>
              <w:top w:val="nil"/>
              <w:bottom w:val="nil"/>
            </w:tcBorders>
            <w:shd w:val="clear" w:color="000000" w:fill="A7A9AC"/>
          </w:tcPr>
          <w:p w14:paraId="2254E9ED"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19,168</w:t>
            </w:r>
          </w:p>
        </w:tc>
        <w:tc>
          <w:tcPr>
            <w:tcW w:w="569" w:type="pct"/>
            <w:tcBorders>
              <w:top w:val="nil"/>
              <w:bottom w:val="nil"/>
            </w:tcBorders>
            <w:shd w:val="clear" w:color="000000" w:fill="A7A9AC"/>
          </w:tcPr>
          <w:p w14:paraId="2E9EE56B"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17,316</w:t>
            </w:r>
          </w:p>
        </w:tc>
        <w:tc>
          <w:tcPr>
            <w:tcW w:w="569" w:type="pct"/>
            <w:tcBorders>
              <w:top w:val="nil"/>
              <w:bottom w:val="nil"/>
            </w:tcBorders>
            <w:shd w:val="clear" w:color="000000" w:fill="A7A9AC"/>
          </w:tcPr>
          <w:p w14:paraId="20D3F5D1"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23,502</w:t>
            </w:r>
          </w:p>
        </w:tc>
        <w:tc>
          <w:tcPr>
            <w:tcW w:w="569" w:type="pct"/>
            <w:tcBorders>
              <w:top w:val="nil"/>
              <w:bottom w:val="nil"/>
            </w:tcBorders>
            <w:shd w:val="clear" w:color="000000" w:fill="A7A9AC"/>
          </w:tcPr>
          <w:p w14:paraId="7E8A1263"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27,883</w:t>
            </w:r>
          </w:p>
        </w:tc>
        <w:tc>
          <w:tcPr>
            <w:tcW w:w="569" w:type="pct"/>
            <w:tcBorders>
              <w:top w:val="nil"/>
              <w:bottom w:val="nil"/>
            </w:tcBorders>
            <w:shd w:val="clear" w:color="000000" w:fill="A7A9AC"/>
          </w:tcPr>
          <w:p w14:paraId="11F05A67"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33,182</w:t>
            </w:r>
          </w:p>
        </w:tc>
        <w:tc>
          <w:tcPr>
            <w:tcW w:w="570" w:type="pct"/>
            <w:tcBorders>
              <w:top w:val="nil"/>
              <w:bottom w:val="nil"/>
            </w:tcBorders>
            <w:shd w:val="clear" w:color="000000" w:fill="A7A9AC"/>
          </w:tcPr>
          <w:p w14:paraId="4CC8CD67"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121,051</w:t>
            </w:r>
          </w:p>
        </w:tc>
      </w:tr>
      <w:tr w:rsidR="00203953" w:rsidRPr="007F6332" w14:paraId="39794832" w14:textId="77777777" w:rsidTr="00F70F30">
        <w:trPr>
          <w:trHeight w:val="454"/>
        </w:trPr>
        <w:tc>
          <w:tcPr>
            <w:cnfStyle w:val="001000000000" w:firstRow="0" w:lastRow="0" w:firstColumn="1" w:lastColumn="0" w:oddVBand="0" w:evenVBand="0" w:oddHBand="0" w:evenHBand="0" w:firstRowFirstColumn="0" w:firstRowLastColumn="0" w:lastRowFirstColumn="0" w:lastRowLastColumn="0"/>
            <w:tcW w:w="1463" w:type="pct"/>
            <w:tcBorders>
              <w:top w:val="nil"/>
              <w:bottom w:val="nil"/>
            </w:tcBorders>
            <w:shd w:val="clear" w:color="auto" w:fill="auto"/>
          </w:tcPr>
          <w:p w14:paraId="210A689C" w14:textId="77777777" w:rsidR="003555EE" w:rsidRPr="007F6332" w:rsidRDefault="003555EE" w:rsidP="00223F62">
            <w:pPr>
              <w:pStyle w:val="Tables"/>
              <w:spacing w:before="0"/>
              <w:rPr>
                <w:rFonts w:cs="Arial"/>
              </w:rPr>
            </w:pPr>
            <w:r w:rsidRPr="007F6332">
              <w:rPr>
                <w:rFonts w:cs="Arial"/>
              </w:rPr>
              <w:t>Estimated future payments ($m)</w:t>
            </w:r>
          </w:p>
        </w:tc>
        <w:tc>
          <w:tcPr>
            <w:tcW w:w="692" w:type="pct"/>
            <w:tcBorders>
              <w:top w:val="nil"/>
              <w:bottom w:val="nil"/>
            </w:tcBorders>
            <w:shd w:val="clear" w:color="auto" w:fill="auto"/>
          </w:tcPr>
          <w:p w14:paraId="275BF7CC"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0</w:t>
            </w:r>
          </w:p>
        </w:tc>
        <w:tc>
          <w:tcPr>
            <w:tcW w:w="569" w:type="pct"/>
            <w:tcBorders>
              <w:top w:val="nil"/>
              <w:bottom w:val="nil"/>
            </w:tcBorders>
            <w:shd w:val="clear" w:color="auto" w:fill="auto"/>
          </w:tcPr>
          <w:p w14:paraId="0E3E1FC2"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w:t>
            </w:r>
          </w:p>
        </w:tc>
        <w:tc>
          <w:tcPr>
            <w:tcW w:w="569" w:type="pct"/>
            <w:tcBorders>
              <w:top w:val="nil"/>
              <w:bottom w:val="nil"/>
            </w:tcBorders>
            <w:shd w:val="clear" w:color="auto" w:fill="auto"/>
          </w:tcPr>
          <w:p w14:paraId="0055165E"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8</w:t>
            </w:r>
          </w:p>
        </w:tc>
        <w:tc>
          <w:tcPr>
            <w:tcW w:w="569" w:type="pct"/>
            <w:tcBorders>
              <w:top w:val="nil"/>
              <w:bottom w:val="nil"/>
            </w:tcBorders>
            <w:shd w:val="clear" w:color="auto" w:fill="auto"/>
          </w:tcPr>
          <w:p w14:paraId="5B47D329"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63</w:t>
            </w:r>
          </w:p>
        </w:tc>
        <w:tc>
          <w:tcPr>
            <w:tcW w:w="569" w:type="pct"/>
            <w:tcBorders>
              <w:top w:val="nil"/>
              <w:bottom w:val="nil"/>
            </w:tcBorders>
            <w:shd w:val="clear" w:color="auto" w:fill="auto"/>
          </w:tcPr>
          <w:p w14:paraId="6D7CC2E1"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2,209</w:t>
            </w:r>
          </w:p>
        </w:tc>
        <w:tc>
          <w:tcPr>
            <w:tcW w:w="570" w:type="pct"/>
            <w:tcBorders>
              <w:top w:val="nil"/>
              <w:bottom w:val="nil"/>
            </w:tcBorders>
            <w:shd w:val="clear" w:color="auto" w:fill="auto"/>
          </w:tcPr>
          <w:p w14:paraId="664D2B0C"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2,282</w:t>
            </w:r>
          </w:p>
        </w:tc>
      </w:tr>
      <w:tr w:rsidR="00190D7E" w:rsidRPr="007F6332" w14:paraId="38577C52" w14:textId="77777777" w:rsidTr="00F70F3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63" w:type="pct"/>
            <w:tcBorders>
              <w:top w:val="nil"/>
              <w:bottom w:val="nil"/>
            </w:tcBorders>
            <w:shd w:val="clear" w:color="000000" w:fill="A7A9AC"/>
          </w:tcPr>
          <w:p w14:paraId="7CD38206" w14:textId="77777777" w:rsidR="003555EE" w:rsidRPr="007F6332" w:rsidRDefault="003555EE" w:rsidP="00223F62">
            <w:pPr>
              <w:rPr>
                <w:rFonts w:cs="Arial"/>
                <w:bCs/>
                <w:color w:val="000000"/>
                <w:szCs w:val="22"/>
              </w:rPr>
            </w:pPr>
            <w:r w:rsidRPr="007F6332">
              <w:rPr>
                <w:rFonts w:cs="Arial"/>
                <w:bCs/>
                <w:color w:val="000000"/>
                <w:szCs w:val="22"/>
              </w:rPr>
              <w:t>Projected ultimate payments ($m)</w:t>
            </w:r>
          </w:p>
        </w:tc>
        <w:tc>
          <w:tcPr>
            <w:tcW w:w="692" w:type="pct"/>
            <w:tcBorders>
              <w:top w:val="nil"/>
              <w:bottom w:val="nil"/>
            </w:tcBorders>
            <w:shd w:val="clear" w:color="000000" w:fill="A7A9AC"/>
          </w:tcPr>
          <w:p w14:paraId="5930148B"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19,169</w:t>
            </w:r>
          </w:p>
        </w:tc>
        <w:tc>
          <w:tcPr>
            <w:tcW w:w="569" w:type="pct"/>
            <w:tcBorders>
              <w:top w:val="nil"/>
              <w:bottom w:val="nil"/>
            </w:tcBorders>
            <w:shd w:val="clear" w:color="000000" w:fill="A7A9AC"/>
          </w:tcPr>
          <w:p w14:paraId="2490F5C9"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17,317</w:t>
            </w:r>
          </w:p>
        </w:tc>
        <w:tc>
          <w:tcPr>
            <w:tcW w:w="569" w:type="pct"/>
            <w:tcBorders>
              <w:top w:val="nil"/>
              <w:bottom w:val="nil"/>
            </w:tcBorders>
            <w:shd w:val="clear" w:color="000000" w:fill="A7A9AC"/>
          </w:tcPr>
          <w:p w14:paraId="6831D8F7"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23,510</w:t>
            </w:r>
          </w:p>
        </w:tc>
        <w:tc>
          <w:tcPr>
            <w:tcW w:w="569" w:type="pct"/>
            <w:tcBorders>
              <w:top w:val="nil"/>
              <w:bottom w:val="nil"/>
            </w:tcBorders>
            <w:shd w:val="clear" w:color="000000" w:fill="A7A9AC"/>
          </w:tcPr>
          <w:p w14:paraId="5B5D575E"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27,946</w:t>
            </w:r>
          </w:p>
        </w:tc>
        <w:tc>
          <w:tcPr>
            <w:tcW w:w="569" w:type="pct"/>
            <w:tcBorders>
              <w:top w:val="nil"/>
              <w:bottom w:val="nil"/>
            </w:tcBorders>
            <w:shd w:val="clear" w:color="000000" w:fill="A7A9AC"/>
          </w:tcPr>
          <w:p w14:paraId="26ED909C"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35,390</w:t>
            </w:r>
          </w:p>
        </w:tc>
        <w:tc>
          <w:tcPr>
            <w:tcW w:w="570" w:type="pct"/>
            <w:tcBorders>
              <w:top w:val="nil"/>
              <w:bottom w:val="nil"/>
            </w:tcBorders>
            <w:shd w:val="clear" w:color="000000" w:fill="A7A9AC"/>
          </w:tcPr>
          <w:p w14:paraId="02D173E3"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123,333</w:t>
            </w:r>
          </w:p>
        </w:tc>
      </w:tr>
      <w:tr w:rsidR="00203953" w:rsidRPr="007F6332" w14:paraId="3AA924BC" w14:textId="77777777" w:rsidTr="00F70F30">
        <w:trPr>
          <w:trHeight w:val="454"/>
        </w:trPr>
        <w:tc>
          <w:tcPr>
            <w:cnfStyle w:val="001000000000" w:firstRow="0" w:lastRow="0" w:firstColumn="1" w:lastColumn="0" w:oddVBand="0" w:evenVBand="0" w:oddHBand="0" w:evenHBand="0" w:firstRowFirstColumn="0" w:firstRowLastColumn="0" w:lastRowFirstColumn="0" w:lastRowLastColumn="0"/>
            <w:tcW w:w="1463" w:type="pct"/>
            <w:tcBorders>
              <w:top w:val="nil"/>
              <w:bottom w:val="nil"/>
            </w:tcBorders>
            <w:shd w:val="clear" w:color="auto" w:fill="auto"/>
          </w:tcPr>
          <w:p w14:paraId="0F4919C1" w14:textId="77777777" w:rsidR="003555EE" w:rsidRPr="007F6332" w:rsidRDefault="003555EE" w:rsidP="00223F62">
            <w:pPr>
              <w:pStyle w:val="Tables"/>
              <w:spacing w:before="0"/>
              <w:rPr>
                <w:rFonts w:cs="Arial"/>
              </w:rPr>
            </w:pPr>
            <w:r w:rsidRPr="007F6332">
              <w:rPr>
                <w:rFonts w:cs="Arial"/>
              </w:rPr>
              <w:t>Utilisation to date (%)</w:t>
            </w:r>
          </w:p>
        </w:tc>
        <w:tc>
          <w:tcPr>
            <w:tcW w:w="692" w:type="pct"/>
            <w:tcBorders>
              <w:top w:val="nil"/>
              <w:bottom w:val="nil"/>
            </w:tcBorders>
            <w:shd w:val="clear" w:color="auto" w:fill="auto"/>
          </w:tcPr>
          <w:p w14:paraId="026DC1EE"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70.6%</w:t>
            </w:r>
          </w:p>
        </w:tc>
        <w:tc>
          <w:tcPr>
            <w:tcW w:w="569" w:type="pct"/>
            <w:tcBorders>
              <w:top w:val="nil"/>
              <w:bottom w:val="nil"/>
            </w:tcBorders>
            <w:shd w:val="clear" w:color="auto" w:fill="auto"/>
          </w:tcPr>
          <w:p w14:paraId="47B57F82"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71.0%</w:t>
            </w:r>
          </w:p>
        </w:tc>
        <w:tc>
          <w:tcPr>
            <w:tcW w:w="569" w:type="pct"/>
            <w:tcBorders>
              <w:top w:val="nil"/>
              <w:bottom w:val="nil"/>
            </w:tcBorders>
            <w:shd w:val="clear" w:color="auto" w:fill="auto"/>
          </w:tcPr>
          <w:p w14:paraId="18E972FA"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72.6%</w:t>
            </w:r>
          </w:p>
        </w:tc>
        <w:tc>
          <w:tcPr>
            <w:tcW w:w="569" w:type="pct"/>
            <w:tcBorders>
              <w:top w:val="nil"/>
              <w:bottom w:val="nil"/>
            </w:tcBorders>
            <w:shd w:val="clear" w:color="auto" w:fill="auto"/>
          </w:tcPr>
          <w:p w14:paraId="4EEC95A5"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75.2%</w:t>
            </w:r>
          </w:p>
        </w:tc>
        <w:tc>
          <w:tcPr>
            <w:tcW w:w="569" w:type="pct"/>
            <w:tcBorders>
              <w:top w:val="nil"/>
              <w:bottom w:val="nil"/>
            </w:tcBorders>
            <w:shd w:val="clear" w:color="auto" w:fill="auto"/>
          </w:tcPr>
          <w:p w14:paraId="6535B6F4"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74.1%</w:t>
            </w:r>
          </w:p>
        </w:tc>
        <w:tc>
          <w:tcPr>
            <w:tcW w:w="570" w:type="pct"/>
            <w:tcBorders>
              <w:top w:val="nil"/>
              <w:bottom w:val="nil"/>
            </w:tcBorders>
            <w:shd w:val="clear" w:color="auto" w:fill="auto"/>
          </w:tcPr>
          <w:p w14:paraId="58B88A94" w14:textId="77777777" w:rsidR="003555EE" w:rsidRPr="007F6332" w:rsidRDefault="003555EE" w:rsidP="00223F62">
            <w:pPr>
              <w:pStyle w:val="Tables"/>
              <w:spacing w:before="0"/>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73.0%</w:t>
            </w:r>
          </w:p>
        </w:tc>
      </w:tr>
      <w:tr w:rsidR="000B2FE6" w:rsidRPr="007F6332" w14:paraId="081BC7F1" w14:textId="77777777" w:rsidTr="00F70F3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63" w:type="pct"/>
            <w:tcBorders>
              <w:top w:val="nil"/>
              <w:bottom w:val="single" w:sz="4" w:space="0" w:color="auto"/>
            </w:tcBorders>
            <w:shd w:val="clear" w:color="000000" w:fill="A7A9AC"/>
          </w:tcPr>
          <w:p w14:paraId="05F31964" w14:textId="77777777" w:rsidR="003555EE" w:rsidRPr="007F6332" w:rsidRDefault="003555EE" w:rsidP="00223F62">
            <w:pPr>
              <w:pStyle w:val="Tables"/>
              <w:spacing w:before="0"/>
              <w:rPr>
                <w:rFonts w:cs="Arial"/>
              </w:rPr>
            </w:pPr>
            <w:r w:rsidRPr="007F6332">
              <w:rPr>
                <w:rFonts w:cs="Arial"/>
              </w:rPr>
              <w:t>Projected ultimate utilisation (%)</w:t>
            </w:r>
          </w:p>
        </w:tc>
        <w:tc>
          <w:tcPr>
            <w:tcW w:w="692" w:type="pct"/>
            <w:tcBorders>
              <w:top w:val="nil"/>
              <w:bottom w:val="single" w:sz="4" w:space="0" w:color="auto"/>
            </w:tcBorders>
            <w:shd w:val="clear" w:color="000000" w:fill="A7A9AC"/>
          </w:tcPr>
          <w:p w14:paraId="5A21C3AE"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70.6%</w:t>
            </w:r>
          </w:p>
        </w:tc>
        <w:tc>
          <w:tcPr>
            <w:tcW w:w="569" w:type="pct"/>
            <w:tcBorders>
              <w:top w:val="nil"/>
              <w:bottom w:val="single" w:sz="4" w:space="0" w:color="auto"/>
            </w:tcBorders>
            <w:shd w:val="clear" w:color="000000" w:fill="A7A9AC"/>
          </w:tcPr>
          <w:p w14:paraId="5C5CC672"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71.1%</w:t>
            </w:r>
          </w:p>
        </w:tc>
        <w:tc>
          <w:tcPr>
            <w:tcW w:w="569" w:type="pct"/>
            <w:tcBorders>
              <w:top w:val="nil"/>
              <w:bottom w:val="single" w:sz="4" w:space="0" w:color="auto"/>
            </w:tcBorders>
            <w:shd w:val="clear" w:color="000000" w:fill="A7A9AC"/>
          </w:tcPr>
          <w:p w14:paraId="6E35F441"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72.8%</w:t>
            </w:r>
          </w:p>
        </w:tc>
        <w:tc>
          <w:tcPr>
            <w:tcW w:w="569" w:type="pct"/>
            <w:tcBorders>
              <w:top w:val="nil"/>
              <w:bottom w:val="single" w:sz="4" w:space="0" w:color="auto"/>
            </w:tcBorders>
            <w:shd w:val="clear" w:color="000000" w:fill="A7A9AC"/>
          </w:tcPr>
          <w:p w14:paraId="26E85095"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75.5%</w:t>
            </w:r>
          </w:p>
        </w:tc>
        <w:tc>
          <w:tcPr>
            <w:tcW w:w="569" w:type="pct"/>
            <w:tcBorders>
              <w:top w:val="nil"/>
              <w:bottom w:val="single" w:sz="4" w:space="0" w:color="auto"/>
            </w:tcBorders>
            <w:shd w:val="clear" w:color="000000" w:fill="A7A9AC"/>
          </w:tcPr>
          <w:p w14:paraId="39683E6B"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77.0%</w:t>
            </w:r>
          </w:p>
        </w:tc>
        <w:tc>
          <w:tcPr>
            <w:tcW w:w="570" w:type="pct"/>
            <w:tcBorders>
              <w:top w:val="nil"/>
              <w:bottom w:val="single" w:sz="4" w:space="0" w:color="auto"/>
            </w:tcBorders>
            <w:shd w:val="clear" w:color="000000" w:fill="A7A9AC"/>
          </w:tcPr>
          <w:p w14:paraId="6F2F63FD" w14:textId="77777777" w:rsidR="003555EE" w:rsidRPr="007F6332" w:rsidRDefault="003555EE" w:rsidP="00223F62">
            <w:pPr>
              <w:pStyle w:val="Tables"/>
              <w:spacing w:before="0"/>
              <w:cnfStyle w:val="000000010000" w:firstRow="0" w:lastRow="0" w:firstColumn="0" w:lastColumn="0" w:oddVBand="0" w:evenVBand="0" w:oddHBand="0" w:evenHBand="1" w:firstRowFirstColumn="0" w:firstRowLastColumn="0" w:lastRowFirstColumn="0" w:lastRowLastColumn="0"/>
              <w:rPr>
                <w:rFonts w:cs="Arial"/>
              </w:rPr>
            </w:pPr>
            <w:r w:rsidRPr="007F6332">
              <w:rPr>
                <w:rFonts w:cs="Arial"/>
              </w:rPr>
              <w:t>74.0%</w:t>
            </w:r>
          </w:p>
        </w:tc>
      </w:tr>
    </w:tbl>
    <w:p w14:paraId="12259A41" w14:textId="7491FE8C" w:rsidR="003555EE" w:rsidRPr="007F6332" w:rsidRDefault="003555EE" w:rsidP="00CD33D0">
      <w:pPr>
        <w:pStyle w:val="Heading4"/>
        <w:ind w:left="851" w:hanging="851"/>
        <w:rPr>
          <w:rFonts w:cs="Arial"/>
        </w:rPr>
      </w:pPr>
      <w:r w:rsidRPr="007F6332">
        <w:rPr>
          <w:rFonts w:cs="Arial"/>
        </w:rPr>
        <w:t xml:space="preserve">Utilisation rates </w:t>
      </w:r>
      <w:r w:rsidR="00DC6F69" w:rsidRPr="007F6332">
        <w:rPr>
          <w:rFonts w:cs="Arial"/>
        </w:rPr>
        <w:t xml:space="preserve">increase with </w:t>
      </w:r>
      <w:r w:rsidRPr="007F6332">
        <w:rPr>
          <w:rFonts w:cs="Arial"/>
        </w:rPr>
        <w:t>the number of plans participants have had since joining the Scheme</w:t>
      </w:r>
    </w:p>
    <w:p w14:paraId="2AA38F40" w14:textId="46DF0768" w:rsidR="00EB2824" w:rsidRPr="007F6332" w:rsidRDefault="00EB2824" w:rsidP="00EB2824">
      <w:pPr>
        <w:pStyle w:val="FSRnormal"/>
        <w:rPr>
          <w:rFonts w:cs="Arial"/>
        </w:rPr>
      </w:pPr>
      <w:r w:rsidRPr="007F6332">
        <w:rPr>
          <w:rFonts w:cs="Arial"/>
        </w:rPr>
        <w:t>Utilisation has consistently increased, the longer participants are in the Scheme, as illustrated in Figure 4.2</w:t>
      </w:r>
      <w:r w:rsidR="007A1806" w:rsidRPr="007F6332">
        <w:rPr>
          <w:rFonts w:cs="Arial"/>
        </w:rPr>
        <w:t>7</w:t>
      </w:r>
      <w:r w:rsidRPr="007F6332">
        <w:rPr>
          <w:rStyle w:val="FootnoteReference"/>
          <w:rFonts w:cs="Arial"/>
        </w:rPr>
        <w:footnoteReference w:id="79"/>
      </w:r>
      <w:r w:rsidRPr="007F6332">
        <w:rPr>
          <w:rFonts w:cs="Arial"/>
        </w:rPr>
        <w:t xml:space="preserve">. Utilisation of plan budgets for participants on their first plan is 57%, compared to 81% for participants on their fifth (or greater) plan. </w:t>
      </w:r>
      <w:bookmarkStart w:id="119" w:name="_Hlk148107645"/>
      <w:r w:rsidR="00702CDC" w:rsidRPr="007F6332">
        <w:rPr>
          <w:rFonts w:cs="Arial"/>
        </w:rPr>
        <w:t xml:space="preserve">Characteristics </w:t>
      </w:r>
      <w:r w:rsidR="00A77CE5" w:rsidRPr="007F6332">
        <w:rPr>
          <w:rFonts w:cs="Arial"/>
        </w:rPr>
        <w:t xml:space="preserve">such as participants age or disability and increasing need for supports, could </w:t>
      </w:r>
      <w:r w:rsidR="00702CDC" w:rsidRPr="007F6332">
        <w:rPr>
          <w:rFonts w:cs="Arial"/>
        </w:rPr>
        <w:t xml:space="preserve">drive </w:t>
      </w:r>
      <w:r w:rsidR="00A77CE5" w:rsidRPr="007F6332">
        <w:rPr>
          <w:rFonts w:cs="Arial"/>
        </w:rPr>
        <w:t>increasing utilisation over time. The effects of these factors are variously implied in each plan group (referred to as ’number of plans’ in Figure 4.27)</w:t>
      </w:r>
      <w:bookmarkEnd w:id="119"/>
      <w:r w:rsidR="00A77CE5" w:rsidRPr="007F6332">
        <w:rPr>
          <w:rFonts w:cs="Arial"/>
        </w:rPr>
        <w:t xml:space="preserve">. </w:t>
      </w:r>
      <w:r w:rsidRPr="007F6332">
        <w:rPr>
          <w:rFonts w:cs="Arial"/>
        </w:rPr>
        <w:t xml:space="preserve">This </w:t>
      </w:r>
      <w:r w:rsidR="00702CDC" w:rsidRPr="007F6332">
        <w:rPr>
          <w:rFonts w:cs="Arial"/>
        </w:rPr>
        <w:t xml:space="preserve">expected </w:t>
      </w:r>
      <w:r w:rsidRPr="007F6332">
        <w:rPr>
          <w:rFonts w:cs="Arial"/>
        </w:rPr>
        <w:t>increase in plan utilisation,</w:t>
      </w:r>
      <w:r w:rsidR="00702CDC" w:rsidRPr="007F6332">
        <w:rPr>
          <w:rFonts w:cs="Arial"/>
        </w:rPr>
        <w:t xml:space="preserve"> from these sources, </w:t>
      </w:r>
      <w:r w:rsidRPr="007F6332">
        <w:rPr>
          <w:rFonts w:cs="Arial"/>
        </w:rPr>
        <w:t>is implicitly reflected in the allowance for additional growth when projecting future payments.</w:t>
      </w:r>
    </w:p>
    <w:p w14:paraId="6ED699C2" w14:textId="77777777" w:rsidR="00920124" w:rsidRPr="007F6332" w:rsidRDefault="00920124" w:rsidP="00EB2824">
      <w:pPr>
        <w:pStyle w:val="FSRnormal"/>
        <w:rPr>
          <w:rFonts w:cs="Arial"/>
        </w:rPr>
      </w:pPr>
    </w:p>
    <w:p w14:paraId="28E2C5A9" w14:textId="77777777" w:rsidR="00557AF4" w:rsidRPr="007F6332" w:rsidRDefault="00557AF4" w:rsidP="00EB2824">
      <w:pPr>
        <w:pStyle w:val="FSRnormal"/>
        <w:rPr>
          <w:rFonts w:cs="Arial"/>
        </w:rPr>
        <w:sectPr w:rsidR="00557AF4" w:rsidRPr="007F6332" w:rsidSect="00CE7E91">
          <w:pgSz w:w="11906" w:h="16838"/>
          <w:pgMar w:top="1440" w:right="1416" w:bottom="1276" w:left="1440" w:header="708" w:footer="850" w:gutter="0"/>
          <w:cols w:space="708"/>
          <w:titlePg/>
          <w:docGrid w:linePitch="360"/>
        </w:sectPr>
      </w:pPr>
    </w:p>
    <w:p w14:paraId="692940F8" w14:textId="1F5A4E77" w:rsidR="00343ADE" w:rsidRPr="007F6332" w:rsidRDefault="00343ADE" w:rsidP="00823FC9">
      <w:pPr>
        <w:pStyle w:val="FiguresandTablesHeading5"/>
        <w:rPr>
          <w:noProof/>
        </w:rPr>
      </w:pPr>
      <w:bookmarkStart w:id="120" w:name="_Hlk151836693"/>
      <w:r w:rsidRPr="007F6332">
        <w:lastRenderedPageBreak/>
        <w:t xml:space="preserve">Figure 4.27: Utilisation of plan budgets by plan number from 1 October 2022 to 31 March 2023 based on data </w:t>
      </w:r>
      <w:r w:rsidR="00A761F2" w:rsidRPr="007F6332">
        <w:t xml:space="preserve">at </w:t>
      </w:r>
      <w:r w:rsidRPr="007F6332">
        <w:t>30 June 2023</w:t>
      </w:r>
      <w:r w:rsidRPr="007F6332">
        <w:rPr>
          <w:rStyle w:val="FootnoteReference"/>
        </w:rPr>
        <w:footnoteReference w:id="80"/>
      </w:r>
    </w:p>
    <w:p w14:paraId="376D5ABB" w14:textId="4BFCA594" w:rsidR="00C221F5" w:rsidRPr="007F6332" w:rsidRDefault="00445146" w:rsidP="00CD33D0">
      <w:pPr>
        <w:rPr>
          <w:rFonts w:cs="Arial"/>
        </w:rPr>
      </w:pPr>
      <w:r w:rsidRPr="007F6332">
        <w:rPr>
          <w:rFonts w:cs="Arial"/>
          <w:noProof/>
        </w:rPr>
        <w:drawing>
          <wp:inline distT="0" distB="0" distL="0" distR="0" wp14:anchorId="71A94569" wp14:editId="16AD3B34">
            <wp:extent cx="5487670" cy="2923540"/>
            <wp:effectExtent l="0" t="0" r="0" b="0"/>
            <wp:docPr id="1817620422" name="Picture 3" descr="Figure 4.27: Utilisation of plan budgets by plan number from 1 October 2022 to 31 March 2023 based on data at 30 June 2023.&#10;Utilisation of plan budgets percentage at 30 June 2023.&#10;All plans equals 76%, 1 plan equals 57%, 2 plans equals 66%, 3 plans equals 70%, plan 4 equals 74% and 5+ plan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20422" name="Picture 3" descr="Figure 4.27: Utilisation of plan budgets by plan number from 1 October 2022 to 31 March 2023 based on data at 30 June 2023.&#10;Utilisation of plan budgets percentage at 30 June 2023.&#10;All plans equals 76%, 1 plan equals 57%, 2 plans equals 66%, 3 plans equals 70%, plan 4 equals 74% and 5+ plans 8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87670" cy="2923540"/>
                    </a:xfrm>
                    <a:prstGeom prst="rect">
                      <a:avLst/>
                    </a:prstGeom>
                    <a:noFill/>
                  </pic:spPr>
                </pic:pic>
              </a:graphicData>
            </a:graphic>
          </wp:inline>
        </w:drawing>
      </w:r>
      <w:bookmarkEnd w:id="120"/>
    </w:p>
    <w:p w14:paraId="7FE7E96A" w14:textId="2D0C9433" w:rsidR="00447827" w:rsidRPr="007F6332" w:rsidRDefault="00006D56" w:rsidP="00CD33D0">
      <w:pPr>
        <w:pStyle w:val="Heading4"/>
        <w:ind w:left="851" w:hanging="851"/>
        <w:rPr>
          <w:rFonts w:cs="Arial"/>
        </w:rPr>
      </w:pPr>
      <w:bookmarkStart w:id="121" w:name="_Ref144889543"/>
      <w:r w:rsidRPr="007F6332">
        <w:rPr>
          <w:rFonts w:cs="Arial"/>
        </w:rPr>
        <w:t>Utilisation rates by participants with/without SIL supports</w:t>
      </w:r>
    </w:p>
    <w:p w14:paraId="364225D6" w14:textId="79A0EC89" w:rsidR="00447827" w:rsidRPr="007F6332" w:rsidRDefault="003C4542" w:rsidP="00E168F5">
      <w:pPr>
        <w:rPr>
          <w:rStyle w:val="Strong"/>
          <w:rFonts w:cs="Arial"/>
          <w:b w:val="0"/>
          <w:bCs w:val="0"/>
        </w:rPr>
      </w:pPr>
      <w:r w:rsidRPr="007F6332">
        <w:rPr>
          <w:rFonts w:cs="Arial"/>
        </w:rPr>
        <w:t>Figure 4.2</w:t>
      </w:r>
      <w:r w:rsidR="007A1806" w:rsidRPr="007F6332">
        <w:rPr>
          <w:rFonts w:cs="Arial"/>
        </w:rPr>
        <w:t>8</w:t>
      </w:r>
      <w:r w:rsidRPr="007F6332">
        <w:rPr>
          <w:rFonts w:cs="Arial"/>
        </w:rPr>
        <w:t xml:space="preserve"> shows participants with SIL are associated with higher levels of utilisation compared with participants without SIL supports</w:t>
      </w:r>
      <w:r w:rsidRPr="007F6332">
        <w:rPr>
          <w:rStyle w:val="Strong"/>
          <w:rFonts w:cs="Arial"/>
          <w:b w:val="0"/>
          <w:bCs w:val="0"/>
        </w:rPr>
        <w:t>.</w:t>
      </w:r>
    </w:p>
    <w:p w14:paraId="1F0EEEDC" w14:textId="0115F96F" w:rsidR="00B06A3F" w:rsidRPr="007F6332" w:rsidRDefault="0045717D" w:rsidP="00823FC9">
      <w:pPr>
        <w:pStyle w:val="FiguresandTablesHeading5"/>
      </w:pPr>
      <w:bookmarkStart w:id="122" w:name="_Hlk151836958"/>
      <w:bookmarkEnd w:id="121"/>
      <w:r w:rsidRPr="007F6332">
        <w:t>Figure 4.28</w:t>
      </w:r>
      <w:r w:rsidR="00B06A3F" w:rsidRPr="007F6332">
        <w:t xml:space="preserve">: Utilisation of plan budgets by participants with/without SIL supports </w:t>
      </w:r>
      <w:r w:rsidR="00A761F2" w:rsidRPr="007F6332">
        <w:t xml:space="preserve">from 1 October 2022 to 31 March 2023 based on </w:t>
      </w:r>
      <w:r w:rsidR="00B06A3F" w:rsidRPr="007F6332">
        <w:t>data at 30 June 2023</w:t>
      </w:r>
    </w:p>
    <w:bookmarkEnd w:id="122"/>
    <w:p w14:paraId="09D34AEF" w14:textId="69415E70" w:rsidR="00920124" w:rsidRPr="007F6332" w:rsidRDefault="00920124" w:rsidP="00920124">
      <w:pPr>
        <w:rPr>
          <w:rFonts w:cs="Arial"/>
        </w:rPr>
      </w:pPr>
      <w:r w:rsidRPr="007F6332">
        <w:rPr>
          <w:rFonts w:cs="Arial"/>
          <w:noProof/>
        </w:rPr>
        <w:drawing>
          <wp:inline distT="0" distB="0" distL="0" distR="0" wp14:anchorId="46A254A6" wp14:editId="0FFCCB46">
            <wp:extent cx="5895882" cy="2870791"/>
            <wp:effectExtent l="0" t="0" r="0" b="6350"/>
            <wp:docPr id="102672842" name="Picture 4" descr="Figure 4.28: Utilisation of plan budgets by participants with/without SIL supports from 1 October 2022 to 31 March 2023 based on data at 30 June Utilisation of plan budgets percentage at 30 June 2023.&#10;Total scheme equals 76%. SIL 88% and Non SIL 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2842" name="Picture 4" descr="Figure 4.28: Utilisation of plan budgets by participants with/without SIL supports from 1 October 2022 to 31 March 2023 based on data at 30 June Utilisation of plan budgets percentage at 30 June 2023.&#10;Total scheme equals 76%. SIL 88% and Non SIL 71%.&#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60387" cy="2902199"/>
                    </a:xfrm>
                    <a:prstGeom prst="rect">
                      <a:avLst/>
                    </a:prstGeom>
                    <a:noFill/>
                  </pic:spPr>
                </pic:pic>
              </a:graphicData>
            </a:graphic>
          </wp:inline>
        </w:drawing>
      </w:r>
    </w:p>
    <w:p w14:paraId="7D46D50D" w14:textId="77777777" w:rsidR="00FD40F5" w:rsidRPr="007F6332" w:rsidRDefault="00FD40F5" w:rsidP="003555EE">
      <w:pPr>
        <w:pStyle w:val="FSRnormal"/>
        <w:rPr>
          <w:rFonts w:cs="Arial"/>
          <w:highlight w:val="yellow"/>
        </w:rPr>
        <w:sectPr w:rsidR="00FD40F5" w:rsidRPr="007F6332" w:rsidSect="00E53368">
          <w:pgSz w:w="11906" w:h="16838"/>
          <w:pgMar w:top="1440" w:right="1416" w:bottom="1276" w:left="1440" w:header="708" w:footer="680" w:gutter="0"/>
          <w:cols w:space="708"/>
          <w:titlePg/>
          <w:docGrid w:linePitch="360"/>
        </w:sectPr>
      </w:pPr>
    </w:p>
    <w:p w14:paraId="1937AF72" w14:textId="77777777" w:rsidR="002F4C00" w:rsidRPr="007F6332" w:rsidRDefault="002F4C00" w:rsidP="003E047F">
      <w:pPr>
        <w:pStyle w:val="Heading2"/>
        <w:tabs>
          <w:tab w:val="left" w:pos="709"/>
        </w:tabs>
        <w:ind w:hanging="1080"/>
        <w:rPr>
          <w:rFonts w:cs="Arial"/>
        </w:rPr>
      </w:pPr>
      <w:bookmarkStart w:id="123" w:name="_Toc146286157"/>
      <w:bookmarkStart w:id="124" w:name="_Toc152614982"/>
      <w:r w:rsidRPr="007F6332">
        <w:rPr>
          <w:rFonts w:cs="Arial"/>
        </w:rPr>
        <w:lastRenderedPageBreak/>
        <w:t>Projections</w:t>
      </w:r>
      <w:bookmarkEnd w:id="123"/>
      <w:bookmarkEnd w:id="124"/>
    </w:p>
    <w:p w14:paraId="3804E689" w14:textId="77777777" w:rsidR="00723E93" w:rsidRPr="007F6332" w:rsidRDefault="00723E93" w:rsidP="00723E93">
      <w:pPr>
        <w:rPr>
          <w:rFonts w:cs="Arial"/>
        </w:rPr>
      </w:pPr>
      <w:r w:rsidRPr="007F6332">
        <w:rPr>
          <w:rFonts w:cs="Arial"/>
        </w:rPr>
        <w:t>This section includes the projection of Scheme expense from 2022-23 to 2032-33. The methodology for the projection is included in Section 3. As outlined in Section 4 of this report, actual participant expense experience in 2022-23 was greater than the projections undertaken at the previous review. This was driven by higher-than-expected number of participants transitioning to SIL arrangements, high plan growth across the Scheme and greater new entrants than expected.</w:t>
      </w:r>
    </w:p>
    <w:p w14:paraId="2F0CEFE9" w14:textId="77777777" w:rsidR="00723E93" w:rsidRPr="007F6332" w:rsidRDefault="00723E93" w:rsidP="001D062D">
      <w:pPr>
        <w:pStyle w:val="Heading3"/>
        <w:ind w:left="709" w:hanging="709"/>
        <w:rPr>
          <w:rFonts w:cs="Arial"/>
        </w:rPr>
      </w:pPr>
      <w:bookmarkStart w:id="125" w:name="_Toc146286158"/>
      <w:bookmarkStart w:id="126" w:name="_Toc146286494"/>
      <w:bookmarkStart w:id="127" w:name="_Toc152614983"/>
      <w:r w:rsidRPr="007F6332">
        <w:rPr>
          <w:rFonts w:cs="Arial"/>
        </w:rPr>
        <w:t>Total Scheme expense projections</w:t>
      </w:r>
      <w:bookmarkEnd w:id="125"/>
      <w:bookmarkEnd w:id="126"/>
      <w:bookmarkEnd w:id="127"/>
    </w:p>
    <w:p w14:paraId="1E5C84D4" w14:textId="77777777" w:rsidR="00723E93" w:rsidRPr="007F6332" w:rsidRDefault="00723E93" w:rsidP="00723E93">
      <w:pPr>
        <w:spacing w:after="120"/>
        <w:rPr>
          <w:rFonts w:cs="Arial"/>
        </w:rPr>
      </w:pPr>
      <w:r w:rsidRPr="007F6332">
        <w:rPr>
          <w:rFonts w:cs="Arial"/>
        </w:rPr>
        <w:t>Combining participant number projections with average payment assumptions result in total Scheme experience projections for each financial year on a cash basis. An allowance for support provided prior to 30 June 2023 but not yet paid adjusts the projected expenses from a cash basis to an accrual basis.</w:t>
      </w:r>
    </w:p>
    <w:p w14:paraId="5E6081EB" w14:textId="77777777" w:rsidR="00723E93" w:rsidRPr="007F6332" w:rsidRDefault="00723E93" w:rsidP="001D062D">
      <w:pPr>
        <w:pStyle w:val="Heading4"/>
        <w:ind w:left="851" w:hanging="851"/>
        <w:rPr>
          <w:rFonts w:cs="Arial"/>
        </w:rPr>
      </w:pPr>
      <w:r w:rsidRPr="007F6332">
        <w:rPr>
          <w:rFonts w:cs="Arial"/>
        </w:rPr>
        <w:t>Participant number projections</w:t>
      </w:r>
    </w:p>
    <w:p w14:paraId="37650A75" w14:textId="466A85A6" w:rsidR="00723E93" w:rsidRPr="007F6332" w:rsidRDefault="00950565" w:rsidP="00723E93">
      <w:pPr>
        <w:rPr>
          <w:rFonts w:cs="Arial"/>
        </w:rPr>
      </w:pPr>
      <w:r w:rsidRPr="007F6332">
        <w:rPr>
          <w:rFonts w:cs="Arial"/>
        </w:rPr>
        <w:t xml:space="preserve">Table 5.1 </w:t>
      </w:r>
      <w:r w:rsidR="00723E93" w:rsidRPr="007F6332">
        <w:rPr>
          <w:rFonts w:cs="Arial"/>
        </w:rPr>
        <w:t>shows that the Scheme is projected to have a population of over 792,000 participants</w:t>
      </w:r>
      <w:r w:rsidR="00DE22A1" w:rsidRPr="007F6332">
        <w:rPr>
          <w:rFonts w:cs="Arial"/>
        </w:rPr>
        <w:t xml:space="preserve"> at 30 June 2027 </w:t>
      </w:r>
      <w:r w:rsidR="00723E93" w:rsidRPr="007F6332">
        <w:rPr>
          <w:rFonts w:cs="Arial"/>
        </w:rPr>
        <w:t>of whom about 744,000 are expected to be aged 0 to 64. This is equivalent to a participation rate of 3.2% of the Australian general population aged 0 to 64.</w:t>
      </w:r>
    </w:p>
    <w:p w14:paraId="3A4F0E89" w14:textId="5F8EFBD1" w:rsidR="00723E93" w:rsidRPr="007F6332" w:rsidRDefault="0045717D" w:rsidP="00823FC9">
      <w:pPr>
        <w:pStyle w:val="FiguresandTablesHeading5"/>
        <w:rPr>
          <w:rStyle w:val="Strong"/>
          <w:b/>
          <w:bCs w:val="0"/>
        </w:rPr>
      </w:pPr>
      <w:r w:rsidRPr="007F6332">
        <w:rPr>
          <w:rStyle w:val="Strong"/>
          <w:b/>
        </w:rPr>
        <w:t>Table 5.1</w:t>
      </w:r>
      <w:r w:rsidR="00723E93" w:rsidRPr="007F6332">
        <w:rPr>
          <w:rStyle w:val="Strong"/>
          <w:b/>
        </w:rPr>
        <w:t xml:space="preserve">: </w:t>
      </w:r>
      <w:r w:rsidR="00DE22A1" w:rsidRPr="007F6332">
        <w:rPr>
          <w:rStyle w:val="Strong"/>
          <w:b/>
        </w:rPr>
        <w:t>June 2023</w:t>
      </w:r>
      <w:r w:rsidR="00723E93" w:rsidRPr="007F6332">
        <w:rPr>
          <w:rStyle w:val="Strong"/>
          <w:b/>
        </w:rPr>
        <w:t xml:space="preserve"> projection of participant numbers</w:t>
      </w:r>
      <w:r w:rsidR="00F45844" w:rsidRPr="007F6332">
        <w:rPr>
          <w:rStyle w:val="Strong"/>
          <w:b/>
        </w:rPr>
        <w:t xml:space="preserve"> </w:t>
      </w:r>
      <w:r w:rsidR="00261444" w:rsidRPr="007F6332">
        <w:rPr>
          <w:rStyle w:val="Strong"/>
          <w:b/>
        </w:rPr>
        <w:t xml:space="preserve">at </w:t>
      </w:r>
      <w:r w:rsidR="00F45844" w:rsidRPr="007F6332">
        <w:rPr>
          <w:rStyle w:val="Strong"/>
          <w:b/>
        </w:rPr>
        <w:t xml:space="preserve">30 June </w:t>
      </w:r>
    </w:p>
    <w:tbl>
      <w:tblPr>
        <w:tblW w:w="9072" w:type="dxa"/>
        <w:tblLayout w:type="fixed"/>
        <w:tblLook w:val="04A0" w:firstRow="1" w:lastRow="0" w:firstColumn="1" w:lastColumn="0" w:noHBand="0" w:noVBand="1"/>
      </w:tblPr>
      <w:tblGrid>
        <w:gridCol w:w="1560"/>
        <w:gridCol w:w="1220"/>
        <w:gridCol w:w="1220"/>
        <w:gridCol w:w="1221"/>
        <w:gridCol w:w="1220"/>
        <w:gridCol w:w="1356"/>
        <w:gridCol w:w="1275"/>
      </w:tblGrid>
      <w:tr w:rsidR="00723E93" w:rsidRPr="007F6332" w14:paraId="664550BB" w14:textId="77777777" w:rsidTr="00C1755E">
        <w:trPr>
          <w:trHeight w:val="691"/>
        </w:trPr>
        <w:tc>
          <w:tcPr>
            <w:tcW w:w="1560" w:type="dxa"/>
            <w:tcBorders>
              <w:top w:val="nil"/>
              <w:left w:val="nil"/>
              <w:bottom w:val="single" w:sz="4" w:space="0" w:color="000000"/>
              <w:right w:val="nil"/>
            </w:tcBorders>
            <w:shd w:val="clear" w:color="000000" w:fill="6B2F76"/>
            <w:vAlign w:val="center"/>
            <w:hideMark/>
          </w:tcPr>
          <w:p w14:paraId="05ED640E" w14:textId="2DA8FD5E" w:rsidR="00723E93" w:rsidRPr="007F6332" w:rsidRDefault="00DE22A1"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Participant numbers</w:t>
            </w:r>
          </w:p>
        </w:tc>
        <w:tc>
          <w:tcPr>
            <w:tcW w:w="1220" w:type="dxa"/>
            <w:tcBorders>
              <w:top w:val="nil"/>
              <w:left w:val="nil"/>
              <w:bottom w:val="single" w:sz="4" w:space="0" w:color="auto"/>
              <w:right w:val="nil"/>
            </w:tcBorders>
            <w:shd w:val="clear" w:color="000000" w:fill="6B2976"/>
            <w:noWrap/>
            <w:vAlign w:val="center"/>
            <w:hideMark/>
          </w:tcPr>
          <w:p w14:paraId="7F242F18" w14:textId="001996E4"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2023</w:t>
            </w:r>
          </w:p>
        </w:tc>
        <w:tc>
          <w:tcPr>
            <w:tcW w:w="1220" w:type="dxa"/>
            <w:tcBorders>
              <w:top w:val="nil"/>
              <w:left w:val="nil"/>
              <w:bottom w:val="single" w:sz="4" w:space="0" w:color="auto"/>
              <w:right w:val="nil"/>
            </w:tcBorders>
            <w:shd w:val="clear" w:color="000000" w:fill="6B2976"/>
            <w:noWrap/>
            <w:vAlign w:val="center"/>
            <w:hideMark/>
          </w:tcPr>
          <w:p w14:paraId="2A2FACE6" w14:textId="70BE6897"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2024</w:t>
            </w:r>
          </w:p>
        </w:tc>
        <w:tc>
          <w:tcPr>
            <w:tcW w:w="1221" w:type="dxa"/>
            <w:tcBorders>
              <w:top w:val="nil"/>
              <w:left w:val="nil"/>
              <w:bottom w:val="single" w:sz="4" w:space="0" w:color="auto"/>
              <w:right w:val="nil"/>
            </w:tcBorders>
            <w:shd w:val="clear" w:color="000000" w:fill="6B2976"/>
            <w:noWrap/>
            <w:vAlign w:val="center"/>
            <w:hideMark/>
          </w:tcPr>
          <w:p w14:paraId="0208ACBB" w14:textId="53BF58CD"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2025</w:t>
            </w:r>
          </w:p>
        </w:tc>
        <w:tc>
          <w:tcPr>
            <w:tcW w:w="1220" w:type="dxa"/>
            <w:tcBorders>
              <w:top w:val="nil"/>
              <w:left w:val="nil"/>
              <w:bottom w:val="single" w:sz="4" w:space="0" w:color="auto"/>
              <w:right w:val="nil"/>
            </w:tcBorders>
            <w:shd w:val="clear" w:color="000000" w:fill="6B2976"/>
            <w:noWrap/>
            <w:vAlign w:val="center"/>
            <w:hideMark/>
          </w:tcPr>
          <w:p w14:paraId="21D725C0" w14:textId="6EBE7FF8"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2026</w:t>
            </w:r>
          </w:p>
        </w:tc>
        <w:tc>
          <w:tcPr>
            <w:tcW w:w="1356" w:type="dxa"/>
            <w:tcBorders>
              <w:top w:val="nil"/>
              <w:left w:val="nil"/>
              <w:bottom w:val="single" w:sz="4" w:space="0" w:color="auto"/>
              <w:right w:val="dashSmallGap" w:sz="8" w:space="0" w:color="auto"/>
            </w:tcBorders>
            <w:shd w:val="clear" w:color="000000" w:fill="6B2976"/>
            <w:noWrap/>
            <w:vAlign w:val="center"/>
            <w:hideMark/>
          </w:tcPr>
          <w:p w14:paraId="55D009D9" w14:textId="1D404295"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2027</w:t>
            </w:r>
          </w:p>
        </w:tc>
        <w:tc>
          <w:tcPr>
            <w:tcW w:w="1275" w:type="dxa"/>
            <w:tcBorders>
              <w:top w:val="nil"/>
              <w:left w:val="dashSmallGap" w:sz="8" w:space="0" w:color="auto"/>
              <w:bottom w:val="single" w:sz="4" w:space="0" w:color="auto"/>
              <w:right w:val="nil"/>
            </w:tcBorders>
            <w:shd w:val="clear" w:color="000000" w:fill="6B2976"/>
            <w:noWrap/>
            <w:vAlign w:val="center"/>
            <w:hideMark/>
          </w:tcPr>
          <w:p w14:paraId="64CB4C91" w14:textId="54C1332E"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2033</w:t>
            </w:r>
          </w:p>
        </w:tc>
      </w:tr>
      <w:tr w:rsidR="00723E93" w:rsidRPr="007F6332" w14:paraId="666E8460" w14:textId="77777777" w:rsidTr="00C1755E">
        <w:trPr>
          <w:trHeight w:val="340"/>
        </w:trPr>
        <w:tc>
          <w:tcPr>
            <w:tcW w:w="1560" w:type="dxa"/>
            <w:tcBorders>
              <w:top w:val="nil"/>
              <w:left w:val="nil"/>
              <w:bottom w:val="nil"/>
              <w:right w:val="nil"/>
            </w:tcBorders>
            <w:shd w:val="clear" w:color="auto" w:fill="auto"/>
            <w:noWrap/>
            <w:vAlign w:val="center"/>
            <w:hideMark/>
          </w:tcPr>
          <w:p w14:paraId="0C371205"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0-64 years</w:t>
            </w:r>
          </w:p>
        </w:tc>
        <w:tc>
          <w:tcPr>
            <w:tcW w:w="1220" w:type="dxa"/>
            <w:tcBorders>
              <w:top w:val="nil"/>
              <w:left w:val="nil"/>
              <w:bottom w:val="nil"/>
              <w:right w:val="nil"/>
            </w:tcBorders>
            <w:shd w:val="clear" w:color="auto" w:fill="auto"/>
            <w:noWrap/>
            <w:vAlign w:val="center"/>
            <w:hideMark/>
          </w:tcPr>
          <w:p w14:paraId="37BAF58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583,018</w:t>
            </w:r>
          </w:p>
        </w:tc>
        <w:tc>
          <w:tcPr>
            <w:tcW w:w="1220" w:type="dxa"/>
            <w:tcBorders>
              <w:top w:val="nil"/>
              <w:left w:val="nil"/>
              <w:bottom w:val="nil"/>
              <w:right w:val="nil"/>
            </w:tcBorders>
            <w:shd w:val="clear" w:color="auto" w:fill="auto"/>
            <w:noWrap/>
            <w:vAlign w:val="center"/>
            <w:hideMark/>
          </w:tcPr>
          <w:p w14:paraId="1A69055F"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636,138</w:t>
            </w:r>
          </w:p>
        </w:tc>
        <w:tc>
          <w:tcPr>
            <w:tcW w:w="1221" w:type="dxa"/>
            <w:tcBorders>
              <w:top w:val="nil"/>
              <w:left w:val="nil"/>
              <w:bottom w:val="nil"/>
              <w:right w:val="nil"/>
            </w:tcBorders>
            <w:shd w:val="clear" w:color="auto" w:fill="auto"/>
            <w:noWrap/>
            <w:vAlign w:val="center"/>
            <w:hideMark/>
          </w:tcPr>
          <w:p w14:paraId="49FFC722"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676,947</w:t>
            </w:r>
          </w:p>
        </w:tc>
        <w:tc>
          <w:tcPr>
            <w:tcW w:w="1220" w:type="dxa"/>
            <w:tcBorders>
              <w:top w:val="nil"/>
              <w:left w:val="nil"/>
              <w:bottom w:val="nil"/>
              <w:right w:val="nil"/>
            </w:tcBorders>
            <w:shd w:val="clear" w:color="auto" w:fill="auto"/>
            <w:noWrap/>
            <w:vAlign w:val="center"/>
            <w:hideMark/>
          </w:tcPr>
          <w:p w14:paraId="748730F9"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710,982</w:t>
            </w:r>
          </w:p>
        </w:tc>
        <w:tc>
          <w:tcPr>
            <w:tcW w:w="1356" w:type="dxa"/>
            <w:tcBorders>
              <w:top w:val="single" w:sz="4" w:space="0" w:color="auto"/>
              <w:left w:val="nil"/>
              <w:bottom w:val="nil"/>
              <w:right w:val="dashSmallGap" w:sz="8" w:space="0" w:color="auto"/>
            </w:tcBorders>
            <w:shd w:val="clear" w:color="auto" w:fill="auto"/>
            <w:noWrap/>
            <w:vAlign w:val="center"/>
            <w:hideMark/>
          </w:tcPr>
          <w:p w14:paraId="016EC78F"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744,040</w:t>
            </w:r>
          </w:p>
        </w:tc>
        <w:tc>
          <w:tcPr>
            <w:tcW w:w="1275" w:type="dxa"/>
            <w:tcBorders>
              <w:top w:val="single" w:sz="4" w:space="0" w:color="auto"/>
              <w:left w:val="dashSmallGap" w:sz="8" w:space="0" w:color="auto"/>
              <w:bottom w:val="nil"/>
              <w:right w:val="nil"/>
            </w:tcBorders>
            <w:shd w:val="clear" w:color="auto" w:fill="auto"/>
            <w:noWrap/>
            <w:vAlign w:val="center"/>
            <w:hideMark/>
          </w:tcPr>
          <w:p w14:paraId="11EA593F"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957,976</w:t>
            </w:r>
          </w:p>
        </w:tc>
      </w:tr>
      <w:tr w:rsidR="00723E93" w:rsidRPr="007F6332" w14:paraId="010913F9" w14:textId="77777777" w:rsidTr="00C1755E">
        <w:trPr>
          <w:trHeight w:val="340"/>
        </w:trPr>
        <w:tc>
          <w:tcPr>
            <w:tcW w:w="1560" w:type="dxa"/>
            <w:tcBorders>
              <w:top w:val="nil"/>
              <w:left w:val="nil"/>
              <w:right w:val="nil"/>
            </w:tcBorders>
            <w:shd w:val="clear" w:color="000000" w:fill="A7A9AC"/>
            <w:noWrap/>
            <w:vAlign w:val="center"/>
            <w:hideMark/>
          </w:tcPr>
          <w:p w14:paraId="38D94EF3"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65+ years</w:t>
            </w:r>
          </w:p>
        </w:tc>
        <w:tc>
          <w:tcPr>
            <w:tcW w:w="1220" w:type="dxa"/>
            <w:tcBorders>
              <w:top w:val="nil"/>
              <w:left w:val="nil"/>
              <w:right w:val="nil"/>
            </w:tcBorders>
            <w:shd w:val="clear" w:color="000000" w:fill="A7A9AC"/>
            <w:noWrap/>
            <w:vAlign w:val="center"/>
            <w:hideMark/>
          </w:tcPr>
          <w:p w14:paraId="03B68A03"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27,484</w:t>
            </w:r>
          </w:p>
        </w:tc>
        <w:tc>
          <w:tcPr>
            <w:tcW w:w="1220" w:type="dxa"/>
            <w:tcBorders>
              <w:top w:val="nil"/>
              <w:left w:val="nil"/>
              <w:right w:val="nil"/>
            </w:tcBorders>
            <w:shd w:val="clear" w:color="000000" w:fill="A7A9AC"/>
            <w:noWrap/>
            <w:vAlign w:val="center"/>
            <w:hideMark/>
          </w:tcPr>
          <w:p w14:paraId="0CD93E61"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32,768</w:t>
            </w:r>
          </w:p>
        </w:tc>
        <w:tc>
          <w:tcPr>
            <w:tcW w:w="1221" w:type="dxa"/>
            <w:tcBorders>
              <w:top w:val="nil"/>
              <w:left w:val="nil"/>
              <w:right w:val="nil"/>
            </w:tcBorders>
            <w:shd w:val="clear" w:color="000000" w:fill="A7A9AC"/>
            <w:noWrap/>
            <w:vAlign w:val="center"/>
            <w:hideMark/>
          </w:tcPr>
          <w:p w14:paraId="053AC5F1"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37,858</w:t>
            </w:r>
          </w:p>
        </w:tc>
        <w:tc>
          <w:tcPr>
            <w:tcW w:w="1220" w:type="dxa"/>
            <w:tcBorders>
              <w:top w:val="nil"/>
              <w:left w:val="nil"/>
              <w:right w:val="nil"/>
            </w:tcBorders>
            <w:shd w:val="clear" w:color="000000" w:fill="A7A9AC"/>
            <w:noWrap/>
            <w:vAlign w:val="center"/>
            <w:hideMark/>
          </w:tcPr>
          <w:p w14:paraId="3AC85298"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43,040</w:t>
            </w:r>
          </w:p>
        </w:tc>
        <w:tc>
          <w:tcPr>
            <w:tcW w:w="1356" w:type="dxa"/>
            <w:tcBorders>
              <w:top w:val="nil"/>
              <w:left w:val="nil"/>
              <w:right w:val="dashSmallGap" w:sz="8" w:space="0" w:color="auto"/>
            </w:tcBorders>
            <w:shd w:val="clear" w:color="000000" w:fill="A7A9AC"/>
            <w:noWrap/>
            <w:vAlign w:val="center"/>
            <w:hideMark/>
          </w:tcPr>
          <w:p w14:paraId="321552DB"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48,159</w:t>
            </w:r>
          </w:p>
        </w:tc>
        <w:tc>
          <w:tcPr>
            <w:tcW w:w="1275" w:type="dxa"/>
            <w:tcBorders>
              <w:top w:val="nil"/>
              <w:left w:val="dashSmallGap" w:sz="8" w:space="0" w:color="auto"/>
              <w:right w:val="nil"/>
            </w:tcBorders>
            <w:shd w:val="clear" w:color="000000" w:fill="A7A9AC"/>
            <w:noWrap/>
            <w:vAlign w:val="center"/>
            <w:hideMark/>
          </w:tcPr>
          <w:p w14:paraId="771879E4"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72,361</w:t>
            </w:r>
          </w:p>
        </w:tc>
      </w:tr>
      <w:tr w:rsidR="00723E93" w:rsidRPr="007F6332" w14:paraId="6B677A89" w14:textId="77777777" w:rsidTr="00C1755E">
        <w:trPr>
          <w:trHeight w:val="340"/>
        </w:trPr>
        <w:tc>
          <w:tcPr>
            <w:tcW w:w="1560" w:type="dxa"/>
            <w:tcBorders>
              <w:left w:val="nil"/>
            </w:tcBorders>
            <w:shd w:val="clear" w:color="000000" w:fill="B398B8"/>
            <w:noWrap/>
            <w:vAlign w:val="center"/>
            <w:hideMark/>
          </w:tcPr>
          <w:p w14:paraId="544FD98C" w14:textId="77777777" w:rsidR="00723E93" w:rsidRPr="007F6332" w:rsidRDefault="00723E93" w:rsidP="006C2D7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1220" w:type="dxa"/>
            <w:shd w:val="clear" w:color="000000" w:fill="B398B8"/>
            <w:noWrap/>
            <w:vAlign w:val="center"/>
            <w:hideMark/>
          </w:tcPr>
          <w:p w14:paraId="1659C281"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610,502</w:t>
            </w:r>
          </w:p>
        </w:tc>
        <w:tc>
          <w:tcPr>
            <w:tcW w:w="1220" w:type="dxa"/>
            <w:shd w:val="clear" w:color="000000" w:fill="B398B8"/>
            <w:noWrap/>
            <w:vAlign w:val="center"/>
            <w:hideMark/>
          </w:tcPr>
          <w:p w14:paraId="0C878A5C"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668,907</w:t>
            </w:r>
          </w:p>
        </w:tc>
        <w:tc>
          <w:tcPr>
            <w:tcW w:w="1221" w:type="dxa"/>
            <w:shd w:val="clear" w:color="000000" w:fill="B398B8"/>
            <w:noWrap/>
            <w:vAlign w:val="center"/>
            <w:hideMark/>
          </w:tcPr>
          <w:p w14:paraId="46D3A770"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714,805</w:t>
            </w:r>
          </w:p>
        </w:tc>
        <w:tc>
          <w:tcPr>
            <w:tcW w:w="1220" w:type="dxa"/>
            <w:shd w:val="clear" w:color="000000" w:fill="B398B8"/>
            <w:noWrap/>
            <w:vAlign w:val="center"/>
            <w:hideMark/>
          </w:tcPr>
          <w:p w14:paraId="40CB607C"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754,022</w:t>
            </w:r>
          </w:p>
        </w:tc>
        <w:tc>
          <w:tcPr>
            <w:tcW w:w="1356" w:type="dxa"/>
            <w:tcBorders>
              <w:right w:val="dashSmallGap" w:sz="8" w:space="0" w:color="auto"/>
            </w:tcBorders>
            <w:shd w:val="clear" w:color="000000" w:fill="B398B8"/>
            <w:noWrap/>
            <w:vAlign w:val="center"/>
            <w:hideMark/>
          </w:tcPr>
          <w:p w14:paraId="554144FF"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792,200</w:t>
            </w:r>
          </w:p>
        </w:tc>
        <w:tc>
          <w:tcPr>
            <w:tcW w:w="1275" w:type="dxa"/>
            <w:tcBorders>
              <w:left w:val="dashSmallGap" w:sz="8" w:space="0" w:color="auto"/>
              <w:right w:val="nil"/>
            </w:tcBorders>
            <w:shd w:val="clear" w:color="000000" w:fill="B398B8"/>
            <w:noWrap/>
            <w:vAlign w:val="center"/>
            <w:hideMark/>
          </w:tcPr>
          <w:p w14:paraId="4400BD35"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1,030,337</w:t>
            </w:r>
          </w:p>
        </w:tc>
      </w:tr>
      <w:tr w:rsidR="00723E93" w:rsidRPr="007F6332" w14:paraId="6E48E6ED" w14:textId="77777777" w:rsidTr="00C1755E">
        <w:trPr>
          <w:trHeight w:val="270"/>
        </w:trPr>
        <w:tc>
          <w:tcPr>
            <w:tcW w:w="1560" w:type="dxa"/>
            <w:tcBorders>
              <w:left w:val="nil"/>
              <w:bottom w:val="single" w:sz="4" w:space="0" w:color="auto"/>
              <w:right w:val="nil"/>
            </w:tcBorders>
            <w:shd w:val="clear" w:color="auto" w:fill="A6A6A6" w:themeFill="background1" w:themeFillShade="A6"/>
            <w:noWrap/>
            <w:vAlign w:val="center"/>
            <w:hideMark/>
          </w:tcPr>
          <w:p w14:paraId="7BD4C344"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Participation rate (0-64)</w:t>
            </w:r>
          </w:p>
        </w:tc>
        <w:tc>
          <w:tcPr>
            <w:tcW w:w="1220" w:type="dxa"/>
            <w:tcBorders>
              <w:left w:val="nil"/>
              <w:bottom w:val="single" w:sz="4" w:space="0" w:color="auto"/>
              <w:right w:val="nil"/>
            </w:tcBorders>
            <w:shd w:val="clear" w:color="auto" w:fill="A6A6A6" w:themeFill="background1" w:themeFillShade="A6"/>
            <w:noWrap/>
            <w:vAlign w:val="center"/>
            <w:hideMark/>
          </w:tcPr>
          <w:p w14:paraId="2C53FE51"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2.66%</w:t>
            </w:r>
          </w:p>
        </w:tc>
        <w:tc>
          <w:tcPr>
            <w:tcW w:w="1220" w:type="dxa"/>
            <w:tcBorders>
              <w:left w:val="nil"/>
              <w:bottom w:val="single" w:sz="4" w:space="0" w:color="auto"/>
              <w:right w:val="nil"/>
            </w:tcBorders>
            <w:shd w:val="clear" w:color="auto" w:fill="A6A6A6" w:themeFill="background1" w:themeFillShade="A6"/>
            <w:noWrap/>
            <w:vAlign w:val="center"/>
            <w:hideMark/>
          </w:tcPr>
          <w:p w14:paraId="2D503195"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2.86%</w:t>
            </w:r>
          </w:p>
        </w:tc>
        <w:tc>
          <w:tcPr>
            <w:tcW w:w="1221" w:type="dxa"/>
            <w:tcBorders>
              <w:left w:val="nil"/>
              <w:bottom w:val="single" w:sz="4" w:space="0" w:color="auto"/>
              <w:right w:val="nil"/>
            </w:tcBorders>
            <w:shd w:val="clear" w:color="auto" w:fill="A6A6A6" w:themeFill="background1" w:themeFillShade="A6"/>
            <w:noWrap/>
            <w:vAlign w:val="center"/>
            <w:hideMark/>
          </w:tcPr>
          <w:p w14:paraId="788AF7E5"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3.01%</w:t>
            </w:r>
          </w:p>
        </w:tc>
        <w:tc>
          <w:tcPr>
            <w:tcW w:w="1220" w:type="dxa"/>
            <w:tcBorders>
              <w:left w:val="nil"/>
              <w:bottom w:val="single" w:sz="4" w:space="0" w:color="auto"/>
              <w:right w:val="nil"/>
            </w:tcBorders>
            <w:shd w:val="clear" w:color="auto" w:fill="A6A6A6" w:themeFill="background1" w:themeFillShade="A6"/>
            <w:noWrap/>
            <w:vAlign w:val="center"/>
            <w:hideMark/>
          </w:tcPr>
          <w:p w14:paraId="0654F312"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3.12%</w:t>
            </w:r>
          </w:p>
        </w:tc>
        <w:tc>
          <w:tcPr>
            <w:tcW w:w="1356" w:type="dxa"/>
            <w:tcBorders>
              <w:left w:val="nil"/>
              <w:bottom w:val="single" w:sz="4" w:space="0" w:color="auto"/>
              <w:right w:val="dashSmallGap" w:sz="8" w:space="0" w:color="auto"/>
            </w:tcBorders>
            <w:shd w:val="clear" w:color="auto" w:fill="A6A6A6" w:themeFill="background1" w:themeFillShade="A6"/>
            <w:noWrap/>
            <w:vAlign w:val="center"/>
            <w:hideMark/>
          </w:tcPr>
          <w:p w14:paraId="03FDBC28"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3.23%</w:t>
            </w:r>
          </w:p>
        </w:tc>
        <w:tc>
          <w:tcPr>
            <w:tcW w:w="1275" w:type="dxa"/>
            <w:tcBorders>
              <w:left w:val="dashSmallGap" w:sz="8" w:space="0" w:color="auto"/>
              <w:bottom w:val="single" w:sz="4" w:space="0" w:color="auto"/>
              <w:right w:val="nil"/>
            </w:tcBorders>
            <w:shd w:val="clear" w:color="auto" w:fill="A6A6A6" w:themeFill="background1" w:themeFillShade="A6"/>
            <w:noWrap/>
            <w:vAlign w:val="center"/>
            <w:hideMark/>
          </w:tcPr>
          <w:p w14:paraId="3827EA0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3.91%</w:t>
            </w:r>
          </w:p>
        </w:tc>
      </w:tr>
    </w:tbl>
    <w:p w14:paraId="7DD005A2" w14:textId="203C1788" w:rsidR="00723E93" w:rsidRPr="007F6332" w:rsidRDefault="00FB729B" w:rsidP="0045717D">
      <w:pPr>
        <w:keepNext/>
        <w:spacing w:before="120" w:after="120"/>
        <w:rPr>
          <w:rFonts w:cs="Arial"/>
        </w:rPr>
      </w:pPr>
      <w:r w:rsidRPr="007F6332">
        <w:rPr>
          <w:rFonts w:cs="Arial"/>
        </w:rPr>
        <w:t>Table 5.2</w:t>
      </w:r>
      <w:r w:rsidR="00341842" w:rsidRPr="007F6332">
        <w:rPr>
          <w:rFonts w:cs="Arial"/>
        </w:rPr>
        <w:t xml:space="preserve"> </w:t>
      </w:r>
      <w:r w:rsidR="00723E93" w:rsidRPr="007F6332">
        <w:rPr>
          <w:rFonts w:cs="Arial"/>
        </w:rPr>
        <w:t>and</w:t>
      </w:r>
      <w:r w:rsidR="00950565" w:rsidRPr="007F6332">
        <w:rPr>
          <w:rFonts w:cs="Arial"/>
        </w:rPr>
        <w:t xml:space="preserve"> Table 5.3 </w:t>
      </w:r>
      <w:r w:rsidR="00723E93" w:rsidRPr="007F6332">
        <w:rPr>
          <w:rFonts w:cs="Arial"/>
        </w:rPr>
        <w:t>show the split in the projection between existing participants and future participants (i.e.</w:t>
      </w:r>
      <w:r w:rsidR="007212B3" w:rsidRPr="007F6332">
        <w:rPr>
          <w:rFonts w:cs="Arial"/>
        </w:rPr>
        <w:t>,</w:t>
      </w:r>
      <w:r w:rsidR="00723E93" w:rsidRPr="007F6332">
        <w:rPr>
          <w:rFonts w:cs="Arial"/>
        </w:rPr>
        <w:t xml:space="preserve"> new entrants post 30 June 2023). </w:t>
      </w:r>
      <w:r w:rsidR="00FD0072" w:rsidRPr="007F6332">
        <w:rPr>
          <w:rFonts w:cs="Arial"/>
        </w:rPr>
        <w:t xml:space="preserve">At 30 June 2033, </w:t>
      </w:r>
      <w:r w:rsidR="00723E93" w:rsidRPr="007F6332">
        <w:rPr>
          <w:rFonts w:cs="Arial"/>
        </w:rPr>
        <w:t>45% of projected participants</w:t>
      </w:r>
      <w:r w:rsidR="00DE22A1" w:rsidRPr="007F6332">
        <w:rPr>
          <w:rFonts w:cs="Arial"/>
        </w:rPr>
        <w:t xml:space="preserve"> </w:t>
      </w:r>
      <w:r w:rsidR="00723E93" w:rsidRPr="007F6332">
        <w:rPr>
          <w:rFonts w:cs="Arial"/>
        </w:rPr>
        <w:t>are estimated to be current Scheme participants, with 55% being</w:t>
      </w:r>
      <w:r w:rsidR="00FD0072" w:rsidRPr="007F6332">
        <w:rPr>
          <w:rFonts w:cs="Arial"/>
        </w:rPr>
        <w:t xml:space="preserve"> future</w:t>
      </w:r>
      <w:r w:rsidR="00723E93" w:rsidRPr="007F6332">
        <w:rPr>
          <w:rFonts w:cs="Arial"/>
        </w:rPr>
        <w:t xml:space="preserve"> new entrants to the Scheme.</w:t>
      </w:r>
    </w:p>
    <w:p w14:paraId="30751BA7" w14:textId="71A0E3B7" w:rsidR="00723E93" w:rsidRPr="007F6332" w:rsidRDefault="0045717D" w:rsidP="00823FC9">
      <w:pPr>
        <w:pStyle w:val="FiguresandTablesHeading5"/>
      </w:pPr>
      <w:r w:rsidRPr="007F6332">
        <w:t>Table 5.2</w:t>
      </w:r>
      <w:r w:rsidR="00723E93" w:rsidRPr="007F6332">
        <w:t>: Split of participant numbers between existing and future participants</w:t>
      </w:r>
      <w:r w:rsidR="00F45844" w:rsidRPr="007F6332">
        <w:t xml:space="preserve"> </w:t>
      </w:r>
      <w:r w:rsidR="00261444" w:rsidRPr="007F6332">
        <w:t xml:space="preserve">at </w:t>
      </w:r>
      <w:r w:rsidR="00F45844" w:rsidRPr="007F6332">
        <w:t xml:space="preserve">30 June </w:t>
      </w:r>
    </w:p>
    <w:tbl>
      <w:tblPr>
        <w:tblW w:w="9072" w:type="dxa"/>
        <w:tblLayout w:type="fixed"/>
        <w:tblLook w:val="04A0" w:firstRow="1" w:lastRow="0" w:firstColumn="1" w:lastColumn="0" w:noHBand="0" w:noVBand="1"/>
      </w:tblPr>
      <w:tblGrid>
        <w:gridCol w:w="1985"/>
        <w:gridCol w:w="1162"/>
        <w:gridCol w:w="1162"/>
        <w:gridCol w:w="1163"/>
        <w:gridCol w:w="1162"/>
        <w:gridCol w:w="1163"/>
        <w:gridCol w:w="1275"/>
      </w:tblGrid>
      <w:tr w:rsidR="00723E93" w:rsidRPr="007F6332" w14:paraId="1F537873" w14:textId="77777777" w:rsidTr="00C1755E">
        <w:trPr>
          <w:trHeight w:val="620"/>
        </w:trPr>
        <w:tc>
          <w:tcPr>
            <w:tcW w:w="1985" w:type="dxa"/>
            <w:tcBorders>
              <w:top w:val="nil"/>
              <w:left w:val="nil"/>
              <w:right w:val="nil"/>
            </w:tcBorders>
            <w:shd w:val="clear" w:color="auto" w:fill="6B2976"/>
            <w:vAlign w:val="center"/>
            <w:hideMark/>
          </w:tcPr>
          <w:p w14:paraId="17B29CA1" w14:textId="20B23B64" w:rsidR="00723E93" w:rsidRPr="007F6332" w:rsidRDefault="00DE22A1"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Participant Numbers</w:t>
            </w:r>
          </w:p>
        </w:tc>
        <w:tc>
          <w:tcPr>
            <w:tcW w:w="1162" w:type="dxa"/>
            <w:tcBorders>
              <w:top w:val="nil"/>
              <w:left w:val="nil"/>
              <w:right w:val="nil"/>
            </w:tcBorders>
            <w:shd w:val="clear" w:color="000000" w:fill="6B2976"/>
            <w:noWrap/>
            <w:vAlign w:val="center"/>
            <w:hideMark/>
          </w:tcPr>
          <w:p w14:paraId="3A2F807D" w14:textId="12D55118"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2023</w:t>
            </w:r>
          </w:p>
        </w:tc>
        <w:tc>
          <w:tcPr>
            <w:tcW w:w="1162" w:type="dxa"/>
            <w:tcBorders>
              <w:top w:val="nil"/>
              <w:left w:val="nil"/>
              <w:right w:val="nil"/>
            </w:tcBorders>
            <w:shd w:val="clear" w:color="000000" w:fill="6B2976"/>
            <w:noWrap/>
            <w:vAlign w:val="center"/>
            <w:hideMark/>
          </w:tcPr>
          <w:p w14:paraId="4B61177F" w14:textId="1C94AFFB"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2024</w:t>
            </w:r>
          </w:p>
        </w:tc>
        <w:tc>
          <w:tcPr>
            <w:tcW w:w="1163" w:type="dxa"/>
            <w:tcBorders>
              <w:top w:val="nil"/>
              <w:left w:val="nil"/>
              <w:right w:val="nil"/>
            </w:tcBorders>
            <w:shd w:val="clear" w:color="000000" w:fill="6B2976"/>
            <w:noWrap/>
            <w:vAlign w:val="center"/>
            <w:hideMark/>
          </w:tcPr>
          <w:p w14:paraId="66CF460A" w14:textId="0F2FF4BF"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2025</w:t>
            </w:r>
          </w:p>
        </w:tc>
        <w:tc>
          <w:tcPr>
            <w:tcW w:w="1162" w:type="dxa"/>
            <w:tcBorders>
              <w:top w:val="nil"/>
              <w:left w:val="nil"/>
              <w:right w:val="nil"/>
            </w:tcBorders>
            <w:shd w:val="clear" w:color="000000" w:fill="6B2976"/>
            <w:noWrap/>
            <w:vAlign w:val="center"/>
            <w:hideMark/>
          </w:tcPr>
          <w:p w14:paraId="38BEE4D8" w14:textId="3DCCFE95"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2026</w:t>
            </w:r>
          </w:p>
        </w:tc>
        <w:tc>
          <w:tcPr>
            <w:tcW w:w="1163" w:type="dxa"/>
            <w:tcBorders>
              <w:top w:val="nil"/>
              <w:left w:val="nil"/>
              <w:right w:val="dashSmallGap" w:sz="8" w:space="0" w:color="auto"/>
            </w:tcBorders>
            <w:shd w:val="clear" w:color="000000" w:fill="6B2976"/>
            <w:noWrap/>
            <w:vAlign w:val="center"/>
            <w:hideMark/>
          </w:tcPr>
          <w:p w14:paraId="0E5E0BF0" w14:textId="7C4F60A2"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2027</w:t>
            </w:r>
          </w:p>
        </w:tc>
        <w:tc>
          <w:tcPr>
            <w:tcW w:w="1275" w:type="dxa"/>
            <w:tcBorders>
              <w:top w:val="nil"/>
              <w:left w:val="dashSmallGap" w:sz="8" w:space="0" w:color="auto"/>
              <w:right w:val="nil"/>
            </w:tcBorders>
            <w:shd w:val="clear" w:color="000000" w:fill="6B2976"/>
            <w:noWrap/>
            <w:vAlign w:val="center"/>
            <w:hideMark/>
          </w:tcPr>
          <w:p w14:paraId="48FCA504" w14:textId="0C3B2423"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2033</w:t>
            </w:r>
          </w:p>
        </w:tc>
      </w:tr>
      <w:tr w:rsidR="00723E93" w:rsidRPr="007F6332" w14:paraId="79130118" w14:textId="77777777" w:rsidTr="00C1755E">
        <w:trPr>
          <w:trHeight w:val="270"/>
        </w:trPr>
        <w:tc>
          <w:tcPr>
            <w:tcW w:w="1985" w:type="dxa"/>
            <w:tcBorders>
              <w:left w:val="nil"/>
              <w:bottom w:val="nil"/>
              <w:right w:val="nil"/>
            </w:tcBorders>
            <w:shd w:val="clear" w:color="auto" w:fill="auto"/>
            <w:noWrap/>
            <w:vAlign w:val="center"/>
            <w:hideMark/>
          </w:tcPr>
          <w:p w14:paraId="6040A021"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Existing Scheme participants</w:t>
            </w:r>
          </w:p>
        </w:tc>
        <w:tc>
          <w:tcPr>
            <w:tcW w:w="1162" w:type="dxa"/>
            <w:tcBorders>
              <w:left w:val="nil"/>
              <w:bottom w:val="nil"/>
              <w:right w:val="nil"/>
            </w:tcBorders>
            <w:shd w:val="clear" w:color="auto" w:fill="auto"/>
            <w:noWrap/>
            <w:vAlign w:val="center"/>
            <w:hideMark/>
          </w:tcPr>
          <w:p w14:paraId="2A4BEF5A"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610,502</w:t>
            </w:r>
          </w:p>
        </w:tc>
        <w:tc>
          <w:tcPr>
            <w:tcW w:w="1162" w:type="dxa"/>
            <w:tcBorders>
              <w:left w:val="nil"/>
              <w:bottom w:val="nil"/>
              <w:right w:val="nil"/>
            </w:tcBorders>
            <w:shd w:val="clear" w:color="auto" w:fill="auto"/>
            <w:noWrap/>
            <w:vAlign w:val="center"/>
            <w:hideMark/>
          </w:tcPr>
          <w:p w14:paraId="3E2A0F9C"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589,498</w:t>
            </w:r>
          </w:p>
        </w:tc>
        <w:tc>
          <w:tcPr>
            <w:tcW w:w="1163" w:type="dxa"/>
            <w:tcBorders>
              <w:left w:val="nil"/>
              <w:bottom w:val="nil"/>
              <w:right w:val="nil"/>
            </w:tcBorders>
            <w:shd w:val="clear" w:color="auto" w:fill="auto"/>
            <w:noWrap/>
            <w:vAlign w:val="center"/>
            <w:hideMark/>
          </w:tcPr>
          <w:p w14:paraId="6EA5AB3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567,783</w:t>
            </w:r>
          </w:p>
        </w:tc>
        <w:tc>
          <w:tcPr>
            <w:tcW w:w="1162" w:type="dxa"/>
            <w:tcBorders>
              <w:left w:val="nil"/>
              <w:bottom w:val="nil"/>
              <w:right w:val="nil"/>
            </w:tcBorders>
            <w:shd w:val="clear" w:color="auto" w:fill="auto"/>
            <w:noWrap/>
            <w:vAlign w:val="center"/>
            <w:hideMark/>
          </w:tcPr>
          <w:p w14:paraId="64A53045"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546,505</w:t>
            </w:r>
          </w:p>
        </w:tc>
        <w:tc>
          <w:tcPr>
            <w:tcW w:w="1163" w:type="dxa"/>
            <w:tcBorders>
              <w:left w:val="nil"/>
              <w:bottom w:val="nil"/>
              <w:right w:val="dashSmallGap" w:sz="8" w:space="0" w:color="auto"/>
            </w:tcBorders>
            <w:shd w:val="clear" w:color="auto" w:fill="auto"/>
            <w:noWrap/>
            <w:vAlign w:val="center"/>
            <w:hideMark/>
          </w:tcPr>
          <w:p w14:paraId="3039AD32"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529,269</w:t>
            </w:r>
          </w:p>
        </w:tc>
        <w:tc>
          <w:tcPr>
            <w:tcW w:w="1275" w:type="dxa"/>
            <w:tcBorders>
              <w:left w:val="dashSmallGap" w:sz="8" w:space="0" w:color="auto"/>
              <w:bottom w:val="nil"/>
              <w:right w:val="nil"/>
            </w:tcBorders>
            <w:shd w:val="clear" w:color="auto" w:fill="auto"/>
            <w:noWrap/>
            <w:vAlign w:val="center"/>
            <w:hideMark/>
          </w:tcPr>
          <w:p w14:paraId="2FB620BF"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462,068</w:t>
            </w:r>
          </w:p>
        </w:tc>
      </w:tr>
      <w:tr w:rsidR="00723E93" w:rsidRPr="007F6332" w14:paraId="59F3D734" w14:textId="77777777" w:rsidTr="00C1755E">
        <w:trPr>
          <w:trHeight w:val="270"/>
        </w:trPr>
        <w:tc>
          <w:tcPr>
            <w:tcW w:w="1985" w:type="dxa"/>
            <w:tcBorders>
              <w:top w:val="nil"/>
              <w:left w:val="nil"/>
              <w:right w:val="nil"/>
            </w:tcBorders>
            <w:shd w:val="clear" w:color="auto" w:fill="A6A6A6" w:themeFill="background1" w:themeFillShade="A6"/>
            <w:noWrap/>
            <w:vAlign w:val="center"/>
            <w:hideMark/>
          </w:tcPr>
          <w:p w14:paraId="691E0162" w14:textId="752C0DA6"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Future participant</w:t>
            </w:r>
            <w:r w:rsidR="005C0DF3" w:rsidRPr="007F6332">
              <w:rPr>
                <w:rFonts w:eastAsia="Times New Roman" w:cs="Arial"/>
                <w:color w:val="000000"/>
                <w:szCs w:val="22"/>
                <w:lang w:val="en-AU" w:eastAsia="en-AU"/>
              </w:rPr>
              <w:t>s</w:t>
            </w:r>
            <w:r w:rsidRPr="007F6332">
              <w:rPr>
                <w:rFonts w:eastAsia="Times New Roman" w:cs="Arial"/>
                <w:color w:val="000000"/>
                <w:szCs w:val="22"/>
                <w:lang w:val="en-AU" w:eastAsia="en-AU"/>
              </w:rPr>
              <w:t xml:space="preserve"> </w:t>
            </w:r>
          </w:p>
        </w:tc>
        <w:tc>
          <w:tcPr>
            <w:tcW w:w="1162" w:type="dxa"/>
            <w:tcBorders>
              <w:top w:val="nil"/>
              <w:left w:val="nil"/>
              <w:right w:val="nil"/>
            </w:tcBorders>
            <w:shd w:val="clear" w:color="auto" w:fill="A6A6A6" w:themeFill="background1" w:themeFillShade="A6"/>
            <w:noWrap/>
            <w:vAlign w:val="center"/>
            <w:hideMark/>
          </w:tcPr>
          <w:p w14:paraId="3F27FC9F"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0</w:t>
            </w:r>
          </w:p>
        </w:tc>
        <w:tc>
          <w:tcPr>
            <w:tcW w:w="1162" w:type="dxa"/>
            <w:tcBorders>
              <w:top w:val="nil"/>
              <w:left w:val="nil"/>
              <w:right w:val="nil"/>
            </w:tcBorders>
            <w:shd w:val="clear" w:color="auto" w:fill="A6A6A6" w:themeFill="background1" w:themeFillShade="A6"/>
            <w:noWrap/>
            <w:vAlign w:val="center"/>
            <w:hideMark/>
          </w:tcPr>
          <w:p w14:paraId="7C13287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79,408</w:t>
            </w:r>
          </w:p>
        </w:tc>
        <w:tc>
          <w:tcPr>
            <w:tcW w:w="1163" w:type="dxa"/>
            <w:tcBorders>
              <w:top w:val="nil"/>
              <w:left w:val="nil"/>
              <w:right w:val="nil"/>
            </w:tcBorders>
            <w:shd w:val="clear" w:color="auto" w:fill="A6A6A6" w:themeFill="background1" w:themeFillShade="A6"/>
            <w:noWrap/>
            <w:vAlign w:val="center"/>
            <w:hideMark/>
          </w:tcPr>
          <w:p w14:paraId="0603583D"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147,022</w:t>
            </w:r>
          </w:p>
        </w:tc>
        <w:tc>
          <w:tcPr>
            <w:tcW w:w="1162" w:type="dxa"/>
            <w:tcBorders>
              <w:top w:val="nil"/>
              <w:left w:val="nil"/>
              <w:right w:val="nil"/>
            </w:tcBorders>
            <w:shd w:val="clear" w:color="auto" w:fill="A6A6A6" w:themeFill="background1" w:themeFillShade="A6"/>
            <w:noWrap/>
            <w:vAlign w:val="center"/>
            <w:hideMark/>
          </w:tcPr>
          <w:p w14:paraId="495CBFE7"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207,517</w:t>
            </w:r>
          </w:p>
        </w:tc>
        <w:tc>
          <w:tcPr>
            <w:tcW w:w="1163" w:type="dxa"/>
            <w:tcBorders>
              <w:top w:val="nil"/>
              <w:left w:val="nil"/>
              <w:right w:val="dashSmallGap" w:sz="8" w:space="0" w:color="auto"/>
            </w:tcBorders>
            <w:shd w:val="clear" w:color="auto" w:fill="A6A6A6" w:themeFill="background1" w:themeFillShade="A6"/>
            <w:noWrap/>
            <w:vAlign w:val="center"/>
            <w:hideMark/>
          </w:tcPr>
          <w:p w14:paraId="063ACD0D"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262,930</w:t>
            </w:r>
          </w:p>
        </w:tc>
        <w:tc>
          <w:tcPr>
            <w:tcW w:w="1275" w:type="dxa"/>
            <w:tcBorders>
              <w:top w:val="nil"/>
              <w:left w:val="dashSmallGap" w:sz="8" w:space="0" w:color="auto"/>
              <w:right w:val="nil"/>
            </w:tcBorders>
            <w:shd w:val="clear" w:color="auto" w:fill="A6A6A6" w:themeFill="background1" w:themeFillShade="A6"/>
            <w:noWrap/>
            <w:vAlign w:val="center"/>
            <w:hideMark/>
          </w:tcPr>
          <w:p w14:paraId="18D90DD1"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568,269</w:t>
            </w:r>
          </w:p>
        </w:tc>
      </w:tr>
      <w:tr w:rsidR="00723E93" w:rsidRPr="007F6332" w14:paraId="53E88A48" w14:textId="77777777" w:rsidTr="00C1755E">
        <w:trPr>
          <w:trHeight w:val="403"/>
        </w:trPr>
        <w:tc>
          <w:tcPr>
            <w:tcW w:w="1985" w:type="dxa"/>
            <w:tcBorders>
              <w:left w:val="nil"/>
              <w:bottom w:val="single" w:sz="4" w:space="0" w:color="auto"/>
            </w:tcBorders>
            <w:shd w:val="clear" w:color="000000" w:fill="B398B8"/>
            <w:noWrap/>
            <w:vAlign w:val="center"/>
            <w:hideMark/>
          </w:tcPr>
          <w:p w14:paraId="7A93BC48" w14:textId="77777777" w:rsidR="00723E93" w:rsidRPr="007F6332" w:rsidRDefault="00723E93" w:rsidP="006C2D7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1162" w:type="dxa"/>
            <w:tcBorders>
              <w:bottom w:val="single" w:sz="4" w:space="0" w:color="auto"/>
            </w:tcBorders>
            <w:shd w:val="clear" w:color="000000" w:fill="B398B8"/>
            <w:noWrap/>
            <w:vAlign w:val="center"/>
            <w:hideMark/>
          </w:tcPr>
          <w:p w14:paraId="10AB008F"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610,502</w:t>
            </w:r>
          </w:p>
        </w:tc>
        <w:tc>
          <w:tcPr>
            <w:tcW w:w="1162" w:type="dxa"/>
            <w:tcBorders>
              <w:bottom w:val="single" w:sz="4" w:space="0" w:color="auto"/>
            </w:tcBorders>
            <w:shd w:val="clear" w:color="000000" w:fill="B398B8"/>
            <w:noWrap/>
            <w:vAlign w:val="center"/>
            <w:hideMark/>
          </w:tcPr>
          <w:p w14:paraId="0B411EBB"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668,907</w:t>
            </w:r>
          </w:p>
        </w:tc>
        <w:tc>
          <w:tcPr>
            <w:tcW w:w="1163" w:type="dxa"/>
            <w:tcBorders>
              <w:bottom w:val="single" w:sz="4" w:space="0" w:color="auto"/>
            </w:tcBorders>
            <w:shd w:val="clear" w:color="000000" w:fill="B398B8"/>
            <w:noWrap/>
            <w:vAlign w:val="center"/>
            <w:hideMark/>
          </w:tcPr>
          <w:p w14:paraId="5C44A8EC"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714,805</w:t>
            </w:r>
          </w:p>
        </w:tc>
        <w:tc>
          <w:tcPr>
            <w:tcW w:w="1162" w:type="dxa"/>
            <w:tcBorders>
              <w:bottom w:val="single" w:sz="4" w:space="0" w:color="auto"/>
            </w:tcBorders>
            <w:shd w:val="clear" w:color="000000" w:fill="B398B8"/>
            <w:noWrap/>
            <w:vAlign w:val="center"/>
            <w:hideMark/>
          </w:tcPr>
          <w:p w14:paraId="51116064"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754,022</w:t>
            </w:r>
          </w:p>
        </w:tc>
        <w:tc>
          <w:tcPr>
            <w:tcW w:w="1163" w:type="dxa"/>
            <w:tcBorders>
              <w:bottom w:val="single" w:sz="4" w:space="0" w:color="auto"/>
              <w:right w:val="dashSmallGap" w:sz="8" w:space="0" w:color="auto"/>
            </w:tcBorders>
            <w:shd w:val="clear" w:color="000000" w:fill="B398B8"/>
            <w:noWrap/>
            <w:vAlign w:val="center"/>
            <w:hideMark/>
          </w:tcPr>
          <w:p w14:paraId="22ABC36E"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792,200</w:t>
            </w:r>
          </w:p>
        </w:tc>
        <w:tc>
          <w:tcPr>
            <w:tcW w:w="1275" w:type="dxa"/>
            <w:tcBorders>
              <w:left w:val="dashSmallGap" w:sz="8" w:space="0" w:color="auto"/>
              <w:bottom w:val="single" w:sz="4" w:space="0" w:color="auto"/>
              <w:right w:val="nil"/>
            </w:tcBorders>
            <w:shd w:val="clear" w:color="000000" w:fill="B398B8"/>
            <w:noWrap/>
            <w:vAlign w:val="center"/>
            <w:hideMark/>
          </w:tcPr>
          <w:p w14:paraId="32752A67" w14:textId="77777777" w:rsidR="00723E93" w:rsidRPr="007F6332" w:rsidRDefault="00723E93" w:rsidP="007212B3">
            <w:pPr>
              <w:spacing w:after="0" w:line="240" w:lineRule="auto"/>
              <w:ind w:left="-82"/>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1,030,337</w:t>
            </w:r>
          </w:p>
        </w:tc>
      </w:tr>
    </w:tbl>
    <w:p w14:paraId="586BC67E" w14:textId="77777777" w:rsidR="00501F4C" w:rsidRPr="007F6332" w:rsidRDefault="00501F4C" w:rsidP="002916CB">
      <w:pPr>
        <w:pStyle w:val="Heading7"/>
        <w:rPr>
          <w:rStyle w:val="TablesChar"/>
          <w:rFonts w:cs="Arial"/>
          <w:b/>
          <w:bCs w:val="0"/>
          <w:szCs w:val="24"/>
        </w:rPr>
        <w:sectPr w:rsidR="00501F4C" w:rsidRPr="007F6332" w:rsidSect="00CE7E91">
          <w:pgSz w:w="11906" w:h="16838"/>
          <w:pgMar w:top="1440" w:right="1416" w:bottom="1440" w:left="1440" w:header="708" w:footer="850" w:gutter="0"/>
          <w:cols w:space="708"/>
          <w:titlePg/>
          <w:docGrid w:linePitch="360"/>
        </w:sectPr>
      </w:pPr>
    </w:p>
    <w:p w14:paraId="7CE43D1D" w14:textId="2EA33E8E" w:rsidR="00723E93" w:rsidRPr="007F6332" w:rsidRDefault="0045717D" w:rsidP="00823FC9">
      <w:pPr>
        <w:pStyle w:val="FiguresandTablesHeading5"/>
      </w:pPr>
      <w:r w:rsidRPr="007F6332">
        <w:rPr>
          <w:rStyle w:val="TablesChar"/>
          <w:b/>
          <w:bCs w:val="0"/>
          <w:szCs w:val="24"/>
        </w:rPr>
        <w:lastRenderedPageBreak/>
        <w:t>Table 5.3</w:t>
      </w:r>
      <w:r w:rsidR="00723E93" w:rsidRPr="007F6332">
        <w:rPr>
          <w:rStyle w:val="TablesChar"/>
          <w:b/>
          <w:bCs w:val="0"/>
          <w:szCs w:val="24"/>
        </w:rPr>
        <w:t>: Proportional split of participants between existing and future participants</w:t>
      </w:r>
      <w:r w:rsidR="00F45844" w:rsidRPr="007F6332">
        <w:rPr>
          <w:rStyle w:val="TablesChar"/>
          <w:b/>
          <w:bCs w:val="0"/>
          <w:szCs w:val="24"/>
        </w:rPr>
        <w:t xml:space="preserve"> 30 June </w:t>
      </w:r>
    </w:p>
    <w:tbl>
      <w:tblPr>
        <w:tblW w:w="8931" w:type="dxa"/>
        <w:tblLayout w:type="fixed"/>
        <w:tblLook w:val="04A0" w:firstRow="1" w:lastRow="0" w:firstColumn="1" w:lastColumn="0" w:noHBand="0" w:noVBand="1"/>
      </w:tblPr>
      <w:tblGrid>
        <w:gridCol w:w="2127"/>
        <w:gridCol w:w="1134"/>
        <w:gridCol w:w="1134"/>
        <w:gridCol w:w="1134"/>
        <w:gridCol w:w="1134"/>
        <w:gridCol w:w="1134"/>
        <w:gridCol w:w="1134"/>
      </w:tblGrid>
      <w:tr w:rsidR="00723E93" w:rsidRPr="007F6332" w14:paraId="5DDD49FB" w14:textId="77777777" w:rsidTr="00C1755E">
        <w:trPr>
          <w:trHeight w:val="674"/>
        </w:trPr>
        <w:tc>
          <w:tcPr>
            <w:tcW w:w="2127" w:type="dxa"/>
            <w:tcBorders>
              <w:top w:val="nil"/>
              <w:left w:val="nil"/>
              <w:bottom w:val="single" w:sz="4" w:space="0" w:color="000000"/>
              <w:right w:val="nil"/>
            </w:tcBorders>
            <w:shd w:val="clear" w:color="000000" w:fill="6B2F76"/>
            <w:vAlign w:val="center"/>
            <w:hideMark/>
          </w:tcPr>
          <w:p w14:paraId="5B097140" w14:textId="47517559" w:rsidR="00723E93" w:rsidRPr="007F6332" w:rsidRDefault="005A4C93"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Participant numbers</w:t>
            </w:r>
          </w:p>
        </w:tc>
        <w:tc>
          <w:tcPr>
            <w:tcW w:w="1134" w:type="dxa"/>
            <w:tcBorders>
              <w:top w:val="nil"/>
              <w:left w:val="nil"/>
              <w:bottom w:val="single" w:sz="4" w:space="0" w:color="auto"/>
              <w:right w:val="nil"/>
            </w:tcBorders>
            <w:shd w:val="clear" w:color="000000" w:fill="6B2976"/>
            <w:noWrap/>
            <w:vAlign w:val="center"/>
            <w:hideMark/>
          </w:tcPr>
          <w:p w14:paraId="144A9DDD" w14:textId="53E5FACD"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2023</w:t>
            </w:r>
          </w:p>
        </w:tc>
        <w:tc>
          <w:tcPr>
            <w:tcW w:w="1134" w:type="dxa"/>
            <w:tcBorders>
              <w:top w:val="nil"/>
              <w:left w:val="nil"/>
              <w:bottom w:val="single" w:sz="4" w:space="0" w:color="auto"/>
              <w:right w:val="nil"/>
            </w:tcBorders>
            <w:shd w:val="clear" w:color="000000" w:fill="6B2976"/>
            <w:noWrap/>
            <w:vAlign w:val="center"/>
            <w:hideMark/>
          </w:tcPr>
          <w:p w14:paraId="0D96D332" w14:textId="38D36B22" w:rsidR="00723E93" w:rsidRPr="007F6332" w:rsidRDefault="00723E93" w:rsidP="006C2D75">
            <w:pPr>
              <w:spacing w:after="0" w:line="240" w:lineRule="auto"/>
              <w:ind w:left="-111"/>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2024</w:t>
            </w:r>
          </w:p>
        </w:tc>
        <w:tc>
          <w:tcPr>
            <w:tcW w:w="1134" w:type="dxa"/>
            <w:tcBorders>
              <w:top w:val="nil"/>
              <w:left w:val="nil"/>
              <w:bottom w:val="single" w:sz="4" w:space="0" w:color="auto"/>
              <w:right w:val="nil"/>
            </w:tcBorders>
            <w:shd w:val="clear" w:color="000000" w:fill="6B2976"/>
            <w:noWrap/>
            <w:vAlign w:val="center"/>
            <w:hideMark/>
          </w:tcPr>
          <w:p w14:paraId="6E30E992" w14:textId="21C1B6F8"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2025</w:t>
            </w:r>
          </w:p>
        </w:tc>
        <w:tc>
          <w:tcPr>
            <w:tcW w:w="1134" w:type="dxa"/>
            <w:tcBorders>
              <w:top w:val="nil"/>
              <w:left w:val="nil"/>
              <w:bottom w:val="single" w:sz="4" w:space="0" w:color="auto"/>
              <w:right w:val="nil"/>
            </w:tcBorders>
            <w:shd w:val="clear" w:color="000000" w:fill="6B2976"/>
            <w:noWrap/>
            <w:vAlign w:val="center"/>
            <w:hideMark/>
          </w:tcPr>
          <w:p w14:paraId="657D8005" w14:textId="1F9503BD"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2026</w:t>
            </w:r>
          </w:p>
        </w:tc>
        <w:tc>
          <w:tcPr>
            <w:tcW w:w="1134" w:type="dxa"/>
            <w:tcBorders>
              <w:top w:val="nil"/>
              <w:left w:val="nil"/>
              <w:bottom w:val="single" w:sz="4" w:space="0" w:color="auto"/>
              <w:right w:val="dashSmallGap" w:sz="4" w:space="0" w:color="auto"/>
            </w:tcBorders>
            <w:shd w:val="clear" w:color="000000" w:fill="6B2976"/>
            <w:noWrap/>
            <w:vAlign w:val="center"/>
            <w:hideMark/>
          </w:tcPr>
          <w:p w14:paraId="1AA534EF" w14:textId="32BD339E"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2027</w:t>
            </w:r>
          </w:p>
        </w:tc>
        <w:tc>
          <w:tcPr>
            <w:tcW w:w="1134" w:type="dxa"/>
            <w:tcBorders>
              <w:top w:val="nil"/>
              <w:left w:val="dashSmallGap" w:sz="4" w:space="0" w:color="auto"/>
              <w:right w:val="nil"/>
            </w:tcBorders>
            <w:shd w:val="clear" w:color="000000" w:fill="6B2976"/>
            <w:noWrap/>
            <w:vAlign w:val="center"/>
            <w:hideMark/>
          </w:tcPr>
          <w:p w14:paraId="4EEC64A1" w14:textId="1F71F297"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2033</w:t>
            </w:r>
          </w:p>
        </w:tc>
      </w:tr>
      <w:tr w:rsidR="00723E93" w:rsidRPr="007F6332" w14:paraId="127AB6DA" w14:textId="77777777" w:rsidTr="00C1755E">
        <w:trPr>
          <w:trHeight w:val="270"/>
        </w:trPr>
        <w:tc>
          <w:tcPr>
            <w:tcW w:w="2127" w:type="dxa"/>
            <w:tcBorders>
              <w:top w:val="nil"/>
              <w:left w:val="nil"/>
              <w:bottom w:val="nil"/>
              <w:right w:val="nil"/>
            </w:tcBorders>
            <w:shd w:val="clear" w:color="auto" w:fill="auto"/>
            <w:noWrap/>
            <w:vAlign w:val="bottom"/>
            <w:hideMark/>
          </w:tcPr>
          <w:p w14:paraId="0D6C05B1"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Existing Scheme participants</w:t>
            </w:r>
          </w:p>
        </w:tc>
        <w:tc>
          <w:tcPr>
            <w:tcW w:w="1134" w:type="dxa"/>
            <w:tcBorders>
              <w:top w:val="nil"/>
              <w:left w:val="nil"/>
              <w:bottom w:val="nil"/>
              <w:right w:val="nil"/>
            </w:tcBorders>
            <w:shd w:val="clear" w:color="auto" w:fill="auto"/>
            <w:noWrap/>
            <w:vAlign w:val="center"/>
            <w:hideMark/>
          </w:tcPr>
          <w:p w14:paraId="0423132C"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100%</w:t>
            </w:r>
          </w:p>
        </w:tc>
        <w:tc>
          <w:tcPr>
            <w:tcW w:w="1134" w:type="dxa"/>
            <w:tcBorders>
              <w:top w:val="nil"/>
              <w:left w:val="nil"/>
              <w:bottom w:val="nil"/>
              <w:right w:val="nil"/>
            </w:tcBorders>
            <w:shd w:val="clear" w:color="auto" w:fill="auto"/>
            <w:noWrap/>
            <w:vAlign w:val="center"/>
            <w:hideMark/>
          </w:tcPr>
          <w:p w14:paraId="50A3377B"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88%</w:t>
            </w:r>
          </w:p>
        </w:tc>
        <w:tc>
          <w:tcPr>
            <w:tcW w:w="1134" w:type="dxa"/>
            <w:tcBorders>
              <w:top w:val="nil"/>
              <w:left w:val="nil"/>
              <w:bottom w:val="nil"/>
              <w:right w:val="nil"/>
            </w:tcBorders>
            <w:shd w:val="clear" w:color="auto" w:fill="auto"/>
            <w:noWrap/>
            <w:vAlign w:val="center"/>
            <w:hideMark/>
          </w:tcPr>
          <w:p w14:paraId="209441E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79%</w:t>
            </w:r>
          </w:p>
        </w:tc>
        <w:tc>
          <w:tcPr>
            <w:tcW w:w="1134" w:type="dxa"/>
            <w:tcBorders>
              <w:top w:val="nil"/>
              <w:left w:val="nil"/>
              <w:bottom w:val="nil"/>
              <w:right w:val="nil"/>
            </w:tcBorders>
            <w:shd w:val="clear" w:color="auto" w:fill="auto"/>
            <w:noWrap/>
            <w:vAlign w:val="center"/>
            <w:hideMark/>
          </w:tcPr>
          <w:p w14:paraId="72B00032"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72%</w:t>
            </w:r>
          </w:p>
        </w:tc>
        <w:tc>
          <w:tcPr>
            <w:tcW w:w="1134" w:type="dxa"/>
            <w:tcBorders>
              <w:left w:val="nil"/>
              <w:bottom w:val="nil"/>
              <w:right w:val="dashSmallGap" w:sz="4" w:space="0" w:color="auto"/>
            </w:tcBorders>
            <w:shd w:val="clear" w:color="auto" w:fill="auto"/>
            <w:noWrap/>
            <w:vAlign w:val="center"/>
            <w:hideMark/>
          </w:tcPr>
          <w:p w14:paraId="6504657D"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67%</w:t>
            </w:r>
          </w:p>
        </w:tc>
        <w:tc>
          <w:tcPr>
            <w:tcW w:w="1134" w:type="dxa"/>
            <w:tcBorders>
              <w:left w:val="dashSmallGap" w:sz="4" w:space="0" w:color="auto"/>
              <w:bottom w:val="nil"/>
              <w:right w:val="nil"/>
            </w:tcBorders>
            <w:shd w:val="clear" w:color="auto" w:fill="auto"/>
            <w:noWrap/>
            <w:vAlign w:val="center"/>
            <w:hideMark/>
          </w:tcPr>
          <w:p w14:paraId="74B658D4"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45%</w:t>
            </w:r>
          </w:p>
        </w:tc>
      </w:tr>
      <w:tr w:rsidR="00723E93" w:rsidRPr="007F6332" w14:paraId="1AEB5B70" w14:textId="77777777" w:rsidTr="00C1755E">
        <w:trPr>
          <w:trHeight w:val="340"/>
        </w:trPr>
        <w:tc>
          <w:tcPr>
            <w:tcW w:w="2127" w:type="dxa"/>
            <w:tcBorders>
              <w:top w:val="nil"/>
              <w:left w:val="nil"/>
              <w:right w:val="nil"/>
            </w:tcBorders>
            <w:shd w:val="clear" w:color="auto" w:fill="A6A6A6" w:themeFill="background1" w:themeFillShade="A6"/>
            <w:noWrap/>
            <w:vAlign w:val="center"/>
            <w:hideMark/>
          </w:tcPr>
          <w:p w14:paraId="08C58A29" w14:textId="48F05FEB"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Future participant</w:t>
            </w:r>
            <w:r w:rsidR="005C0DF3" w:rsidRPr="007F6332">
              <w:rPr>
                <w:rFonts w:eastAsia="Times New Roman" w:cs="Arial"/>
                <w:color w:val="000000"/>
                <w:szCs w:val="22"/>
                <w:lang w:val="en-AU" w:eastAsia="en-AU"/>
              </w:rPr>
              <w:t>s</w:t>
            </w:r>
            <w:r w:rsidRPr="007F6332">
              <w:rPr>
                <w:rFonts w:eastAsia="Times New Roman" w:cs="Arial"/>
                <w:color w:val="000000"/>
                <w:szCs w:val="22"/>
                <w:lang w:val="en-AU" w:eastAsia="en-AU"/>
              </w:rPr>
              <w:t xml:space="preserve"> </w:t>
            </w:r>
          </w:p>
        </w:tc>
        <w:tc>
          <w:tcPr>
            <w:tcW w:w="1134" w:type="dxa"/>
            <w:tcBorders>
              <w:top w:val="nil"/>
              <w:left w:val="nil"/>
              <w:right w:val="nil"/>
            </w:tcBorders>
            <w:shd w:val="clear" w:color="auto" w:fill="A6A6A6" w:themeFill="background1" w:themeFillShade="A6"/>
            <w:noWrap/>
            <w:vAlign w:val="center"/>
            <w:hideMark/>
          </w:tcPr>
          <w:p w14:paraId="1D520CE1"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0%</w:t>
            </w:r>
          </w:p>
        </w:tc>
        <w:tc>
          <w:tcPr>
            <w:tcW w:w="1134" w:type="dxa"/>
            <w:tcBorders>
              <w:top w:val="nil"/>
              <w:left w:val="nil"/>
              <w:right w:val="nil"/>
            </w:tcBorders>
            <w:shd w:val="clear" w:color="auto" w:fill="A6A6A6" w:themeFill="background1" w:themeFillShade="A6"/>
            <w:noWrap/>
            <w:vAlign w:val="center"/>
            <w:hideMark/>
          </w:tcPr>
          <w:p w14:paraId="6FC4E03D"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12%</w:t>
            </w:r>
          </w:p>
        </w:tc>
        <w:tc>
          <w:tcPr>
            <w:tcW w:w="1134" w:type="dxa"/>
            <w:tcBorders>
              <w:top w:val="nil"/>
              <w:left w:val="nil"/>
              <w:right w:val="nil"/>
            </w:tcBorders>
            <w:shd w:val="clear" w:color="auto" w:fill="A6A6A6" w:themeFill="background1" w:themeFillShade="A6"/>
            <w:noWrap/>
            <w:vAlign w:val="center"/>
            <w:hideMark/>
          </w:tcPr>
          <w:p w14:paraId="6EDB6F74"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21%</w:t>
            </w:r>
          </w:p>
        </w:tc>
        <w:tc>
          <w:tcPr>
            <w:tcW w:w="1134" w:type="dxa"/>
            <w:tcBorders>
              <w:top w:val="nil"/>
              <w:left w:val="nil"/>
              <w:right w:val="nil"/>
            </w:tcBorders>
            <w:shd w:val="clear" w:color="auto" w:fill="A6A6A6" w:themeFill="background1" w:themeFillShade="A6"/>
            <w:noWrap/>
            <w:vAlign w:val="center"/>
            <w:hideMark/>
          </w:tcPr>
          <w:p w14:paraId="734FB989"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28%</w:t>
            </w:r>
          </w:p>
        </w:tc>
        <w:tc>
          <w:tcPr>
            <w:tcW w:w="1134" w:type="dxa"/>
            <w:tcBorders>
              <w:top w:val="nil"/>
              <w:left w:val="nil"/>
              <w:right w:val="dashSmallGap" w:sz="4" w:space="0" w:color="auto"/>
            </w:tcBorders>
            <w:shd w:val="clear" w:color="auto" w:fill="A6A6A6" w:themeFill="background1" w:themeFillShade="A6"/>
            <w:noWrap/>
            <w:vAlign w:val="center"/>
            <w:hideMark/>
          </w:tcPr>
          <w:p w14:paraId="548DBB79"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33%</w:t>
            </w:r>
          </w:p>
        </w:tc>
        <w:tc>
          <w:tcPr>
            <w:tcW w:w="1134" w:type="dxa"/>
            <w:tcBorders>
              <w:top w:val="nil"/>
              <w:left w:val="dashSmallGap" w:sz="4" w:space="0" w:color="auto"/>
              <w:right w:val="nil"/>
            </w:tcBorders>
            <w:shd w:val="clear" w:color="auto" w:fill="A6A6A6" w:themeFill="background1" w:themeFillShade="A6"/>
            <w:noWrap/>
            <w:vAlign w:val="center"/>
            <w:hideMark/>
          </w:tcPr>
          <w:p w14:paraId="5C5DF0CA"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55%</w:t>
            </w:r>
          </w:p>
        </w:tc>
      </w:tr>
      <w:tr w:rsidR="00723E93" w:rsidRPr="007F6332" w14:paraId="5BD71752" w14:textId="77777777" w:rsidTr="00C1755E">
        <w:trPr>
          <w:trHeight w:val="340"/>
        </w:trPr>
        <w:tc>
          <w:tcPr>
            <w:tcW w:w="2127" w:type="dxa"/>
            <w:tcBorders>
              <w:left w:val="nil"/>
              <w:bottom w:val="single" w:sz="4" w:space="0" w:color="auto"/>
            </w:tcBorders>
            <w:shd w:val="clear" w:color="000000" w:fill="B398B8"/>
            <w:noWrap/>
            <w:vAlign w:val="center"/>
            <w:hideMark/>
          </w:tcPr>
          <w:p w14:paraId="521F9A4C" w14:textId="77777777" w:rsidR="00723E93" w:rsidRPr="007F6332" w:rsidRDefault="00723E93" w:rsidP="006C2D7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1134" w:type="dxa"/>
            <w:tcBorders>
              <w:bottom w:val="single" w:sz="4" w:space="0" w:color="auto"/>
            </w:tcBorders>
            <w:shd w:val="clear" w:color="000000" w:fill="B398B8"/>
            <w:noWrap/>
            <w:vAlign w:val="center"/>
            <w:hideMark/>
          </w:tcPr>
          <w:p w14:paraId="216F41CF"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100%</w:t>
            </w:r>
          </w:p>
        </w:tc>
        <w:tc>
          <w:tcPr>
            <w:tcW w:w="1134" w:type="dxa"/>
            <w:tcBorders>
              <w:bottom w:val="single" w:sz="4" w:space="0" w:color="auto"/>
            </w:tcBorders>
            <w:shd w:val="clear" w:color="000000" w:fill="B398B8"/>
            <w:noWrap/>
            <w:vAlign w:val="center"/>
            <w:hideMark/>
          </w:tcPr>
          <w:p w14:paraId="443C60C4"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100%</w:t>
            </w:r>
          </w:p>
        </w:tc>
        <w:tc>
          <w:tcPr>
            <w:tcW w:w="1134" w:type="dxa"/>
            <w:tcBorders>
              <w:bottom w:val="single" w:sz="4" w:space="0" w:color="auto"/>
            </w:tcBorders>
            <w:shd w:val="clear" w:color="000000" w:fill="B398B8"/>
            <w:noWrap/>
            <w:vAlign w:val="center"/>
            <w:hideMark/>
          </w:tcPr>
          <w:p w14:paraId="5B590C61"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100%</w:t>
            </w:r>
          </w:p>
        </w:tc>
        <w:tc>
          <w:tcPr>
            <w:tcW w:w="1134" w:type="dxa"/>
            <w:tcBorders>
              <w:bottom w:val="single" w:sz="4" w:space="0" w:color="auto"/>
            </w:tcBorders>
            <w:shd w:val="clear" w:color="000000" w:fill="B398B8"/>
            <w:noWrap/>
            <w:vAlign w:val="center"/>
            <w:hideMark/>
          </w:tcPr>
          <w:p w14:paraId="023CC287"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100%</w:t>
            </w:r>
          </w:p>
        </w:tc>
        <w:tc>
          <w:tcPr>
            <w:tcW w:w="1134" w:type="dxa"/>
            <w:tcBorders>
              <w:bottom w:val="single" w:sz="4" w:space="0" w:color="auto"/>
              <w:right w:val="dashSmallGap" w:sz="4" w:space="0" w:color="auto"/>
            </w:tcBorders>
            <w:shd w:val="clear" w:color="000000" w:fill="B398B8"/>
            <w:noWrap/>
            <w:vAlign w:val="center"/>
            <w:hideMark/>
          </w:tcPr>
          <w:p w14:paraId="6FFF6DFC"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100%</w:t>
            </w:r>
          </w:p>
        </w:tc>
        <w:tc>
          <w:tcPr>
            <w:tcW w:w="1134" w:type="dxa"/>
            <w:tcBorders>
              <w:left w:val="dashSmallGap" w:sz="4" w:space="0" w:color="auto"/>
              <w:bottom w:val="single" w:sz="4" w:space="0" w:color="auto"/>
              <w:right w:val="nil"/>
            </w:tcBorders>
            <w:shd w:val="clear" w:color="000000" w:fill="B398B8"/>
            <w:noWrap/>
            <w:vAlign w:val="center"/>
            <w:hideMark/>
          </w:tcPr>
          <w:p w14:paraId="352B5E8D"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100%</w:t>
            </w:r>
          </w:p>
        </w:tc>
      </w:tr>
    </w:tbl>
    <w:p w14:paraId="65A6854B" w14:textId="77777777" w:rsidR="00723E93" w:rsidRPr="007F6332" w:rsidRDefault="00723E93" w:rsidP="001D062D">
      <w:pPr>
        <w:pStyle w:val="Heading4"/>
        <w:ind w:left="851" w:hanging="851"/>
        <w:rPr>
          <w:rFonts w:cs="Arial"/>
        </w:rPr>
      </w:pPr>
      <w:r w:rsidRPr="007F6332">
        <w:rPr>
          <w:rFonts w:cs="Arial"/>
        </w:rPr>
        <w:t>Scheme expense projection</w:t>
      </w:r>
    </w:p>
    <w:p w14:paraId="46D24A9D" w14:textId="23B395CC" w:rsidR="005473B6" w:rsidRPr="007F6332" w:rsidRDefault="005473B6" w:rsidP="005473B6">
      <w:pPr>
        <w:spacing w:before="240"/>
        <w:rPr>
          <w:rFonts w:cs="Arial"/>
          <w:lang w:val="en-AU"/>
        </w:rPr>
      </w:pPr>
      <w:r w:rsidRPr="007F6332">
        <w:rPr>
          <w:rFonts w:cs="Arial"/>
          <w:lang w:val="en-AU"/>
        </w:rPr>
        <w:fldChar w:fldCharType="begin"/>
      </w:r>
      <w:r w:rsidRPr="007F6332">
        <w:rPr>
          <w:rFonts w:cs="Arial"/>
          <w:lang w:val="en-AU"/>
        </w:rPr>
        <w:instrText xml:space="preserve"> REF _Ref145060460 \h </w:instrText>
      </w:r>
      <w:r w:rsidR="007F6332">
        <w:rPr>
          <w:rFonts w:cs="Arial"/>
          <w:lang w:val="en-AU"/>
        </w:rPr>
        <w:instrText xml:space="preserve"> \* MERGEFORMAT </w:instrText>
      </w:r>
      <w:r w:rsidRPr="007F6332">
        <w:rPr>
          <w:rFonts w:cs="Arial"/>
          <w:lang w:val="en-AU"/>
        </w:rPr>
      </w:r>
      <w:r w:rsidRPr="007F6332">
        <w:rPr>
          <w:rFonts w:cs="Arial"/>
          <w:lang w:val="en-AU"/>
        </w:rPr>
        <w:fldChar w:fldCharType="separate"/>
      </w:r>
      <w:r w:rsidR="00D82E58" w:rsidRPr="007F6332">
        <w:rPr>
          <w:rFonts w:cs="Arial"/>
        </w:rPr>
        <w:t xml:space="preserve">Table </w:t>
      </w:r>
      <w:r w:rsidRPr="007F6332">
        <w:rPr>
          <w:rFonts w:cs="Arial"/>
          <w:lang w:val="en-AU"/>
        </w:rPr>
        <w:fldChar w:fldCharType="end"/>
      </w:r>
      <w:r w:rsidR="00341842" w:rsidRPr="007F6332">
        <w:rPr>
          <w:rFonts w:cs="Arial"/>
          <w:lang w:val="en-AU"/>
        </w:rPr>
        <w:t>5.4</w:t>
      </w:r>
      <w:r w:rsidRPr="007F6332">
        <w:rPr>
          <w:rFonts w:cs="Arial"/>
          <w:lang w:val="en-AU"/>
        </w:rPr>
        <w:t xml:space="preserve"> shows the June 2023 projection of Scheme expenses, incorporating revisions to assumptions and changes in future expectations since the June 2022 projections. It also allows for the expected impact of the measures announced in the 2023-24 Budget to lift the NDIA’s capability, capacity, and systems to better support participants (“Budget measures”)</w:t>
      </w:r>
      <w:r w:rsidRPr="007F6332">
        <w:rPr>
          <w:rFonts w:cs="Arial"/>
          <w:vertAlign w:val="superscript"/>
          <w:lang w:val="en-AU"/>
        </w:rPr>
        <w:footnoteReference w:id="81"/>
      </w:r>
      <w:r w:rsidRPr="007F6332">
        <w:rPr>
          <w:rFonts w:cs="Arial"/>
          <w:lang w:val="en-AU"/>
        </w:rPr>
        <w:t>. The projected total Scheme expenses on an accrual basis are $41.4 billion in 2023-24, increasing to $92.3 billion in 2032-33</w:t>
      </w:r>
      <w:r w:rsidRPr="007F6332">
        <w:rPr>
          <w:rFonts w:cs="Arial"/>
          <w:vertAlign w:val="superscript"/>
          <w:lang w:val="en-AU"/>
        </w:rPr>
        <w:footnoteReference w:id="82"/>
      </w:r>
      <w:r w:rsidRPr="007F6332">
        <w:rPr>
          <w:rFonts w:cs="Arial"/>
          <w:lang w:val="en-AU"/>
        </w:rPr>
        <w:t>. Total projected Scheme expenses are $193.7 billion for the four years to 30 June 2027.</w:t>
      </w:r>
    </w:p>
    <w:p w14:paraId="774618AB" w14:textId="77777777" w:rsidR="00723E93" w:rsidRPr="007F6332" w:rsidRDefault="00723E93" w:rsidP="00723E93">
      <w:pPr>
        <w:spacing w:before="240"/>
        <w:rPr>
          <w:rFonts w:cs="Arial"/>
          <w:lang w:val="en-AU"/>
        </w:rPr>
      </w:pPr>
      <w:r w:rsidRPr="007F6332">
        <w:rPr>
          <w:rFonts w:cs="Arial"/>
          <w:lang w:val="en-AU"/>
        </w:rPr>
        <w:t>It is important to recognise that the projected Scheme expenses are shown in nominal terms, i.e., that future dollars of estimated Scheme expenses include the effects of inflation over time. This impact of inflation increases over the longer term and so is particularly significant for the result in 2032-33. Scheme expenses are estimated to be 1.6% of GDP in 2023-24, increasing to 2.3% in 2032-33. In considering longer-term projections it is recommended that users refer to expenses as a percentage of GDP rather than nominal dollar figures as these provide a more meaningful measure of Scheme expenses.</w:t>
      </w:r>
    </w:p>
    <w:p w14:paraId="75965ECA" w14:textId="4099186E" w:rsidR="00950565" w:rsidRPr="007F6332" w:rsidRDefault="00950565" w:rsidP="00723E93">
      <w:pPr>
        <w:spacing w:before="240"/>
        <w:rPr>
          <w:rFonts w:cs="Arial"/>
          <w:b/>
          <w:bCs/>
          <w:szCs w:val="18"/>
          <w:lang w:val="en-AU"/>
        </w:rPr>
        <w:sectPr w:rsidR="00950565" w:rsidRPr="007F6332" w:rsidSect="00E53368">
          <w:pgSz w:w="11906" w:h="16838"/>
          <w:pgMar w:top="1440" w:right="1416" w:bottom="1440" w:left="1440" w:header="708" w:footer="680" w:gutter="0"/>
          <w:cols w:space="708"/>
          <w:titlePg/>
          <w:docGrid w:linePitch="360"/>
        </w:sectPr>
      </w:pPr>
    </w:p>
    <w:p w14:paraId="74569497" w14:textId="72B7CC62" w:rsidR="006E2F2D" w:rsidRPr="007F6332" w:rsidRDefault="006E2F2D" w:rsidP="00823FC9">
      <w:pPr>
        <w:pStyle w:val="FiguresandTablesHeading5"/>
      </w:pPr>
      <w:bookmarkStart w:id="128" w:name="_Ref145060460"/>
      <w:r w:rsidRPr="007F6332">
        <w:lastRenderedPageBreak/>
        <w:t xml:space="preserve">Table </w:t>
      </w:r>
      <w:bookmarkEnd w:id="128"/>
      <w:r w:rsidR="0045717D" w:rsidRPr="007F6332">
        <w:t>5.4</w:t>
      </w:r>
      <w:r w:rsidRPr="007F6332">
        <w:rPr>
          <w:noProof/>
        </w:rPr>
        <w:t>:</w:t>
      </w:r>
      <w:r w:rsidRPr="007F6332">
        <w:t xml:space="preserve"> June 2023 projection of Scheme expenses</w:t>
      </w:r>
    </w:p>
    <w:tbl>
      <w:tblPr>
        <w:tblStyle w:val="FSRtable"/>
        <w:tblW w:w="5000" w:type="pct"/>
        <w:tblInd w:w="0" w:type="dxa"/>
        <w:tblLayout w:type="fixed"/>
        <w:tblLook w:val="04A0" w:firstRow="1" w:lastRow="0" w:firstColumn="1" w:lastColumn="0" w:noHBand="0" w:noVBand="1"/>
      </w:tblPr>
      <w:tblGrid>
        <w:gridCol w:w="2681"/>
        <w:gridCol w:w="1061"/>
        <w:gridCol w:w="1062"/>
        <w:gridCol w:w="1062"/>
        <w:gridCol w:w="1061"/>
        <w:gridCol w:w="1062"/>
        <w:gridCol w:w="1061"/>
      </w:tblGrid>
      <w:tr w:rsidR="00545431" w:rsidRPr="007F6332" w14:paraId="728F236E" w14:textId="77777777" w:rsidTr="0094647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81" w:type="pct"/>
            <w:tcBorders>
              <w:top w:val="nil"/>
              <w:bottom w:val="nil"/>
            </w:tcBorders>
            <w:noWrap/>
            <w:hideMark/>
          </w:tcPr>
          <w:p w14:paraId="5B78AEBA" w14:textId="77777777" w:rsidR="00723E93" w:rsidRPr="007F6332" w:rsidRDefault="00723E93" w:rsidP="006C2D75">
            <w:pPr>
              <w:rPr>
                <w:rFonts w:eastAsia="Times New Roman"/>
                <w:b w:val="0"/>
                <w:bCs/>
                <w:color w:val="FFFFFF"/>
                <w:szCs w:val="22"/>
                <w:lang w:eastAsia="en-AU"/>
              </w:rPr>
            </w:pPr>
            <w:r w:rsidRPr="007F6332">
              <w:rPr>
                <w:rFonts w:eastAsia="Times New Roman"/>
                <w:bCs/>
                <w:color w:val="FFFFFF"/>
                <w:szCs w:val="22"/>
                <w:lang w:eastAsia="en-AU"/>
              </w:rPr>
              <w:t>Scheme Expenses ($m) </w:t>
            </w:r>
          </w:p>
        </w:tc>
        <w:tc>
          <w:tcPr>
            <w:tcW w:w="586" w:type="pct"/>
            <w:tcBorders>
              <w:top w:val="nil"/>
              <w:bottom w:val="nil"/>
            </w:tcBorders>
            <w:noWrap/>
            <w:hideMark/>
          </w:tcPr>
          <w:p w14:paraId="3FD403B7" w14:textId="77777777" w:rsidR="00723E93" w:rsidRPr="007F6332" w:rsidRDefault="00723E93" w:rsidP="006C2D75">
            <w:pP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2023-24</w:t>
            </w:r>
          </w:p>
        </w:tc>
        <w:tc>
          <w:tcPr>
            <w:tcW w:w="587" w:type="pct"/>
            <w:tcBorders>
              <w:top w:val="nil"/>
              <w:bottom w:val="nil"/>
            </w:tcBorders>
            <w:noWrap/>
            <w:hideMark/>
          </w:tcPr>
          <w:p w14:paraId="439F5DC5" w14:textId="77777777" w:rsidR="00723E93" w:rsidRPr="007F6332" w:rsidRDefault="00723E93" w:rsidP="00C1755E">
            <w:pPr>
              <w:ind w:left="-82"/>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2024-25</w:t>
            </w:r>
          </w:p>
        </w:tc>
        <w:tc>
          <w:tcPr>
            <w:tcW w:w="587" w:type="pct"/>
            <w:tcBorders>
              <w:top w:val="nil"/>
              <w:bottom w:val="nil"/>
            </w:tcBorders>
            <w:noWrap/>
            <w:hideMark/>
          </w:tcPr>
          <w:p w14:paraId="53DD23AF" w14:textId="77777777" w:rsidR="00723E93" w:rsidRPr="007F6332" w:rsidRDefault="00723E93" w:rsidP="00C1755E">
            <w:pPr>
              <w:ind w:left="-220"/>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2025-26</w:t>
            </w:r>
          </w:p>
        </w:tc>
        <w:tc>
          <w:tcPr>
            <w:tcW w:w="586" w:type="pct"/>
            <w:tcBorders>
              <w:top w:val="nil"/>
              <w:bottom w:val="nil"/>
              <w:right w:val="dotted" w:sz="4" w:space="0" w:color="auto"/>
            </w:tcBorders>
            <w:noWrap/>
            <w:hideMark/>
          </w:tcPr>
          <w:p w14:paraId="65AED799" w14:textId="77777777" w:rsidR="00723E93" w:rsidRPr="007F6332" w:rsidRDefault="00723E93" w:rsidP="00C1755E">
            <w:pPr>
              <w:ind w:left="-110"/>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2026-27</w:t>
            </w:r>
          </w:p>
        </w:tc>
        <w:tc>
          <w:tcPr>
            <w:tcW w:w="587" w:type="pct"/>
            <w:tcBorders>
              <w:top w:val="nil"/>
              <w:left w:val="dotted" w:sz="4" w:space="0" w:color="auto"/>
              <w:bottom w:val="nil"/>
              <w:right w:val="single" w:sz="4" w:space="0" w:color="auto"/>
            </w:tcBorders>
            <w:noWrap/>
            <w:hideMark/>
          </w:tcPr>
          <w:p w14:paraId="7F91FF6A" w14:textId="77777777" w:rsidR="00723E93" w:rsidRPr="007F6332" w:rsidRDefault="00723E93" w:rsidP="00C1755E">
            <w:pPr>
              <w:ind w:left="-110"/>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2032-33</w:t>
            </w:r>
          </w:p>
        </w:tc>
        <w:tc>
          <w:tcPr>
            <w:tcW w:w="587" w:type="pct"/>
            <w:tcBorders>
              <w:top w:val="nil"/>
              <w:left w:val="single" w:sz="4" w:space="0" w:color="auto"/>
              <w:bottom w:val="nil"/>
            </w:tcBorders>
          </w:tcPr>
          <w:p w14:paraId="1F0088DC" w14:textId="77777777" w:rsidR="00723E93" w:rsidRPr="007F6332" w:rsidRDefault="00723E93" w:rsidP="00C1755E">
            <w:pPr>
              <w:ind w:left="-110"/>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Total 2023-27</w:t>
            </w:r>
          </w:p>
        </w:tc>
      </w:tr>
      <w:tr w:rsidR="00946472" w:rsidRPr="007F6332" w14:paraId="5F2ECD1B" w14:textId="77777777" w:rsidTr="00946472">
        <w:trPr>
          <w:trHeight w:val="301"/>
        </w:trPr>
        <w:tc>
          <w:tcPr>
            <w:cnfStyle w:val="001000000000" w:firstRow="0" w:lastRow="0" w:firstColumn="1" w:lastColumn="0" w:oddVBand="0" w:evenVBand="0" w:oddHBand="0" w:evenHBand="0" w:firstRowFirstColumn="0" w:firstRowLastColumn="0" w:lastRowFirstColumn="0" w:lastRowLastColumn="0"/>
            <w:tcW w:w="1481" w:type="pct"/>
            <w:tcBorders>
              <w:top w:val="nil"/>
              <w:bottom w:val="nil"/>
              <w:right w:val="nil"/>
            </w:tcBorders>
            <w:shd w:val="clear" w:color="auto" w:fill="A6A6A6" w:themeFill="background1" w:themeFillShade="A6"/>
            <w:noWrap/>
            <w:hideMark/>
          </w:tcPr>
          <w:p w14:paraId="784F260C" w14:textId="77777777" w:rsidR="00723E93" w:rsidRPr="007F6332" w:rsidRDefault="00723E93" w:rsidP="006C2D75">
            <w:pPr>
              <w:rPr>
                <w:rFonts w:eastAsia="Times New Roman" w:cs="Arial"/>
                <w:color w:val="000000"/>
                <w:szCs w:val="22"/>
                <w:lang w:eastAsia="en-AU"/>
              </w:rPr>
            </w:pPr>
            <w:r w:rsidRPr="007F6332">
              <w:rPr>
                <w:rFonts w:eastAsia="Times New Roman" w:cs="Arial"/>
                <w:color w:val="000000"/>
                <w:szCs w:val="22"/>
                <w:lang w:eastAsia="en-AU"/>
              </w:rPr>
              <w:t xml:space="preserve">Scheme Expenses </w:t>
            </w:r>
            <w:r w:rsidRPr="007F6332">
              <w:rPr>
                <w:rFonts w:eastAsia="Times New Roman" w:cs="Arial"/>
                <w:b/>
                <w:bCs/>
                <w:color w:val="000000"/>
                <w:szCs w:val="22"/>
                <w:lang w:eastAsia="en-AU"/>
              </w:rPr>
              <w:t>(cash basis)</w:t>
            </w:r>
            <w:r w:rsidRPr="007F6332">
              <w:rPr>
                <w:rFonts w:eastAsia="Times New Roman" w:cs="Arial"/>
                <w:color w:val="000000"/>
                <w:szCs w:val="22"/>
                <w:lang w:eastAsia="en-AU"/>
              </w:rPr>
              <w:t xml:space="preserve"> (0-64)</w:t>
            </w:r>
          </w:p>
        </w:tc>
        <w:tc>
          <w:tcPr>
            <w:tcW w:w="586" w:type="pct"/>
            <w:tcBorders>
              <w:top w:val="nil"/>
              <w:left w:val="nil"/>
              <w:bottom w:val="nil"/>
              <w:right w:val="nil"/>
            </w:tcBorders>
            <w:shd w:val="clear" w:color="auto" w:fill="A6A6A6" w:themeFill="background1" w:themeFillShade="A6"/>
            <w:noWrap/>
          </w:tcPr>
          <w:p w14:paraId="0F739A91" w14:textId="77777777" w:rsidR="00723E93" w:rsidRPr="007F6332" w:rsidRDefault="00723E93" w:rsidP="006C2D7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37,229</w:t>
            </w:r>
          </w:p>
        </w:tc>
        <w:tc>
          <w:tcPr>
            <w:tcW w:w="587" w:type="pct"/>
            <w:tcBorders>
              <w:top w:val="nil"/>
              <w:left w:val="nil"/>
              <w:bottom w:val="nil"/>
              <w:right w:val="nil"/>
            </w:tcBorders>
            <w:shd w:val="clear" w:color="auto" w:fill="A6A6A6" w:themeFill="background1" w:themeFillShade="A6"/>
            <w:noWrap/>
          </w:tcPr>
          <w:p w14:paraId="60FD580F" w14:textId="77777777" w:rsidR="00723E93" w:rsidRPr="007F6332" w:rsidRDefault="00723E93" w:rsidP="006C2D7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41,228</w:t>
            </w:r>
          </w:p>
        </w:tc>
        <w:tc>
          <w:tcPr>
            <w:tcW w:w="587" w:type="pct"/>
            <w:tcBorders>
              <w:top w:val="nil"/>
              <w:left w:val="nil"/>
              <w:bottom w:val="nil"/>
              <w:right w:val="nil"/>
            </w:tcBorders>
            <w:shd w:val="clear" w:color="auto" w:fill="A6A6A6" w:themeFill="background1" w:themeFillShade="A6"/>
            <w:noWrap/>
          </w:tcPr>
          <w:p w14:paraId="722817CE"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44,645</w:t>
            </w:r>
          </w:p>
        </w:tc>
        <w:tc>
          <w:tcPr>
            <w:tcW w:w="586" w:type="pct"/>
            <w:tcBorders>
              <w:top w:val="nil"/>
              <w:left w:val="nil"/>
              <w:bottom w:val="nil"/>
              <w:right w:val="dotted" w:sz="4" w:space="0" w:color="auto"/>
            </w:tcBorders>
            <w:shd w:val="clear" w:color="auto" w:fill="A6A6A6" w:themeFill="background1" w:themeFillShade="A6"/>
            <w:noWrap/>
          </w:tcPr>
          <w:p w14:paraId="07262A4F"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48,026</w:t>
            </w:r>
          </w:p>
        </w:tc>
        <w:tc>
          <w:tcPr>
            <w:tcW w:w="587" w:type="pct"/>
            <w:tcBorders>
              <w:top w:val="nil"/>
              <w:left w:val="dotted" w:sz="4" w:space="0" w:color="auto"/>
              <w:bottom w:val="nil"/>
              <w:right w:val="single" w:sz="4" w:space="0" w:color="auto"/>
            </w:tcBorders>
            <w:shd w:val="clear" w:color="auto" w:fill="A6A6A6" w:themeFill="background1" w:themeFillShade="A6"/>
            <w:noWrap/>
          </w:tcPr>
          <w:p w14:paraId="5E31BE89"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77,991</w:t>
            </w:r>
          </w:p>
        </w:tc>
        <w:tc>
          <w:tcPr>
            <w:tcW w:w="587" w:type="pct"/>
            <w:tcBorders>
              <w:top w:val="nil"/>
              <w:left w:val="single" w:sz="4" w:space="0" w:color="auto"/>
              <w:bottom w:val="nil"/>
            </w:tcBorders>
            <w:shd w:val="clear" w:color="auto" w:fill="A6A6A6" w:themeFill="background1" w:themeFillShade="A6"/>
          </w:tcPr>
          <w:p w14:paraId="3567838F"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szCs w:val="22"/>
              </w:rPr>
              <w:t>171,128</w:t>
            </w:r>
          </w:p>
        </w:tc>
      </w:tr>
      <w:tr w:rsidR="00125F16" w:rsidRPr="007F6332" w14:paraId="4B15792D" w14:textId="77777777" w:rsidTr="00946472">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81" w:type="pct"/>
            <w:tcBorders>
              <w:top w:val="nil"/>
              <w:bottom w:val="nil"/>
            </w:tcBorders>
            <w:shd w:val="clear" w:color="auto" w:fill="FFFFFF" w:themeFill="background1"/>
            <w:noWrap/>
            <w:hideMark/>
          </w:tcPr>
          <w:p w14:paraId="217F5B94" w14:textId="77777777" w:rsidR="00723E93" w:rsidRPr="007F6332" w:rsidRDefault="00723E93" w:rsidP="006C2D75">
            <w:pPr>
              <w:rPr>
                <w:rFonts w:eastAsia="Times New Roman" w:cs="Arial"/>
                <w:color w:val="000000"/>
                <w:szCs w:val="22"/>
                <w:lang w:eastAsia="en-AU"/>
              </w:rPr>
            </w:pPr>
            <w:r w:rsidRPr="007F6332">
              <w:rPr>
                <w:rFonts w:eastAsia="Times New Roman" w:cs="Arial"/>
                <w:color w:val="000000"/>
                <w:szCs w:val="22"/>
                <w:lang w:eastAsia="en-AU"/>
              </w:rPr>
              <w:t xml:space="preserve">Scheme Expenses </w:t>
            </w:r>
            <w:r w:rsidRPr="007F6332">
              <w:rPr>
                <w:rFonts w:eastAsia="Times New Roman" w:cs="Arial"/>
                <w:b/>
                <w:bCs/>
                <w:color w:val="000000"/>
                <w:szCs w:val="22"/>
                <w:lang w:eastAsia="en-AU"/>
              </w:rPr>
              <w:t>(cash basis)</w:t>
            </w:r>
            <w:r w:rsidRPr="007F6332">
              <w:rPr>
                <w:rFonts w:eastAsia="Times New Roman" w:cs="Arial"/>
                <w:color w:val="000000"/>
                <w:szCs w:val="22"/>
                <w:lang w:eastAsia="en-AU"/>
              </w:rPr>
              <w:t xml:space="preserve"> (65+)</w:t>
            </w:r>
          </w:p>
        </w:tc>
        <w:tc>
          <w:tcPr>
            <w:tcW w:w="586" w:type="pct"/>
            <w:tcBorders>
              <w:top w:val="nil"/>
              <w:bottom w:val="nil"/>
            </w:tcBorders>
            <w:shd w:val="clear" w:color="auto" w:fill="FFFFFF" w:themeFill="background1"/>
            <w:noWrap/>
          </w:tcPr>
          <w:p w14:paraId="2DE8FD48" w14:textId="77777777" w:rsidR="00723E93" w:rsidRPr="007F6332" w:rsidRDefault="00723E93" w:rsidP="006C2D75">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3,685</w:t>
            </w:r>
          </w:p>
        </w:tc>
        <w:tc>
          <w:tcPr>
            <w:tcW w:w="587" w:type="pct"/>
            <w:tcBorders>
              <w:top w:val="nil"/>
              <w:bottom w:val="nil"/>
            </w:tcBorders>
            <w:shd w:val="clear" w:color="auto" w:fill="FFFFFF" w:themeFill="background1"/>
            <w:noWrap/>
          </w:tcPr>
          <w:p w14:paraId="5E4975B1" w14:textId="77777777" w:rsidR="00723E93" w:rsidRPr="007F6332" w:rsidRDefault="00723E93" w:rsidP="006C2D75">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4,647</w:t>
            </w:r>
          </w:p>
        </w:tc>
        <w:tc>
          <w:tcPr>
            <w:tcW w:w="587" w:type="pct"/>
            <w:tcBorders>
              <w:top w:val="nil"/>
              <w:bottom w:val="nil"/>
            </w:tcBorders>
            <w:shd w:val="clear" w:color="auto" w:fill="FFFFFF" w:themeFill="background1"/>
            <w:noWrap/>
          </w:tcPr>
          <w:p w14:paraId="4334EC87"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5,594</w:t>
            </w:r>
          </w:p>
        </w:tc>
        <w:tc>
          <w:tcPr>
            <w:tcW w:w="586" w:type="pct"/>
            <w:tcBorders>
              <w:top w:val="nil"/>
              <w:bottom w:val="nil"/>
              <w:right w:val="dotted" w:sz="4" w:space="0" w:color="auto"/>
            </w:tcBorders>
            <w:shd w:val="clear" w:color="auto" w:fill="FFFFFF" w:themeFill="background1"/>
            <w:noWrap/>
          </w:tcPr>
          <w:p w14:paraId="6062E017"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6,583</w:t>
            </w:r>
          </w:p>
        </w:tc>
        <w:tc>
          <w:tcPr>
            <w:tcW w:w="587" w:type="pct"/>
            <w:tcBorders>
              <w:top w:val="nil"/>
              <w:left w:val="dotted" w:sz="4" w:space="0" w:color="auto"/>
              <w:bottom w:val="nil"/>
              <w:right w:val="single" w:sz="4" w:space="0" w:color="auto"/>
            </w:tcBorders>
            <w:shd w:val="clear" w:color="auto" w:fill="FFFFFF" w:themeFill="background1"/>
            <w:noWrap/>
          </w:tcPr>
          <w:p w14:paraId="4C3BC585"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13,331</w:t>
            </w:r>
          </w:p>
        </w:tc>
        <w:tc>
          <w:tcPr>
            <w:tcW w:w="587" w:type="pct"/>
            <w:tcBorders>
              <w:top w:val="nil"/>
              <w:left w:val="single" w:sz="4" w:space="0" w:color="auto"/>
              <w:bottom w:val="nil"/>
            </w:tcBorders>
            <w:shd w:val="clear" w:color="auto" w:fill="FFFFFF" w:themeFill="background1"/>
          </w:tcPr>
          <w:p w14:paraId="2C156020"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szCs w:val="22"/>
              </w:rPr>
              <w:t>20,510</w:t>
            </w:r>
          </w:p>
        </w:tc>
      </w:tr>
      <w:tr w:rsidR="00125F16" w:rsidRPr="007F6332" w14:paraId="030BE56D" w14:textId="77777777" w:rsidTr="00946472">
        <w:trPr>
          <w:trHeight w:val="301"/>
        </w:trPr>
        <w:tc>
          <w:tcPr>
            <w:cnfStyle w:val="001000000000" w:firstRow="0" w:lastRow="0" w:firstColumn="1" w:lastColumn="0" w:oddVBand="0" w:evenVBand="0" w:oddHBand="0" w:evenHBand="0" w:firstRowFirstColumn="0" w:firstRowLastColumn="0" w:lastRowFirstColumn="0" w:lastRowLastColumn="0"/>
            <w:tcW w:w="1481" w:type="pct"/>
            <w:tcBorders>
              <w:top w:val="nil"/>
              <w:bottom w:val="nil"/>
            </w:tcBorders>
            <w:shd w:val="clear" w:color="auto" w:fill="B398B8"/>
            <w:noWrap/>
            <w:hideMark/>
          </w:tcPr>
          <w:p w14:paraId="11D68D1D" w14:textId="77777777" w:rsidR="00723E93" w:rsidRPr="007F6332" w:rsidRDefault="00723E93" w:rsidP="006C2D75">
            <w:pPr>
              <w:rPr>
                <w:rFonts w:eastAsia="Times New Roman" w:cs="Arial"/>
                <w:b/>
                <w:bCs/>
                <w:color w:val="000000"/>
                <w:szCs w:val="22"/>
                <w:lang w:eastAsia="en-AU"/>
              </w:rPr>
            </w:pPr>
            <w:r w:rsidRPr="007F6332">
              <w:rPr>
                <w:rFonts w:eastAsia="Times New Roman" w:cs="Arial"/>
                <w:b/>
                <w:bCs/>
                <w:color w:val="000000"/>
                <w:szCs w:val="22"/>
                <w:lang w:eastAsia="en-AU"/>
              </w:rPr>
              <w:t>Total Scheme Expenses (cash basis)</w:t>
            </w:r>
          </w:p>
        </w:tc>
        <w:tc>
          <w:tcPr>
            <w:tcW w:w="586" w:type="pct"/>
            <w:tcBorders>
              <w:top w:val="nil"/>
              <w:bottom w:val="nil"/>
            </w:tcBorders>
            <w:shd w:val="clear" w:color="auto" w:fill="B398B8"/>
            <w:noWrap/>
          </w:tcPr>
          <w:p w14:paraId="6EF05C3C" w14:textId="77777777" w:rsidR="00723E93" w:rsidRPr="007F6332" w:rsidRDefault="00723E93" w:rsidP="006C2D75">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szCs w:val="22"/>
              </w:rPr>
              <w:t>40,914</w:t>
            </w:r>
          </w:p>
        </w:tc>
        <w:tc>
          <w:tcPr>
            <w:tcW w:w="587" w:type="pct"/>
            <w:tcBorders>
              <w:top w:val="nil"/>
              <w:bottom w:val="nil"/>
            </w:tcBorders>
            <w:shd w:val="clear" w:color="auto" w:fill="B398B8"/>
            <w:noWrap/>
          </w:tcPr>
          <w:p w14:paraId="160F6DAC" w14:textId="77777777" w:rsidR="00723E93" w:rsidRPr="007F6332" w:rsidRDefault="00723E93" w:rsidP="006C2D75">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szCs w:val="22"/>
              </w:rPr>
              <w:t>45,875</w:t>
            </w:r>
          </w:p>
        </w:tc>
        <w:tc>
          <w:tcPr>
            <w:tcW w:w="587" w:type="pct"/>
            <w:tcBorders>
              <w:top w:val="nil"/>
              <w:bottom w:val="nil"/>
            </w:tcBorders>
            <w:shd w:val="clear" w:color="auto" w:fill="B398B8"/>
            <w:noWrap/>
          </w:tcPr>
          <w:p w14:paraId="68EF2D55"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szCs w:val="22"/>
              </w:rPr>
              <w:t>50,239</w:t>
            </w:r>
          </w:p>
        </w:tc>
        <w:tc>
          <w:tcPr>
            <w:tcW w:w="586" w:type="pct"/>
            <w:tcBorders>
              <w:top w:val="nil"/>
              <w:bottom w:val="nil"/>
              <w:right w:val="dotted" w:sz="4" w:space="0" w:color="auto"/>
            </w:tcBorders>
            <w:shd w:val="clear" w:color="auto" w:fill="B398B8"/>
            <w:noWrap/>
          </w:tcPr>
          <w:p w14:paraId="3AAB0B84"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szCs w:val="22"/>
              </w:rPr>
              <w:t>54,609</w:t>
            </w:r>
          </w:p>
        </w:tc>
        <w:tc>
          <w:tcPr>
            <w:tcW w:w="587" w:type="pct"/>
            <w:tcBorders>
              <w:top w:val="nil"/>
              <w:left w:val="dotted" w:sz="4" w:space="0" w:color="auto"/>
              <w:bottom w:val="nil"/>
              <w:right w:val="single" w:sz="4" w:space="0" w:color="auto"/>
            </w:tcBorders>
            <w:shd w:val="clear" w:color="auto" w:fill="B398B8"/>
            <w:noWrap/>
          </w:tcPr>
          <w:p w14:paraId="4EE5A789"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szCs w:val="22"/>
              </w:rPr>
              <w:t>91,322</w:t>
            </w:r>
          </w:p>
        </w:tc>
        <w:tc>
          <w:tcPr>
            <w:tcW w:w="587" w:type="pct"/>
            <w:tcBorders>
              <w:top w:val="nil"/>
              <w:left w:val="single" w:sz="4" w:space="0" w:color="auto"/>
              <w:bottom w:val="nil"/>
            </w:tcBorders>
            <w:shd w:val="clear" w:color="auto" w:fill="B398B8"/>
          </w:tcPr>
          <w:p w14:paraId="5B5911C7"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2"/>
                <w:lang w:eastAsia="en-AU"/>
              </w:rPr>
            </w:pPr>
            <w:r w:rsidRPr="007F6332">
              <w:rPr>
                <w:rFonts w:cs="Arial"/>
                <w:b/>
                <w:szCs w:val="22"/>
              </w:rPr>
              <w:t>191,638</w:t>
            </w:r>
          </w:p>
        </w:tc>
      </w:tr>
      <w:tr w:rsidR="00125F16" w:rsidRPr="007F6332" w14:paraId="60AA75ED" w14:textId="77777777" w:rsidTr="00946472">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81" w:type="pct"/>
            <w:tcBorders>
              <w:top w:val="nil"/>
            </w:tcBorders>
            <w:shd w:val="clear" w:color="auto" w:fill="A6A6A6" w:themeFill="background1" w:themeFillShade="A6"/>
            <w:noWrap/>
            <w:hideMark/>
          </w:tcPr>
          <w:p w14:paraId="7A6D29D0" w14:textId="77777777" w:rsidR="00723E93" w:rsidRPr="007F6332" w:rsidRDefault="00723E93" w:rsidP="006C2D75">
            <w:pPr>
              <w:rPr>
                <w:rFonts w:eastAsia="Times New Roman" w:cs="Arial"/>
                <w:color w:val="000000"/>
                <w:szCs w:val="22"/>
                <w:lang w:eastAsia="en-AU"/>
              </w:rPr>
            </w:pPr>
            <w:r w:rsidRPr="007F6332">
              <w:rPr>
                <w:rFonts w:eastAsia="Times New Roman" w:cs="Arial"/>
                <w:color w:val="000000"/>
                <w:szCs w:val="22"/>
                <w:lang w:eastAsia="en-AU"/>
              </w:rPr>
              <w:t xml:space="preserve">Scheme Expenses </w:t>
            </w:r>
            <w:r w:rsidRPr="007F6332">
              <w:rPr>
                <w:rFonts w:eastAsia="Times New Roman" w:cs="Arial"/>
                <w:b/>
                <w:bCs/>
                <w:color w:val="000000"/>
                <w:szCs w:val="22"/>
                <w:lang w:eastAsia="en-AU"/>
              </w:rPr>
              <w:t>(accrual basis)</w:t>
            </w:r>
            <w:r w:rsidRPr="007F6332">
              <w:rPr>
                <w:rFonts w:eastAsia="Times New Roman" w:cs="Arial"/>
                <w:color w:val="000000"/>
                <w:szCs w:val="22"/>
                <w:lang w:eastAsia="en-AU"/>
              </w:rPr>
              <w:t xml:space="preserve"> (0-64) </w:t>
            </w:r>
          </w:p>
        </w:tc>
        <w:tc>
          <w:tcPr>
            <w:tcW w:w="586" w:type="pct"/>
            <w:tcBorders>
              <w:top w:val="nil"/>
            </w:tcBorders>
            <w:shd w:val="clear" w:color="auto" w:fill="A6A6A6" w:themeFill="background1" w:themeFillShade="A6"/>
            <w:noWrap/>
          </w:tcPr>
          <w:p w14:paraId="48E9F8A4" w14:textId="77777777" w:rsidR="00723E93" w:rsidRPr="007F6332" w:rsidRDefault="00723E93" w:rsidP="006C2D75">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37,635</w:t>
            </w:r>
          </w:p>
        </w:tc>
        <w:tc>
          <w:tcPr>
            <w:tcW w:w="587" w:type="pct"/>
            <w:tcBorders>
              <w:top w:val="nil"/>
            </w:tcBorders>
            <w:shd w:val="clear" w:color="auto" w:fill="A6A6A6" w:themeFill="background1" w:themeFillShade="A6"/>
            <w:noWrap/>
          </w:tcPr>
          <w:p w14:paraId="52F48185" w14:textId="77777777" w:rsidR="00723E93" w:rsidRPr="007F6332" w:rsidRDefault="00723E93" w:rsidP="006C2D75">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41,678</w:t>
            </w:r>
          </w:p>
        </w:tc>
        <w:tc>
          <w:tcPr>
            <w:tcW w:w="587" w:type="pct"/>
            <w:tcBorders>
              <w:top w:val="nil"/>
            </w:tcBorders>
            <w:shd w:val="clear" w:color="auto" w:fill="A6A6A6" w:themeFill="background1" w:themeFillShade="A6"/>
            <w:noWrap/>
          </w:tcPr>
          <w:p w14:paraId="0919B246"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45,133</w:t>
            </w:r>
          </w:p>
        </w:tc>
        <w:tc>
          <w:tcPr>
            <w:tcW w:w="586" w:type="pct"/>
            <w:tcBorders>
              <w:top w:val="nil"/>
              <w:right w:val="dotted" w:sz="4" w:space="0" w:color="auto"/>
            </w:tcBorders>
            <w:shd w:val="clear" w:color="auto" w:fill="A6A6A6" w:themeFill="background1" w:themeFillShade="A6"/>
            <w:noWrap/>
          </w:tcPr>
          <w:p w14:paraId="39D8CA92"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48,553</w:t>
            </w:r>
          </w:p>
        </w:tc>
        <w:tc>
          <w:tcPr>
            <w:tcW w:w="587" w:type="pct"/>
            <w:tcBorders>
              <w:top w:val="nil"/>
              <w:left w:val="dotted" w:sz="4" w:space="0" w:color="auto"/>
              <w:bottom w:val="nil"/>
              <w:right w:val="single" w:sz="4" w:space="0" w:color="auto"/>
            </w:tcBorders>
            <w:shd w:val="clear" w:color="auto" w:fill="A6A6A6" w:themeFill="background1" w:themeFillShade="A6"/>
            <w:noWrap/>
          </w:tcPr>
          <w:p w14:paraId="4CE02425"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78,865</w:t>
            </w:r>
          </w:p>
        </w:tc>
        <w:tc>
          <w:tcPr>
            <w:tcW w:w="587" w:type="pct"/>
            <w:tcBorders>
              <w:top w:val="nil"/>
              <w:left w:val="single" w:sz="4" w:space="0" w:color="auto"/>
              <w:bottom w:val="nil"/>
            </w:tcBorders>
            <w:shd w:val="clear" w:color="auto" w:fill="A6A6A6" w:themeFill="background1" w:themeFillShade="A6"/>
          </w:tcPr>
          <w:p w14:paraId="4DD788DD"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szCs w:val="22"/>
              </w:rPr>
              <w:t>172,999</w:t>
            </w:r>
          </w:p>
        </w:tc>
      </w:tr>
      <w:tr w:rsidR="00545431" w:rsidRPr="007F6332" w14:paraId="77056FB7" w14:textId="77777777" w:rsidTr="00946472">
        <w:trPr>
          <w:trHeight w:val="301"/>
        </w:trPr>
        <w:tc>
          <w:tcPr>
            <w:cnfStyle w:val="001000000000" w:firstRow="0" w:lastRow="0" w:firstColumn="1" w:lastColumn="0" w:oddVBand="0" w:evenVBand="0" w:oddHBand="0" w:evenHBand="0" w:firstRowFirstColumn="0" w:firstRowLastColumn="0" w:lastRowFirstColumn="0" w:lastRowLastColumn="0"/>
            <w:tcW w:w="1481" w:type="pct"/>
            <w:tcBorders>
              <w:bottom w:val="nil"/>
            </w:tcBorders>
            <w:noWrap/>
            <w:hideMark/>
          </w:tcPr>
          <w:p w14:paraId="067AF7AB" w14:textId="77777777" w:rsidR="00723E93" w:rsidRPr="007F6332" w:rsidRDefault="00723E93" w:rsidP="006C2D75">
            <w:pPr>
              <w:rPr>
                <w:rFonts w:eastAsia="Times New Roman" w:cs="Arial"/>
                <w:color w:val="000000"/>
                <w:szCs w:val="22"/>
                <w:lang w:eastAsia="en-AU"/>
              </w:rPr>
            </w:pPr>
            <w:r w:rsidRPr="007F6332">
              <w:rPr>
                <w:rFonts w:eastAsia="Times New Roman" w:cs="Arial"/>
                <w:color w:val="000000"/>
                <w:szCs w:val="22"/>
                <w:lang w:eastAsia="en-AU"/>
              </w:rPr>
              <w:t xml:space="preserve">Scheme Expenses </w:t>
            </w:r>
            <w:r w:rsidRPr="007F6332">
              <w:rPr>
                <w:rFonts w:eastAsia="Times New Roman" w:cs="Arial"/>
                <w:b/>
                <w:bCs/>
                <w:color w:val="000000"/>
                <w:szCs w:val="22"/>
                <w:lang w:eastAsia="en-AU"/>
              </w:rPr>
              <w:t>(accrual basis)</w:t>
            </w:r>
            <w:r w:rsidRPr="007F6332">
              <w:rPr>
                <w:rFonts w:eastAsia="Times New Roman" w:cs="Arial"/>
                <w:color w:val="000000"/>
                <w:szCs w:val="22"/>
                <w:lang w:eastAsia="en-AU"/>
              </w:rPr>
              <w:t xml:space="preserve"> (65+) </w:t>
            </w:r>
          </w:p>
        </w:tc>
        <w:tc>
          <w:tcPr>
            <w:tcW w:w="586" w:type="pct"/>
            <w:tcBorders>
              <w:bottom w:val="nil"/>
            </w:tcBorders>
            <w:noWrap/>
          </w:tcPr>
          <w:p w14:paraId="367C042F" w14:textId="77777777" w:rsidR="00723E93" w:rsidRPr="007F6332" w:rsidRDefault="00723E93" w:rsidP="006C2D7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3,725</w:t>
            </w:r>
          </w:p>
        </w:tc>
        <w:tc>
          <w:tcPr>
            <w:tcW w:w="587" w:type="pct"/>
            <w:tcBorders>
              <w:bottom w:val="nil"/>
            </w:tcBorders>
            <w:noWrap/>
          </w:tcPr>
          <w:p w14:paraId="4EB9473B" w14:textId="77777777" w:rsidR="00723E93" w:rsidRPr="007F6332" w:rsidRDefault="00723E93" w:rsidP="006C2D7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4,698</w:t>
            </w:r>
          </w:p>
        </w:tc>
        <w:tc>
          <w:tcPr>
            <w:tcW w:w="587" w:type="pct"/>
            <w:tcBorders>
              <w:bottom w:val="nil"/>
            </w:tcBorders>
            <w:noWrap/>
          </w:tcPr>
          <w:p w14:paraId="34EE7934"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5,655</w:t>
            </w:r>
          </w:p>
        </w:tc>
        <w:tc>
          <w:tcPr>
            <w:tcW w:w="586" w:type="pct"/>
            <w:tcBorders>
              <w:bottom w:val="nil"/>
              <w:right w:val="dotted" w:sz="4" w:space="0" w:color="auto"/>
            </w:tcBorders>
            <w:noWrap/>
          </w:tcPr>
          <w:p w14:paraId="3BAC8068"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6,655</w:t>
            </w:r>
          </w:p>
        </w:tc>
        <w:tc>
          <w:tcPr>
            <w:tcW w:w="587" w:type="pct"/>
            <w:tcBorders>
              <w:top w:val="nil"/>
              <w:left w:val="dotted" w:sz="4" w:space="0" w:color="auto"/>
              <w:bottom w:val="nil"/>
              <w:right w:val="single" w:sz="4" w:space="0" w:color="auto"/>
            </w:tcBorders>
            <w:noWrap/>
          </w:tcPr>
          <w:p w14:paraId="63C6D851"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13,476</w:t>
            </w:r>
          </w:p>
        </w:tc>
        <w:tc>
          <w:tcPr>
            <w:tcW w:w="587" w:type="pct"/>
            <w:tcBorders>
              <w:top w:val="nil"/>
              <w:left w:val="single" w:sz="4" w:space="0" w:color="auto"/>
              <w:bottom w:val="nil"/>
            </w:tcBorders>
          </w:tcPr>
          <w:p w14:paraId="5E6580A7"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szCs w:val="22"/>
              </w:rPr>
              <w:t>20,732</w:t>
            </w:r>
          </w:p>
        </w:tc>
      </w:tr>
      <w:tr w:rsidR="00125F16" w:rsidRPr="007F6332" w14:paraId="69CB1F4B" w14:textId="77777777" w:rsidTr="00946472">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81" w:type="pct"/>
            <w:tcBorders>
              <w:top w:val="nil"/>
              <w:bottom w:val="nil"/>
            </w:tcBorders>
            <w:shd w:val="clear" w:color="auto" w:fill="D4C5D7"/>
            <w:noWrap/>
            <w:hideMark/>
          </w:tcPr>
          <w:p w14:paraId="269BB2A6" w14:textId="03DBCE98" w:rsidR="00723E93" w:rsidRPr="007F6332" w:rsidRDefault="00723E93" w:rsidP="006C2D75">
            <w:pPr>
              <w:rPr>
                <w:rFonts w:eastAsia="Times New Roman" w:cs="Arial"/>
                <w:b/>
                <w:bCs/>
                <w:color w:val="000000"/>
                <w:szCs w:val="22"/>
                <w:lang w:eastAsia="en-AU"/>
              </w:rPr>
            </w:pPr>
            <w:r w:rsidRPr="007F6332">
              <w:rPr>
                <w:rFonts w:eastAsia="Times New Roman" w:cs="Arial"/>
                <w:b/>
                <w:bCs/>
                <w:color w:val="000000"/>
                <w:szCs w:val="22"/>
                <w:lang w:eastAsia="en-AU"/>
              </w:rPr>
              <w:t>Total Scheme Expenses (accrual basis) </w:t>
            </w:r>
          </w:p>
        </w:tc>
        <w:tc>
          <w:tcPr>
            <w:tcW w:w="586" w:type="pct"/>
            <w:tcBorders>
              <w:top w:val="nil"/>
              <w:bottom w:val="nil"/>
            </w:tcBorders>
            <w:shd w:val="clear" w:color="auto" w:fill="D4C5D7"/>
            <w:noWrap/>
          </w:tcPr>
          <w:p w14:paraId="3E2144D3" w14:textId="77777777" w:rsidR="00723E93" w:rsidRPr="007F6332" w:rsidRDefault="00723E93" w:rsidP="006C2D75">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szCs w:val="22"/>
              </w:rPr>
              <w:t>41,360</w:t>
            </w:r>
          </w:p>
        </w:tc>
        <w:tc>
          <w:tcPr>
            <w:tcW w:w="587" w:type="pct"/>
            <w:tcBorders>
              <w:top w:val="nil"/>
              <w:bottom w:val="nil"/>
            </w:tcBorders>
            <w:shd w:val="clear" w:color="auto" w:fill="D4C5D7"/>
            <w:noWrap/>
          </w:tcPr>
          <w:p w14:paraId="1D5A272D" w14:textId="77777777" w:rsidR="00723E93" w:rsidRPr="007F6332" w:rsidRDefault="00723E93" w:rsidP="006C2D75">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szCs w:val="22"/>
              </w:rPr>
              <w:t>46,376</w:t>
            </w:r>
          </w:p>
        </w:tc>
        <w:tc>
          <w:tcPr>
            <w:tcW w:w="587" w:type="pct"/>
            <w:tcBorders>
              <w:top w:val="nil"/>
              <w:bottom w:val="nil"/>
            </w:tcBorders>
            <w:shd w:val="clear" w:color="auto" w:fill="D4C5D7"/>
            <w:noWrap/>
          </w:tcPr>
          <w:p w14:paraId="269D98A1"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szCs w:val="22"/>
              </w:rPr>
              <w:t>50,788</w:t>
            </w:r>
          </w:p>
        </w:tc>
        <w:tc>
          <w:tcPr>
            <w:tcW w:w="586" w:type="pct"/>
            <w:tcBorders>
              <w:top w:val="nil"/>
              <w:bottom w:val="nil"/>
              <w:right w:val="dotted" w:sz="4" w:space="0" w:color="auto"/>
            </w:tcBorders>
            <w:shd w:val="clear" w:color="auto" w:fill="D4C5D7"/>
            <w:noWrap/>
          </w:tcPr>
          <w:p w14:paraId="06F52392"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szCs w:val="22"/>
              </w:rPr>
              <w:t>55,207</w:t>
            </w:r>
          </w:p>
        </w:tc>
        <w:tc>
          <w:tcPr>
            <w:tcW w:w="587" w:type="pct"/>
            <w:tcBorders>
              <w:top w:val="nil"/>
              <w:left w:val="dotted" w:sz="4" w:space="0" w:color="auto"/>
              <w:bottom w:val="nil"/>
              <w:right w:val="single" w:sz="4" w:space="0" w:color="auto"/>
            </w:tcBorders>
            <w:shd w:val="clear" w:color="auto" w:fill="D4C5D7"/>
            <w:noWrap/>
          </w:tcPr>
          <w:p w14:paraId="05624BAB"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cs="Arial"/>
                <w:b/>
                <w:szCs w:val="22"/>
              </w:rPr>
              <w:t>92,341</w:t>
            </w:r>
          </w:p>
        </w:tc>
        <w:tc>
          <w:tcPr>
            <w:tcW w:w="587" w:type="pct"/>
            <w:tcBorders>
              <w:top w:val="nil"/>
              <w:left w:val="single" w:sz="4" w:space="0" w:color="auto"/>
              <w:bottom w:val="nil"/>
            </w:tcBorders>
            <w:shd w:val="clear" w:color="auto" w:fill="D4C5D7"/>
          </w:tcPr>
          <w:p w14:paraId="26FD985E" w14:textId="77777777" w:rsidR="00723E93" w:rsidRPr="007F6332" w:rsidRDefault="00723E93" w:rsidP="00C1755E">
            <w:pPr>
              <w:ind w:left="-110"/>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szCs w:val="22"/>
              </w:rPr>
              <w:t>193,731</w:t>
            </w:r>
          </w:p>
        </w:tc>
      </w:tr>
      <w:tr w:rsidR="00125F16" w:rsidRPr="007F6332" w14:paraId="4B0293A2" w14:textId="77777777" w:rsidTr="00946472">
        <w:trPr>
          <w:trHeight w:val="301"/>
        </w:trPr>
        <w:tc>
          <w:tcPr>
            <w:cnfStyle w:val="001000000000" w:firstRow="0" w:lastRow="0" w:firstColumn="1" w:lastColumn="0" w:oddVBand="0" w:evenVBand="0" w:oddHBand="0" w:evenHBand="0" w:firstRowFirstColumn="0" w:firstRowLastColumn="0" w:lastRowFirstColumn="0" w:lastRowLastColumn="0"/>
            <w:tcW w:w="1481" w:type="pct"/>
            <w:tcBorders>
              <w:top w:val="nil"/>
              <w:bottom w:val="nil"/>
            </w:tcBorders>
            <w:shd w:val="clear" w:color="auto" w:fill="B398B8"/>
            <w:noWrap/>
          </w:tcPr>
          <w:p w14:paraId="307C7596" w14:textId="77777777" w:rsidR="00723E93" w:rsidRPr="007F6332" w:rsidRDefault="00723E93" w:rsidP="00C1755E">
            <w:pPr>
              <w:ind w:right="-113"/>
              <w:rPr>
                <w:rFonts w:eastAsia="Times New Roman" w:cs="Arial"/>
                <w:b/>
                <w:bCs/>
                <w:color w:val="000000"/>
                <w:szCs w:val="22"/>
                <w:lang w:eastAsia="en-AU"/>
              </w:rPr>
            </w:pPr>
            <w:r w:rsidRPr="007F6332">
              <w:rPr>
                <w:rFonts w:eastAsia="Times New Roman" w:cs="Arial"/>
                <w:b/>
                <w:bCs/>
                <w:color w:val="000000"/>
                <w:szCs w:val="22"/>
                <w:lang w:eastAsia="en-AU"/>
              </w:rPr>
              <w:t xml:space="preserve">Total Scheme Expenses </w:t>
            </w:r>
          </w:p>
          <w:p w14:paraId="31B7C034" w14:textId="77777777" w:rsidR="00723E93" w:rsidRPr="007F6332" w:rsidRDefault="00723E93" w:rsidP="006C2D75">
            <w:pPr>
              <w:rPr>
                <w:rFonts w:eastAsia="Times New Roman" w:cs="Arial"/>
                <w:b/>
                <w:bCs/>
                <w:color w:val="000000"/>
                <w:szCs w:val="22"/>
                <w:lang w:eastAsia="en-AU"/>
              </w:rPr>
            </w:pPr>
            <w:r w:rsidRPr="007F6332">
              <w:rPr>
                <w:rFonts w:eastAsia="Times New Roman" w:cs="Arial"/>
                <w:b/>
                <w:bCs/>
                <w:color w:val="000000"/>
                <w:szCs w:val="22"/>
                <w:lang w:eastAsia="en-AU"/>
              </w:rPr>
              <w:t>(% of GDP)</w:t>
            </w:r>
          </w:p>
        </w:tc>
        <w:tc>
          <w:tcPr>
            <w:tcW w:w="586" w:type="pct"/>
            <w:tcBorders>
              <w:top w:val="nil"/>
              <w:bottom w:val="nil"/>
            </w:tcBorders>
            <w:shd w:val="clear" w:color="auto" w:fill="B398B8"/>
            <w:noWrap/>
          </w:tcPr>
          <w:p w14:paraId="71555405" w14:textId="77777777" w:rsidR="00723E93" w:rsidRPr="007F6332" w:rsidRDefault="00723E93" w:rsidP="006C2D75">
            <w:pPr>
              <w:cnfStyle w:val="000000000000" w:firstRow="0" w:lastRow="0" w:firstColumn="0" w:lastColumn="0" w:oddVBand="0" w:evenVBand="0" w:oddHBand="0" w:evenHBand="0" w:firstRowFirstColumn="0" w:firstRowLastColumn="0" w:lastRowFirstColumn="0" w:lastRowLastColumn="0"/>
              <w:rPr>
                <w:rFonts w:cs="Arial"/>
                <w:b/>
                <w:szCs w:val="22"/>
              </w:rPr>
            </w:pPr>
            <w:r w:rsidRPr="007F6332">
              <w:rPr>
                <w:rFonts w:cs="Arial"/>
                <w:b/>
                <w:szCs w:val="22"/>
              </w:rPr>
              <w:t>1.61%</w:t>
            </w:r>
          </w:p>
        </w:tc>
        <w:tc>
          <w:tcPr>
            <w:tcW w:w="587" w:type="pct"/>
            <w:tcBorders>
              <w:top w:val="nil"/>
              <w:bottom w:val="nil"/>
            </w:tcBorders>
            <w:shd w:val="clear" w:color="auto" w:fill="B398B8"/>
            <w:noWrap/>
          </w:tcPr>
          <w:p w14:paraId="71852871" w14:textId="77777777" w:rsidR="00723E93" w:rsidRPr="007F6332" w:rsidRDefault="00723E93" w:rsidP="006C2D75">
            <w:pPr>
              <w:cnfStyle w:val="000000000000" w:firstRow="0" w:lastRow="0" w:firstColumn="0" w:lastColumn="0" w:oddVBand="0" w:evenVBand="0" w:oddHBand="0" w:evenHBand="0" w:firstRowFirstColumn="0" w:firstRowLastColumn="0" w:lastRowFirstColumn="0" w:lastRowLastColumn="0"/>
              <w:rPr>
                <w:rFonts w:cs="Arial"/>
                <w:b/>
                <w:szCs w:val="22"/>
              </w:rPr>
            </w:pPr>
            <w:r w:rsidRPr="007F6332">
              <w:rPr>
                <w:rFonts w:cs="Arial"/>
                <w:b/>
                <w:szCs w:val="22"/>
              </w:rPr>
              <w:t>1.76%</w:t>
            </w:r>
          </w:p>
        </w:tc>
        <w:tc>
          <w:tcPr>
            <w:tcW w:w="587" w:type="pct"/>
            <w:tcBorders>
              <w:top w:val="nil"/>
              <w:bottom w:val="nil"/>
            </w:tcBorders>
            <w:shd w:val="clear" w:color="auto" w:fill="B398B8"/>
            <w:noWrap/>
          </w:tcPr>
          <w:p w14:paraId="1C6D7528"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cs="Arial"/>
                <w:b/>
                <w:szCs w:val="22"/>
              </w:rPr>
            </w:pPr>
            <w:r w:rsidRPr="007F6332">
              <w:rPr>
                <w:rFonts w:cs="Arial"/>
                <w:b/>
                <w:szCs w:val="22"/>
              </w:rPr>
              <w:t>1.83%</w:t>
            </w:r>
          </w:p>
        </w:tc>
        <w:tc>
          <w:tcPr>
            <w:tcW w:w="586" w:type="pct"/>
            <w:tcBorders>
              <w:top w:val="nil"/>
              <w:bottom w:val="nil"/>
              <w:right w:val="dotted" w:sz="4" w:space="0" w:color="auto"/>
            </w:tcBorders>
            <w:shd w:val="clear" w:color="auto" w:fill="B398B8"/>
            <w:noWrap/>
          </w:tcPr>
          <w:p w14:paraId="2E344DFC"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cs="Arial"/>
                <w:b/>
                <w:szCs w:val="22"/>
              </w:rPr>
            </w:pPr>
            <w:r w:rsidRPr="007F6332">
              <w:rPr>
                <w:rFonts w:cs="Arial"/>
                <w:b/>
                <w:szCs w:val="22"/>
              </w:rPr>
              <w:t>1.89%</w:t>
            </w:r>
          </w:p>
        </w:tc>
        <w:tc>
          <w:tcPr>
            <w:tcW w:w="587" w:type="pct"/>
            <w:tcBorders>
              <w:top w:val="nil"/>
              <w:left w:val="dotted" w:sz="4" w:space="0" w:color="auto"/>
              <w:bottom w:val="nil"/>
              <w:right w:val="single" w:sz="4" w:space="0" w:color="auto"/>
            </w:tcBorders>
            <w:shd w:val="clear" w:color="auto" w:fill="B398B8"/>
            <w:noWrap/>
          </w:tcPr>
          <w:p w14:paraId="27A076D8"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cs="Arial"/>
                <w:b/>
                <w:szCs w:val="22"/>
              </w:rPr>
            </w:pPr>
            <w:r w:rsidRPr="007F6332">
              <w:rPr>
                <w:rFonts w:cs="Arial"/>
                <w:b/>
                <w:szCs w:val="22"/>
              </w:rPr>
              <w:t>2.33%</w:t>
            </w:r>
          </w:p>
        </w:tc>
        <w:tc>
          <w:tcPr>
            <w:tcW w:w="587" w:type="pct"/>
            <w:tcBorders>
              <w:top w:val="nil"/>
              <w:left w:val="single" w:sz="4" w:space="0" w:color="auto"/>
              <w:bottom w:val="nil"/>
            </w:tcBorders>
            <w:shd w:val="clear" w:color="auto" w:fill="B398B8"/>
          </w:tcPr>
          <w:p w14:paraId="51FBFC15" w14:textId="77777777" w:rsidR="00723E93" w:rsidRPr="007F6332" w:rsidRDefault="00723E93" w:rsidP="00C1755E">
            <w:pPr>
              <w:ind w:left="-110"/>
              <w:cnfStyle w:val="000000000000" w:firstRow="0" w:lastRow="0" w:firstColumn="0" w:lastColumn="0" w:oddVBand="0" w:evenVBand="0" w:oddHBand="0" w:evenHBand="0" w:firstRowFirstColumn="0" w:firstRowLastColumn="0" w:lastRowFirstColumn="0" w:lastRowLastColumn="0"/>
              <w:rPr>
                <w:rFonts w:cs="Arial"/>
                <w:b/>
                <w:szCs w:val="22"/>
              </w:rPr>
            </w:pPr>
            <w:r w:rsidRPr="007F6332">
              <w:rPr>
                <w:rFonts w:cs="Arial"/>
                <w:b/>
                <w:szCs w:val="22"/>
              </w:rPr>
              <w:t>1.77%</w:t>
            </w:r>
          </w:p>
        </w:tc>
      </w:tr>
      <w:tr w:rsidR="00125F16" w:rsidRPr="007F6332" w14:paraId="102A83B9" w14:textId="77777777" w:rsidTr="00946472">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81" w:type="pct"/>
            <w:tcBorders>
              <w:top w:val="nil"/>
              <w:bottom w:val="single" w:sz="4" w:space="0" w:color="auto"/>
            </w:tcBorders>
            <w:shd w:val="clear" w:color="auto" w:fill="D4C5D7"/>
            <w:noWrap/>
          </w:tcPr>
          <w:p w14:paraId="62C86E9A" w14:textId="09258E33" w:rsidR="00432463" w:rsidRPr="007F6332" w:rsidRDefault="00432463" w:rsidP="00432463">
            <w:pPr>
              <w:rPr>
                <w:rFonts w:eastAsia="Times New Roman" w:cs="Arial"/>
                <w:b/>
                <w:bCs/>
                <w:color w:val="000000"/>
                <w:szCs w:val="22"/>
                <w:lang w:eastAsia="en-AU"/>
              </w:rPr>
            </w:pPr>
            <w:r w:rsidRPr="007F6332">
              <w:rPr>
                <w:rFonts w:eastAsia="Times New Roman" w:cs="Arial"/>
                <w:b/>
                <w:bCs/>
                <w:color w:val="000000"/>
                <w:szCs w:val="22"/>
                <w:lang w:eastAsia="en-AU"/>
              </w:rPr>
              <w:t>Total Scheme Expenses (accrual basis)</w:t>
            </w:r>
            <w:r w:rsidR="006735EE" w:rsidRPr="007F6332">
              <w:rPr>
                <w:rFonts w:eastAsia="Times New Roman" w:cs="Arial"/>
                <w:b/>
                <w:bCs/>
                <w:color w:val="000000"/>
                <w:szCs w:val="22"/>
                <w:lang w:eastAsia="en-AU"/>
              </w:rPr>
              <w:t xml:space="preserve"> </w:t>
            </w:r>
            <w:r w:rsidR="00C61CD4" w:rsidRPr="007F6332">
              <w:rPr>
                <w:rFonts w:eastAsia="Times New Roman" w:cs="Arial"/>
                <w:b/>
                <w:bCs/>
                <w:color w:val="000000"/>
                <w:szCs w:val="22"/>
                <w:lang w:eastAsia="en-AU"/>
              </w:rPr>
              <w:t>today's</w:t>
            </w:r>
            <w:r w:rsidRPr="007F6332">
              <w:rPr>
                <w:rFonts w:eastAsia="Times New Roman" w:cs="Arial"/>
                <w:b/>
                <w:bCs/>
                <w:color w:val="000000"/>
                <w:szCs w:val="22"/>
                <w:lang w:eastAsia="en-AU"/>
              </w:rPr>
              <w:t> </w:t>
            </w:r>
            <w:r w:rsidR="00C61CD4" w:rsidRPr="007F6332">
              <w:rPr>
                <w:rFonts w:eastAsia="Times New Roman" w:cs="Arial"/>
                <w:b/>
                <w:bCs/>
                <w:color w:val="000000"/>
                <w:szCs w:val="22"/>
                <w:lang w:eastAsia="en-AU"/>
              </w:rPr>
              <w:t>dollars</w:t>
            </w:r>
            <w:r w:rsidR="00C61CD4" w:rsidRPr="007F6332">
              <w:rPr>
                <w:rStyle w:val="FootnoteReference"/>
                <w:rFonts w:eastAsia="Times New Roman" w:cs="Arial"/>
                <w:b/>
                <w:bCs/>
                <w:color w:val="000000"/>
                <w:szCs w:val="22"/>
                <w:lang w:eastAsia="en-AU"/>
              </w:rPr>
              <w:footnoteReference w:id="83"/>
            </w:r>
          </w:p>
        </w:tc>
        <w:tc>
          <w:tcPr>
            <w:tcW w:w="586" w:type="pct"/>
            <w:tcBorders>
              <w:top w:val="nil"/>
              <w:bottom w:val="single" w:sz="4" w:space="0" w:color="auto"/>
            </w:tcBorders>
            <w:shd w:val="clear" w:color="auto" w:fill="D4C5D7"/>
            <w:noWrap/>
          </w:tcPr>
          <w:p w14:paraId="3E47EA14" w14:textId="7C6BA814" w:rsidR="00432463" w:rsidRPr="007F6332" w:rsidRDefault="00432463" w:rsidP="00432463">
            <w:pPr>
              <w:cnfStyle w:val="000000010000" w:firstRow="0" w:lastRow="0" w:firstColumn="0" w:lastColumn="0" w:oddVBand="0" w:evenVBand="0" w:oddHBand="0" w:evenHBand="1" w:firstRowFirstColumn="0" w:firstRowLastColumn="0" w:lastRowFirstColumn="0" w:lastRowLastColumn="0"/>
              <w:rPr>
                <w:rFonts w:cs="Arial"/>
                <w:b/>
                <w:szCs w:val="22"/>
              </w:rPr>
            </w:pPr>
            <w:r w:rsidRPr="007F6332">
              <w:rPr>
                <w:rFonts w:cs="Arial"/>
                <w:b/>
                <w:szCs w:val="22"/>
              </w:rPr>
              <w:t>41,103</w:t>
            </w:r>
          </w:p>
        </w:tc>
        <w:tc>
          <w:tcPr>
            <w:tcW w:w="587" w:type="pct"/>
            <w:tcBorders>
              <w:top w:val="nil"/>
              <w:bottom w:val="single" w:sz="4" w:space="0" w:color="auto"/>
            </w:tcBorders>
            <w:shd w:val="clear" w:color="auto" w:fill="D4C5D7"/>
            <w:noWrap/>
          </w:tcPr>
          <w:p w14:paraId="67EBDCD3" w14:textId="65B8BE5A" w:rsidR="00432463" w:rsidRPr="007F6332" w:rsidRDefault="00432463" w:rsidP="00432463">
            <w:pPr>
              <w:cnfStyle w:val="000000010000" w:firstRow="0" w:lastRow="0" w:firstColumn="0" w:lastColumn="0" w:oddVBand="0" w:evenVBand="0" w:oddHBand="0" w:evenHBand="1" w:firstRowFirstColumn="0" w:firstRowLastColumn="0" w:lastRowFirstColumn="0" w:lastRowLastColumn="0"/>
              <w:rPr>
                <w:rFonts w:cs="Arial"/>
                <w:b/>
                <w:szCs w:val="22"/>
              </w:rPr>
            </w:pPr>
            <w:r w:rsidRPr="007F6332">
              <w:rPr>
                <w:rFonts w:cs="Arial"/>
                <w:b/>
                <w:szCs w:val="22"/>
              </w:rPr>
              <w:t>45,238</w:t>
            </w:r>
          </w:p>
        </w:tc>
        <w:tc>
          <w:tcPr>
            <w:tcW w:w="587" w:type="pct"/>
            <w:tcBorders>
              <w:top w:val="nil"/>
              <w:bottom w:val="single" w:sz="4" w:space="0" w:color="auto"/>
            </w:tcBorders>
            <w:shd w:val="clear" w:color="auto" w:fill="D4C5D7"/>
            <w:noWrap/>
          </w:tcPr>
          <w:p w14:paraId="5E838981" w14:textId="27B2EA9B" w:rsidR="00432463" w:rsidRPr="007F6332" w:rsidRDefault="00432463" w:rsidP="00C1755E">
            <w:pPr>
              <w:ind w:left="-110"/>
              <w:cnfStyle w:val="000000010000" w:firstRow="0" w:lastRow="0" w:firstColumn="0" w:lastColumn="0" w:oddVBand="0" w:evenVBand="0" w:oddHBand="0" w:evenHBand="1" w:firstRowFirstColumn="0" w:firstRowLastColumn="0" w:lastRowFirstColumn="0" w:lastRowLastColumn="0"/>
              <w:rPr>
                <w:rFonts w:cs="Arial"/>
                <w:b/>
                <w:szCs w:val="22"/>
              </w:rPr>
            </w:pPr>
            <w:r w:rsidRPr="007F6332">
              <w:rPr>
                <w:rFonts w:cs="Arial"/>
                <w:b/>
                <w:szCs w:val="22"/>
              </w:rPr>
              <w:t>47,686</w:t>
            </w:r>
          </w:p>
        </w:tc>
        <w:tc>
          <w:tcPr>
            <w:tcW w:w="586" w:type="pct"/>
            <w:tcBorders>
              <w:top w:val="nil"/>
              <w:bottom w:val="single" w:sz="4" w:space="0" w:color="auto"/>
              <w:right w:val="dotted" w:sz="4" w:space="0" w:color="auto"/>
            </w:tcBorders>
            <w:shd w:val="clear" w:color="auto" w:fill="D4C5D7"/>
            <w:noWrap/>
          </w:tcPr>
          <w:p w14:paraId="773F078E" w14:textId="64BA4A92" w:rsidR="00432463" w:rsidRPr="007F6332" w:rsidRDefault="00C61CD4" w:rsidP="00C1755E">
            <w:pPr>
              <w:ind w:left="-110"/>
              <w:cnfStyle w:val="000000010000" w:firstRow="0" w:lastRow="0" w:firstColumn="0" w:lastColumn="0" w:oddVBand="0" w:evenVBand="0" w:oddHBand="0" w:evenHBand="1" w:firstRowFirstColumn="0" w:firstRowLastColumn="0" w:lastRowFirstColumn="0" w:lastRowLastColumn="0"/>
              <w:rPr>
                <w:rFonts w:cs="Arial"/>
                <w:b/>
                <w:szCs w:val="22"/>
              </w:rPr>
            </w:pPr>
            <w:r w:rsidRPr="007F6332">
              <w:rPr>
                <w:rFonts w:cs="Arial"/>
                <w:b/>
                <w:szCs w:val="22"/>
              </w:rPr>
              <w:t>49,249</w:t>
            </w:r>
          </w:p>
        </w:tc>
        <w:tc>
          <w:tcPr>
            <w:tcW w:w="587" w:type="pct"/>
            <w:tcBorders>
              <w:top w:val="nil"/>
              <w:left w:val="dotted" w:sz="4" w:space="0" w:color="auto"/>
              <w:bottom w:val="single" w:sz="4" w:space="0" w:color="auto"/>
              <w:right w:val="single" w:sz="4" w:space="0" w:color="auto"/>
            </w:tcBorders>
            <w:shd w:val="clear" w:color="auto" w:fill="D4C5D7"/>
            <w:noWrap/>
          </w:tcPr>
          <w:p w14:paraId="4811CFCA" w14:textId="2875DD4E" w:rsidR="00432463" w:rsidRPr="007F6332" w:rsidRDefault="00C61CD4" w:rsidP="00C1755E">
            <w:pPr>
              <w:ind w:left="-110"/>
              <w:cnfStyle w:val="000000010000" w:firstRow="0" w:lastRow="0" w:firstColumn="0" w:lastColumn="0" w:oddVBand="0" w:evenVBand="0" w:oddHBand="0" w:evenHBand="1" w:firstRowFirstColumn="0" w:firstRowLastColumn="0" w:lastRowFirstColumn="0" w:lastRowLastColumn="0"/>
              <w:rPr>
                <w:rFonts w:cs="Arial"/>
                <w:b/>
                <w:szCs w:val="22"/>
              </w:rPr>
            </w:pPr>
            <w:r w:rsidRPr="007F6332">
              <w:rPr>
                <w:rFonts w:cs="Arial"/>
                <w:b/>
                <w:szCs w:val="22"/>
              </w:rPr>
              <w:t>60,701</w:t>
            </w:r>
          </w:p>
        </w:tc>
        <w:tc>
          <w:tcPr>
            <w:tcW w:w="587" w:type="pct"/>
            <w:tcBorders>
              <w:top w:val="nil"/>
              <w:left w:val="single" w:sz="4" w:space="0" w:color="auto"/>
              <w:bottom w:val="single" w:sz="4" w:space="0" w:color="auto"/>
            </w:tcBorders>
            <w:shd w:val="clear" w:color="auto" w:fill="D4C5D7"/>
          </w:tcPr>
          <w:p w14:paraId="6E5D664D" w14:textId="72DC777F" w:rsidR="00432463" w:rsidRPr="007F6332" w:rsidRDefault="00432463" w:rsidP="00C1755E">
            <w:pPr>
              <w:ind w:left="-110"/>
              <w:cnfStyle w:val="000000010000" w:firstRow="0" w:lastRow="0" w:firstColumn="0" w:lastColumn="0" w:oddVBand="0" w:evenVBand="0" w:oddHBand="0" w:evenHBand="1" w:firstRowFirstColumn="0" w:firstRowLastColumn="0" w:lastRowFirstColumn="0" w:lastRowLastColumn="0"/>
              <w:rPr>
                <w:rFonts w:cs="Arial"/>
                <w:b/>
                <w:szCs w:val="22"/>
              </w:rPr>
            </w:pPr>
            <w:r w:rsidRPr="007F6332">
              <w:rPr>
                <w:rFonts w:cs="Arial"/>
                <w:b/>
                <w:szCs w:val="22"/>
              </w:rPr>
              <w:t>1</w:t>
            </w:r>
            <w:r w:rsidR="00C61CD4" w:rsidRPr="007F6332">
              <w:rPr>
                <w:rFonts w:cs="Arial"/>
                <w:b/>
                <w:szCs w:val="22"/>
              </w:rPr>
              <w:t>8</w:t>
            </w:r>
            <w:r w:rsidRPr="007F6332">
              <w:rPr>
                <w:rFonts w:cs="Arial"/>
                <w:b/>
                <w:szCs w:val="22"/>
              </w:rPr>
              <w:t>3,</w:t>
            </w:r>
            <w:r w:rsidR="00C61CD4" w:rsidRPr="007F6332">
              <w:rPr>
                <w:rFonts w:cs="Arial"/>
                <w:b/>
                <w:szCs w:val="22"/>
              </w:rPr>
              <w:t>276</w:t>
            </w:r>
          </w:p>
        </w:tc>
      </w:tr>
    </w:tbl>
    <w:p w14:paraId="3CE69E2B" w14:textId="3B86889A" w:rsidR="00723E93" w:rsidRPr="007F6332" w:rsidRDefault="00723E93" w:rsidP="00723E93">
      <w:pPr>
        <w:spacing w:before="120"/>
        <w:rPr>
          <w:rFonts w:cs="Arial"/>
        </w:rPr>
      </w:pPr>
      <w:r w:rsidRPr="007F6332">
        <w:rPr>
          <w:rFonts w:cs="Arial"/>
        </w:rPr>
        <w:fldChar w:fldCharType="begin"/>
      </w:r>
      <w:r w:rsidRPr="007F6332">
        <w:rPr>
          <w:rFonts w:cs="Arial"/>
        </w:rPr>
        <w:instrText xml:space="preserve"> REF _Ref145060747 \h </w:instrText>
      </w:r>
      <w:r w:rsidR="007F6332">
        <w:rPr>
          <w:rFonts w:cs="Arial"/>
        </w:rPr>
        <w:instrText xml:space="preserve"> \* MERGEFORMAT </w:instrText>
      </w:r>
      <w:r w:rsidRPr="007F6332">
        <w:rPr>
          <w:rFonts w:cs="Arial"/>
        </w:rPr>
      </w:r>
      <w:r w:rsidRPr="007F6332">
        <w:rPr>
          <w:rFonts w:cs="Arial"/>
        </w:rPr>
        <w:fldChar w:fldCharType="separate"/>
      </w:r>
      <w:r w:rsidR="00D82E58" w:rsidRPr="007F6332">
        <w:rPr>
          <w:rFonts w:cs="Arial"/>
        </w:rPr>
        <w:t xml:space="preserve">Table </w:t>
      </w:r>
      <w:r w:rsidRPr="007F6332">
        <w:rPr>
          <w:rFonts w:cs="Arial"/>
        </w:rPr>
        <w:fldChar w:fldCharType="end"/>
      </w:r>
      <w:r w:rsidR="00341842" w:rsidRPr="007F6332">
        <w:rPr>
          <w:rFonts w:cs="Arial"/>
        </w:rPr>
        <w:t>5.5</w:t>
      </w:r>
      <w:r w:rsidRPr="007F6332">
        <w:rPr>
          <w:rFonts w:cs="Arial"/>
        </w:rPr>
        <w:t xml:space="preserve"> </w:t>
      </w:r>
      <w:r w:rsidRPr="007F6332">
        <w:rPr>
          <w:rFonts w:eastAsia="Arial" w:cs="Arial"/>
        </w:rPr>
        <w:t xml:space="preserve">shows projected Scheme expenses on an accrual basis, split between existing Scheme participants and participants expected to join the Scheme after 30 June 2023. By 2032-33, </w:t>
      </w:r>
      <w:r w:rsidR="005473B6" w:rsidRPr="007F6332">
        <w:rPr>
          <w:rFonts w:cs="Arial"/>
        </w:rPr>
        <w:t>70</w:t>
      </w:r>
      <w:r w:rsidRPr="007F6332">
        <w:rPr>
          <w:rFonts w:cs="Arial"/>
        </w:rPr>
        <w:t>% of projected expenses relate to current Scheme participants, with 30% relating to new entrants</w:t>
      </w:r>
      <w:r w:rsidRPr="007F6332">
        <w:rPr>
          <w:rFonts w:eastAsia="Arial" w:cs="Arial"/>
        </w:rPr>
        <w:t>.</w:t>
      </w:r>
    </w:p>
    <w:p w14:paraId="764EBC2C" w14:textId="501F5488" w:rsidR="00723E93" w:rsidRPr="007F6332" w:rsidRDefault="00723E93" w:rsidP="00823FC9">
      <w:pPr>
        <w:pStyle w:val="FiguresandTablesHeading5"/>
      </w:pPr>
      <w:bookmarkStart w:id="129" w:name="_Ref145060747"/>
      <w:r w:rsidRPr="007F6332">
        <w:t xml:space="preserve">Table </w:t>
      </w:r>
      <w:bookmarkEnd w:id="129"/>
      <w:r w:rsidR="0045717D" w:rsidRPr="007F6332">
        <w:t>5.5</w:t>
      </w:r>
      <w:r w:rsidRPr="007F6332">
        <w:rPr>
          <w:noProof/>
        </w:rPr>
        <w:t>:</w:t>
      </w:r>
      <w:r w:rsidRPr="007F6332">
        <w:t xml:space="preserve"> S</w:t>
      </w:r>
      <w:r w:rsidR="00624EEE" w:rsidRPr="007F6332">
        <w:t>plit</w:t>
      </w:r>
      <w:r w:rsidRPr="007F6332">
        <w:t xml:space="preserve"> of Scheme expenses by existing and new participants</w:t>
      </w:r>
    </w:p>
    <w:tbl>
      <w:tblPr>
        <w:tblW w:w="9045" w:type="dxa"/>
        <w:tblLayout w:type="fixed"/>
        <w:tblLook w:val="04A0" w:firstRow="1" w:lastRow="0" w:firstColumn="1" w:lastColumn="0" w:noHBand="0" w:noVBand="1"/>
      </w:tblPr>
      <w:tblGrid>
        <w:gridCol w:w="3502"/>
        <w:gridCol w:w="1107"/>
        <w:gridCol w:w="1108"/>
        <w:gridCol w:w="1108"/>
        <w:gridCol w:w="1108"/>
        <w:gridCol w:w="1112"/>
      </w:tblGrid>
      <w:tr w:rsidR="00723E93" w:rsidRPr="007F6332" w14:paraId="2E55C0BD" w14:textId="77777777" w:rsidTr="00C1755E">
        <w:trPr>
          <w:trHeight w:val="622"/>
        </w:trPr>
        <w:tc>
          <w:tcPr>
            <w:tcW w:w="3502" w:type="dxa"/>
            <w:tcBorders>
              <w:left w:val="single" w:sz="4" w:space="0" w:color="auto"/>
              <w:bottom w:val="nil"/>
              <w:right w:val="nil"/>
            </w:tcBorders>
            <w:shd w:val="clear" w:color="000000" w:fill="6B2F76"/>
            <w:noWrap/>
            <w:vAlign w:val="center"/>
            <w:hideMark/>
          </w:tcPr>
          <w:p w14:paraId="4595DB0C" w14:textId="25895332" w:rsidR="00723E93" w:rsidRPr="007F6332" w:rsidRDefault="005473B6" w:rsidP="006C2D75">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 xml:space="preserve">Scheme expenses </w:t>
            </w:r>
            <w:r w:rsidR="00723E93" w:rsidRPr="007F6332">
              <w:rPr>
                <w:rFonts w:eastAsia="Times New Roman" w:cs="Arial"/>
                <w:b/>
                <w:bCs/>
                <w:color w:val="FFFFFF"/>
                <w:szCs w:val="22"/>
                <w:lang w:eastAsia="en-AU"/>
              </w:rPr>
              <w:t xml:space="preserve">($m) </w:t>
            </w:r>
            <w:r w:rsidR="00624EEE" w:rsidRPr="007F6332">
              <w:rPr>
                <w:rFonts w:eastAsia="Times New Roman" w:cs="Arial"/>
                <w:b/>
                <w:bCs/>
                <w:color w:val="FFFFFF"/>
                <w:szCs w:val="22"/>
                <w:lang w:eastAsia="en-AU"/>
              </w:rPr>
              <w:t>(</w:t>
            </w:r>
            <w:r w:rsidR="00723E93" w:rsidRPr="007F6332">
              <w:rPr>
                <w:rFonts w:eastAsia="Times New Roman" w:cs="Arial"/>
                <w:b/>
                <w:bCs/>
                <w:color w:val="FFFFFF"/>
                <w:szCs w:val="22"/>
                <w:lang w:eastAsia="en-AU"/>
              </w:rPr>
              <w:t>accrual basis</w:t>
            </w:r>
            <w:r w:rsidR="00624EEE" w:rsidRPr="007F6332">
              <w:rPr>
                <w:rFonts w:eastAsia="Times New Roman" w:cs="Arial"/>
                <w:b/>
                <w:bCs/>
                <w:color w:val="FFFFFF"/>
                <w:szCs w:val="22"/>
                <w:lang w:eastAsia="en-AU"/>
              </w:rPr>
              <w:t>)</w:t>
            </w:r>
          </w:p>
        </w:tc>
        <w:tc>
          <w:tcPr>
            <w:tcW w:w="1107" w:type="dxa"/>
            <w:tcBorders>
              <w:left w:val="nil"/>
              <w:bottom w:val="nil"/>
              <w:right w:val="nil"/>
            </w:tcBorders>
            <w:shd w:val="clear" w:color="000000" w:fill="6B2F76"/>
            <w:noWrap/>
            <w:vAlign w:val="center"/>
            <w:hideMark/>
          </w:tcPr>
          <w:p w14:paraId="210126F7"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108" w:type="dxa"/>
            <w:tcBorders>
              <w:left w:val="nil"/>
              <w:bottom w:val="nil"/>
              <w:right w:val="nil"/>
            </w:tcBorders>
            <w:shd w:val="clear" w:color="000000" w:fill="6B2F76"/>
            <w:noWrap/>
            <w:vAlign w:val="center"/>
            <w:hideMark/>
          </w:tcPr>
          <w:p w14:paraId="44408FC5"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08" w:type="dxa"/>
            <w:tcBorders>
              <w:left w:val="nil"/>
              <w:bottom w:val="nil"/>
              <w:right w:val="nil"/>
            </w:tcBorders>
            <w:shd w:val="clear" w:color="000000" w:fill="6B2F76"/>
            <w:noWrap/>
            <w:vAlign w:val="center"/>
            <w:hideMark/>
          </w:tcPr>
          <w:p w14:paraId="7BD861B0"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108" w:type="dxa"/>
            <w:tcBorders>
              <w:left w:val="nil"/>
              <w:bottom w:val="nil"/>
              <w:right w:val="nil"/>
            </w:tcBorders>
            <w:shd w:val="clear" w:color="000000" w:fill="6B2F76"/>
            <w:noWrap/>
            <w:vAlign w:val="center"/>
            <w:hideMark/>
          </w:tcPr>
          <w:p w14:paraId="37289712"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12" w:type="dxa"/>
            <w:tcBorders>
              <w:left w:val="dotted" w:sz="4" w:space="0" w:color="auto"/>
              <w:bottom w:val="nil"/>
              <w:right w:val="nil"/>
            </w:tcBorders>
            <w:shd w:val="clear" w:color="000000" w:fill="6B2F76"/>
            <w:noWrap/>
            <w:vAlign w:val="center"/>
            <w:hideMark/>
          </w:tcPr>
          <w:p w14:paraId="2B386A60"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31FA93E2" w14:textId="77777777" w:rsidTr="00C1755E">
        <w:trPr>
          <w:trHeight w:val="397"/>
        </w:trPr>
        <w:tc>
          <w:tcPr>
            <w:tcW w:w="3502" w:type="dxa"/>
            <w:tcBorders>
              <w:top w:val="nil"/>
              <w:left w:val="nil"/>
              <w:bottom w:val="nil"/>
              <w:right w:val="nil"/>
            </w:tcBorders>
            <w:shd w:val="clear" w:color="auto" w:fill="auto"/>
            <w:noWrap/>
            <w:vAlign w:val="center"/>
            <w:hideMark/>
          </w:tcPr>
          <w:p w14:paraId="2ACFE0AA"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Existing Scheme participants</w:t>
            </w:r>
          </w:p>
        </w:tc>
        <w:tc>
          <w:tcPr>
            <w:tcW w:w="1107" w:type="dxa"/>
            <w:tcBorders>
              <w:top w:val="nil"/>
              <w:left w:val="nil"/>
              <w:bottom w:val="nil"/>
              <w:right w:val="nil"/>
            </w:tcBorders>
            <w:shd w:val="clear" w:color="auto" w:fill="auto"/>
            <w:noWrap/>
            <w:vAlign w:val="center"/>
          </w:tcPr>
          <w:p w14:paraId="03EA909C"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cs="Arial"/>
                <w:color w:val="000000"/>
                <w:szCs w:val="22"/>
              </w:rPr>
              <w:t>40,597</w:t>
            </w:r>
          </w:p>
        </w:tc>
        <w:tc>
          <w:tcPr>
            <w:tcW w:w="1108" w:type="dxa"/>
            <w:tcBorders>
              <w:top w:val="nil"/>
              <w:left w:val="nil"/>
              <w:bottom w:val="nil"/>
              <w:right w:val="nil"/>
            </w:tcBorders>
            <w:shd w:val="clear" w:color="auto" w:fill="auto"/>
            <w:noWrap/>
            <w:vAlign w:val="center"/>
          </w:tcPr>
          <w:p w14:paraId="58BA62A6"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cs="Arial"/>
                <w:color w:val="000000"/>
                <w:szCs w:val="22"/>
              </w:rPr>
              <w:t>43,635</w:t>
            </w:r>
          </w:p>
        </w:tc>
        <w:tc>
          <w:tcPr>
            <w:tcW w:w="1108" w:type="dxa"/>
            <w:tcBorders>
              <w:top w:val="nil"/>
              <w:left w:val="nil"/>
              <w:bottom w:val="nil"/>
              <w:right w:val="nil"/>
            </w:tcBorders>
            <w:shd w:val="clear" w:color="auto" w:fill="auto"/>
            <w:noWrap/>
            <w:vAlign w:val="center"/>
          </w:tcPr>
          <w:p w14:paraId="01675A11"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cs="Arial"/>
                <w:color w:val="000000"/>
                <w:szCs w:val="22"/>
              </w:rPr>
              <w:t>45,638</w:t>
            </w:r>
          </w:p>
        </w:tc>
        <w:tc>
          <w:tcPr>
            <w:tcW w:w="1108" w:type="dxa"/>
            <w:tcBorders>
              <w:top w:val="nil"/>
              <w:left w:val="nil"/>
              <w:bottom w:val="nil"/>
              <w:right w:val="nil"/>
            </w:tcBorders>
            <w:shd w:val="clear" w:color="auto" w:fill="auto"/>
            <w:noWrap/>
            <w:vAlign w:val="center"/>
          </w:tcPr>
          <w:p w14:paraId="74F6F6E5"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cs="Arial"/>
                <w:color w:val="000000"/>
                <w:szCs w:val="22"/>
              </w:rPr>
              <w:t>47,596</w:t>
            </w:r>
          </w:p>
        </w:tc>
        <w:tc>
          <w:tcPr>
            <w:tcW w:w="1112" w:type="dxa"/>
            <w:tcBorders>
              <w:top w:val="nil"/>
              <w:left w:val="dotted" w:sz="4" w:space="0" w:color="auto"/>
              <w:bottom w:val="nil"/>
              <w:right w:val="nil"/>
            </w:tcBorders>
            <w:shd w:val="clear" w:color="auto" w:fill="auto"/>
            <w:noWrap/>
            <w:vAlign w:val="center"/>
          </w:tcPr>
          <w:p w14:paraId="416A9C4A"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64,168</w:t>
            </w:r>
          </w:p>
        </w:tc>
      </w:tr>
      <w:tr w:rsidR="00723E93" w:rsidRPr="007F6332" w14:paraId="11502146" w14:textId="77777777" w:rsidTr="00C1755E">
        <w:trPr>
          <w:trHeight w:val="397"/>
        </w:trPr>
        <w:tc>
          <w:tcPr>
            <w:tcW w:w="3502" w:type="dxa"/>
            <w:tcBorders>
              <w:top w:val="nil"/>
              <w:left w:val="nil"/>
              <w:right w:val="nil"/>
            </w:tcBorders>
            <w:shd w:val="clear" w:color="000000" w:fill="A7A9AC"/>
            <w:noWrap/>
            <w:vAlign w:val="center"/>
            <w:hideMark/>
          </w:tcPr>
          <w:p w14:paraId="75080623" w14:textId="69F48945"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Future participant</w:t>
            </w:r>
            <w:r w:rsidR="005C0DF3" w:rsidRPr="007F6332">
              <w:rPr>
                <w:rFonts w:eastAsia="Times New Roman" w:cs="Arial"/>
                <w:color w:val="000000"/>
                <w:szCs w:val="22"/>
                <w:lang w:eastAsia="en-AU"/>
              </w:rPr>
              <w:t>s</w:t>
            </w:r>
          </w:p>
        </w:tc>
        <w:tc>
          <w:tcPr>
            <w:tcW w:w="1107" w:type="dxa"/>
            <w:tcBorders>
              <w:top w:val="nil"/>
              <w:left w:val="nil"/>
              <w:right w:val="nil"/>
            </w:tcBorders>
            <w:shd w:val="clear" w:color="000000" w:fill="A7A9AC"/>
            <w:noWrap/>
            <w:vAlign w:val="center"/>
          </w:tcPr>
          <w:p w14:paraId="4FE06007"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cs="Arial"/>
                <w:color w:val="000000"/>
                <w:szCs w:val="22"/>
              </w:rPr>
              <w:t>763</w:t>
            </w:r>
          </w:p>
        </w:tc>
        <w:tc>
          <w:tcPr>
            <w:tcW w:w="1108" w:type="dxa"/>
            <w:tcBorders>
              <w:top w:val="nil"/>
              <w:left w:val="nil"/>
              <w:right w:val="nil"/>
            </w:tcBorders>
            <w:shd w:val="clear" w:color="000000" w:fill="A7A9AC"/>
            <w:noWrap/>
            <w:vAlign w:val="center"/>
          </w:tcPr>
          <w:p w14:paraId="6DD0DB5C"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cs="Arial"/>
                <w:color w:val="000000"/>
                <w:szCs w:val="22"/>
              </w:rPr>
              <w:t>2,741</w:t>
            </w:r>
          </w:p>
        </w:tc>
        <w:tc>
          <w:tcPr>
            <w:tcW w:w="1108" w:type="dxa"/>
            <w:tcBorders>
              <w:top w:val="nil"/>
              <w:left w:val="nil"/>
              <w:right w:val="nil"/>
            </w:tcBorders>
            <w:shd w:val="clear" w:color="000000" w:fill="A7A9AC"/>
            <w:noWrap/>
            <w:vAlign w:val="center"/>
          </w:tcPr>
          <w:p w14:paraId="007C4B11"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cs="Arial"/>
                <w:color w:val="000000"/>
                <w:szCs w:val="22"/>
              </w:rPr>
              <w:t>5,150</w:t>
            </w:r>
          </w:p>
        </w:tc>
        <w:tc>
          <w:tcPr>
            <w:tcW w:w="1108" w:type="dxa"/>
            <w:tcBorders>
              <w:top w:val="nil"/>
              <w:left w:val="nil"/>
              <w:right w:val="nil"/>
            </w:tcBorders>
            <w:shd w:val="clear" w:color="000000" w:fill="A7A9AC"/>
            <w:noWrap/>
            <w:vAlign w:val="center"/>
          </w:tcPr>
          <w:p w14:paraId="3B587B5B"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cs="Arial"/>
                <w:color w:val="000000"/>
                <w:szCs w:val="22"/>
              </w:rPr>
              <w:t>7,611</w:t>
            </w:r>
          </w:p>
        </w:tc>
        <w:tc>
          <w:tcPr>
            <w:tcW w:w="1112" w:type="dxa"/>
            <w:tcBorders>
              <w:top w:val="nil"/>
              <w:left w:val="dotted" w:sz="4" w:space="0" w:color="auto"/>
              <w:right w:val="nil"/>
            </w:tcBorders>
            <w:shd w:val="clear" w:color="000000" w:fill="A7A9AC"/>
            <w:noWrap/>
            <w:vAlign w:val="center"/>
          </w:tcPr>
          <w:p w14:paraId="4C812408"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28,173</w:t>
            </w:r>
          </w:p>
        </w:tc>
      </w:tr>
      <w:tr w:rsidR="00723E93" w:rsidRPr="007F6332" w14:paraId="038B888A" w14:textId="77777777" w:rsidTr="00C1755E">
        <w:trPr>
          <w:trHeight w:val="397"/>
        </w:trPr>
        <w:tc>
          <w:tcPr>
            <w:tcW w:w="3502" w:type="dxa"/>
            <w:tcBorders>
              <w:top w:val="nil"/>
              <w:left w:val="nil"/>
              <w:right w:val="nil"/>
            </w:tcBorders>
            <w:shd w:val="clear" w:color="auto" w:fill="B398B8"/>
            <w:noWrap/>
            <w:vAlign w:val="center"/>
            <w:hideMark/>
          </w:tcPr>
          <w:p w14:paraId="4A193027" w14:textId="77777777" w:rsidR="00723E93" w:rsidRPr="007F6332" w:rsidRDefault="00723E93" w:rsidP="006C2D75">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Participant Costs</w:t>
            </w:r>
          </w:p>
        </w:tc>
        <w:tc>
          <w:tcPr>
            <w:tcW w:w="1107" w:type="dxa"/>
            <w:tcBorders>
              <w:top w:val="nil"/>
              <w:left w:val="nil"/>
              <w:right w:val="nil"/>
            </w:tcBorders>
            <w:shd w:val="clear" w:color="auto" w:fill="B398B8"/>
            <w:noWrap/>
            <w:vAlign w:val="center"/>
          </w:tcPr>
          <w:p w14:paraId="43592B13"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cs="Arial"/>
                <w:b/>
                <w:color w:val="000000"/>
                <w:szCs w:val="22"/>
              </w:rPr>
              <w:t>41,360</w:t>
            </w:r>
          </w:p>
        </w:tc>
        <w:tc>
          <w:tcPr>
            <w:tcW w:w="1108" w:type="dxa"/>
            <w:tcBorders>
              <w:top w:val="nil"/>
              <w:left w:val="nil"/>
              <w:right w:val="nil"/>
            </w:tcBorders>
            <w:shd w:val="clear" w:color="auto" w:fill="B398B8"/>
            <w:noWrap/>
            <w:vAlign w:val="center"/>
          </w:tcPr>
          <w:p w14:paraId="4ED648C0"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cs="Arial"/>
                <w:b/>
                <w:color w:val="000000"/>
                <w:szCs w:val="22"/>
              </w:rPr>
              <w:t>46,376</w:t>
            </w:r>
          </w:p>
        </w:tc>
        <w:tc>
          <w:tcPr>
            <w:tcW w:w="1108" w:type="dxa"/>
            <w:tcBorders>
              <w:top w:val="nil"/>
              <w:left w:val="nil"/>
              <w:right w:val="nil"/>
            </w:tcBorders>
            <w:shd w:val="clear" w:color="auto" w:fill="B398B8"/>
            <w:noWrap/>
            <w:vAlign w:val="center"/>
          </w:tcPr>
          <w:p w14:paraId="0DB1C738"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cs="Arial"/>
                <w:b/>
                <w:color w:val="000000"/>
                <w:szCs w:val="22"/>
              </w:rPr>
              <w:t>50,788</w:t>
            </w:r>
          </w:p>
        </w:tc>
        <w:tc>
          <w:tcPr>
            <w:tcW w:w="1108" w:type="dxa"/>
            <w:tcBorders>
              <w:top w:val="nil"/>
              <w:left w:val="nil"/>
              <w:right w:val="nil"/>
            </w:tcBorders>
            <w:shd w:val="clear" w:color="auto" w:fill="B398B8"/>
            <w:noWrap/>
            <w:vAlign w:val="center"/>
          </w:tcPr>
          <w:p w14:paraId="78345E2C"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cs="Arial"/>
                <w:b/>
                <w:color w:val="000000"/>
                <w:szCs w:val="22"/>
              </w:rPr>
              <w:t>55,207</w:t>
            </w:r>
          </w:p>
        </w:tc>
        <w:tc>
          <w:tcPr>
            <w:tcW w:w="1112" w:type="dxa"/>
            <w:tcBorders>
              <w:top w:val="nil"/>
              <w:left w:val="dotted" w:sz="4" w:space="0" w:color="auto"/>
              <w:right w:val="nil"/>
            </w:tcBorders>
            <w:shd w:val="clear" w:color="auto" w:fill="B398B8"/>
            <w:noWrap/>
            <w:vAlign w:val="center"/>
          </w:tcPr>
          <w:p w14:paraId="0C0DABFC"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92,</w:t>
            </w:r>
            <w:r w:rsidRPr="007F6332">
              <w:rPr>
                <w:rFonts w:cs="Arial"/>
                <w:b/>
                <w:bCs/>
                <w:color w:val="000000"/>
                <w:szCs w:val="22"/>
              </w:rPr>
              <w:t>341</w:t>
            </w:r>
          </w:p>
        </w:tc>
      </w:tr>
      <w:tr w:rsidR="00723E93" w:rsidRPr="007F6332" w14:paraId="69A9BFBD" w14:textId="77777777" w:rsidTr="00C1755E">
        <w:trPr>
          <w:trHeight w:val="594"/>
        </w:trPr>
        <w:tc>
          <w:tcPr>
            <w:tcW w:w="3502" w:type="dxa"/>
            <w:tcBorders>
              <w:left w:val="nil"/>
            </w:tcBorders>
            <w:shd w:val="clear" w:color="000000" w:fill="6B2F76"/>
            <w:noWrap/>
            <w:vAlign w:val="center"/>
            <w:hideMark/>
          </w:tcPr>
          <w:p w14:paraId="1E66006B" w14:textId="77777777" w:rsidR="00624EEE" w:rsidRPr="007F6332" w:rsidRDefault="00624EEE" w:rsidP="006C2D75">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Scheme Expenses</w:t>
            </w:r>
            <w:r w:rsidR="00723E93" w:rsidRPr="007F6332">
              <w:rPr>
                <w:rFonts w:eastAsia="Times New Roman" w:cs="Arial"/>
                <w:b/>
                <w:bCs/>
                <w:color w:val="FFFFFF"/>
                <w:szCs w:val="22"/>
                <w:lang w:eastAsia="en-AU"/>
              </w:rPr>
              <w:t xml:space="preserve"> (%)</w:t>
            </w:r>
          </w:p>
          <w:p w14:paraId="1B01CD22" w14:textId="7ACEF2CB" w:rsidR="00723E93" w:rsidRPr="007F6332" w:rsidRDefault="00624EEE" w:rsidP="006C2D75">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w:t>
            </w:r>
            <w:r w:rsidR="00723E93" w:rsidRPr="007F6332">
              <w:rPr>
                <w:rFonts w:eastAsia="Times New Roman" w:cs="Arial"/>
                <w:b/>
                <w:bCs/>
                <w:color w:val="FFFFFF"/>
                <w:szCs w:val="22"/>
                <w:lang w:eastAsia="en-AU"/>
              </w:rPr>
              <w:t>accrual basis</w:t>
            </w:r>
            <w:r w:rsidRPr="007F6332">
              <w:rPr>
                <w:rFonts w:eastAsia="Times New Roman" w:cs="Arial"/>
                <w:b/>
                <w:bCs/>
                <w:color w:val="FFFFFF"/>
                <w:szCs w:val="22"/>
                <w:lang w:eastAsia="en-AU"/>
              </w:rPr>
              <w:t>)</w:t>
            </w:r>
          </w:p>
        </w:tc>
        <w:tc>
          <w:tcPr>
            <w:tcW w:w="1107" w:type="dxa"/>
            <w:shd w:val="clear" w:color="000000" w:fill="6B2F76"/>
            <w:noWrap/>
            <w:vAlign w:val="center"/>
            <w:hideMark/>
          </w:tcPr>
          <w:p w14:paraId="2F275144"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108" w:type="dxa"/>
            <w:shd w:val="clear" w:color="000000" w:fill="6B2F76"/>
            <w:noWrap/>
            <w:vAlign w:val="center"/>
            <w:hideMark/>
          </w:tcPr>
          <w:p w14:paraId="12657539"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08" w:type="dxa"/>
            <w:shd w:val="clear" w:color="000000" w:fill="6B2F76"/>
            <w:noWrap/>
            <w:vAlign w:val="center"/>
            <w:hideMark/>
          </w:tcPr>
          <w:p w14:paraId="594EC52D"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108" w:type="dxa"/>
            <w:shd w:val="clear" w:color="000000" w:fill="6B2F76"/>
            <w:noWrap/>
            <w:vAlign w:val="center"/>
            <w:hideMark/>
          </w:tcPr>
          <w:p w14:paraId="3DEF3567"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12" w:type="dxa"/>
            <w:tcBorders>
              <w:right w:val="nil"/>
            </w:tcBorders>
            <w:shd w:val="clear" w:color="000000" w:fill="6B2F76"/>
            <w:noWrap/>
            <w:vAlign w:val="center"/>
            <w:hideMark/>
          </w:tcPr>
          <w:p w14:paraId="1CE07308" w14:textId="77777777"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1A5D229C" w14:textId="77777777" w:rsidTr="00C1755E">
        <w:trPr>
          <w:trHeight w:val="397"/>
        </w:trPr>
        <w:tc>
          <w:tcPr>
            <w:tcW w:w="3502" w:type="dxa"/>
            <w:tcBorders>
              <w:left w:val="nil"/>
              <w:right w:val="nil"/>
            </w:tcBorders>
            <w:shd w:val="clear" w:color="auto" w:fill="auto"/>
            <w:noWrap/>
            <w:vAlign w:val="center"/>
            <w:hideMark/>
          </w:tcPr>
          <w:p w14:paraId="302D9A97" w14:textId="20D630AE" w:rsidR="00723E93" w:rsidRPr="007F6332" w:rsidRDefault="005473B6"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w:t>
            </w:r>
            <w:r w:rsidR="00723E93" w:rsidRPr="007F6332">
              <w:rPr>
                <w:rFonts w:eastAsia="Times New Roman" w:cs="Arial"/>
                <w:color w:val="000000"/>
                <w:szCs w:val="22"/>
                <w:lang w:eastAsia="en-AU"/>
              </w:rPr>
              <w:t>Existing Scheme participants</w:t>
            </w:r>
          </w:p>
        </w:tc>
        <w:tc>
          <w:tcPr>
            <w:tcW w:w="1107" w:type="dxa"/>
            <w:tcBorders>
              <w:left w:val="nil"/>
              <w:right w:val="nil"/>
            </w:tcBorders>
            <w:shd w:val="clear" w:color="auto" w:fill="auto"/>
            <w:noWrap/>
            <w:vAlign w:val="center"/>
            <w:hideMark/>
          </w:tcPr>
          <w:p w14:paraId="60906008"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98.2%</w:t>
            </w:r>
          </w:p>
        </w:tc>
        <w:tc>
          <w:tcPr>
            <w:tcW w:w="1108" w:type="dxa"/>
            <w:tcBorders>
              <w:left w:val="nil"/>
              <w:right w:val="nil"/>
            </w:tcBorders>
            <w:shd w:val="clear" w:color="auto" w:fill="auto"/>
            <w:noWrap/>
            <w:vAlign w:val="center"/>
            <w:hideMark/>
          </w:tcPr>
          <w:p w14:paraId="1DC0F032"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94.1%</w:t>
            </w:r>
          </w:p>
        </w:tc>
        <w:tc>
          <w:tcPr>
            <w:tcW w:w="1108" w:type="dxa"/>
            <w:tcBorders>
              <w:left w:val="nil"/>
              <w:right w:val="nil"/>
            </w:tcBorders>
            <w:shd w:val="clear" w:color="auto" w:fill="auto"/>
            <w:noWrap/>
            <w:vAlign w:val="center"/>
            <w:hideMark/>
          </w:tcPr>
          <w:p w14:paraId="0DCB671D"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89.9%</w:t>
            </w:r>
          </w:p>
        </w:tc>
        <w:tc>
          <w:tcPr>
            <w:tcW w:w="1108" w:type="dxa"/>
            <w:tcBorders>
              <w:left w:val="nil"/>
              <w:right w:val="nil"/>
            </w:tcBorders>
            <w:shd w:val="clear" w:color="auto" w:fill="auto"/>
            <w:noWrap/>
            <w:vAlign w:val="center"/>
            <w:hideMark/>
          </w:tcPr>
          <w:p w14:paraId="4F3F78CF"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86.2%</w:t>
            </w:r>
          </w:p>
        </w:tc>
        <w:tc>
          <w:tcPr>
            <w:tcW w:w="1112" w:type="dxa"/>
            <w:tcBorders>
              <w:left w:val="dotted" w:sz="4" w:space="0" w:color="auto"/>
              <w:right w:val="nil"/>
            </w:tcBorders>
            <w:shd w:val="clear" w:color="auto" w:fill="auto"/>
            <w:noWrap/>
            <w:vAlign w:val="center"/>
            <w:hideMark/>
          </w:tcPr>
          <w:p w14:paraId="510A7CA8"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69.5%</w:t>
            </w:r>
          </w:p>
        </w:tc>
      </w:tr>
      <w:tr w:rsidR="00723E93" w:rsidRPr="007F6332" w14:paraId="6A4592F3" w14:textId="77777777" w:rsidTr="00C1755E">
        <w:trPr>
          <w:trHeight w:val="397"/>
        </w:trPr>
        <w:tc>
          <w:tcPr>
            <w:tcW w:w="3502" w:type="dxa"/>
            <w:tcBorders>
              <w:top w:val="nil"/>
              <w:left w:val="nil"/>
              <w:bottom w:val="single" w:sz="4" w:space="0" w:color="auto"/>
              <w:right w:val="nil"/>
            </w:tcBorders>
            <w:shd w:val="clear" w:color="000000" w:fill="A7A9AC"/>
            <w:noWrap/>
            <w:vAlign w:val="center"/>
            <w:hideMark/>
          </w:tcPr>
          <w:p w14:paraId="02056B87" w14:textId="6542FEBF" w:rsidR="00723E93" w:rsidRPr="007F6332" w:rsidRDefault="005473B6"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w:t>
            </w:r>
            <w:r w:rsidR="00723E93" w:rsidRPr="007F6332">
              <w:rPr>
                <w:rFonts w:eastAsia="Times New Roman" w:cs="Arial"/>
                <w:color w:val="000000"/>
                <w:szCs w:val="22"/>
                <w:lang w:eastAsia="en-AU"/>
              </w:rPr>
              <w:t>Future participant</w:t>
            </w:r>
            <w:r w:rsidR="005C0DF3" w:rsidRPr="007F6332">
              <w:rPr>
                <w:rFonts w:eastAsia="Times New Roman" w:cs="Arial"/>
                <w:color w:val="000000"/>
                <w:szCs w:val="22"/>
                <w:lang w:eastAsia="en-AU"/>
              </w:rPr>
              <w:t>s</w:t>
            </w:r>
          </w:p>
        </w:tc>
        <w:tc>
          <w:tcPr>
            <w:tcW w:w="1107" w:type="dxa"/>
            <w:tcBorders>
              <w:top w:val="nil"/>
              <w:left w:val="nil"/>
              <w:bottom w:val="single" w:sz="4" w:space="0" w:color="auto"/>
              <w:right w:val="nil"/>
            </w:tcBorders>
            <w:shd w:val="clear" w:color="000000" w:fill="A7A9AC"/>
            <w:noWrap/>
            <w:vAlign w:val="center"/>
            <w:hideMark/>
          </w:tcPr>
          <w:p w14:paraId="24FADE01"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w:t>
            </w:r>
          </w:p>
        </w:tc>
        <w:tc>
          <w:tcPr>
            <w:tcW w:w="1108" w:type="dxa"/>
            <w:tcBorders>
              <w:top w:val="nil"/>
              <w:left w:val="nil"/>
              <w:bottom w:val="single" w:sz="4" w:space="0" w:color="auto"/>
              <w:right w:val="nil"/>
            </w:tcBorders>
            <w:shd w:val="clear" w:color="000000" w:fill="A7A9AC"/>
            <w:noWrap/>
            <w:vAlign w:val="center"/>
            <w:hideMark/>
          </w:tcPr>
          <w:p w14:paraId="47239C8A"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5.9%</w:t>
            </w:r>
          </w:p>
        </w:tc>
        <w:tc>
          <w:tcPr>
            <w:tcW w:w="1108" w:type="dxa"/>
            <w:tcBorders>
              <w:top w:val="nil"/>
              <w:left w:val="nil"/>
              <w:bottom w:val="single" w:sz="4" w:space="0" w:color="auto"/>
              <w:right w:val="nil"/>
            </w:tcBorders>
            <w:shd w:val="clear" w:color="000000" w:fill="A7A9AC"/>
            <w:noWrap/>
            <w:vAlign w:val="center"/>
            <w:hideMark/>
          </w:tcPr>
          <w:p w14:paraId="3C393240"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10.1%</w:t>
            </w:r>
          </w:p>
        </w:tc>
        <w:tc>
          <w:tcPr>
            <w:tcW w:w="1108" w:type="dxa"/>
            <w:tcBorders>
              <w:top w:val="nil"/>
              <w:left w:val="nil"/>
              <w:bottom w:val="single" w:sz="4" w:space="0" w:color="auto"/>
              <w:right w:val="nil"/>
            </w:tcBorders>
            <w:shd w:val="clear" w:color="000000" w:fill="A7A9AC"/>
            <w:noWrap/>
            <w:vAlign w:val="center"/>
            <w:hideMark/>
          </w:tcPr>
          <w:p w14:paraId="79498C1A"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13.8%</w:t>
            </w:r>
          </w:p>
        </w:tc>
        <w:tc>
          <w:tcPr>
            <w:tcW w:w="1112" w:type="dxa"/>
            <w:tcBorders>
              <w:top w:val="nil"/>
              <w:left w:val="dotted" w:sz="4" w:space="0" w:color="auto"/>
              <w:bottom w:val="single" w:sz="4" w:space="0" w:color="auto"/>
              <w:right w:val="nil"/>
            </w:tcBorders>
            <w:shd w:val="clear" w:color="000000" w:fill="A7A9AC"/>
            <w:noWrap/>
            <w:vAlign w:val="center"/>
            <w:hideMark/>
          </w:tcPr>
          <w:p w14:paraId="1590ACE5"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30.5%</w:t>
            </w:r>
          </w:p>
        </w:tc>
      </w:tr>
    </w:tbl>
    <w:p w14:paraId="1432C827" w14:textId="77777777" w:rsidR="0027383C" w:rsidRPr="007F6332" w:rsidRDefault="0027383C" w:rsidP="00CD33D0">
      <w:pPr>
        <w:pStyle w:val="Heading3"/>
        <w:rPr>
          <w:rFonts w:cs="Arial"/>
        </w:rPr>
        <w:sectPr w:rsidR="0027383C" w:rsidRPr="007F6332" w:rsidSect="00E53368">
          <w:pgSz w:w="11906" w:h="16838"/>
          <w:pgMar w:top="1440" w:right="1416" w:bottom="1440" w:left="1440" w:header="708" w:footer="567" w:gutter="0"/>
          <w:cols w:space="708"/>
          <w:titlePg/>
          <w:docGrid w:linePitch="360"/>
        </w:sectPr>
      </w:pPr>
      <w:bookmarkStart w:id="130" w:name="_Toc146286159"/>
      <w:bookmarkStart w:id="131" w:name="_Toc146286495"/>
      <w:bookmarkStart w:id="132" w:name="_Toc152614984"/>
    </w:p>
    <w:p w14:paraId="149B4EEB" w14:textId="77777777" w:rsidR="00723E93" w:rsidRPr="007F6332" w:rsidRDefault="00723E93" w:rsidP="001D062D">
      <w:pPr>
        <w:pStyle w:val="Heading3"/>
        <w:ind w:left="709" w:hanging="709"/>
        <w:rPr>
          <w:rFonts w:cs="Arial"/>
        </w:rPr>
      </w:pPr>
      <w:r w:rsidRPr="007F6332">
        <w:rPr>
          <w:rFonts w:cs="Arial"/>
        </w:rPr>
        <w:lastRenderedPageBreak/>
        <w:t>Comparison with previous AFSR</w:t>
      </w:r>
      <w:bookmarkEnd w:id="130"/>
      <w:bookmarkEnd w:id="131"/>
      <w:bookmarkEnd w:id="132"/>
    </w:p>
    <w:p w14:paraId="5B78A338" w14:textId="77777777" w:rsidR="00584345" w:rsidRPr="007F6332" w:rsidRDefault="00584345" w:rsidP="00584345">
      <w:pPr>
        <w:spacing w:before="240"/>
        <w:rPr>
          <w:rFonts w:cs="Arial"/>
          <w:lang w:val="en-AU"/>
        </w:rPr>
      </w:pPr>
      <w:r w:rsidRPr="007F6332">
        <w:rPr>
          <w:rFonts w:cs="Arial"/>
          <w:lang w:val="en-AU"/>
        </w:rPr>
        <w:t xml:space="preserve">Table 5.6 shows projected Scheme expenses are approximately $5.6 billion higher in the four years to June 2027 and about $4.6 billion lower in 2032-33, compared to the previous review. They are $3.1 billion higher in the four years to June 2027 and $1.8 billion lower in 2032-33, compared to the December 2022 projections. </w:t>
      </w:r>
    </w:p>
    <w:p w14:paraId="467DFED6" w14:textId="79428DCC" w:rsidR="00723E93" w:rsidRPr="007F6332" w:rsidRDefault="00723E93" w:rsidP="00823FC9">
      <w:pPr>
        <w:pStyle w:val="FiguresandTablesHeading4"/>
      </w:pPr>
      <w:bookmarkStart w:id="133" w:name="_Ref145061111"/>
      <w:r w:rsidRPr="007F6332">
        <w:t xml:space="preserve">Table </w:t>
      </w:r>
      <w:bookmarkEnd w:id="133"/>
      <w:r w:rsidR="0045717D" w:rsidRPr="007F6332">
        <w:t>5.6:</w:t>
      </w:r>
      <w:r w:rsidRPr="007F6332">
        <w:t xml:space="preserve"> Comparison of </w:t>
      </w:r>
      <w:r w:rsidR="00B724CC" w:rsidRPr="007F6332">
        <w:t>June 2023 projections</w:t>
      </w:r>
      <w:r w:rsidRPr="007F6332">
        <w:t xml:space="preserve"> with previous projections</w:t>
      </w:r>
    </w:p>
    <w:tbl>
      <w:tblPr>
        <w:tblStyle w:val="FSRtable"/>
        <w:tblW w:w="5009" w:type="pct"/>
        <w:tblInd w:w="5" w:type="dxa"/>
        <w:tblLayout w:type="fixed"/>
        <w:tblLook w:val="04A0" w:firstRow="1" w:lastRow="0" w:firstColumn="1" w:lastColumn="0" w:noHBand="0" w:noVBand="1"/>
      </w:tblPr>
      <w:tblGrid>
        <w:gridCol w:w="2828"/>
        <w:gridCol w:w="1039"/>
        <w:gridCol w:w="1041"/>
        <w:gridCol w:w="1041"/>
        <w:gridCol w:w="1039"/>
        <w:gridCol w:w="1041"/>
        <w:gridCol w:w="1037"/>
      </w:tblGrid>
      <w:tr w:rsidR="00723E93" w:rsidRPr="007F6332" w14:paraId="21BA5368" w14:textId="77777777" w:rsidTr="0058434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60" w:type="pct"/>
            <w:tcBorders>
              <w:top w:val="single" w:sz="4" w:space="0" w:color="auto"/>
              <w:bottom w:val="nil"/>
            </w:tcBorders>
          </w:tcPr>
          <w:p w14:paraId="6AA6346D" w14:textId="17D624DD" w:rsidR="00723E93" w:rsidRPr="007F6332" w:rsidRDefault="005A45F2" w:rsidP="006C2D75">
            <w:pPr>
              <w:spacing w:line="240" w:lineRule="auto"/>
              <w:rPr>
                <w:rFonts w:eastAsia="Times New Roman"/>
                <w:b w:val="0"/>
                <w:bCs/>
                <w:color w:val="FFFFFF"/>
                <w:szCs w:val="22"/>
                <w:lang w:eastAsia="en-AU"/>
              </w:rPr>
            </w:pPr>
            <w:r w:rsidRPr="007F6332">
              <w:rPr>
                <w:rFonts w:eastAsia="Times New Roman"/>
                <w:bCs/>
                <w:color w:val="FFFFFF"/>
                <w:szCs w:val="22"/>
                <w:lang w:eastAsia="en-AU"/>
              </w:rPr>
              <w:t>Scheme Expenses</w:t>
            </w:r>
            <w:r w:rsidR="00723E93" w:rsidRPr="007F6332">
              <w:rPr>
                <w:rFonts w:eastAsia="Times New Roman"/>
                <w:bCs/>
                <w:color w:val="FFFFFF"/>
                <w:szCs w:val="22"/>
                <w:lang w:eastAsia="en-AU"/>
              </w:rPr>
              <w:t xml:space="preserve"> ($m)</w:t>
            </w:r>
          </w:p>
        </w:tc>
        <w:tc>
          <w:tcPr>
            <w:tcW w:w="573" w:type="pct"/>
            <w:tcBorders>
              <w:top w:val="single" w:sz="4" w:space="0" w:color="auto"/>
              <w:bottom w:val="nil"/>
            </w:tcBorders>
            <w:noWrap/>
          </w:tcPr>
          <w:p w14:paraId="05362DE4" w14:textId="77777777" w:rsidR="00723E93" w:rsidRPr="007F6332" w:rsidRDefault="00723E93" w:rsidP="006C2D75">
            <w:pP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2023-24</w:t>
            </w:r>
          </w:p>
        </w:tc>
        <w:tc>
          <w:tcPr>
            <w:tcW w:w="574" w:type="pct"/>
            <w:tcBorders>
              <w:top w:val="single" w:sz="4" w:space="0" w:color="auto"/>
              <w:bottom w:val="nil"/>
            </w:tcBorders>
            <w:noWrap/>
          </w:tcPr>
          <w:p w14:paraId="0A8B33B6" w14:textId="77777777" w:rsidR="00723E93" w:rsidRPr="007F6332" w:rsidRDefault="00723E93" w:rsidP="006C2D75">
            <w:pPr>
              <w:ind w:left="-117"/>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2024-25</w:t>
            </w:r>
          </w:p>
        </w:tc>
        <w:tc>
          <w:tcPr>
            <w:tcW w:w="574" w:type="pct"/>
            <w:tcBorders>
              <w:top w:val="single" w:sz="4" w:space="0" w:color="auto"/>
              <w:bottom w:val="nil"/>
            </w:tcBorders>
            <w:noWrap/>
          </w:tcPr>
          <w:p w14:paraId="194B8338" w14:textId="77777777" w:rsidR="00723E93" w:rsidRPr="007F6332" w:rsidRDefault="00723E93" w:rsidP="006C2D75">
            <w:pPr>
              <w:ind w:left="-116"/>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2025-26</w:t>
            </w:r>
          </w:p>
        </w:tc>
        <w:tc>
          <w:tcPr>
            <w:tcW w:w="573" w:type="pct"/>
            <w:tcBorders>
              <w:top w:val="single" w:sz="4" w:space="0" w:color="auto"/>
              <w:bottom w:val="nil"/>
              <w:right w:val="dotted" w:sz="4" w:space="0" w:color="auto"/>
            </w:tcBorders>
            <w:noWrap/>
          </w:tcPr>
          <w:p w14:paraId="00F5B45E" w14:textId="77777777" w:rsidR="00723E93" w:rsidRPr="007F6332" w:rsidRDefault="00723E93" w:rsidP="006C2D75">
            <w:pPr>
              <w:ind w:left="-115"/>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2026-27</w:t>
            </w:r>
          </w:p>
        </w:tc>
        <w:tc>
          <w:tcPr>
            <w:tcW w:w="574" w:type="pct"/>
            <w:tcBorders>
              <w:top w:val="single" w:sz="4" w:space="0" w:color="auto"/>
              <w:left w:val="dotted" w:sz="4" w:space="0" w:color="auto"/>
              <w:bottom w:val="nil"/>
              <w:right w:val="single" w:sz="4" w:space="0" w:color="auto"/>
            </w:tcBorders>
            <w:noWrap/>
          </w:tcPr>
          <w:p w14:paraId="6D153663" w14:textId="77777777" w:rsidR="00723E93" w:rsidRPr="007F6332" w:rsidRDefault="00723E93" w:rsidP="006C2D75">
            <w:pPr>
              <w:ind w:left="-115"/>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2032-33</w:t>
            </w:r>
          </w:p>
        </w:tc>
        <w:tc>
          <w:tcPr>
            <w:tcW w:w="572" w:type="pct"/>
            <w:tcBorders>
              <w:top w:val="single" w:sz="4" w:space="0" w:color="auto"/>
              <w:left w:val="single" w:sz="4" w:space="0" w:color="auto"/>
              <w:bottom w:val="nil"/>
            </w:tcBorders>
          </w:tcPr>
          <w:p w14:paraId="61D475AA" w14:textId="77777777" w:rsidR="00723E93" w:rsidRPr="007F6332" w:rsidRDefault="00723E93" w:rsidP="006C2D75">
            <w:pP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 xml:space="preserve">Total </w:t>
            </w:r>
          </w:p>
          <w:p w14:paraId="2EB2F052" w14:textId="77777777" w:rsidR="00723E93" w:rsidRPr="007F6332" w:rsidRDefault="00723E93" w:rsidP="006C2D75">
            <w:pP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2023-27</w:t>
            </w:r>
          </w:p>
        </w:tc>
      </w:tr>
      <w:tr w:rsidR="00DF263E" w:rsidRPr="007F6332" w14:paraId="23AB8349" w14:textId="77777777" w:rsidTr="00654C92">
        <w:trPr>
          <w:trHeight w:val="397"/>
        </w:trPr>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shd w:val="clear" w:color="auto" w:fill="B398B8"/>
            <w:noWrap/>
          </w:tcPr>
          <w:p w14:paraId="041E798D" w14:textId="76574D7C" w:rsidR="00031CDE" w:rsidRPr="007F6332" w:rsidRDefault="00031CDE" w:rsidP="00031CDE">
            <w:pPr>
              <w:rPr>
                <w:rFonts w:eastAsia="Times New Roman" w:cs="Arial"/>
                <w:color w:val="000000"/>
                <w:szCs w:val="22"/>
                <w:lang w:eastAsia="en-AU"/>
              </w:rPr>
            </w:pPr>
            <w:r w:rsidRPr="007F6332">
              <w:rPr>
                <w:rFonts w:eastAsia="Times New Roman" w:cs="Arial"/>
                <w:color w:val="000000"/>
                <w:szCs w:val="22"/>
                <w:lang w:eastAsia="en-AU"/>
              </w:rPr>
              <w:t>June 2023 projections (a)</w:t>
            </w:r>
          </w:p>
        </w:tc>
        <w:tc>
          <w:tcPr>
            <w:tcW w:w="0" w:type="pct"/>
            <w:tcBorders>
              <w:top w:val="nil"/>
              <w:bottom w:val="nil"/>
            </w:tcBorders>
            <w:shd w:val="clear" w:color="auto" w:fill="B398B8"/>
            <w:noWrap/>
          </w:tcPr>
          <w:p w14:paraId="2029D59D" w14:textId="0E44906D"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41,360</w:t>
            </w:r>
          </w:p>
        </w:tc>
        <w:tc>
          <w:tcPr>
            <w:tcW w:w="0" w:type="pct"/>
            <w:tcBorders>
              <w:top w:val="nil"/>
              <w:bottom w:val="nil"/>
            </w:tcBorders>
            <w:shd w:val="clear" w:color="auto" w:fill="B398B8"/>
            <w:noWrap/>
          </w:tcPr>
          <w:p w14:paraId="7FF4B522" w14:textId="77655B2B"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46,376</w:t>
            </w:r>
          </w:p>
        </w:tc>
        <w:tc>
          <w:tcPr>
            <w:tcW w:w="0" w:type="pct"/>
            <w:tcBorders>
              <w:top w:val="nil"/>
              <w:bottom w:val="nil"/>
            </w:tcBorders>
            <w:shd w:val="clear" w:color="auto" w:fill="B398B8"/>
            <w:noWrap/>
          </w:tcPr>
          <w:p w14:paraId="69D5D608" w14:textId="06677BF5"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50,788</w:t>
            </w:r>
          </w:p>
        </w:tc>
        <w:tc>
          <w:tcPr>
            <w:tcW w:w="0" w:type="pct"/>
            <w:tcBorders>
              <w:top w:val="nil"/>
              <w:bottom w:val="nil"/>
              <w:right w:val="dotted" w:sz="4" w:space="0" w:color="auto"/>
            </w:tcBorders>
            <w:shd w:val="clear" w:color="auto" w:fill="B398B8"/>
            <w:noWrap/>
          </w:tcPr>
          <w:p w14:paraId="4B80D456" w14:textId="4B0B18E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55,207</w:t>
            </w:r>
          </w:p>
        </w:tc>
        <w:tc>
          <w:tcPr>
            <w:tcW w:w="0" w:type="pct"/>
            <w:tcBorders>
              <w:top w:val="nil"/>
              <w:left w:val="dotted" w:sz="4" w:space="0" w:color="auto"/>
              <w:bottom w:val="nil"/>
              <w:right w:val="single" w:sz="4" w:space="0" w:color="auto"/>
            </w:tcBorders>
            <w:shd w:val="clear" w:color="auto" w:fill="B398B8"/>
            <w:noWrap/>
          </w:tcPr>
          <w:p w14:paraId="285EC282" w14:textId="03C65665"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szCs w:val="22"/>
                <w:lang w:eastAsia="en-AU"/>
              </w:rPr>
            </w:pPr>
            <w:r w:rsidRPr="007F6332">
              <w:rPr>
                <w:rFonts w:cs="Arial"/>
                <w:szCs w:val="22"/>
              </w:rPr>
              <w:t>92,341</w:t>
            </w:r>
          </w:p>
        </w:tc>
        <w:tc>
          <w:tcPr>
            <w:tcW w:w="0" w:type="pct"/>
            <w:tcBorders>
              <w:top w:val="nil"/>
              <w:left w:val="single" w:sz="4" w:space="0" w:color="auto"/>
              <w:bottom w:val="nil"/>
            </w:tcBorders>
            <w:shd w:val="clear" w:color="auto" w:fill="B398B8"/>
          </w:tcPr>
          <w:p w14:paraId="5658B1D8" w14:textId="6AED0E52"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szCs w:val="22"/>
              </w:rPr>
              <w:t>193,731</w:t>
            </w:r>
          </w:p>
        </w:tc>
      </w:tr>
      <w:tr w:rsidR="00DF263E" w:rsidRPr="007F6332" w14:paraId="6D0F0690" w14:textId="77777777" w:rsidTr="00654C9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Borders>
              <w:top w:val="nil"/>
              <w:bottom w:val="nil"/>
              <w:right w:val="nil"/>
            </w:tcBorders>
            <w:shd w:val="clear" w:color="auto" w:fill="A6A6A6" w:themeFill="background1" w:themeFillShade="A6"/>
            <w:noWrap/>
          </w:tcPr>
          <w:p w14:paraId="05D85CDE" w14:textId="46C0C8A0" w:rsidR="00031CDE" w:rsidRPr="007F6332" w:rsidRDefault="00031CDE" w:rsidP="00031CDE">
            <w:pPr>
              <w:rPr>
                <w:rFonts w:eastAsia="Times New Roman" w:cs="Arial"/>
                <w:color w:val="000000"/>
                <w:szCs w:val="22"/>
                <w:lang w:eastAsia="en-AU"/>
              </w:rPr>
            </w:pPr>
            <w:r w:rsidRPr="007F6332">
              <w:rPr>
                <w:rFonts w:eastAsia="Times New Roman" w:cs="Arial"/>
                <w:color w:val="000000"/>
                <w:szCs w:val="22"/>
                <w:lang w:eastAsia="en-AU"/>
              </w:rPr>
              <w:t>December 2022 projections (b)</w:t>
            </w:r>
          </w:p>
        </w:tc>
        <w:tc>
          <w:tcPr>
            <w:tcW w:w="0" w:type="pct"/>
            <w:tcBorders>
              <w:top w:val="nil"/>
              <w:left w:val="nil"/>
              <w:bottom w:val="nil"/>
              <w:right w:val="nil"/>
            </w:tcBorders>
            <w:shd w:val="clear" w:color="auto" w:fill="A6A6A6" w:themeFill="background1" w:themeFillShade="A6"/>
            <w:noWrap/>
          </w:tcPr>
          <w:p w14:paraId="586F5FDA" w14:textId="6CDD7405"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39,977</w:t>
            </w:r>
          </w:p>
        </w:tc>
        <w:tc>
          <w:tcPr>
            <w:tcW w:w="0" w:type="pct"/>
            <w:tcBorders>
              <w:top w:val="nil"/>
              <w:left w:val="nil"/>
              <w:bottom w:val="nil"/>
              <w:right w:val="nil"/>
            </w:tcBorders>
            <w:shd w:val="clear" w:color="auto" w:fill="A6A6A6" w:themeFill="background1" w:themeFillShade="A6"/>
            <w:noWrap/>
          </w:tcPr>
          <w:p w14:paraId="43BD18AB" w14:textId="06B8D21D"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45,315</w:t>
            </w:r>
          </w:p>
        </w:tc>
        <w:tc>
          <w:tcPr>
            <w:tcW w:w="0" w:type="pct"/>
            <w:tcBorders>
              <w:top w:val="nil"/>
              <w:left w:val="nil"/>
              <w:bottom w:val="nil"/>
              <w:right w:val="nil"/>
            </w:tcBorders>
            <w:shd w:val="clear" w:color="auto" w:fill="A6A6A6" w:themeFill="background1" w:themeFillShade="A6"/>
            <w:noWrap/>
          </w:tcPr>
          <w:p w14:paraId="4868363B" w14:textId="7B616465"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50,348</w:t>
            </w:r>
          </w:p>
        </w:tc>
        <w:tc>
          <w:tcPr>
            <w:tcW w:w="0" w:type="pct"/>
            <w:tcBorders>
              <w:top w:val="nil"/>
              <w:left w:val="nil"/>
              <w:bottom w:val="nil"/>
              <w:right w:val="dotted" w:sz="4" w:space="0" w:color="auto"/>
            </w:tcBorders>
            <w:shd w:val="clear" w:color="auto" w:fill="A6A6A6" w:themeFill="background1" w:themeFillShade="A6"/>
            <w:noWrap/>
          </w:tcPr>
          <w:p w14:paraId="60F554AA" w14:textId="625569EE"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55,007</w:t>
            </w:r>
          </w:p>
        </w:tc>
        <w:tc>
          <w:tcPr>
            <w:tcW w:w="0" w:type="pct"/>
            <w:tcBorders>
              <w:top w:val="nil"/>
              <w:left w:val="dotted" w:sz="4" w:space="0" w:color="auto"/>
              <w:bottom w:val="nil"/>
              <w:right w:val="single" w:sz="4" w:space="0" w:color="auto"/>
            </w:tcBorders>
            <w:shd w:val="clear" w:color="auto" w:fill="A6A6A6" w:themeFill="background1" w:themeFillShade="A6"/>
            <w:noWrap/>
          </w:tcPr>
          <w:p w14:paraId="3EBDF8CA" w14:textId="01CDB764"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94,172</w:t>
            </w:r>
          </w:p>
        </w:tc>
        <w:tc>
          <w:tcPr>
            <w:tcW w:w="0" w:type="pct"/>
            <w:tcBorders>
              <w:top w:val="nil"/>
              <w:left w:val="single" w:sz="4" w:space="0" w:color="auto"/>
              <w:bottom w:val="nil"/>
            </w:tcBorders>
            <w:shd w:val="clear" w:color="auto" w:fill="A6A6A6" w:themeFill="background1" w:themeFillShade="A6"/>
          </w:tcPr>
          <w:p w14:paraId="18FE40F7" w14:textId="4C012855"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190,648</w:t>
            </w:r>
          </w:p>
        </w:tc>
      </w:tr>
      <w:tr w:rsidR="00DF263E" w:rsidRPr="007F6332" w14:paraId="4754FC5F" w14:textId="77777777" w:rsidTr="00654C92">
        <w:trPr>
          <w:trHeight w:val="397"/>
        </w:trPr>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shd w:val="clear" w:color="auto" w:fill="B398B8"/>
            <w:noWrap/>
          </w:tcPr>
          <w:p w14:paraId="747BC369" w14:textId="1DF7AF3B" w:rsidR="00031CDE" w:rsidRPr="007F6332" w:rsidRDefault="00031CDE" w:rsidP="00031CDE">
            <w:pPr>
              <w:rPr>
                <w:rFonts w:eastAsia="Times New Roman" w:cs="Arial"/>
                <w:color w:val="000000"/>
                <w:szCs w:val="22"/>
                <w:lang w:eastAsia="en-AU"/>
              </w:rPr>
            </w:pPr>
            <w:r w:rsidRPr="007F6332">
              <w:rPr>
                <w:rFonts w:eastAsia="Times New Roman" w:cs="Arial"/>
                <w:color w:val="000000"/>
                <w:szCs w:val="22"/>
                <w:lang w:eastAsia="en-AU"/>
              </w:rPr>
              <w:t>June 2022 projections (c)</w:t>
            </w:r>
          </w:p>
        </w:tc>
        <w:tc>
          <w:tcPr>
            <w:tcW w:w="0" w:type="pct"/>
            <w:tcBorders>
              <w:top w:val="nil"/>
              <w:bottom w:val="nil"/>
            </w:tcBorders>
            <w:shd w:val="clear" w:color="auto" w:fill="B398B8"/>
            <w:noWrap/>
          </w:tcPr>
          <w:p w14:paraId="4B049226" w14:textId="420A233B"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38,133</w:t>
            </w:r>
          </w:p>
        </w:tc>
        <w:tc>
          <w:tcPr>
            <w:tcW w:w="0" w:type="pct"/>
            <w:tcBorders>
              <w:top w:val="nil"/>
              <w:bottom w:val="nil"/>
            </w:tcBorders>
            <w:shd w:val="clear" w:color="auto" w:fill="B398B8"/>
            <w:noWrap/>
          </w:tcPr>
          <w:p w14:paraId="09679127" w14:textId="19F65C23"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44,116</w:t>
            </w:r>
          </w:p>
        </w:tc>
        <w:tc>
          <w:tcPr>
            <w:tcW w:w="0" w:type="pct"/>
            <w:tcBorders>
              <w:top w:val="nil"/>
              <w:bottom w:val="nil"/>
            </w:tcBorders>
            <w:shd w:val="clear" w:color="auto" w:fill="B398B8"/>
            <w:noWrap/>
          </w:tcPr>
          <w:p w14:paraId="6538345F" w14:textId="1B396C0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50,344</w:t>
            </w:r>
          </w:p>
        </w:tc>
        <w:tc>
          <w:tcPr>
            <w:tcW w:w="0" w:type="pct"/>
            <w:tcBorders>
              <w:top w:val="nil"/>
              <w:bottom w:val="nil"/>
              <w:right w:val="dashSmallGap" w:sz="4" w:space="0" w:color="auto"/>
            </w:tcBorders>
            <w:shd w:val="clear" w:color="auto" w:fill="B398B8"/>
            <w:noWrap/>
          </w:tcPr>
          <w:p w14:paraId="383E0AFC" w14:textId="04F3178D"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szCs w:val="22"/>
              </w:rPr>
              <w:t>55,510</w:t>
            </w:r>
          </w:p>
        </w:tc>
        <w:tc>
          <w:tcPr>
            <w:tcW w:w="0" w:type="pct"/>
            <w:tcBorders>
              <w:top w:val="nil"/>
              <w:left w:val="dashSmallGap" w:sz="4" w:space="0" w:color="auto"/>
              <w:bottom w:val="nil"/>
              <w:right w:val="single" w:sz="4" w:space="0" w:color="auto"/>
            </w:tcBorders>
            <w:shd w:val="clear" w:color="auto" w:fill="B398B8"/>
            <w:noWrap/>
          </w:tcPr>
          <w:p w14:paraId="3F3843A8" w14:textId="7CDB341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szCs w:val="22"/>
                <w:lang w:eastAsia="en-AU"/>
              </w:rPr>
            </w:pPr>
            <w:r w:rsidRPr="007F6332">
              <w:rPr>
                <w:rFonts w:cs="Arial"/>
                <w:szCs w:val="22"/>
              </w:rPr>
              <w:t>96,966</w:t>
            </w:r>
          </w:p>
        </w:tc>
        <w:tc>
          <w:tcPr>
            <w:tcW w:w="0" w:type="pct"/>
            <w:tcBorders>
              <w:top w:val="nil"/>
              <w:left w:val="single" w:sz="4" w:space="0" w:color="auto"/>
              <w:bottom w:val="nil"/>
            </w:tcBorders>
            <w:shd w:val="clear" w:color="auto" w:fill="B398B8"/>
          </w:tcPr>
          <w:p w14:paraId="6C886343" w14:textId="006B5013"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szCs w:val="22"/>
              </w:rPr>
              <w:t>188,103</w:t>
            </w:r>
          </w:p>
        </w:tc>
      </w:tr>
      <w:tr w:rsidR="00DF263E" w:rsidRPr="007F6332" w14:paraId="67366EA3" w14:textId="77777777" w:rsidTr="00654C9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Borders>
              <w:top w:val="nil"/>
              <w:bottom w:val="nil"/>
              <w:right w:val="nil"/>
            </w:tcBorders>
            <w:shd w:val="clear" w:color="auto" w:fill="FFFFFF" w:themeFill="background1"/>
            <w:noWrap/>
          </w:tcPr>
          <w:p w14:paraId="2262AC3E" w14:textId="2FEB8F0B" w:rsidR="00031CDE" w:rsidRPr="007F6332" w:rsidRDefault="00031CDE" w:rsidP="00031CDE">
            <w:pPr>
              <w:rPr>
                <w:rFonts w:eastAsia="Times New Roman" w:cs="Arial"/>
                <w:color w:val="000000"/>
                <w:szCs w:val="22"/>
                <w:lang w:eastAsia="en-AU"/>
              </w:rPr>
            </w:pPr>
            <w:r w:rsidRPr="007F6332">
              <w:rPr>
                <w:rFonts w:eastAsia="Times New Roman" w:cs="Arial"/>
                <w:szCs w:val="22"/>
                <w:lang w:eastAsia="en-AU"/>
              </w:rPr>
              <w:t>Difference ($) (a – b)</w:t>
            </w:r>
          </w:p>
        </w:tc>
        <w:tc>
          <w:tcPr>
            <w:tcW w:w="0" w:type="pct"/>
            <w:tcBorders>
              <w:top w:val="nil"/>
              <w:left w:val="nil"/>
              <w:bottom w:val="nil"/>
              <w:right w:val="nil"/>
            </w:tcBorders>
            <w:shd w:val="clear" w:color="auto" w:fill="FFFFFF" w:themeFill="background1"/>
            <w:noWrap/>
          </w:tcPr>
          <w:p w14:paraId="3E76974C" w14:textId="7ADB5DEE"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1,383</w:t>
            </w:r>
          </w:p>
        </w:tc>
        <w:tc>
          <w:tcPr>
            <w:tcW w:w="0" w:type="pct"/>
            <w:tcBorders>
              <w:top w:val="nil"/>
              <w:left w:val="nil"/>
              <w:bottom w:val="nil"/>
              <w:right w:val="nil"/>
            </w:tcBorders>
            <w:shd w:val="clear" w:color="auto" w:fill="FFFFFF" w:themeFill="background1"/>
            <w:noWrap/>
          </w:tcPr>
          <w:p w14:paraId="6697111A" w14:textId="4CAF5CF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1,060</w:t>
            </w:r>
          </w:p>
        </w:tc>
        <w:tc>
          <w:tcPr>
            <w:tcW w:w="0" w:type="pct"/>
            <w:tcBorders>
              <w:top w:val="nil"/>
              <w:left w:val="nil"/>
              <w:bottom w:val="nil"/>
              <w:right w:val="nil"/>
            </w:tcBorders>
            <w:shd w:val="clear" w:color="auto" w:fill="FFFFFF" w:themeFill="background1"/>
            <w:noWrap/>
          </w:tcPr>
          <w:p w14:paraId="4C78121F" w14:textId="7E8F89A9"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440</w:t>
            </w:r>
          </w:p>
        </w:tc>
        <w:tc>
          <w:tcPr>
            <w:tcW w:w="0" w:type="pct"/>
            <w:tcBorders>
              <w:top w:val="nil"/>
              <w:left w:val="nil"/>
              <w:bottom w:val="nil"/>
              <w:right w:val="dashSmallGap" w:sz="4" w:space="0" w:color="auto"/>
            </w:tcBorders>
            <w:shd w:val="clear" w:color="auto" w:fill="FFFFFF" w:themeFill="background1"/>
            <w:noWrap/>
          </w:tcPr>
          <w:p w14:paraId="355C1CE2" w14:textId="63A10F3B"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cs="Arial"/>
                <w:szCs w:val="22"/>
              </w:rPr>
              <w:t>200</w:t>
            </w:r>
          </w:p>
        </w:tc>
        <w:tc>
          <w:tcPr>
            <w:tcW w:w="0" w:type="pct"/>
            <w:tcBorders>
              <w:top w:val="nil"/>
              <w:left w:val="dashSmallGap" w:sz="4" w:space="0" w:color="auto"/>
              <w:bottom w:val="nil"/>
              <w:right w:val="single" w:sz="4" w:space="0" w:color="auto"/>
            </w:tcBorders>
            <w:shd w:val="clear" w:color="auto" w:fill="FFFFFF" w:themeFill="background1"/>
            <w:noWrap/>
          </w:tcPr>
          <w:p w14:paraId="29CCD9FA" w14:textId="34D22792"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szCs w:val="22"/>
                <w:lang w:eastAsia="en-AU"/>
              </w:rPr>
            </w:pPr>
            <w:r w:rsidRPr="007F6332">
              <w:rPr>
                <w:rFonts w:cs="Arial"/>
                <w:szCs w:val="22"/>
              </w:rPr>
              <w:t>-1,831</w:t>
            </w:r>
          </w:p>
        </w:tc>
        <w:tc>
          <w:tcPr>
            <w:tcW w:w="0" w:type="pct"/>
            <w:tcBorders>
              <w:top w:val="nil"/>
              <w:left w:val="single" w:sz="4" w:space="0" w:color="auto"/>
              <w:bottom w:val="nil"/>
            </w:tcBorders>
            <w:shd w:val="clear" w:color="auto" w:fill="FFFFFF" w:themeFill="background1"/>
          </w:tcPr>
          <w:p w14:paraId="32D3176D" w14:textId="7D44DD68"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szCs w:val="22"/>
              </w:rPr>
              <w:t>3,083</w:t>
            </w:r>
          </w:p>
        </w:tc>
      </w:tr>
      <w:tr w:rsidR="00DF263E" w:rsidRPr="007F6332" w14:paraId="3E754DDE" w14:textId="77777777" w:rsidTr="00654C92">
        <w:trPr>
          <w:trHeight w:val="397"/>
        </w:trPr>
        <w:tc>
          <w:tcPr>
            <w:cnfStyle w:val="001000000000" w:firstRow="0" w:lastRow="0" w:firstColumn="1" w:lastColumn="0" w:oddVBand="0" w:evenVBand="0" w:oddHBand="0" w:evenHBand="0" w:firstRowFirstColumn="0" w:firstRowLastColumn="0" w:lastRowFirstColumn="0" w:lastRowLastColumn="0"/>
            <w:tcW w:w="0" w:type="pct"/>
            <w:tcBorders>
              <w:top w:val="nil"/>
              <w:bottom w:val="nil"/>
              <w:right w:val="nil"/>
            </w:tcBorders>
            <w:shd w:val="clear" w:color="auto" w:fill="A6A6A6" w:themeFill="background1" w:themeFillShade="A6"/>
            <w:noWrap/>
          </w:tcPr>
          <w:p w14:paraId="2E3F4C57" w14:textId="496E69F7" w:rsidR="00031CDE" w:rsidRPr="007F6332" w:rsidRDefault="00031CDE" w:rsidP="00031CDE">
            <w:pPr>
              <w:rPr>
                <w:rFonts w:eastAsia="DengXian" w:cs="Arial"/>
                <w:szCs w:val="22"/>
                <w:lang w:eastAsia="en-AU"/>
              </w:rPr>
            </w:pPr>
            <w:r w:rsidRPr="007F6332">
              <w:rPr>
                <w:rFonts w:eastAsia="DengXian" w:cs="Arial"/>
                <w:szCs w:val="22"/>
                <w:lang w:eastAsia="en-AU"/>
              </w:rPr>
              <w:t>Difference (%) (a/b -1)</w:t>
            </w:r>
          </w:p>
        </w:tc>
        <w:tc>
          <w:tcPr>
            <w:tcW w:w="0" w:type="pct"/>
            <w:tcBorders>
              <w:top w:val="nil"/>
              <w:left w:val="nil"/>
              <w:bottom w:val="nil"/>
              <w:right w:val="nil"/>
            </w:tcBorders>
            <w:shd w:val="clear" w:color="auto" w:fill="A6A6A6" w:themeFill="background1" w:themeFillShade="A6"/>
            <w:noWrap/>
          </w:tcPr>
          <w:p w14:paraId="4D607960" w14:textId="2BE3F9F4"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DengXian" w:cs="Arial"/>
                <w:szCs w:val="22"/>
              </w:rPr>
            </w:pPr>
            <w:r w:rsidRPr="007F6332">
              <w:rPr>
                <w:rFonts w:cs="Arial"/>
                <w:szCs w:val="22"/>
              </w:rPr>
              <w:t>3%</w:t>
            </w:r>
          </w:p>
        </w:tc>
        <w:tc>
          <w:tcPr>
            <w:tcW w:w="0" w:type="pct"/>
            <w:tcBorders>
              <w:top w:val="nil"/>
              <w:left w:val="nil"/>
              <w:bottom w:val="nil"/>
              <w:right w:val="nil"/>
            </w:tcBorders>
            <w:shd w:val="clear" w:color="auto" w:fill="A6A6A6" w:themeFill="background1" w:themeFillShade="A6"/>
            <w:noWrap/>
          </w:tcPr>
          <w:p w14:paraId="091D3491" w14:textId="63F8DB95"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DengXian" w:cs="Arial"/>
                <w:szCs w:val="22"/>
              </w:rPr>
            </w:pPr>
            <w:r w:rsidRPr="007F6332">
              <w:rPr>
                <w:rFonts w:cs="Arial"/>
                <w:szCs w:val="22"/>
              </w:rPr>
              <w:t>2%</w:t>
            </w:r>
          </w:p>
        </w:tc>
        <w:tc>
          <w:tcPr>
            <w:tcW w:w="0" w:type="pct"/>
            <w:tcBorders>
              <w:top w:val="nil"/>
              <w:left w:val="nil"/>
              <w:bottom w:val="nil"/>
              <w:right w:val="nil"/>
            </w:tcBorders>
            <w:shd w:val="clear" w:color="auto" w:fill="A6A6A6" w:themeFill="background1" w:themeFillShade="A6"/>
            <w:noWrap/>
          </w:tcPr>
          <w:p w14:paraId="4076463D" w14:textId="5D0CCA14"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DengXian" w:cs="Arial"/>
                <w:szCs w:val="22"/>
              </w:rPr>
            </w:pPr>
            <w:r w:rsidRPr="007F6332">
              <w:rPr>
                <w:rFonts w:cs="Arial"/>
                <w:szCs w:val="22"/>
              </w:rPr>
              <w:t>1%</w:t>
            </w:r>
          </w:p>
        </w:tc>
        <w:tc>
          <w:tcPr>
            <w:tcW w:w="0" w:type="pct"/>
            <w:tcBorders>
              <w:top w:val="nil"/>
              <w:left w:val="nil"/>
              <w:bottom w:val="nil"/>
              <w:right w:val="dashSmallGap" w:sz="4" w:space="0" w:color="auto"/>
            </w:tcBorders>
            <w:shd w:val="clear" w:color="auto" w:fill="A6A6A6" w:themeFill="background1" w:themeFillShade="A6"/>
            <w:noWrap/>
          </w:tcPr>
          <w:p w14:paraId="14716868" w14:textId="4EB15122"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DengXian" w:cs="Arial"/>
                <w:szCs w:val="22"/>
              </w:rPr>
            </w:pPr>
            <w:r w:rsidRPr="007F6332">
              <w:rPr>
                <w:rFonts w:cs="Arial"/>
                <w:szCs w:val="22"/>
              </w:rPr>
              <w:t>0%</w:t>
            </w:r>
          </w:p>
        </w:tc>
        <w:tc>
          <w:tcPr>
            <w:tcW w:w="0" w:type="pct"/>
            <w:tcBorders>
              <w:top w:val="nil"/>
              <w:left w:val="dashSmallGap" w:sz="4" w:space="0" w:color="auto"/>
              <w:bottom w:val="nil"/>
              <w:right w:val="single" w:sz="4" w:space="0" w:color="auto"/>
            </w:tcBorders>
            <w:shd w:val="clear" w:color="auto" w:fill="A6A6A6" w:themeFill="background1" w:themeFillShade="A6"/>
            <w:noWrap/>
          </w:tcPr>
          <w:p w14:paraId="5DBF13E1" w14:textId="03826676"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DengXian" w:cs="Arial"/>
                <w:szCs w:val="22"/>
              </w:rPr>
            </w:pPr>
            <w:r w:rsidRPr="007F6332">
              <w:rPr>
                <w:rFonts w:cs="Arial"/>
                <w:szCs w:val="22"/>
              </w:rPr>
              <w:t>-2%</w:t>
            </w:r>
          </w:p>
        </w:tc>
        <w:tc>
          <w:tcPr>
            <w:tcW w:w="0" w:type="pct"/>
            <w:tcBorders>
              <w:top w:val="nil"/>
              <w:left w:val="single" w:sz="4" w:space="0" w:color="auto"/>
              <w:bottom w:val="nil"/>
            </w:tcBorders>
            <w:shd w:val="clear" w:color="auto" w:fill="A6A6A6" w:themeFill="background1" w:themeFillShade="A6"/>
          </w:tcPr>
          <w:p w14:paraId="066A7E20" w14:textId="3CA17FE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DengXian" w:cs="Arial"/>
                <w:szCs w:val="22"/>
              </w:rPr>
            </w:pPr>
            <w:r w:rsidRPr="007F6332">
              <w:rPr>
                <w:rFonts w:cs="Arial"/>
                <w:szCs w:val="22"/>
              </w:rPr>
              <w:t>2%</w:t>
            </w:r>
          </w:p>
        </w:tc>
      </w:tr>
      <w:tr w:rsidR="00DF263E" w:rsidRPr="007F6332" w14:paraId="64E179F5" w14:textId="77777777" w:rsidTr="00654C9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Borders>
              <w:top w:val="nil"/>
              <w:bottom w:val="nil"/>
              <w:right w:val="nil"/>
            </w:tcBorders>
            <w:shd w:val="clear" w:color="auto" w:fill="FFFFFF" w:themeFill="background1"/>
            <w:noWrap/>
          </w:tcPr>
          <w:p w14:paraId="353918FD" w14:textId="1AB596BE" w:rsidR="00031CDE" w:rsidRPr="007F6332" w:rsidRDefault="00031CDE" w:rsidP="00031CDE">
            <w:pPr>
              <w:rPr>
                <w:rFonts w:eastAsia="DengXian" w:cs="Arial"/>
                <w:szCs w:val="22"/>
                <w:lang w:eastAsia="en-AU"/>
              </w:rPr>
            </w:pPr>
            <w:r w:rsidRPr="007F6332">
              <w:rPr>
                <w:rFonts w:eastAsia="Times New Roman" w:cs="Arial"/>
                <w:szCs w:val="22"/>
                <w:lang w:eastAsia="en-AU"/>
              </w:rPr>
              <w:t>Difference ($) (a – c)</w:t>
            </w:r>
          </w:p>
        </w:tc>
        <w:tc>
          <w:tcPr>
            <w:tcW w:w="0" w:type="pct"/>
            <w:tcBorders>
              <w:top w:val="nil"/>
              <w:left w:val="nil"/>
              <w:bottom w:val="nil"/>
              <w:right w:val="nil"/>
            </w:tcBorders>
            <w:shd w:val="clear" w:color="auto" w:fill="FFFFFF" w:themeFill="background1"/>
            <w:noWrap/>
          </w:tcPr>
          <w:p w14:paraId="6A80657E" w14:textId="4364C33A"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3,227</w:t>
            </w:r>
          </w:p>
        </w:tc>
        <w:tc>
          <w:tcPr>
            <w:tcW w:w="0" w:type="pct"/>
            <w:tcBorders>
              <w:top w:val="nil"/>
              <w:left w:val="nil"/>
              <w:bottom w:val="nil"/>
              <w:right w:val="nil"/>
            </w:tcBorders>
            <w:shd w:val="clear" w:color="auto" w:fill="FFFFFF" w:themeFill="background1"/>
            <w:noWrap/>
          </w:tcPr>
          <w:p w14:paraId="5AC28CD5" w14:textId="0BA2577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2,260</w:t>
            </w:r>
          </w:p>
        </w:tc>
        <w:tc>
          <w:tcPr>
            <w:tcW w:w="0" w:type="pct"/>
            <w:tcBorders>
              <w:top w:val="nil"/>
              <w:left w:val="nil"/>
              <w:bottom w:val="nil"/>
              <w:right w:val="nil"/>
            </w:tcBorders>
            <w:shd w:val="clear" w:color="auto" w:fill="FFFFFF" w:themeFill="background1"/>
            <w:noWrap/>
          </w:tcPr>
          <w:p w14:paraId="74A19D18" w14:textId="6E036B4A"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444</w:t>
            </w:r>
          </w:p>
        </w:tc>
        <w:tc>
          <w:tcPr>
            <w:tcW w:w="0" w:type="pct"/>
            <w:tcBorders>
              <w:top w:val="nil"/>
              <w:left w:val="nil"/>
              <w:bottom w:val="nil"/>
              <w:right w:val="dashSmallGap" w:sz="4" w:space="0" w:color="auto"/>
            </w:tcBorders>
            <w:shd w:val="clear" w:color="auto" w:fill="FFFFFF" w:themeFill="background1"/>
            <w:noWrap/>
          </w:tcPr>
          <w:p w14:paraId="77149A20" w14:textId="1437F304"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-303</w:t>
            </w:r>
          </w:p>
        </w:tc>
        <w:tc>
          <w:tcPr>
            <w:tcW w:w="0" w:type="pct"/>
            <w:tcBorders>
              <w:top w:val="nil"/>
              <w:left w:val="dashSmallGap" w:sz="4" w:space="0" w:color="auto"/>
              <w:bottom w:val="nil"/>
              <w:right w:val="single" w:sz="4" w:space="0" w:color="auto"/>
            </w:tcBorders>
            <w:shd w:val="clear" w:color="auto" w:fill="FFFFFF" w:themeFill="background1"/>
            <w:noWrap/>
          </w:tcPr>
          <w:p w14:paraId="6C69B9EE" w14:textId="4172A11E"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-4,625</w:t>
            </w:r>
          </w:p>
        </w:tc>
        <w:tc>
          <w:tcPr>
            <w:tcW w:w="0" w:type="pct"/>
            <w:tcBorders>
              <w:top w:val="nil"/>
              <w:left w:val="single" w:sz="4" w:space="0" w:color="auto"/>
              <w:bottom w:val="nil"/>
            </w:tcBorders>
            <w:shd w:val="clear" w:color="auto" w:fill="FFFFFF" w:themeFill="background1"/>
          </w:tcPr>
          <w:p w14:paraId="2F0EC67D" w14:textId="659BCC5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5,628</w:t>
            </w:r>
          </w:p>
        </w:tc>
      </w:tr>
      <w:tr w:rsidR="00DF263E" w:rsidRPr="007F6332" w14:paraId="3ADD00BF" w14:textId="77777777" w:rsidTr="00654C92">
        <w:trPr>
          <w:trHeight w:val="397"/>
        </w:trPr>
        <w:tc>
          <w:tcPr>
            <w:cnfStyle w:val="001000000000" w:firstRow="0" w:lastRow="0" w:firstColumn="1" w:lastColumn="0" w:oddVBand="0" w:evenVBand="0" w:oddHBand="0" w:evenHBand="0" w:firstRowFirstColumn="0" w:firstRowLastColumn="0" w:lastRowFirstColumn="0" w:lastRowLastColumn="0"/>
            <w:tcW w:w="0" w:type="pct"/>
            <w:tcBorders>
              <w:top w:val="nil"/>
              <w:bottom w:val="single" w:sz="4" w:space="0" w:color="auto"/>
              <w:right w:val="nil"/>
            </w:tcBorders>
            <w:shd w:val="clear" w:color="auto" w:fill="A6A6A6" w:themeFill="background1" w:themeFillShade="A6"/>
            <w:noWrap/>
          </w:tcPr>
          <w:p w14:paraId="39108FF6" w14:textId="24FC3580" w:rsidR="00031CDE" w:rsidRPr="007F6332" w:rsidRDefault="00031CDE" w:rsidP="00031CDE">
            <w:pPr>
              <w:rPr>
                <w:rFonts w:eastAsia="DengXian" w:cs="Arial"/>
                <w:szCs w:val="22"/>
                <w:lang w:eastAsia="en-AU"/>
              </w:rPr>
            </w:pPr>
            <w:r w:rsidRPr="007F6332">
              <w:rPr>
                <w:rFonts w:eastAsia="DengXian" w:cs="Arial"/>
                <w:szCs w:val="22"/>
                <w:lang w:eastAsia="en-AU"/>
              </w:rPr>
              <w:t>Difference (%) (a/c -1)</w:t>
            </w:r>
          </w:p>
        </w:tc>
        <w:tc>
          <w:tcPr>
            <w:tcW w:w="0" w:type="pct"/>
            <w:tcBorders>
              <w:top w:val="nil"/>
              <w:left w:val="nil"/>
              <w:bottom w:val="single" w:sz="4" w:space="0" w:color="auto"/>
              <w:right w:val="nil"/>
            </w:tcBorders>
            <w:shd w:val="clear" w:color="auto" w:fill="A6A6A6" w:themeFill="background1" w:themeFillShade="A6"/>
            <w:noWrap/>
          </w:tcPr>
          <w:p w14:paraId="4B6F8FAE" w14:textId="7A9D32EF"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8%</w:t>
            </w:r>
          </w:p>
        </w:tc>
        <w:tc>
          <w:tcPr>
            <w:tcW w:w="0" w:type="pct"/>
            <w:tcBorders>
              <w:top w:val="nil"/>
              <w:left w:val="nil"/>
              <w:bottom w:val="single" w:sz="4" w:space="0" w:color="auto"/>
              <w:right w:val="nil"/>
            </w:tcBorders>
            <w:shd w:val="clear" w:color="auto" w:fill="A6A6A6" w:themeFill="background1" w:themeFillShade="A6"/>
            <w:noWrap/>
          </w:tcPr>
          <w:p w14:paraId="11E7F2B6" w14:textId="7BB7E6F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5%</w:t>
            </w:r>
          </w:p>
        </w:tc>
        <w:tc>
          <w:tcPr>
            <w:tcW w:w="0" w:type="pct"/>
            <w:tcBorders>
              <w:top w:val="nil"/>
              <w:left w:val="nil"/>
              <w:bottom w:val="single" w:sz="4" w:space="0" w:color="auto"/>
              <w:right w:val="nil"/>
            </w:tcBorders>
            <w:shd w:val="clear" w:color="auto" w:fill="A6A6A6" w:themeFill="background1" w:themeFillShade="A6"/>
            <w:noWrap/>
          </w:tcPr>
          <w:p w14:paraId="0A56E432" w14:textId="5923AFF3"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w:t>
            </w:r>
          </w:p>
        </w:tc>
        <w:tc>
          <w:tcPr>
            <w:tcW w:w="0" w:type="pct"/>
            <w:tcBorders>
              <w:top w:val="nil"/>
              <w:left w:val="nil"/>
              <w:bottom w:val="single" w:sz="4" w:space="0" w:color="auto"/>
              <w:right w:val="dashSmallGap" w:sz="4" w:space="0" w:color="auto"/>
            </w:tcBorders>
            <w:shd w:val="clear" w:color="auto" w:fill="A6A6A6" w:themeFill="background1" w:themeFillShade="A6"/>
            <w:noWrap/>
          </w:tcPr>
          <w:p w14:paraId="427D0EDB" w14:textId="4921D59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w:t>
            </w:r>
          </w:p>
        </w:tc>
        <w:tc>
          <w:tcPr>
            <w:tcW w:w="0" w:type="pct"/>
            <w:tcBorders>
              <w:top w:val="nil"/>
              <w:left w:val="dashSmallGap" w:sz="4" w:space="0" w:color="auto"/>
              <w:bottom w:val="single" w:sz="4" w:space="0" w:color="auto"/>
              <w:right w:val="single" w:sz="4" w:space="0" w:color="auto"/>
            </w:tcBorders>
            <w:shd w:val="clear" w:color="auto" w:fill="A6A6A6" w:themeFill="background1" w:themeFillShade="A6"/>
            <w:noWrap/>
          </w:tcPr>
          <w:p w14:paraId="52AFC658" w14:textId="320CEE28"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-5%</w:t>
            </w:r>
          </w:p>
        </w:tc>
        <w:tc>
          <w:tcPr>
            <w:tcW w:w="0" w:type="pct"/>
            <w:tcBorders>
              <w:top w:val="nil"/>
              <w:left w:val="single" w:sz="4" w:space="0" w:color="auto"/>
              <w:bottom w:val="single" w:sz="4" w:space="0" w:color="auto"/>
            </w:tcBorders>
            <w:shd w:val="clear" w:color="auto" w:fill="A6A6A6" w:themeFill="background1" w:themeFillShade="A6"/>
          </w:tcPr>
          <w:p w14:paraId="3C58EF31" w14:textId="3519539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3%</w:t>
            </w:r>
          </w:p>
        </w:tc>
      </w:tr>
    </w:tbl>
    <w:p w14:paraId="6FDAF5D1" w14:textId="18B04811" w:rsidR="00584345" w:rsidRPr="007F6332" w:rsidRDefault="00584345" w:rsidP="00584345">
      <w:pPr>
        <w:spacing w:before="240"/>
        <w:rPr>
          <w:rFonts w:cs="Arial"/>
          <w:lang w:val="en-AU"/>
        </w:rPr>
      </w:pPr>
      <w:r w:rsidRPr="007F6332">
        <w:rPr>
          <w:rFonts w:cs="Arial"/>
          <w:lang w:val="en-AU"/>
        </w:rPr>
        <w:t>The changes</w:t>
      </w:r>
      <w:r w:rsidR="00DE45BC" w:rsidRPr="007F6332">
        <w:rPr>
          <w:rFonts w:cs="Arial"/>
          <w:lang w:val="en-AU"/>
        </w:rPr>
        <w:t xml:space="preserve"> that</w:t>
      </w:r>
      <w:r w:rsidRPr="007F6332">
        <w:rPr>
          <w:rFonts w:cs="Arial"/>
          <w:lang w:val="en-AU"/>
        </w:rPr>
        <w:t xml:space="preserve"> have resulted in this movement from the June 2022 projections are presented in Table 5.7.</w:t>
      </w:r>
    </w:p>
    <w:p w14:paraId="3E15421F" w14:textId="77777777" w:rsidR="00584345" w:rsidRPr="007F6332" w:rsidRDefault="00584345" w:rsidP="00584345">
      <w:pPr>
        <w:spacing w:before="240"/>
        <w:rPr>
          <w:rFonts w:cs="Arial"/>
          <w:lang w:val="en-AU"/>
        </w:rPr>
      </w:pPr>
      <w:r w:rsidRPr="007F6332">
        <w:rPr>
          <w:rFonts w:cs="Arial"/>
          <w:lang w:val="en-AU"/>
        </w:rPr>
        <w:t xml:space="preserve">The June 2023 projections included updates to account for forces external to the Scheme. Over the four-year period to 30 June 2027, this included a </w:t>
      </w:r>
      <w:r w:rsidRPr="007F6332">
        <w:rPr>
          <w:rFonts w:cs="Arial"/>
          <w:b/>
          <w:bCs/>
          <w:lang w:val="en-AU"/>
        </w:rPr>
        <w:t>$0.4 billion</w:t>
      </w:r>
      <w:r w:rsidRPr="007F6332">
        <w:rPr>
          <w:rFonts w:cs="Arial"/>
          <w:lang w:val="en-AU"/>
        </w:rPr>
        <w:t xml:space="preserve"> </w:t>
      </w:r>
      <w:r w:rsidRPr="007F6332">
        <w:rPr>
          <w:rFonts w:cs="Arial"/>
          <w:b/>
          <w:bCs/>
          <w:lang w:val="en-AU"/>
        </w:rPr>
        <w:t>increase</w:t>
      </w:r>
      <w:r w:rsidRPr="007F6332">
        <w:rPr>
          <w:rFonts w:cs="Arial"/>
          <w:lang w:val="en-AU"/>
        </w:rPr>
        <w:t xml:space="preserve"> to allow for the impact of changes to immigration policy, and a </w:t>
      </w:r>
      <w:r w:rsidRPr="007F6332">
        <w:rPr>
          <w:rFonts w:cs="Arial"/>
          <w:b/>
          <w:bCs/>
          <w:lang w:val="en-AU"/>
        </w:rPr>
        <w:t>$2.3 billion increase</w:t>
      </w:r>
      <w:r w:rsidRPr="007F6332">
        <w:rPr>
          <w:rFonts w:cs="Arial"/>
          <w:lang w:val="en-AU"/>
        </w:rPr>
        <w:t xml:space="preserve"> from changes to pricing and normal inflation.</w:t>
      </w:r>
    </w:p>
    <w:p w14:paraId="50966804" w14:textId="0C8A5991" w:rsidR="00584345" w:rsidRPr="007F6332" w:rsidRDefault="00584345" w:rsidP="00584345">
      <w:pPr>
        <w:spacing w:before="240"/>
        <w:rPr>
          <w:rFonts w:cs="Arial"/>
          <w:lang w:val="en-AU"/>
        </w:rPr>
      </w:pPr>
      <w:r w:rsidRPr="007F6332">
        <w:rPr>
          <w:rFonts w:cs="Arial"/>
          <w:lang w:val="en-AU"/>
        </w:rPr>
        <w:t xml:space="preserve">Updates for the most recent Scheme experience, for the 12 months to 30 June 2023, resulted in a further </w:t>
      </w:r>
      <w:r w:rsidRPr="007F6332">
        <w:rPr>
          <w:rFonts w:cs="Arial"/>
          <w:b/>
          <w:bCs/>
          <w:lang w:val="en-AU"/>
        </w:rPr>
        <w:t>$2.4 billion increase</w:t>
      </w:r>
      <w:r w:rsidRPr="007F6332">
        <w:rPr>
          <w:rFonts w:cs="Arial"/>
          <w:lang w:val="en-AU"/>
        </w:rPr>
        <w:t xml:space="preserve"> to projected Scheme expenses over the four-year period. This includes:</w:t>
      </w:r>
    </w:p>
    <w:p w14:paraId="3521499B" w14:textId="77777777" w:rsidR="00584345" w:rsidRPr="007F6332" w:rsidRDefault="00584345" w:rsidP="00C1755E">
      <w:pPr>
        <w:pStyle w:val="FSRlist"/>
        <w:rPr>
          <w:rFonts w:eastAsia="Times New Roman" w:cs="Arial"/>
          <w:lang w:eastAsia="en-AU"/>
        </w:rPr>
      </w:pPr>
      <w:r w:rsidRPr="007F6332">
        <w:rPr>
          <w:rFonts w:eastAsia="Times New Roman" w:cs="Arial"/>
          <w:lang w:eastAsia="en-AU"/>
        </w:rPr>
        <w:t xml:space="preserve">a </w:t>
      </w:r>
      <w:r w:rsidRPr="007F6332">
        <w:rPr>
          <w:rFonts w:eastAsia="Times New Roman" w:cs="Arial"/>
          <w:b/>
          <w:bCs/>
          <w:lang w:eastAsia="en-AU"/>
        </w:rPr>
        <w:t>$0.9 billion increase</w:t>
      </w:r>
      <w:r w:rsidRPr="007F6332">
        <w:rPr>
          <w:rFonts w:eastAsia="Times New Roman" w:cs="Arial"/>
          <w:lang w:eastAsia="en-AU"/>
        </w:rPr>
        <w:t xml:space="preserve"> due to higher-than-expected numbers of participants and a different mix of participants compared with expected. Participant projections are shown in Section 5.4.</w:t>
      </w:r>
    </w:p>
    <w:p w14:paraId="59118537" w14:textId="1B80B722" w:rsidR="00584345" w:rsidRPr="007F6332" w:rsidRDefault="00584345" w:rsidP="00C1755E">
      <w:pPr>
        <w:pStyle w:val="FSRlist"/>
        <w:rPr>
          <w:rFonts w:cs="Arial"/>
        </w:rPr>
      </w:pPr>
      <w:r w:rsidRPr="007F6332">
        <w:rPr>
          <w:rFonts w:eastAsia="Times New Roman" w:cs="Arial"/>
          <w:lang w:eastAsia="en-AU"/>
        </w:rPr>
        <w:t xml:space="preserve">a </w:t>
      </w:r>
      <w:r w:rsidRPr="007F6332">
        <w:rPr>
          <w:rFonts w:eastAsia="Times New Roman" w:cs="Arial"/>
          <w:b/>
          <w:bCs/>
          <w:lang w:eastAsia="en-AU"/>
        </w:rPr>
        <w:t>$1.5 billion increase</w:t>
      </w:r>
      <w:r w:rsidRPr="007F6332">
        <w:rPr>
          <w:rFonts w:eastAsia="Times New Roman" w:cs="Arial"/>
          <w:lang w:eastAsia="en-AU"/>
        </w:rPr>
        <w:t xml:space="preserve"> due to higher-than-expected average payments per participant in 2022-23, and hence a higher starting point for the projection. This is driven by plan growth which exceeded expectations, and </w:t>
      </w:r>
      <w:r w:rsidRPr="007F6332">
        <w:rPr>
          <w:rFonts w:cs="Arial"/>
        </w:rPr>
        <w:t>the previously estimated labour supply shortage for attendant care not having constrained the provision of Scheme supports as expected</w:t>
      </w:r>
      <w:r w:rsidRPr="007F6332">
        <w:rPr>
          <w:rFonts w:eastAsia="Times New Roman" w:cs="Arial"/>
          <w:lang w:eastAsia="en-AU"/>
        </w:rPr>
        <w:t>.</w:t>
      </w:r>
    </w:p>
    <w:p w14:paraId="3AB687CE" w14:textId="77777777" w:rsidR="00457C58" w:rsidRPr="007F6332" w:rsidRDefault="00457C58" w:rsidP="00C1755E">
      <w:pPr>
        <w:pStyle w:val="FSRlist"/>
        <w:rPr>
          <w:rFonts w:cs="Arial"/>
        </w:rPr>
        <w:sectPr w:rsidR="00457C58" w:rsidRPr="007F6332" w:rsidSect="00E53368">
          <w:pgSz w:w="11906" w:h="16838"/>
          <w:pgMar w:top="1440" w:right="1416" w:bottom="1440" w:left="1440" w:header="708" w:footer="567" w:gutter="0"/>
          <w:cols w:space="708"/>
          <w:titlePg/>
          <w:docGrid w:linePitch="360"/>
        </w:sectPr>
      </w:pPr>
    </w:p>
    <w:p w14:paraId="10307AE1" w14:textId="77777777" w:rsidR="00584345" w:rsidRPr="007F6332" w:rsidRDefault="00584345" w:rsidP="00C1755E">
      <w:pPr>
        <w:pStyle w:val="FSRlist"/>
        <w:rPr>
          <w:rFonts w:cs="Arial"/>
        </w:rPr>
      </w:pPr>
      <w:r w:rsidRPr="007F6332">
        <w:rPr>
          <w:rFonts w:cs="Arial"/>
        </w:rPr>
        <w:lastRenderedPageBreak/>
        <w:t xml:space="preserve">Changes to assumptions accounted for the remaining </w:t>
      </w:r>
      <w:r w:rsidRPr="007F6332">
        <w:rPr>
          <w:rFonts w:cs="Arial"/>
          <w:b/>
          <w:bCs/>
        </w:rPr>
        <w:t>$0.6 billion</w:t>
      </w:r>
      <w:r w:rsidRPr="007F6332">
        <w:rPr>
          <w:rFonts w:cs="Arial"/>
        </w:rPr>
        <w:t>, comprising:</w:t>
      </w:r>
    </w:p>
    <w:p w14:paraId="4F7829D0" w14:textId="33C2D3BF" w:rsidR="00EC2CD2" w:rsidRPr="007F6332" w:rsidRDefault="00D13D39" w:rsidP="00C1755E">
      <w:pPr>
        <w:pStyle w:val="FSRlist"/>
        <w:rPr>
          <w:rFonts w:eastAsia="Times New Roman" w:cs="Arial"/>
          <w:lang w:eastAsia="en-AU"/>
        </w:rPr>
      </w:pPr>
      <w:r w:rsidRPr="007F6332">
        <w:rPr>
          <w:rFonts w:eastAsia="Times New Roman" w:cs="Arial"/>
          <w:lang w:eastAsia="en-AU"/>
        </w:rPr>
        <w:t>A</w:t>
      </w:r>
      <w:r w:rsidR="00EC2CD2" w:rsidRPr="007F6332">
        <w:rPr>
          <w:rFonts w:eastAsia="Times New Roman" w:cs="Arial"/>
          <w:lang w:eastAsia="en-AU"/>
        </w:rPr>
        <w:t xml:space="preserve"> </w:t>
      </w:r>
      <w:r w:rsidR="00EC2CD2" w:rsidRPr="007F6332">
        <w:rPr>
          <w:rFonts w:eastAsia="Times New Roman" w:cs="Arial"/>
          <w:b/>
          <w:bCs/>
          <w:lang w:eastAsia="en-AU"/>
        </w:rPr>
        <w:t>$4.8 billion</w:t>
      </w:r>
      <w:r w:rsidR="00EC2CD2" w:rsidRPr="007F6332">
        <w:rPr>
          <w:rFonts w:eastAsia="Times New Roman" w:cs="Arial"/>
          <w:lang w:eastAsia="en-AU"/>
        </w:rPr>
        <w:t xml:space="preserve"> </w:t>
      </w:r>
      <w:r w:rsidR="00EC2CD2" w:rsidRPr="007F6332">
        <w:rPr>
          <w:rFonts w:eastAsia="Times New Roman" w:cs="Arial"/>
          <w:b/>
          <w:bCs/>
          <w:lang w:eastAsia="en-AU"/>
        </w:rPr>
        <w:t>reduction</w:t>
      </w:r>
      <w:r w:rsidR="00EC2CD2" w:rsidRPr="007F6332">
        <w:rPr>
          <w:rFonts w:eastAsia="Times New Roman" w:cs="Arial"/>
          <w:lang w:eastAsia="en-AU"/>
        </w:rPr>
        <w:t xml:space="preserve"> due to changes in assumptions about future additional growth</w:t>
      </w:r>
      <w:r w:rsidR="00EC2CD2" w:rsidRPr="007F6332">
        <w:rPr>
          <w:rFonts w:eastAsia="Times New Roman" w:cs="Arial"/>
          <w:vertAlign w:val="superscript"/>
          <w:lang w:eastAsia="en-AU"/>
        </w:rPr>
        <w:footnoteReference w:id="84"/>
      </w:r>
      <w:r w:rsidR="00EC2CD2" w:rsidRPr="007F6332">
        <w:rPr>
          <w:rFonts w:eastAsia="Times New Roman" w:cs="Arial"/>
          <w:lang w:eastAsia="en-AU"/>
        </w:rPr>
        <w:t xml:space="preserve"> in average payments per participant, above normal inflationary sources. This significant reduction is anticipated to arise over the four years, resulting from </w:t>
      </w:r>
      <w:r w:rsidR="002D6881" w:rsidRPr="007F6332">
        <w:rPr>
          <w:rFonts w:eastAsia="Times New Roman" w:cs="Arial"/>
          <w:lang w:eastAsia="en-AU"/>
        </w:rPr>
        <w:t>Budget initiatives</w:t>
      </w:r>
      <w:r w:rsidR="00EC2CD2" w:rsidRPr="007F6332">
        <w:rPr>
          <w:rFonts w:eastAsia="Times New Roman" w:cs="Arial"/>
          <w:lang w:eastAsia="en-AU"/>
        </w:rPr>
        <w:t xml:space="preserve">. </w:t>
      </w:r>
    </w:p>
    <w:p w14:paraId="4FE8F7BD" w14:textId="078AA65E" w:rsidR="00EC2CD2" w:rsidRPr="007F6332" w:rsidRDefault="00D13D39" w:rsidP="00C1755E">
      <w:pPr>
        <w:pStyle w:val="FSRlist"/>
        <w:rPr>
          <w:rFonts w:eastAsia="Times New Roman" w:cs="Arial"/>
          <w:lang w:eastAsia="en-AU"/>
        </w:rPr>
      </w:pPr>
      <w:r w:rsidRPr="007F6332">
        <w:rPr>
          <w:rFonts w:eastAsia="Times New Roman" w:cs="Arial"/>
          <w:lang w:eastAsia="en-AU"/>
        </w:rPr>
        <w:t>A</w:t>
      </w:r>
      <w:r w:rsidR="00EC2CD2" w:rsidRPr="007F6332">
        <w:rPr>
          <w:rFonts w:eastAsia="Times New Roman" w:cs="Arial"/>
          <w:lang w:eastAsia="en-AU"/>
        </w:rPr>
        <w:t xml:space="preserve"> </w:t>
      </w:r>
      <w:r w:rsidR="00EC2CD2" w:rsidRPr="007F6332">
        <w:rPr>
          <w:rFonts w:eastAsia="Times New Roman" w:cs="Arial"/>
          <w:b/>
          <w:bCs/>
          <w:lang w:eastAsia="en-AU"/>
        </w:rPr>
        <w:t>$5.</w:t>
      </w:r>
      <w:r w:rsidR="0013502A" w:rsidRPr="007F6332">
        <w:rPr>
          <w:rFonts w:eastAsia="Times New Roman" w:cs="Arial"/>
          <w:b/>
          <w:bCs/>
          <w:lang w:eastAsia="en-AU"/>
        </w:rPr>
        <w:t>9</w:t>
      </w:r>
      <w:r w:rsidR="00EC2CD2" w:rsidRPr="007F6332">
        <w:rPr>
          <w:rFonts w:eastAsia="Times New Roman" w:cs="Arial"/>
          <w:b/>
          <w:bCs/>
          <w:lang w:eastAsia="en-AU"/>
        </w:rPr>
        <w:t xml:space="preserve"> billion increase</w:t>
      </w:r>
      <w:r w:rsidR="00EC2CD2" w:rsidRPr="007F6332">
        <w:rPr>
          <w:rFonts w:eastAsia="Times New Roman" w:cs="Arial"/>
          <w:lang w:eastAsia="en-AU"/>
        </w:rPr>
        <w:t xml:space="preserve"> due to an increase in the estimated future number of participants transitioning into SIL arrangements, noting they have relatively higher average payments per participant compared to participants not in SIL arrangements. This reflects higher assumptions about future expected number of participants transitioning into SIL arrangements than in the June 2022 projections (refer to Section 5.5). </w:t>
      </w:r>
    </w:p>
    <w:p w14:paraId="3774EC12" w14:textId="77777777" w:rsidR="00EC2CD2" w:rsidRPr="007F6332" w:rsidRDefault="00EC2CD2" w:rsidP="00C1755E">
      <w:pPr>
        <w:pStyle w:val="FSRlist"/>
        <w:rPr>
          <w:rFonts w:cs="Arial"/>
        </w:rPr>
      </w:pPr>
      <w:r w:rsidRPr="007F6332">
        <w:rPr>
          <w:rFonts w:eastAsia="Times New Roman" w:cs="Arial"/>
          <w:lang w:eastAsia="en-AU"/>
        </w:rPr>
        <w:t xml:space="preserve">a </w:t>
      </w:r>
      <w:r w:rsidRPr="007F6332">
        <w:rPr>
          <w:rFonts w:eastAsia="Times New Roman" w:cs="Arial"/>
          <w:b/>
          <w:bCs/>
          <w:lang w:eastAsia="en-AU"/>
        </w:rPr>
        <w:t>$1.0 billion</w:t>
      </w:r>
      <w:r w:rsidRPr="007F6332">
        <w:rPr>
          <w:rFonts w:eastAsia="Times New Roman" w:cs="Arial"/>
          <w:lang w:eastAsia="en-AU"/>
        </w:rPr>
        <w:t xml:space="preserve"> </w:t>
      </w:r>
      <w:r w:rsidRPr="007F6332">
        <w:rPr>
          <w:rFonts w:eastAsia="Times New Roman" w:cs="Arial"/>
          <w:b/>
          <w:bCs/>
          <w:lang w:eastAsia="en-AU"/>
        </w:rPr>
        <w:t>increase</w:t>
      </w:r>
      <w:r w:rsidRPr="007F6332">
        <w:rPr>
          <w:rFonts w:eastAsia="Times New Roman" w:cs="Arial"/>
          <w:lang w:eastAsia="en-AU"/>
        </w:rPr>
        <w:t xml:space="preserve"> due to higher new entrant assumptions in the short-term for developmental delay and autism, dampened by a revision downwards of long-term rates of new entrants for older children and adults aged 15 and above with disabilities other than developmental delay and autism.</w:t>
      </w:r>
    </w:p>
    <w:p w14:paraId="16D24768" w14:textId="26FA56CB" w:rsidR="00723E93" w:rsidRPr="007F6332" w:rsidRDefault="00723E93" w:rsidP="00823FC9">
      <w:pPr>
        <w:pStyle w:val="FiguresandTablesHeading4"/>
      </w:pPr>
      <w:bookmarkStart w:id="134" w:name="_Ref145061183"/>
      <w:r w:rsidRPr="007F6332">
        <w:t xml:space="preserve">Table </w:t>
      </w:r>
      <w:bookmarkEnd w:id="134"/>
      <w:r w:rsidR="0045717D" w:rsidRPr="007F6332">
        <w:t>5.7</w:t>
      </w:r>
      <w:r w:rsidR="007568BE" w:rsidRPr="007F6332">
        <w:t>:</w:t>
      </w:r>
      <w:r w:rsidRPr="007F6332">
        <w:t xml:space="preserve"> Movements in projected Scheme expenses since previous review </w:t>
      </w:r>
    </w:p>
    <w:tbl>
      <w:tblPr>
        <w:tblStyle w:val="FSRtable"/>
        <w:tblW w:w="9357" w:type="dxa"/>
        <w:tblInd w:w="0" w:type="dxa"/>
        <w:tblLayout w:type="fixed"/>
        <w:tblLook w:val="04A0" w:firstRow="1" w:lastRow="0" w:firstColumn="1" w:lastColumn="0" w:noHBand="0" w:noVBand="1"/>
      </w:tblPr>
      <w:tblGrid>
        <w:gridCol w:w="3261"/>
        <w:gridCol w:w="1016"/>
        <w:gridCol w:w="1016"/>
        <w:gridCol w:w="1016"/>
        <w:gridCol w:w="1016"/>
        <w:gridCol w:w="1016"/>
        <w:gridCol w:w="1016"/>
      </w:tblGrid>
      <w:tr w:rsidR="00723E93" w:rsidRPr="007F6332" w14:paraId="23E4A896" w14:textId="77777777" w:rsidTr="006C2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1C0A0CC4" w14:textId="77777777" w:rsidR="00723E93" w:rsidRPr="007F6332" w:rsidRDefault="00723E93" w:rsidP="006C2D75">
            <w:pPr>
              <w:spacing w:before="120" w:after="120"/>
              <w:rPr>
                <w:rFonts w:eastAsia="Times New Roman"/>
                <w:bCs/>
                <w:color w:val="FFFFFF"/>
                <w:szCs w:val="22"/>
                <w:lang w:val="en-AU" w:eastAsia="en-AU"/>
              </w:rPr>
            </w:pPr>
            <w:r w:rsidRPr="007F6332">
              <w:rPr>
                <w:rFonts w:eastAsia="Times New Roman"/>
                <w:bCs/>
                <w:color w:val="FFFFFF"/>
                <w:szCs w:val="22"/>
                <w:lang w:val="en-AU" w:eastAsia="en-AU"/>
              </w:rPr>
              <w:t>Projected Scheme Expenses ($m)</w:t>
            </w:r>
          </w:p>
        </w:tc>
        <w:tc>
          <w:tcPr>
            <w:tcW w:w="1016" w:type="dxa"/>
          </w:tcPr>
          <w:p w14:paraId="48988695" w14:textId="77777777" w:rsidR="00723E93" w:rsidRPr="007F6332" w:rsidRDefault="00723E93" w:rsidP="006735EE">
            <w:pPr>
              <w:spacing w:before="120" w:after="120"/>
              <w:ind w:left="-110"/>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val="en-AU" w:eastAsia="en-AU"/>
              </w:rPr>
            </w:pPr>
            <w:r w:rsidRPr="007F6332">
              <w:rPr>
                <w:rFonts w:eastAsia="Times New Roman"/>
                <w:bCs/>
                <w:color w:val="FFFFFF"/>
                <w:szCs w:val="22"/>
                <w:lang w:val="en-AU" w:eastAsia="en-AU"/>
              </w:rPr>
              <w:t>2023-24</w:t>
            </w:r>
          </w:p>
        </w:tc>
        <w:tc>
          <w:tcPr>
            <w:tcW w:w="1016" w:type="dxa"/>
          </w:tcPr>
          <w:p w14:paraId="1E6FD1A1" w14:textId="77777777" w:rsidR="00723E93" w:rsidRPr="007F6332" w:rsidRDefault="00723E93" w:rsidP="006735EE">
            <w:pPr>
              <w:spacing w:before="120" w:after="120"/>
              <w:ind w:left="-9"/>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val="en-AU" w:eastAsia="en-AU"/>
              </w:rPr>
            </w:pPr>
            <w:r w:rsidRPr="007F6332">
              <w:rPr>
                <w:rFonts w:eastAsia="Times New Roman"/>
                <w:bCs/>
                <w:color w:val="FFFFFF"/>
                <w:szCs w:val="22"/>
                <w:lang w:val="en-AU" w:eastAsia="en-AU"/>
              </w:rPr>
              <w:t>2024-25</w:t>
            </w:r>
          </w:p>
        </w:tc>
        <w:tc>
          <w:tcPr>
            <w:tcW w:w="1016" w:type="dxa"/>
          </w:tcPr>
          <w:p w14:paraId="42C9DC9D" w14:textId="77777777" w:rsidR="00723E93" w:rsidRPr="007F6332" w:rsidRDefault="00723E93" w:rsidP="006735EE">
            <w:pPr>
              <w:spacing w:before="120" w:after="120"/>
              <w:ind w:left="-10"/>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val="en-AU" w:eastAsia="en-AU"/>
              </w:rPr>
            </w:pPr>
            <w:r w:rsidRPr="007F6332">
              <w:rPr>
                <w:rFonts w:eastAsia="Times New Roman"/>
                <w:bCs/>
                <w:color w:val="FFFFFF"/>
                <w:szCs w:val="22"/>
                <w:lang w:val="en-AU" w:eastAsia="en-AU"/>
              </w:rPr>
              <w:t>2025-26</w:t>
            </w:r>
          </w:p>
        </w:tc>
        <w:tc>
          <w:tcPr>
            <w:tcW w:w="1016" w:type="dxa"/>
            <w:tcBorders>
              <w:right w:val="dashSmallGap" w:sz="4" w:space="0" w:color="auto"/>
            </w:tcBorders>
          </w:tcPr>
          <w:p w14:paraId="552145AE" w14:textId="77777777" w:rsidR="00723E93" w:rsidRPr="007F6332" w:rsidRDefault="00723E93" w:rsidP="006735EE">
            <w:pPr>
              <w:spacing w:before="120" w:after="120"/>
              <w:ind w:left="-36"/>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val="en-AU" w:eastAsia="en-AU"/>
              </w:rPr>
            </w:pPr>
            <w:r w:rsidRPr="007F6332">
              <w:rPr>
                <w:rFonts w:eastAsia="Times New Roman"/>
                <w:bCs/>
                <w:color w:val="FFFFFF"/>
                <w:szCs w:val="22"/>
                <w:lang w:val="en-AU" w:eastAsia="en-AU"/>
              </w:rPr>
              <w:t>2026-27</w:t>
            </w:r>
          </w:p>
        </w:tc>
        <w:tc>
          <w:tcPr>
            <w:tcW w:w="1016" w:type="dxa"/>
            <w:tcBorders>
              <w:top w:val="single" w:sz="4" w:space="0" w:color="auto"/>
              <w:left w:val="dashSmallGap" w:sz="4" w:space="0" w:color="auto"/>
              <w:bottom w:val="nil"/>
              <w:right w:val="single" w:sz="4" w:space="0" w:color="auto"/>
            </w:tcBorders>
          </w:tcPr>
          <w:p w14:paraId="787B0B76" w14:textId="77777777" w:rsidR="00723E93" w:rsidRPr="007F6332" w:rsidRDefault="00723E93" w:rsidP="006735EE">
            <w:pPr>
              <w:spacing w:before="120" w:after="120"/>
              <w:ind w:left="-61"/>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val="en-AU" w:eastAsia="en-AU"/>
              </w:rPr>
            </w:pPr>
            <w:r w:rsidRPr="007F6332">
              <w:rPr>
                <w:rFonts w:eastAsia="Times New Roman"/>
                <w:bCs/>
                <w:color w:val="FFFFFF"/>
                <w:szCs w:val="22"/>
                <w:lang w:val="en-AU" w:eastAsia="en-AU"/>
              </w:rPr>
              <w:t>2032-33</w:t>
            </w:r>
          </w:p>
        </w:tc>
        <w:tc>
          <w:tcPr>
            <w:tcW w:w="1016" w:type="dxa"/>
            <w:tcBorders>
              <w:top w:val="single" w:sz="4" w:space="0" w:color="auto"/>
              <w:left w:val="single" w:sz="4" w:space="0" w:color="auto"/>
              <w:bottom w:val="nil"/>
            </w:tcBorders>
          </w:tcPr>
          <w:p w14:paraId="2373933F" w14:textId="77777777" w:rsidR="00723E93" w:rsidRPr="007F6332" w:rsidRDefault="00723E93" w:rsidP="006735EE">
            <w:pPr>
              <w:spacing w:before="120" w:after="120"/>
              <w:ind w:left="-86"/>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val="en-AU" w:eastAsia="en-AU"/>
              </w:rPr>
            </w:pPr>
            <w:r w:rsidRPr="007F6332">
              <w:rPr>
                <w:rFonts w:eastAsia="Times New Roman"/>
                <w:bCs/>
                <w:color w:val="FFFFFF"/>
                <w:szCs w:val="22"/>
                <w:lang w:val="en-AU" w:eastAsia="en-AU"/>
              </w:rPr>
              <w:t>Total 2023-27</w:t>
            </w:r>
          </w:p>
        </w:tc>
      </w:tr>
      <w:tr w:rsidR="00E14B91" w:rsidRPr="007F6332" w14:paraId="2A37F711" w14:textId="77777777" w:rsidTr="00654C92">
        <w:trPr>
          <w:trHeight w:val="397"/>
        </w:trPr>
        <w:tc>
          <w:tcPr>
            <w:cnfStyle w:val="001000000000" w:firstRow="0" w:lastRow="0" w:firstColumn="1" w:lastColumn="0" w:oddVBand="0" w:evenVBand="0" w:oddHBand="0" w:evenHBand="0" w:firstRowFirstColumn="0" w:firstRowLastColumn="0" w:lastRowFirstColumn="0" w:lastRowLastColumn="0"/>
            <w:tcW w:w="0" w:type="dxa"/>
            <w:shd w:val="clear" w:color="auto" w:fill="B398B8"/>
          </w:tcPr>
          <w:p w14:paraId="16244E06" w14:textId="349CF9FC" w:rsidR="00031CDE" w:rsidRPr="007F6332" w:rsidRDefault="00031CDE" w:rsidP="00031CDE">
            <w:pPr>
              <w:rPr>
                <w:rFonts w:eastAsia="Times New Roman" w:cs="Arial"/>
                <w:b/>
                <w:bCs/>
                <w:color w:val="000000"/>
                <w:szCs w:val="22"/>
                <w:lang w:val="en-AU" w:eastAsia="en-AU"/>
              </w:rPr>
            </w:pPr>
            <w:r w:rsidRPr="007F6332">
              <w:rPr>
                <w:rFonts w:eastAsia="Times New Roman" w:cs="Arial"/>
                <w:b/>
                <w:bCs/>
                <w:color w:val="000000"/>
                <w:szCs w:val="22"/>
                <w:lang w:val="en-AU" w:eastAsia="en-AU"/>
              </w:rPr>
              <w:t>June 2022 projections</w:t>
            </w:r>
          </w:p>
        </w:tc>
        <w:tc>
          <w:tcPr>
            <w:tcW w:w="0" w:type="dxa"/>
            <w:shd w:val="clear" w:color="auto" w:fill="B398B8"/>
          </w:tcPr>
          <w:p w14:paraId="09D1F341" w14:textId="052F1AE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38,133</w:t>
            </w:r>
          </w:p>
        </w:tc>
        <w:tc>
          <w:tcPr>
            <w:tcW w:w="0" w:type="dxa"/>
            <w:shd w:val="clear" w:color="auto" w:fill="B398B8"/>
          </w:tcPr>
          <w:p w14:paraId="566DCB7F" w14:textId="7B28E2E4"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44,116</w:t>
            </w:r>
          </w:p>
        </w:tc>
        <w:tc>
          <w:tcPr>
            <w:tcW w:w="0" w:type="dxa"/>
            <w:shd w:val="clear" w:color="auto" w:fill="B398B8"/>
          </w:tcPr>
          <w:p w14:paraId="4D249A88" w14:textId="6A953B23"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50,344</w:t>
            </w:r>
          </w:p>
        </w:tc>
        <w:tc>
          <w:tcPr>
            <w:tcW w:w="0" w:type="dxa"/>
            <w:tcBorders>
              <w:right w:val="dashSmallGap" w:sz="4" w:space="0" w:color="auto"/>
            </w:tcBorders>
            <w:shd w:val="clear" w:color="auto" w:fill="B398B8"/>
          </w:tcPr>
          <w:p w14:paraId="1049339E" w14:textId="7A0AA6B9"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55,510</w:t>
            </w:r>
          </w:p>
        </w:tc>
        <w:tc>
          <w:tcPr>
            <w:tcW w:w="0" w:type="dxa"/>
            <w:tcBorders>
              <w:top w:val="nil"/>
              <w:left w:val="dashSmallGap" w:sz="4" w:space="0" w:color="auto"/>
              <w:bottom w:val="nil"/>
              <w:right w:val="single" w:sz="4" w:space="0" w:color="auto"/>
            </w:tcBorders>
            <w:shd w:val="clear" w:color="auto" w:fill="B398B8"/>
          </w:tcPr>
          <w:p w14:paraId="634DF090" w14:textId="05AAEE76"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96,966</w:t>
            </w:r>
          </w:p>
        </w:tc>
        <w:tc>
          <w:tcPr>
            <w:tcW w:w="0" w:type="dxa"/>
            <w:tcBorders>
              <w:top w:val="nil"/>
              <w:left w:val="single" w:sz="4" w:space="0" w:color="auto"/>
              <w:bottom w:val="nil"/>
            </w:tcBorders>
            <w:shd w:val="clear" w:color="auto" w:fill="B398B8"/>
          </w:tcPr>
          <w:p w14:paraId="4012BF0C" w14:textId="098AE409"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188,103</w:t>
            </w:r>
          </w:p>
        </w:tc>
      </w:tr>
      <w:tr w:rsidR="00031CDE" w:rsidRPr="007F6332" w14:paraId="2837092A" w14:textId="77777777" w:rsidTr="006C2D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400E1A7F" w14:textId="305AE578" w:rsidR="00031CDE" w:rsidRPr="007F6332" w:rsidRDefault="00031CDE" w:rsidP="00031CDE">
            <w:pPr>
              <w:rPr>
                <w:rFonts w:eastAsia="Times New Roman" w:cs="Arial"/>
                <w:color w:val="000000"/>
                <w:szCs w:val="22"/>
                <w:lang w:val="en-AU" w:eastAsia="en-AU"/>
              </w:rPr>
            </w:pPr>
            <w:r w:rsidRPr="007F6332">
              <w:rPr>
                <w:rFonts w:eastAsia="Times New Roman" w:cs="Arial"/>
                <w:color w:val="000000"/>
                <w:szCs w:val="22"/>
                <w:lang w:val="en-AU" w:eastAsia="en-AU"/>
              </w:rPr>
              <w:t>Immigration changes</w:t>
            </w:r>
          </w:p>
        </w:tc>
        <w:tc>
          <w:tcPr>
            <w:tcW w:w="1016" w:type="dxa"/>
            <w:shd w:val="clear" w:color="auto" w:fill="auto"/>
          </w:tcPr>
          <w:p w14:paraId="781B5360" w14:textId="2A21E8EA"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15</w:t>
            </w:r>
          </w:p>
        </w:tc>
        <w:tc>
          <w:tcPr>
            <w:tcW w:w="1016" w:type="dxa"/>
            <w:shd w:val="clear" w:color="auto" w:fill="auto"/>
          </w:tcPr>
          <w:p w14:paraId="4B5A7087" w14:textId="71F114F3"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69</w:t>
            </w:r>
          </w:p>
        </w:tc>
        <w:tc>
          <w:tcPr>
            <w:tcW w:w="1016" w:type="dxa"/>
            <w:shd w:val="clear" w:color="auto" w:fill="auto"/>
          </w:tcPr>
          <w:p w14:paraId="679BBF2F" w14:textId="48BD941B"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147</w:t>
            </w:r>
          </w:p>
        </w:tc>
        <w:tc>
          <w:tcPr>
            <w:tcW w:w="1016" w:type="dxa"/>
            <w:tcBorders>
              <w:right w:val="dashSmallGap" w:sz="4" w:space="0" w:color="auto"/>
            </w:tcBorders>
            <w:shd w:val="clear" w:color="auto" w:fill="auto"/>
          </w:tcPr>
          <w:p w14:paraId="5D026D9A" w14:textId="2BE7A3F4"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212</w:t>
            </w:r>
          </w:p>
        </w:tc>
        <w:tc>
          <w:tcPr>
            <w:tcW w:w="1016" w:type="dxa"/>
            <w:tcBorders>
              <w:top w:val="nil"/>
              <w:left w:val="dashSmallGap" w:sz="4" w:space="0" w:color="auto"/>
              <w:bottom w:val="nil"/>
              <w:right w:val="single" w:sz="4" w:space="0" w:color="auto"/>
            </w:tcBorders>
            <w:shd w:val="clear" w:color="auto" w:fill="auto"/>
          </w:tcPr>
          <w:p w14:paraId="41338CA1" w14:textId="7089A0CD"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618</w:t>
            </w:r>
          </w:p>
        </w:tc>
        <w:tc>
          <w:tcPr>
            <w:tcW w:w="1016" w:type="dxa"/>
            <w:tcBorders>
              <w:top w:val="nil"/>
              <w:left w:val="single" w:sz="4" w:space="0" w:color="auto"/>
              <w:bottom w:val="nil"/>
            </w:tcBorders>
            <w:shd w:val="clear" w:color="auto" w:fill="auto"/>
          </w:tcPr>
          <w:p w14:paraId="71A6D49A" w14:textId="6AEADE84"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445</w:t>
            </w:r>
          </w:p>
        </w:tc>
      </w:tr>
      <w:tr w:rsidR="00031CDE" w:rsidRPr="007F6332" w14:paraId="76C329AD" w14:textId="77777777" w:rsidTr="006C2D75">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6267556A" w14:textId="4F676C82" w:rsidR="00031CDE" w:rsidRPr="007F6332" w:rsidRDefault="00031CDE" w:rsidP="00031CDE">
            <w:pPr>
              <w:rPr>
                <w:rFonts w:eastAsia="Times New Roman" w:cs="Arial"/>
                <w:color w:val="000000"/>
                <w:szCs w:val="22"/>
                <w:lang w:val="en-AU" w:eastAsia="en-AU"/>
              </w:rPr>
            </w:pPr>
            <w:r w:rsidRPr="007F6332">
              <w:rPr>
                <w:rFonts w:eastAsia="Times New Roman" w:cs="Arial"/>
                <w:color w:val="000000"/>
                <w:szCs w:val="22"/>
                <w:lang w:val="en-AU" w:eastAsia="en-AU"/>
              </w:rPr>
              <w:t>Pricing and normal inflation</w:t>
            </w:r>
          </w:p>
        </w:tc>
        <w:tc>
          <w:tcPr>
            <w:tcW w:w="1016" w:type="dxa"/>
            <w:shd w:val="clear" w:color="auto" w:fill="auto"/>
          </w:tcPr>
          <w:p w14:paraId="3144B673" w14:textId="4DBA891F"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607</w:t>
            </w:r>
          </w:p>
        </w:tc>
        <w:tc>
          <w:tcPr>
            <w:tcW w:w="1016" w:type="dxa"/>
            <w:shd w:val="clear" w:color="auto" w:fill="auto"/>
          </w:tcPr>
          <w:p w14:paraId="341825AE" w14:textId="082B588F"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394</w:t>
            </w:r>
          </w:p>
        </w:tc>
        <w:tc>
          <w:tcPr>
            <w:tcW w:w="1016" w:type="dxa"/>
            <w:shd w:val="clear" w:color="auto" w:fill="auto"/>
          </w:tcPr>
          <w:p w14:paraId="1D6A5E21" w14:textId="01F127D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542</w:t>
            </w:r>
          </w:p>
        </w:tc>
        <w:tc>
          <w:tcPr>
            <w:tcW w:w="1016" w:type="dxa"/>
            <w:tcBorders>
              <w:right w:val="dashSmallGap" w:sz="4" w:space="0" w:color="auto"/>
            </w:tcBorders>
            <w:shd w:val="clear" w:color="auto" w:fill="auto"/>
          </w:tcPr>
          <w:p w14:paraId="14A9CA45" w14:textId="1B91237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709</w:t>
            </w:r>
          </w:p>
        </w:tc>
        <w:tc>
          <w:tcPr>
            <w:tcW w:w="1016" w:type="dxa"/>
            <w:tcBorders>
              <w:top w:val="nil"/>
              <w:left w:val="dashSmallGap" w:sz="4" w:space="0" w:color="auto"/>
              <w:bottom w:val="nil"/>
              <w:right w:val="single" w:sz="4" w:space="0" w:color="auto"/>
            </w:tcBorders>
            <w:shd w:val="clear" w:color="auto" w:fill="auto"/>
          </w:tcPr>
          <w:p w14:paraId="50C167F9" w14:textId="2A096778"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2,530</w:t>
            </w:r>
          </w:p>
        </w:tc>
        <w:tc>
          <w:tcPr>
            <w:tcW w:w="1016" w:type="dxa"/>
            <w:tcBorders>
              <w:top w:val="nil"/>
              <w:left w:val="single" w:sz="4" w:space="0" w:color="auto"/>
              <w:bottom w:val="nil"/>
            </w:tcBorders>
            <w:shd w:val="clear" w:color="auto" w:fill="auto"/>
          </w:tcPr>
          <w:p w14:paraId="26BE8A0F" w14:textId="45D320AA"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2,251</w:t>
            </w:r>
          </w:p>
        </w:tc>
      </w:tr>
      <w:tr w:rsidR="00031CDE" w:rsidRPr="007F6332" w14:paraId="7AF405B8" w14:textId="77777777" w:rsidTr="006C2D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EAAAA"/>
          </w:tcPr>
          <w:p w14:paraId="3822D5F2" w14:textId="4F98EAD4" w:rsidR="00031CDE" w:rsidRPr="007F6332" w:rsidRDefault="00031CDE" w:rsidP="00031CDE">
            <w:pPr>
              <w:rPr>
                <w:rFonts w:eastAsia="Times New Roman" w:cs="Arial"/>
                <w:color w:val="000000"/>
                <w:szCs w:val="22"/>
                <w:lang w:val="en-AU" w:eastAsia="en-AU"/>
              </w:rPr>
            </w:pPr>
            <w:r w:rsidRPr="007F6332">
              <w:rPr>
                <w:rFonts w:eastAsia="Times New Roman" w:cs="Arial"/>
                <w:b/>
                <w:bCs/>
                <w:color w:val="000000"/>
                <w:szCs w:val="22"/>
                <w:lang w:val="en-AU" w:eastAsia="en-AU"/>
              </w:rPr>
              <w:t xml:space="preserve">Projections updated for external factors </w:t>
            </w:r>
          </w:p>
        </w:tc>
        <w:tc>
          <w:tcPr>
            <w:tcW w:w="1016" w:type="dxa"/>
            <w:shd w:val="clear" w:color="auto" w:fill="AEAAAA"/>
          </w:tcPr>
          <w:p w14:paraId="2B7687BF" w14:textId="3875B563"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2"/>
                <w:lang w:val="en-AU" w:eastAsia="en-AU"/>
              </w:rPr>
            </w:pPr>
            <w:r w:rsidRPr="007F6332">
              <w:rPr>
                <w:rFonts w:cs="Arial"/>
                <w:b/>
                <w:bCs/>
                <w:szCs w:val="22"/>
              </w:rPr>
              <w:t>38,755</w:t>
            </w:r>
          </w:p>
        </w:tc>
        <w:tc>
          <w:tcPr>
            <w:tcW w:w="1016" w:type="dxa"/>
            <w:shd w:val="clear" w:color="auto" w:fill="AEAAAA"/>
          </w:tcPr>
          <w:p w14:paraId="7D427443" w14:textId="16BC5FCC"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2"/>
                <w:lang w:val="en-AU" w:eastAsia="en-AU"/>
              </w:rPr>
            </w:pPr>
            <w:r w:rsidRPr="007F6332">
              <w:rPr>
                <w:rFonts w:cs="Arial"/>
                <w:b/>
                <w:bCs/>
                <w:szCs w:val="22"/>
              </w:rPr>
              <w:t>44,579</w:t>
            </w:r>
          </w:p>
        </w:tc>
        <w:tc>
          <w:tcPr>
            <w:tcW w:w="1016" w:type="dxa"/>
            <w:shd w:val="clear" w:color="auto" w:fill="AEAAAA"/>
          </w:tcPr>
          <w:p w14:paraId="79733249" w14:textId="53B3DDDD"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2"/>
                <w:lang w:val="en-AU" w:eastAsia="en-AU"/>
              </w:rPr>
            </w:pPr>
            <w:r w:rsidRPr="007F6332">
              <w:rPr>
                <w:rFonts w:cs="Arial"/>
                <w:b/>
                <w:bCs/>
                <w:szCs w:val="22"/>
              </w:rPr>
              <w:t>51,033</w:t>
            </w:r>
          </w:p>
        </w:tc>
        <w:tc>
          <w:tcPr>
            <w:tcW w:w="1016" w:type="dxa"/>
            <w:tcBorders>
              <w:right w:val="dashSmallGap" w:sz="4" w:space="0" w:color="auto"/>
            </w:tcBorders>
            <w:shd w:val="clear" w:color="auto" w:fill="AEAAAA"/>
          </w:tcPr>
          <w:p w14:paraId="535D15C7" w14:textId="36534F70"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2"/>
                <w:lang w:val="en-AU" w:eastAsia="en-AU"/>
              </w:rPr>
            </w:pPr>
            <w:r w:rsidRPr="007F6332">
              <w:rPr>
                <w:rFonts w:cs="Arial"/>
                <w:b/>
                <w:bCs/>
                <w:szCs w:val="22"/>
              </w:rPr>
              <w:t>56,431</w:t>
            </w:r>
          </w:p>
        </w:tc>
        <w:tc>
          <w:tcPr>
            <w:tcW w:w="1016" w:type="dxa"/>
            <w:tcBorders>
              <w:top w:val="nil"/>
              <w:left w:val="dashSmallGap" w:sz="4" w:space="0" w:color="auto"/>
              <w:bottom w:val="nil"/>
              <w:right w:val="single" w:sz="4" w:space="0" w:color="auto"/>
            </w:tcBorders>
            <w:shd w:val="clear" w:color="auto" w:fill="AEAAAA"/>
          </w:tcPr>
          <w:p w14:paraId="3519457E" w14:textId="351B4199"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color w:val="000000"/>
                <w:szCs w:val="22"/>
                <w:lang w:val="en-AU" w:eastAsia="en-AU"/>
              </w:rPr>
            </w:pPr>
            <w:r w:rsidRPr="007F6332">
              <w:rPr>
                <w:rFonts w:cs="Arial"/>
                <w:b/>
                <w:bCs/>
                <w:szCs w:val="22"/>
              </w:rPr>
              <w:t>100,113</w:t>
            </w:r>
          </w:p>
        </w:tc>
        <w:tc>
          <w:tcPr>
            <w:tcW w:w="1016" w:type="dxa"/>
            <w:tcBorders>
              <w:top w:val="nil"/>
              <w:left w:val="single" w:sz="4" w:space="0" w:color="auto"/>
              <w:bottom w:val="nil"/>
            </w:tcBorders>
            <w:shd w:val="clear" w:color="auto" w:fill="AEAAAA"/>
          </w:tcPr>
          <w:p w14:paraId="258BB037" w14:textId="71B0501D"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190,799</w:t>
            </w:r>
          </w:p>
        </w:tc>
      </w:tr>
      <w:tr w:rsidR="00031CDE" w:rsidRPr="007F6332" w14:paraId="62858072" w14:textId="77777777" w:rsidTr="006C2D75">
        <w:tc>
          <w:tcPr>
            <w:cnfStyle w:val="001000000000" w:firstRow="0" w:lastRow="0" w:firstColumn="1" w:lastColumn="0" w:oddVBand="0" w:evenVBand="0" w:oddHBand="0" w:evenHBand="0" w:firstRowFirstColumn="0" w:firstRowLastColumn="0" w:lastRowFirstColumn="0" w:lastRowLastColumn="0"/>
            <w:tcW w:w="3261" w:type="dxa"/>
            <w:shd w:val="clear" w:color="auto" w:fill="D0CECE"/>
          </w:tcPr>
          <w:p w14:paraId="7E8C5894" w14:textId="13FE57F5" w:rsidR="00031CDE" w:rsidRPr="007F6332" w:rsidRDefault="00031CDE" w:rsidP="00031CDE">
            <w:pPr>
              <w:rPr>
                <w:rFonts w:eastAsia="Times New Roman" w:cs="Arial"/>
                <w:b/>
                <w:szCs w:val="22"/>
                <w:lang w:val="en-AU" w:eastAsia="en-AU"/>
              </w:rPr>
            </w:pPr>
            <w:r w:rsidRPr="007F6332">
              <w:rPr>
                <w:rFonts w:eastAsia="Times New Roman" w:cs="Arial"/>
                <w:b/>
                <w:bCs/>
                <w:szCs w:val="22"/>
                <w:lang w:val="en-AU" w:eastAsia="en-AU"/>
              </w:rPr>
              <w:t>Updates for experience and assumption changes</w:t>
            </w:r>
          </w:p>
        </w:tc>
        <w:tc>
          <w:tcPr>
            <w:tcW w:w="1016" w:type="dxa"/>
            <w:shd w:val="clear" w:color="auto" w:fill="D0CECE"/>
          </w:tcPr>
          <w:p w14:paraId="692F25F7" w14:textId="77777777"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szCs w:val="22"/>
                <w:lang w:val="en-AU" w:eastAsia="en-AU"/>
              </w:rPr>
            </w:pPr>
          </w:p>
        </w:tc>
        <w:tc>
          <w:tcPr>
            <w:tcW w:w="1016" w:type="dxa"/>
            <w:shd w:val="clear" w:color="auto" w:fill="D0CECE"/>
          </w:tcPr>
          <w:p w14:paraId="50D06CD7" w14:textId="77777777"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szCs w:val="22"/>
                <w:lang w:val="en-AU" w:eastAsia="en-AU"/>
              </w:rPr>
            </w:pPr>
          </w:p>
        </w:tc>
        <w:tc>
          <w:tcPr>
            <w:tcW w:w="1016" w:type="dxa"/>
            <w:shd w:val="clear" w:color="auto" w:fill="D0CECE"/>
          </w:tcPr>
          <w:p w14:paraId="66EC5476" w14:textId="77777777"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szCs w:val="22"/>
                <w:lang w:val="en-AU" w:eastAsia="en-AU"/>
              </w:rPr>
            </w:pPr>
          </w:p>
        </w:tc>
        <w:tc>
          <w:tcPr>
            <w:tcW w:w="1016" w:type="dxa"/>
            <w:tcBorders>
              <w:right w:val="dashSmallGap" w:sz="4" w:space="0" w:color="auto"/>
            </w:tcBorders>
            <w:shd w:val="clear" w:color="auto" w:fill="D0CECE"/>
          </w:tcPr>
          <w:p w14:paraId="13712356" w14:textId="77777777"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szCs w:val="22"/>
                <w:lang w:val="en-AU" w:eastAsia="en-AU"/>
              </w:rPr>
            </w:pPr>
          </w:p>
        </w:tc>
        <w:tc>
          <w:tcPr>
            <w:tcW w:w="1016" w:type="dxa"/>
            <w:tcBorders>
              <w:top w:val="nil"/>
              <w:left w:val="dashSmallGap" w:sz="4" w:space="0" w:color="auto"/>
              <w:bottom w:val="nil"/>
              <w:right w:val="single" w:sz="4" w:space="0" w:color="auto"/>
            </w:tcBorders>
            <w:shd w:val="clear" w:color="auto" w:fill="D0CECE"/>
          </w:tcPr>
          <w:p w14:paraId="7665665E" w14:textId="77777777"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szCs w:val="22"/>
                <w:lang w:val="en-AU" w:eastAsia="en-AU"/>
              </w:rPr>
            </w:pPr>
          </w:p>
        </w:tc>
        <w:tc>
          <w:tcPr>
            <w:tcW w:w="1016" w:type="dxa"/>
            <w:tcBorders>
              <w:top w:val="nil"/>
              <w:left w:val="single" w:sz="4" w:space="0" w:color="auto"/>
              <w:bottom w:val="nil"/>
            </w:tcBorders>
            <w:shd w:val="clear" w:color="auto" w:fill="D0CECE"/>
          </w:tcPr>
          <w:p w14:paraId="2B1512F8" w14:textId="77777777"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szCs w:val="22"/>
                <w:lang w:val="en-AU" w:eastAsia="en-AU"/>
              </w:rPr>
            </w:pPr>
          </w:p>
        </w:tc>
      </w:tr>
      <w:tr w:rsidR="00031CDE" w:rsidRPr="007F6332" w14:paraId="3EDC6C67" w14:textId="77777777" w:rsidTr="006735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6A6A6" w:themeFill="background1" w:themeFillShade="A6"/>
          </w:tcPr>
          <w:p w14:paraId="369D72C7" w14:textId="1F810961" w:rsidR="00031CDE" w:rsidRPr="007F6332" w:rsidRDefault="00031CDE" w:rsidP="00031CDE">
            <w:pPr>
              <w:ind w:left="30"/>
              <w:rPr>
                <w:rFonts w:eastAsia="Times New Roman" w:cs="Arial"/>
                <w:color w:val="000000"/>
                <w:szCs w:val="22"/>
                <w:lang w:val="en-AU" w:eastAsia="en-AU"/>
              </w:rPr>
            </w:pPr>
            <w:r w:rsidRPr="007F6332">
              <w:rPr>
                <w:rFonts w:eastAsia="Times New Roman" w:cs="Arial"/>
                <w:b/>
                <w:bCs/>
                <w:color w:val="000000"/>
                <w:szCs w:val="22"/>
                <w:lang w:val="en-AU" w:eastAsia="en-AU"/>
              </w:rPr>
              <w:t xml:space="preserve">Total: experience </w:t>
            </w:r>
          </w:p>
        </w:tc>
        <w:tc>
          <w:tcPr>
            <w:tcW w:w="1016" w:type="dxa"/>
            <w:shd w:val="clear" w:color="auto" w:fill="A6A6A6" w:themeFill="background1" w:themeFillShade="A6"/>
          </w:tcPr>
          <w:p w14:paraId="5148FC35" w14:textId="34518AA2"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696</w:t>
            </w:r>
          </w:p>
        </w:tc>
        <w:tc>
          <w:tcPr>
            <w:tcW w:w="1016" w:type="dxa"/>
            <w:shd w:val="clear" w:color="auto" w:fill="A6A6A6" w:themeFill="background1" w:themeFillShade="A6"/>
          </w:tcPr>
          <w:p w14:paraId="780054C4" w14:textId="37402BC3"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526</w:t>
            </w:r>
          </w:p>
        </w:tc>
        <w:tc>
          <w:tcPr>
            <w:tcW w:w="1016" w:type="dxa"/>
            <w:shd w:val="clear" w:color="auto" w:fill="A6A6A6" w:themeFill="background1" w:themeFillShade="A6"/>
          </w:tcPr>
          <w:p w14:paraId="3FC0E966" w14:textId="33DBB98C"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574</w:t>
            </w:r>
          </w:p>
        </w:tc>
        <w:tc>
          <w:tcPr>
            <w:tcW w:w="1016" w:type="dxa"/>
            <w:tcBorders>
              <w:right w:val="dashSmallGap" w:sz="4" w:space="0" w:color="auto"/>
            </w:tcBorders>
            <w:shd w:val="clear" w:color="auto" w:fill="A6A6A6" w:themeFill="background1" w:themeFillShade="A6"/>
          </w:tcPr>
          <w:p w14:paraId="66C6D42E" w14:textId="0F6A044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571</w:t>
            </w:r>
          </w:p>
        </w:tc>
        <w:tc>
          <w:tcPr>
            <w:tcW w:w="1016" w:type="dxa"/>
            <w:tcBorders>
              <w:top w:val="nil"/>
              <w:left w:val="dashSmallGap" w:sz="4" w:space="0" w:color="auto"/>
              <w:bottom w:val="nil"/>
              <w:right w:val="single" w:sz="4" w:space="0" w:color="auto"/>
            </w:tcBorders>
            <w:shd w:val="clear" w:color="auto" w:fill="A6A6A6" w:themeFill="background1" w:themeFillShade="A6"/>
          </w:tcPr>
          <w:p w14:paraId="74C6D8A7" w14:textId="7133F302"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721</w:t>
            </w:r>
          </w:p>
        </w:tc>
        <w:tc>
          <w:tcPr>
            <w:tcW w:w="1016" w:type="dxa"/>
            <w:tcBorders>
              <w:top w:val="nil"/>
              <w:left w:val="single" w:sz="4" w:space="0" w:color="auto"/>
              <w:bottom w:val="nil"/>
            </w:tcBorders>
            <w:shd w:val="clear" w:color="auto" w:fill="A6A6A6" w:themeFill="background1" w:themeFillShade="A6"/>
          </w:tcPr>
          <w:p w14:paraId="0B7266BF" w14:textId="70FE8949"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2,368</w:t>
            </w:r>
          </w:p>
        </w:tc>
      </w:tr>
      <w:tr w:rsidR="00031CDE" w:rsidRPr="007F6332" w14:paraId="00156448" w14:textId="77777777" w:rsidTr="006C2D75">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29377C0B" w14:textId="6FE5B592" w:rsidR="00031CDE" w:rsidRPr="007F6332" w:rsidRDefault="00031CDE" w:rsidP="00CE7E91">
            <w:pPr>
              <w:numPr>
                <w:ilvl w:val="3"/>
                <w:numId w:val="38"/>
              </w:numPr>
              <w:spacing w:line="240" w:lineRule="auto"/>
              <w:ind w:left="314" w:hanging="284"/>
              <w:rPr>
                <w:rFonts w:eastAsia="Times New Roman" w:cs="Arial"/>
                <w:color w:val="000000"/>
                <w:szCs w:val="22"/>
                <w:lang w:val="en-AU" w:eastAsia="en-AU"/>
              </w:rPr>
            </w:pPr>
            <w:r w:rsidRPr="007F6332">
              <w:rPr>
                <w:rFonts w:eastAsia="Times New Roman" w:cs="Arial"/>
                <w:color w:val="000000"/>
                <w:szCs w:val="22"/>
                <w:lang w:val="en-AU" w:eastAsia="en-AU"/>
              </w:rPr>
              <w:t>Participant population at June 2023</w:t>
            </w:r>
          </w:p>
        </w:tc>
        <w:tc>
          <w:tcPr>
            <w:tcW w:w="1016" w:type="dxa"/>
            <w:shd w:val="clear" w:color="auto" w:fill="auto"/>
          </w:tcPr>
          <w:p w14:paraId="509E768E" w14:textId="5A738C36"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387</w:t>
            </w:r>
          </w:p>
        </w:tc>
        <w:tc>
          <w:tcPr>
            <w:tcW w:w="1016" w:type="dxa"/>
            <w:shd w:val="clear" w:color="auto" w:fill="auto"/>
          </w:tcPr>
          <w:p w14:paraId="6A370724" w14:textId="1DD6DC4B"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162</w:t>
            </w:r>
          </w:p>
        </w:tc>
        <w:tc>
          <w:tcPr>
            <w:tcW w:w="1016" w:type="dxa"/>
            <w:shd w:val="clear" w:color="auto" w:fill="auto"/>
          </w:tcPr>
          <w:p w14:paraId="5C19DCF3" w14:textId="56CDF99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172</w:t>
            </w:r>
          </w:p>
        </w:tc>
        <w:tc>
          <w:tcPr>
            <w:tcW w:w="1016" w:type="dxa"/>
            <w:tcBorders>
              <w:right w:val="dashSmallGap" w:sz="4" w:space="0" w:color="auto"/>
            </w:tcBorders>
            <w:shd w:val="clear" w:color="auto" w:fill="auto"/>
          </w:tcPr>
          <w:p w14:paraId="673E2D31" w14:textId="36EC2517"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179</w:t>
            </w:r>
          </w:p>
        </w:tc>
        <w:tc>
          <w:tcPr>
            <w:tcW w:w="1016" w:type="dxa"/>
            <w:tcBorders>
              <w:top w:val="nil"/>
              <w:left w:val="dashSmallGap" w:sz="4" w:space="0" w:color="auto"/>
              <w:bottom w:val="nil"/>
              <w:right w:val="single" w:sz="4" w:space="0" w:color="auto"/>
            </w:tcBorders>
            <w:shd w:val="clear" w:color="auto" w:fill="auto"/>
          </w:tcPr>
          <w:p w14:paraId="5758A59D" w14:textId="1C57AF09"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450</w:t>
            </w:r>
          </w:p>
        </w:tc>
        <w:tc>
          <w:tcPr>
            <w:tcW w:w="1016" w:type="dxa"/>
            <w:tcBorders>
              <w:top w:val="nil"/>
              <w:left w:val="single" w:sz="4" w:space="0" w:color="auto"/>
              <w:bottom w:val="nil"/>
            </w:tcBorders>
            <w:shd w:val="clear" w:color="auto" w:fill="auto"/>
          </w:tcPr>
          <w:p w14:paraId="7ED658B0" w14:textId="6AE2B147"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898</w:t>
            </w:r>
          </w:p>
        </w:tc>
      </w:tr>
      <w:tr w:rsidR="00031CDE" w:rsidRPr="007F6332" w14:paraId="1B2CA61A" w14:textId="77777777" w:rsidTr="006C2D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bottom w:val="nil"/>
            </w:tcBorders>
            <w:shd w:val="clear" w:color="auto" w:fill="auto"/>
          </w:tcPr>
          <w:p w14:paraId="4FB4D9E0" w14:textId="15B7D5CD" w:rsidR="00031CDE" w:rsidRPr="007F6332" w:rsidRDefault="00031CDE" w:rsidP="00CE7E91">
            <w:pPr>
              <w:numPr>
                <w:ilvl w:val="3"/>
                <w:numId w:val="38"/>
              </w:numPr>
              <w:spacing w:line="240" w:lineRule="auto"/>
              <w:ind w:left="314" w:hanging="284"/>
              <w:rPr>
                <w:rFonts w:eastAsia="Times New Roman" w:cs="Arial"/>
                <w:color w:val="000000"/>
                <w:szCs w:val="22"/>
                <w:lang w:val="en-AU" w:eastAsia="en-AU"/>
              </w:rPr>
            </w:pPr>
            <w:r w:rsidRPr="007F6332">
              <w:rPr>
                <w:rFonts w:eastAsia="Times New Roman" w:cs="Arial"/>
                <w:color w:val="000000"/>
                <w:szCs w:val="22"/>
                <w:lang w:val="en-AU" w:eastAsia="en-AU"/>
              </w:rPr>
              <w:t>Average payments per participant at June 2023</w:t>
            </w:r>
          </w:p>
        </w:tc>
        <w:tc>
          <w:tcPr>
            <w:tcW w:w="1016" w:type="dxa"/>
            <w:tcBorders>
              <w:bottom w:val="nil"/>
            </w:tcBorders>
            <w:shd w:val="clear" w:color="auto" w:fill="auto"/>
          </w:tcPr>
          <w:p w14:paraId="6817374C" w14:textId="4891C741"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310</w:t>
            </w:r>
          </w:p>
        </w:tc>
        <w:tc>
          <w:tcPr>
            <w:tcW w:w="1016" w:type="dxa"/>
            <w:tcBorders>
              <w:bottom w:val="nil"/>
            </w:tcBorders>
            <w:shd w:val="clear" w:color="auto" w:fill="auto"/>
          </w:tcPr>
          <w:p w14:paraId="5DB14CAD" w14:textId="1B95E1C8"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364</w:t>
            </w:r>
          </w:p>
        </w:tc>
        <w:tc>
          <w:tcPr>
            <w:tcW w:w="1016" w:type="dxa"/>
            <w:tcBorders>
              <w:bottom w:val="nil"/>
            </w:tcBorders>
            <w:shd w:val="clear" w:color="auto" w:fill="auto"/>
          </w:tcPr>
          <w:p w14:paraId="75D78287" w14:textId="60036EFA"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403</w:t>
            </w:r>
          </w:p>
        </w:tc>
        <w:tc>
          <w:tcPr>
            <w:tcW w:w="1016" w:type="dxa"/>
            <w:tcBorders>
              <w:bottom w:val="nil"/>
              <w:right w:val="dashSmallGap" w:sz="4" w:space="0" w:color="auto"/>
            </w:tcBorders>
            <w:shd w:val="clear" w:color="auto" w:fill="auto"/>
          </w:tcPr>
          <w:p w14:paraId="67B774A5" w14:textId="7EC544E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392</w:t>
            </w:r>
          </w:p>
        </w:tc>
        <w:tc>
          <w:tcPr>
            <w:tcW w:w="1016" w:type="dxa"/>
            <w:tcBorders>
              <w:top w:val="nil"/>
              <w:left w:val="dashSmallGap" w:sz="4" w:space="0" w:color="auto"/>
              <w:bottom w:val="nil"/>
              <w:right w:val="single" w:sz="4" w:space="0" w:color="auto"/>
            </w:tcBorders>
            <w:shd w:val="clear" w:color="auto" w:fill="auto"/>
          </w:tcPr>
          <w:p w14:paraId="0402C4AC" w14:textId="70F2760A"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271</w:t>
            </w:r>
          </w:p>
        </w:tc>
        <w:tc>
          <w:tcPr>
            <w:tcW w:w="1016" w:type="dxa"/>
            <w:tcBorders>
              <w:top w:val="nil"/>
              <w:left w:val="single" w:sz="4" w:space="0" w:color="auto"/>
              <w:bottom w:val="nil"/>
            </w:tcBorders>
            <w:shd w:val="clear" w:color="auto" w:fill="auto"/>
          </w:tcPr>
          <w:p w14:paraId="793FAF15" w14:textId="20A74928"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1,469</w:t>
            </w:r>
          </w:p>
        </w:tc>
      </w:tr>
      <w:tr w:rsidR="00031CDE" w:rsidRPr="007F6332" w14:paraId="4E82FDD9" w14:textId="77777777" w:rsidTr="006735EE">
        <w:tc>
          <w:tcPr>
            <w:cnfStyle w:val="001000000000" w:firstRow="0" w:lastRow="0" w:firstColumn="1" w:lastColumn="0" w:oddVBand="0" w:evenVBand="0" w:oddHBand="0" w:evenHBand="0" w:firstRowFirstColumn="0" w:firstRowLastColumn="0" w:lastRowFirstColumn="0" w:lastRowLastColumn="0"/>
            <w:tcW w:w="3261" w:type="dxa"/>
            <w:tcBorders>
              <w:top w:val="nil"/>
              <w:bottom w:val="nil"/>
              <w:right w:val="nil"/>
            </w:tcBorders>
            <w:shd w:val="clear" w:color="auto" w:fill="A6A6A6" w:themeFill="background1" w:themeFillShade="A6"/>
          </w:tcPr>
          <w:p w14:paraId="1AECF576" w14:textId="5646EDF2" w:rsidR="00031CDE" w:rsidRPr="007F6332" w:rsidRDefault="00031CDE" w:rsidP="00031CDE">
            <w:pPr>
              <w:ind w:left="30"/>
              <w:rPr>
                <w:rFonts w:eastAsia="Times New Roman" w:cs="Arial"/>
                <w:b/>
                <w:bCs/>
                <w:color w:val="000000"/>
                <w:szCs w:val="22"/>
                <w:lang w:val="en-AU" w:eastAsia="en-AU"/>
              </w:rPr>
            </w:pPr>
            <w:r w:rsidRPr="007F6332">
              <w:rPr>
                <w:rFonts w:eastAsia="Times New Roman" w:cs="Arial"/>
                <w:b/>
                <w:bCs/>
                <w:color w:val="000000"/>
                <w:szCs w:val="22"/>
                <w:lang w:val="en-AU" w:eastAsia="en-AU"/>
              </w:rPr>
              <w:t>Total: assumption changes</w:t>
            </w:r>
          </w:p>
        </w:tc>
        <w:tc>
          <w:tcPr>
            <w:tcW w:w="1016" w:type="dxa"/>
            <w:tcBorders>
              <w:top w:val="nil"/>
              <w:left w:val="nil"/>
              <w:bottom w:val="nil"/>
              <w:right w:val="nil"/>
            </w:tcBorders>
            <w:shd w:val="clear" w:color="auto" w:fill="A6A6A6" w:themeFill="background1" w:themeFillShade="A6"/>
          </w:tcPr>
          <w:p w14:paraId="0F916452" w14:textId="7A2332B4"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1,908</w:t>
            </w:r>
          </w:p>
        </w:tc>
        <w:tc>
          <w:tcPr>
            <w:tcW w:w="1016" w:type="dxa"/>
            <w:tcBorders>
              <w:top w:val="nil"/>
              <w:left w:val="nil"/>
              <w:bottom w:val="nil"/>
              <w:right w:val="nil"/>
            </w:tcBorders>
            <w:shd w:val="clear" w:color="auto" w:fill="A6A6A6" w:themeFill="background1" w:themeFillShade="A6"/>
          </w:tcPr>
          <w:p w14:paraId="57C256F5" w14:textId="335D22C5"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1,270</w:t>
            </w:r>
          </w:p>
        </w:tc>
        <w:tc>
          <w:tcPr>
            <w:tcW w:w="1016" w:type="dxa"/>
            <w:tcBorders>
              <w:top w:val="nil"/>
              <w:left w:val="nil"/>
              <w:bottom w:val="nil"/>
              <w:right w:val="nil"/>
            </w:tcBorders>
            <w:shd w:val="clear" w:color="auto" w:fill="A6A6A6" w:themeFill="background1" w:themeFillShade="A6"/>
          </w:tcPr>
          <w:p w14:paraId="558EE58C" w14:textId="170BB15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-819</w:t>
            </w:r>
          </w:p>
        </w:tc>
        <w:tc>
          <w:tcPr>
            <w:tcW w:w="1016" w:type="dxa"/>
            <w:tcBorders>
              <w:top w:val="nil"/>
              <w:left w:val="nil"/>
              <w:bottom w:val="nil"/>
              <w:right w:val="dashSmallGap" w:sz="4" w:space="0" w:color="auto"/>
            </w:tcBorders>
            <w:shd w:val="clear" w:color="auto" w:fill="A6A6A6" w:themeFill="background1" w:themeFillShade="A6"/>
          </w:tcPr>
          <w:p w14:paraId="6608FEF4" w14:textId="369E2A6C"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-1,795</w:t>
            </w:r>
          </w:p>
        </w:tc>
        <w:tc>
          <w:tcPr>
            <w:tcW w:w="1016" w:type="dxa"/>
            <w:tcBorders>
              <w:top w:val="nil"/>
              <w:left w:val="dashSmallGap" w:sz="4" w:space="0" w:color="auto"/>
              <w:bottom w:val="nil"/>
              <w:right w:val="single" w:sz="4" w:space="0" w:color="auto"/>
            </w:tcBorders>
            <w:shd w:val="clear" w:color="auto" w:fill="A6A6A6" w:themeFill="background1" w:themeFillShade="A6"/>
          </w:tcPr>
          <w:p w14:paraId="0229C158" w14:textId="6CCE3B56"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-8,494</w:t>
            </w:r>
          </w:p>
        </w:tc>
        <w:tc>
          <w:tcPr>
            <w:tcW w:w="1016" w:type="dxa"/>
            <w:tcBorders>
              <w:top w:val="nil"/>
              <w:left w:val="single" w:sz="4" w:space="0" w:color="auto"/>
              <w:bottom w:val="nil"/>
            </w:tcBorders>
            <w:shd w:val="clear" w:color="auto" w:fill="A6A6A6" w:themeFill="background1" w:themeFillShade="A6"/>
          </w:tcPr>
          <w:p w14:paraId="16EAF343" w14:textId="3EC744BC"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565</w:t>
            </w:r>
          </w:p>
        </w:tc>
      </w:tr>
      <w:tr w:rsidR="00031CDE" w:rsidRPr="007F6332" w14:paraId="00370837" w14:textId="77777777" w:rsidTr="006C2D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shd w:val="clear" w:color="auto" w:fill="auto"/>
          </w:tcPr>
          <w:p w14:paraId="12515AA2" w14:textId="7DA4A8C0" w:rsidR="00031CDE" w:rsidRPr="007F6332" w:rsidRDefault="00031CDE" w:rsidP="00CE7E91">
            <w:pPr>
              <w:numPr>
                <w:ilvl w:val="3"/>
                <w:numId w:val="38"/>
              </w:numPr>
              <w:spacing w:line="240" w:lineRule="auto"/>
              <w:ind w:left="314" w:hanging="284"/>
              <w:rPr>
                <w:rFonts w:eastAsia="Times New Roman" w:cs="Arial"/>
                <w:color w:val="000000"/>
                <w:szCs w:val="22"/>
                <w:lang w:val="en-AU" w:eastAsia="en-AU"/>
              </w:rPr>
            </w:pPr>
            <w:r w:rsidRPr="007F6332">
              <w:rPr>
                <w:rFonts w:eastAsia="Times New Roman" w:cs="Arial"/>
                <w:color w:val="000000"/>
                <w:szCs w:val="22"/>
                <w:lang w:val="en-AU" w:eastAsia="en-AU"/>
              </w:rPr>
              <w:t>Additional growth</w:t>
            </w:r>
          </w:p>
        </w:tc>
        <w:tc>
          <w:tcPr>
            <w:tcW w:w="1016" w:type="dxa"/>
            <w:tcBorders>
              <w:top w:val="nil"/>
              <w:bottom w:val="nil"/>
            </w:tcBorders>
            <w:shd w:val="clear" w:color="auto" w:fill="auto"/>
          </w:tcPr>
          <w:p w14:paraId="560EA270" w14:textId="30EAC064"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950</w:t>
            </w:r>
          </w:p>
        </w:tc>
        <w:tc>
          <w:tcPr>
            <w:tcW w:w="1016" w:type="dxa"/>
            <w:tcBorders>
              <w:top w:val="nil"/>
              <w:bottom w:val="nil"/>
            </w:tcBorders>
            <w:shd w:val="clear" w:color="auto" w:fill="auto"/>
          </w:tcPr>
          <w:p w14:paraId="0A7A7543" w14:textId="38E392D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-221</w:t>
            </w:r>
          </w:p>
        </w:tc>
        <w:tc>
          <w:tcPr>
            <w:tcW w:w="1016" w:type="dxa"/>
            <w:tcBorders>
              <w:top w:val="nil"/>
              <w:bottom w:val="nil"/>
            </w:tcBorders>
            <w:shd w:val="clear" w:color="auto" w:fill="auto"/>
          </w:tcPr>
          <w:p w14:paraId="16F14543" w14:textId="0D8646FD"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-2,374</w:t>
            </w:r>
          </w:p>
        </w:tc>
        <w:tc>
          <w:tcPr>
            <w:tcW w:w="1016" w:type="dxa"/>
            <w:tcBorders>
              <w:top w:val="nil"/>
              <w:bottom w:val="nil"/>
              <w:right w:val="dashSmallGap" w:sz="4" w:space="0" w:color="auto"/>
            </w:tcBorders>
            <w:shd w:val="clear" w:color="auto" w:fill="auto"/>
          </w:tcPr>
          <w:p w14:paraId="40FADE7A" w14:textId="735E0072"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-3,183</w:t>
            </w:r>
          </w:p>
        </w:tc>
        <w:tc>
          <w:tcPr>
            <w:tcW w:w="1016" w:type="dxa"/>
            <w:tcBorders>
              <w:top w:val="nil"/>
              <w:left w:val="dashSmallGap" w:sz="4" w:space="0" w:color="auto"/>
              <w:bottom w:val="nil"/>
              <w:right w:val="single" w:sz="4" w:space="0" w:color="auto"/>
            </w:tcBorders>
            <w:shd w:val="clear" w:color="auto" w:fill="auto"/>
          </w:tcPr>
          <w:p w14:paraId="7335BE91" w14:textId="7843F984"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-6,124</w:t>
            </w:r>
          </w:p>
        </w:tc>
        <w:tc>
          <w:tcPr>
            <w:tcW w:w="1016" w:type="dxa"/>
            <w:tcBorders>
              <w:top w:val="nil"/>
              <w:left w:val="single" w:sz="4" w:space="0" w:color="auto"/>
              <w:bottom w:val="nil"/>
            </w:tcBorders>
            <w:shd w:val="clear" w:color="auto" w:fill="auto"/>
          </w:tcPr>
          <w:p w14:paraId="6FDCAF1E" w14:textId="62C83091"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-4,827</w:t>
            </w:r>
          </w:p>
        </w:tc>
      </w:tr>
      <w:tr w:rsidR="00031CDE" w:rsidRPr="007F6332" w14:paraId="00D8746D" w14:textId="77777777" w:rsidTr="006C2D75">
        <w:tblPrEx>
          <w:tblBorders>
            <w:left w:val="single" w:sz="4" w:space="0" w:color="auto"/>
            <w:right w:val="single" w:sz="4" w:space="0" w:color="auto"/>
            <w:insideH w:val="single" w:sz="4" w:space="0" w:color="auto"/>
            <w:insideV w:val="single" w:sz="4" w:space="0" w:color="auto"/>
          </w:tblBorders>
        </w:tblPrEx>
        <w:tc>
          <w:tcPr>
            <w:cnfStyle w:val="001000000000" w:firstRow="0" w:lastRow="0" w:firstColumn="1" w:lastColumn="0" w:oddVBand="0" w:evenVBand="0" w:oddHBand="0" w:evenHBand="0" w:firstRowFirstColumn="0" w:firstRowLastColumn="0" w:lastRowFirstColumn="0" w:lastRowLastColumn="0"/>
            <w:tcW w:w="3261" w:type="dxa"/>
            <w:tcBorders>
              <w:top w:val="nil"/>
              <w:left w:val="nil"/>
              <w:bottom w:val="nil"/>
              <w:right w:val="nil"/>
            </w:tcBorders>
            <w:shd w:val="clear" w:color="auto" w:fill="auto"/>
          </w:tcPr>
          <w:p w14:paraId="5A42D243" w14:textId="34FC0F01" w:rsidR="00031CDE" w:rsidRPr="007F6332" w:rsidDel="00C2244E" w:rsidRDefault="00031CDE" w:rsidP="00CE7E91">
            <w:pPr>
              <w:numPr>
                <w:ilvl w:val="3"/>
                <w:numId w:val="38"/>
              </w:numPr>
              <w:spacing w:line="240" w:lineRule="auto"/>
              <w:ind w:left="314" w:hanging="284"/>
              <w:rPr>
                <w:rFonts w:eastAsia="Times New Roman" w:cs="Arial"/>
                <w:color w:val="000000"/>
                <w:szCs w:val="22"/>
                <w:lang w:val="en-AU" w:eastAsia="en-AU"/>
              </w:rPr>
            </w:pPr>
            <w:r w:rsidRPr="007F6332">
              <w:rPr>
                <w:rFonts w:eastAsia="Times New Roman" w:cs="Arial"/>
                <w:color w:val="000000"/>
                <w:szCs w:val="22"/>
                <w:lang w:val="en-AU" w:eastAsia="en-AU"/>
              </w:rPr>
              <w:t xml:space="preserve">Transitions into SIL </w:t>
            </w:r>
          </w:p>
        </w:tc>
        <w:tc>
          <w:tcPr>
            <w:tcW w:w="1016" w:type="dxa"/>
            <w:tcBorders>
              <w:top w:val="nil"/>
              <w:left w:val="nil"/>
              <w:bottom w:val="nil"/>
              <w:right w:val="nil"/>
            </w:tcBorders>
            <w:shd w:val="clear" w:color="auto" w:fill="auto"/>
          </w:tcPr>
          <w:p w14:paraId="50893B98" w14:textId="44D87B85"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814</w:t>
            </w:r>
          </w:p>
        </w:tc>
        <w:tc>
          <w:tcPr>
            <w:tcW w:w="1016" w:type="dxa"/>
            <w:tcBorders>
              <w:top w:val="nil"/>
              <w:left w:val="nil"/>
              <w:bottom w:val="nil"/>
              <w:right w:val="nil"/>
            </w:tcBorders>
            <w:shd w:val="clear" w:color="auto" w:fill="auto"/>
          </w:tcPr>
          <w:p w14:paraId="3BC0039F" w14:textId="40077535"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1,429</w:t>
            </w:r>
          </w:p>
        </w:tc>
        <w:tc>
          <w:tcPr>
            <w:tcW w:w="1016" w:type="dxa"/>
            <w:tcBorders>
              <w:top w:val="nil"/>
              <w:left w:val="nil"/>
              <w:bottom w:val="nil"/>
              <w:right w:val="nil"/>
            </w:tcBorders>
            <w:shd w:val="clear" w:color="auto" w:fill="auto"/>
          </w:tcPr>
          <w:p w14:paraId="5057B697" w14:textId="79284E90"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1,705</w:t>
            </w:r>
          </w:p>
        </w:tc>
        <w:tc>
          <w:tcPr>
            <w:tcW w:w="1016" w:type="dxa"/>
            <w:tcBorders>
              <w:top w:val="nil"/>
              <w:left w:val="nil"/>
              <w:bottom w:val="nil"/>
              <w:right w:val="dashSmallGap" w:sz="4" w:space="0" w:color="auto"/>
            </w:tcBorders>
            <w:shd w:val="clear" w:color="auto" w:fill="auto"/>
          </w:tcPr>
          <w:p w14:paraId="500491CD" w14:textId="1A5AE220"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1,904</w:t>
            </w:r>
          </w:p>
        </w:tc>
        <w:tc>
          <w:tcPr>
            <w:tcW w:w="1016" w:type="dxa"/>
            <w:tcBorders>
              <w:top w:val="nil"/>
              <w:left w:val="dashSmallGap" w:sz="4" w:space="0" w:color="auto"/>
              <w:bottom w:val="nil"/>
              <w:right w:val="single" w:sz="4" w:space="0" w:color="auto"/>
            </w:tcBorders>
            <w:shd w:val="clear" w:color="auto" w:fill="auto"/>
          </w:tcPr>
          <w:p w14:paraId="5A5A423C" w14:textId="2BA1AA30"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1,917</w:t>
            </w:r>
          </w:p>
        </w:tc>
        <w:tc>
          <w:tcPr>
            <w:tcW w:w="1016" w:type="dxa"/>
            <w:tcBorders>
              <w:top w:val="nil"/>
              <w:left w:val="single" w:sz="4" w:space="0" w:color="auto"/>
              <w:bottom w:val="nil"/>
              <w:right w:val="nil"/>
            </w:tcBorders>
            <w:shd w:val="clear" w:color="auto" w:fill="auto"/>
          </w:tcPr>
          <w:p w14:paraId="53ABCCB1" w14:textId="740AAEA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5,852</w:t>
            </w:r>
          </w:p>
        </w:tc>
      </w:tr>
      <w:tr w:rsidR="00031CDE" w:rsidRPr="007F6332" w14:paraId="42B44BB6" w14:textId="77777777" w:rsidTr="006C2D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tcBorders>
            <w:shd w:val="clear" w:color="auto" w:fill="auto"/>
          </w:tcPr>
          <w:p w14:paraId="0AF73013" w14:textId="58DA435C" w:rsidR="00031CDE" w:rsidRPr="007F6332" w:rsidRDefault="00031CDE" w:rsidP="00CE7E91">
            <w:pPr>
              <w:numPr>
                <w:ilvl w:val="3"/>
                <w:numId w:val="38"/>
              </w:numPr>
              <w:spacing w:line="240" w:lineRule="auto"/>
              <w:ind w:left="314" w:hanging="284"/>
              <w:rPr>
                <w:rFonts w:eastAsia="Times New Roman" w:cs="Arial"/>
                <w:color w:val="000000"/>
                <w:szCs w:val="22"/>
                <w:lang w:val="en-AU" w:eastAsia="en-AU"/>
              </w:rPr>
            </w:pPr>
            <w:r w:rsidRPr="007F6332">
              <w:rPr>
                <w:rFonts w:eastAsia="Times New Roman" w:cs="Arial"/>
                <w:color w:val="000000"/>
                <w:szCs w:val="22"/>
                <w:lang w:val="en-AU" w:eastAsia="en-AU"/>
              </w:rPr>
              <w:t>New entrants</w:t>
            </w:r>
          </w:p>
        </w:tc>
        <w:tc>
          <w:tcPr>
            <w:tcW w:w="1016" w:type="dxa"/>
            <w:tcBorders>
              <w:top w:val="nil"/>
            </w:tcBorders>
            <w:shd w:val="clear" w:color="auto" w:fill="auto"/>
          </w:tcPr>
          <w:p w14:paraId="47FBFE67" w14:textId="4856F76A"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217</w:t>
            </w:r>
          </w:p>
        </w:tc>
        <w:tc>
          <w:tcPr>
            <w:tcW w:w="1016" w:type="dxa"/>
            <w:tcBorders>
              <w:top w:val="nil"/>
            </w:tcBorders>
            <w:shd w:val="clear" w:color="auto" w:fill="auto"/>
          </w:tcPr>
          <w:p w14:paraId="295B8EEC" w14:textId="4B5E72ED"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300</w:t>
            </w:r>
          </w:p>
        </w:tc>
        <w:tc>
          <w:tcPr>
            <w:tcW w:w="1016" w:type="dxa"/>
            <w:tcBorders>
              <w:top w:val="nil"/>
            </w:tcBorders>
            <w:shd w:val="clear" w:color="auto" w:fill="auto"/>
          </w:tcPr>
          <w:p w14:paraId="3886B945" w14:textId="016BCAA3"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289</w:t>
            </w:r>
          </w:p>
        </w:tc>
        <w:tc>
          <w:tcPr>
            <w:tcW w:w="1016" w:type="dxa"/>
            <w:tcBorders>
              <w:top w:val="nil"/>
              <w:right w:val="dashSmallGap" w:sz="4" w:space="0" w:color="auto"/>
            </w:tcBorders>
            <w:shd w:val="clear" w:color="auto" w:fill="auto"/>
          </w:tcPr>
          <w:p w14:paraId="237E5520" w14:textId="1F498F35"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148</w:t>
            </w:r>
          </w:p>
        </w:tc>
        <w:tc>
          <w:tcPr>
            <w:tcW w:w="1016" w:type="dxa"/>
            <w:tcBorders>
              <w:top w:val="nil"/>
              <w:left w:val="dashSmallGap" w:sz="4" w:space="0" w:color="auto"/>
              <w:bottom w:val="nil"/>
              <w:right w:val="single" w:sz="4" w:space="0" w:color="auto"/>
            </w:tcBorders>
            <w:shd w:val="clear" w:color="auto" w:fill="auto"/>
          </w:tcPr>
          <w:p w14:paraId="409463EC" w14:textId="64079C60"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-1,619</w:t>
            </w:r>
          </w:p>
        </w:tc>
        <w:tc>
          <w:tcPr>
            <w:tcW w:w="1016" w:type="dxa"/>
            <w:tcBorders>
              <w:top w:val="nil"/>
              <w:left w:val="single" w:sz="4" w:space="0" w:color="auto"/>
              <w:bottom w:val="nil"/>
            </w:tcBorders>
            <w:shd w:val="clear" w:color="auto" w:fill="auto"/>
          </w:tcPr>
          <w:p w14:paraId="17CA3086" w14:textId="1306F617"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szCs w:val="22"/>
              </w:rPr>
              <w:t>955</w:t>
            </w:r>
          </w:p>
        </w:tc>
      </w:tr>
      <w:tr w:rsidR="00031CDE" w:rsidRPr="007F6332" w14:paraId="25621ED1" w14:textId="77777777" w:rsidTr="00C1755E">
        <w:tc>
          <w:tcPr>
            <w:cnfStyle w:val="001000000000" w:firstRow="0" w:lastRow="0" w:firstColumn="1" w:lastColumn="0" w:oddVBand="0" w:evenVBand="0" w:oddHBand="0" w:evenHBand="0" w:firstRowFirstColumn="0" w:firstRowLastColumn="0" w:lastRowFirstColumn="0" w:lastRowLastColumn="0"/>
            <w:tcW w:w="0" w:type="dxa"/>
            <w:tcBorders>
              <w:bottom w:val="nil"/>
            </w:tcBorders>
            <w:shd w:val="clear" w:color="auto" w:fill="auto"/>
          </w:tcPr>
          <w:p w14:paraId="19C96674" w14:textId="0D1B9F09" w:rsidR="00031CDE" w:rsidRPr="007F6332" w:rsidRDefault="00031CDE" w:rsidP="00CE7E91">
            <w:pPr>
              <w:numPr>
                <w:ilvl w:val="3"/>
                <w:numId w:val="38"/>
              </w:numPr>
              <w:spacing w:line="240" w:lineRule="auto"/>
              <w:ind w:left="314" w:hanging="284"/>
              <w:rPr>
                <w:rFonts w:eastAsia="Times New Roman" w:cs="Arial"/>
                <w:color w:val="000000"/>
                <w:szCs w:val="22"/>
                <w:lang w:val="en-AU" w:eastAsia="en-AU"/>
              </w:rPr>
            </w:pPr>
            <w:r w:rsidRPr="007F6332">
              <w:rPr>
                <w:rFonts w:eastAsia="Times New Roman" w:cs="Arial"/>
                <w:color w:val="000000"/>
                <w:szCs w:val="22"/>
                <w:lang w:val="en-AU" w:eastAsia="en-AU"/>
              </w:rPr>
              <w:t>Other</w:t>
            </w:r>
          </w:p>
        </w:tc>
        <w:tc>
          <w:tcPr>
            <w:tcW w:w="0" w:type="dxa"/>
            <w:tcBorders>
              <w:bottom w:val="nil"/>
            </w:tcBorders>
            <w:shd w:val="clear" w:color="auto" w:fill="auto"/>
          </w:tcPr>
          <w:p w14:paraId="5E6C21BE" w14:textId="77B0C51A"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-73</w:t>
            </w:r>
          </w:p>
        </w:tc>
        <w:tc>
          <w:tcPr>
            <w:tcW w:w="0" w:type="dxa"/>
            <w:tcBorders>
              <w:bottom w:val="nil"/>
            </w:tcBorders>
            <w:shd w:val="clear" w:color="auto" w:fill="auto"/>
          </w:tcPr>
          <w:p w14:paraId="7557594D" w14:textId="5386766C"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-239</w:t>
            </w:r>
          </w:p>
        </w:tc>
        <w:tc>
          <w:tcPr>
            <w:tcW w:w="0" w:type="dxa"/>
            <w:tcBorders>
              <w:bottom w:val="nil"/>
            </w:tcBorders>
            <w:shd w:val="clear" w:color="auto" w:fill="auto"/>
          </w:tcPr>
          <w:p w14:paraId="3309D2AA" w14:textId="6879F05D"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-439</w:t>
            </w:r>
          </w:p>
        </w:tc>
        <w:tc>
          <w:tcPr>
            <w:tcW w:w="0" w:type="dxa"/>
            <w:tcBorders>
              <w:bottom w:val="nil"/>
              <w:right w:val="dashSmallGap" w:sz="4" w:space="0" w:color="auto"/>
            </w:tcBorders>
            <w:shd w:val="clear" w:color="auto" w:fill="auto"/>
          </w:tcPr>
          <w:p w14:paraId="1AE3889F" w14:textId="2907058A"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-664</w:t>
            </w:r>
          </w:p>
        </w:tc>
        <w:tc>
          <w:tcPr>
            <w:tcW w:w="0" w:type="dxa"/>
            <w:tcBorders>
              <w:top w:val="nil"/>
              <w:left w:val="dashSmallGap" w:sz="4" w:space="0" w:color="auto"/>
              <w:bottom w:val="nil"/>
              <w:right w:val="single" w:sz="4" w:space="0" w:color="auto"/>
            </w:tcBorders>
            <w:shd w:val="clear" w:color="auto" w:fill="auto"/>
          </w:tcPr>
          <w:p w14:paraId="25FCEC78" w14:textId="0D6C4C3D"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-2,668</w:t>
            </w:r>
          </w:p>
        </w:tc>
        <w:tc>
          <w:tcPr>
            <w:tcW w:w="0" w:type="dxa"/>
            <w:tcBorders>
              <w:top w:val="nil"/>
              <w:left w:val="single" w:sz="4" w:space="0" w:color="auto"/>
              <w:bottom w:val="nil"/>
            </w:tcBorders>
            <w:shd w:val="clear" w:color="auto" w:fill="auto"/>
          </w:tcPr>
          <w:p w14:paraId="73086D9D" w14:textId="0EB5701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val="en-AU" w:eastAsia="en-AU"/>
              </w:rPr>
            </w:pPr>
            <w:r w:rsidRPr="007F6332">
              <w:rPr>
                <w:rFonts w:cs="Arial"/>
                <w:szCs w:val="22"/>
              </w:rPr>
              <w:t>-1,415</w:t>
            </w:r>
          </w:p>
        </w:tc>
      </w:tr>
      <w:tr w:rsidR="00DF263E" w:rsidRPr="007F6332" w14:paraId="06FDB0D2" w14:textId="77777777" w:rsidTr="00654C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shd w:val="clear" w:color="auto" w:fill="A6A6A6" w:themeFill="background1" w:themeFillShade="A6"/>
          </w:tcPr>
          <w:p w14:paraId="4044F84A" w14:textId="0F5B3DFF" w:rsidR="00031CDE" w:rsidRPr="007F6332" w:rsidRDefault="00031CDE" w:rsidP="00031CDE">
            <w:pPr>
              <w:rPr>
                <w:rFonts w:eastAsia="Times New Roman" w:cs="Arial"/>
                <w:color w:val="000000"/>
                <w:szCs w:val="22"/>
                <w:lang w:val="en-AU" w:eastAsia="en-AU"/>
              </w:rPr>
            </w:pPr>
            <w:r w:rsidRPr="007F6332">
              <w:rPr>
                <w:rFonts w:eastAsia="Times New Roman" w:cs="Arial"/>
                <w:b/>
                <w:bCs/>
                <w:color w:val="000000"/>
                <w:szCs w:val="22"/>
                <w:lang w:val="en-AU" w:eastAsia="en-AU"/>
              </w:rPr>
              <w:t>Total movement for experience and assumptions changes</w:t>
            </w:r>
          </w:p>
        </w:tc>
        <w:tc>
          <w:tcPr>
            <w:tcW w:w="0" w:type="dxa"/>
            <w:tcBorders>
              <w:top w:val="nil"/>
              <w:bottom w:val="nil"/>
            </w:tcBorders>
            <w:shd w:val="clear" w:color="auto" w:fill="A6A6A6" w:themeFill="background1" w:themeFillShade="A6"/>
          </w:tcPr>
          <w:p w14:paraId="30F609D9" w14:textId="3A661C41"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2,605</w:t>
            </w:r>
          </w:p>
        </w:tc>
        <w:tc>
          <w:tcPr>
            <w:tcW w:w="0" w:type="dxa"/>
            <w:tcBorders>
              <w:top w:val="nil"/>
              <w:bottom w:val="nil"/>
            </w:tcBorders>
            <w:shd w:val="clear" w:color="auto" w:fill="A6A6A6" w:themeFill="background1" w:themeFillShade="A6"/>
          </w:tcPr>
          <w:p w14:paraId="69E490F0" w14:textId="7A56C16D"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1,797</w:t>
            </w:r>
          </w:p>
        </w:tc>
        <w:tc>
          <w:tcPr>
            <w:tcW w:w="0" w:type="dxa"/>
            <w:tcBorders>
              <w:top w:val="nil"/>
              <w:bottom w:val="nil"/>
            </w:tcBorders>
            <w:shd w:val="clear" w:color="auto" w:fill="A6A6A6" w:themeFill="background1" w:themeFillShade="A6"/>
          </w:tcPr>
          <w:p w14:paraId="00992F7E" w14:textId="6D476E4D"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-245</w:t>
            </w:r>
          </w:p>
        </w:tc>
        <w:tc>
          <w:tcPr>
            <w:tcW w:w="0" w:type="dxa"/>
            <w:tcBorders>
              <w:top w:val="nil"/>
              <w:bottom w:val="nil"/>
              <w:right w:val="dashSmallGap" w:sz="4" w:space="0" w:color="auto"/>
            </w:tcBorders>
            <w:shd w:val="clear" w:color="auto" w:fill="A6A6A6" w:themeFill="background1" w:themeFillShade="A6"/>
          </w:tcPr>
          <w:p w14:paraId="0FBFA242" w14:textId="685F7BFA"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-1,224</w:t>
            </w:r>
          </w:p>
        </w:tc>
        <w:tc>
          <w:tcPr>
            <w:tcW w:w="0" w:type="dxa"/>
            <w:tcBorders>
              <w:top w:val="nil"/>
              <w:left w:val="dashSmallGap" w:sz="4" w:space="0" w:color="auto"/>
              <w:bottom w:val="nil"/>
              <w:right w:val="single" w:sz="4" w:space="0" w:color="auto"/>
            </w:tcBorders>
            <w:shd w:val="clear" w:color="auto" w:fill="A6A6A6" w:themeFill="background1" w:themeFillShade="A6"/>
          </w:tcPr>
          <w:p w14:paraId="45C07B45" w14:textId="32241756"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-7,773</w:t>
            </w:r>
          </w:p>
        </w:tc>
        <w:tc>
          <w:tcPr>
            <w:tcW w:w="0" w:type="dxa"/>
            <w:tcBorders>
              <w:top w:val="nil"/>
              <w:left w:val="single" w:sz="4" w:space="0" w:color="auto"/>
              <w:bottom w:val="nil"/>
            </w:tcBorders>
            <w:shd w:val="clear" w:color="auto" w:fill="A6A6A6" w:themeFill="background1" w:themeFillShade="A6"/>
          </w:tcPr>
          <w:p w14:paraId="0445DB60" w14:textId="2DA01F33"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val="en-AU" w:eastAsia="en-AU"/>
              </w:rPr>
            </w:pPr>
            <w:r w:rsidRPr="007F6332">
              <w:rPr>
                <w:rFonts w:cs="Arial"/>
                <w:b/>
                <w:bCs/>
                <w:szCs w:val="22"/>
              </w:rPr>
              <w:t>2,932</w:t>
            </w:r>
          </w:p>
        </w:tc>
      </w:tr>
      <w:tr w:rsidR="00DF263E" w:rsidRPr="007F6332" w14:paraId="48E30918" w14:textId="77777777" w:rsidTr="00654C92">
        <w:tc>
          <w:tcPr>
            <w:cnfStyle w:val="001000000000" w:firstRow="0" w:lastRow="0" w:firstColumn="1" w:lastColumn="0" w:oddVBand="0" w:evenVBand="0" w:oddHBand="0" w:evenHBand="0" w:firstRowFirstColumn="0" w:firstRowLastColumn="0" w:lastRowFirstColumn="0" w:lastRowLastColumn="0"/>
            <w:tcW w:w="0" w:type="dxa"/>
            <w:tcBorders>
              <w:top w:val="nil"/>
              <w:bottom w:val="single" w:sz="4" w:space="0" w:color="auto"/>
            </w:tcBorders>
            <w:shd w:val="clear" w:color="auto" w:fill="B398B8"/>
          </w:tcPr>
          <w:p w14:paraId="4D750B94" w14:textId="271B41FA" w:rsidR="00031CDE" w:rsidRPr="007F6332" w:rsidRDefault="00031CDE" w:rsidP="00031CDE">
            <w:pPr>
              <w:rPr>
                <w:rFonts w:eastAsia="Times New Roman" w:cs="Arial"/>
                <w:color w:val="000000"/>
                <w:szCs w:val="22"/>
                <w:lang w:val="en-AU" w:eastAsia="en-AU"/>
              </w:rPr>
            </w:pPr>
            <w:r w:rsidRPr="007F6332">
              <w:rPr>
                <w:rFonts w:eastAsia="Times New Roman" w:cs="Arial"/>
                <w:b/>
                <w:bCs/>
                <w:color w:val="000000"/>
                <w:szCs w:val="22"/>
                <w:lang w:val="en-AU" w:eastAsia="en-AU"/>
              </w:rPr>
              <w:t>June 2023 projections</w:t>
            </w:r>
          </w:p>
        </w:tc>
        <w:tc>
          <w:tcPr>
            <w:tcW w:w="0" w:type="dxa"/>
            <w:tcBorders>
              <w:top w:val="nil"/>
              <w:bottom w:val="single" w:sz="4" w:space="0" w:color="auto"/>
            </w:tcBorders>
            <w:shd w:val="clear" w:color="auto" w:fill="B398B8"/>
          </w:tcPr>
          <w:p w14:paraId="1E4A1BD0" w14:textId="5BBEDF46"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41,360</w:t>
            </w:r>
          </w:p>
        </w:tc>
        <w:tc>
          <w:tcPr>
            <w:tcW w:w="0" w:type="dxa"/>
            <w:tcBorders>
              <w:top w:val="nil"/>
              <w:bottom w:val="single" w:sz="4" w:space="0" w:color="auto"/>
            </w:tcBorders>
            <w:shd w:val="clear" w:color="auto" w:fill="B398B8"/>
          </w:tcPr>
          <w:p w14:paraId="1C19B562" w14:textId="448856E6"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46,376</w:t>
            </w:r>
          </w:p>
        </w:tc>
        <w:tc>
          <w:tcPr>
            <w:tcW w:w="0" w:type="dxa"/>
            <w:tcBorders>
              <w:top w:val="nil"/>
              <w:bottom w:val="single" w:sz="4" w:space="0" w:color="auto"/>
            </w:tcBorders>
            <w:shd w:val="clear" w:color="auto" w:fill="B398B8"/>
          </w:tcPr>
          <w:p w14:paraId="21503AA2" w14:textId="3D7A808F"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50,788</w:t>
            </w:r>
          </w:p>
        </w:tc>
        <w:tc>
          <w:tcPr>
            <w:tcW w:w="0" w:type="dxa"/>
            <w:tcBorders>
              <w:top w:val="nil"/>
              <w:bottom w:val="single" w:sz="4" w:space="0" w:color="auto"/>
              <w:right w:val="dashSmallGap" w:sz="4" w:space="0" w:color="auto"/>
            </w:tcBorders>
            <w:shd w:val="clear" w:color="auto" w:fill="B398B8"/>
          </w:tcPr>
          <w:p w14:paraId="1DE61E03" w14:textId="1FA2C0F9"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55,207</w:t>
            </w:r>
          </w:p>
        </w:tc>
        <w:tc>
          <w:tcPr>
            <w:tcW w:w="0" w:type="dxa"/>
            <w:tcBorders>
              <w:top w:val="nil"/>
              <w:left w:val="dashSmallGap" w:sz="4" w:space="0" w:color="auto"/>
              <w:bottom w:val="single" w:sz="4" w:space="0" w:color="auto"/>
              <w:right w:val="single" w:sz="4" w:space="0" w:color="auto"/>
            </w:tcBorders>
            <w:shd w:val="clear" w:color="auto" w:fill="B398B8"/>
          </w:tcPr>
          <w:p w14:paraId="201A25AB" w14:textId="41D1CDD3"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92,341</w:t>
            </w:r>
          </w:p>
        </w:tc>
        <w:tc>
          <w:tcPr>
            <w:tcW w:w="0" w:type="dxa"/>
            <w:tcBorders>
              <w:top w:val="nil"/>
              <w:left w:val="single" w:sz="4" w:space="0" w:color="auto"/>
              <w:bottom w:val="single" w:sz="4" w:space="0" w:color="auto"/>
            </w:tcBorders>
            <w:shd w:val="clear" w:color="auto" w:fill="B398B8"/>
          </w:tcPr>
          <w:p w14:paraId="2623DD06" w14:textId="28D1E86D"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val="en-AU" w:eastAsia="en-AU"/>
              </w:rPr>
            </w:pPr>
            <w:r w:rsidRPr="007F6332">
              <w:rPr>
                <w:rFonts w:cs="Arial"/>
                <w:b/>
                <w:bCs/>
                <w:szCs w:val="22"/>
              </w:rPr>
              <w:t>193,731</w:t>
            </w:r>
          </w:p>
        </w:tc>
      </w:tr>
    </w:tbl>
    <w:p w14:paraId="48E0B65C" w14:textId="77777777" w:rsidR="00723E93" w:rsidRPr="007F6332" w:rsidRDefault="00723E93" w:rsidP="00723E93">
      <w:pPr>
        <w:spacing w:before="240"/>
        <w:rPr>
          <w:rFonts w:cs="Arial"/>
        </w:rPr>
        <w:sectPr w:rsidR="00723E93" w:rsidRPr="007F6332" w:rsidSect="00CE7E91">
          <w:pgSz w:w="11906" w:h="16838"/>
          <w:pgMar w:top="1440" w:right="1416" w:bottom="1440" w:left="1440" w:header="708" w:footer="850" w:gutter="0"/>
          <w:cols w:space="708"/>
          <w:titlePg/>
          <w:docGrid w:linePitch="360"/>
        </w:sectPr>
      </w:pPr>
    </w:p>
    <w:p w14:paraId="6FC0BCB0" w14:textId="33335F74" w:rsidR="00723E93" w:rsidRPr="007F6332" w:rsidRDefault="00723E93" w:rsidP="00723E93">
      <w:pPr>
        <w:spacing w:before="240"/>
        <w:rPr>
          <w:rFonts w:cs="Arial"/>
        </w:rPr>
      </w:pPr>
      <w:r w:rsidRPr="007F6332">
        <w:rPr>
          <w:rFonts w:cs="Arial"/>
        </w:rPr>
        <w:lastRenderedPageBreak/>
        <w:fldChar w:fldCharType="begin"/>
      </w:r>
      <w:r w:rsidRPr="007F6332">
        <w:rPr>
          <w:rFonts w:cs="Arial"/>
        </w:rPr>
        <w:instrText xml:space="preserve"> REF _Ref145061285 \h </w:instrText>
      </w:r>
      <w:r w:rsidR="007F6332">
        <w:rPr>
          <w:rFonts w:cs="Arial"/>
        </w:rPr>
        <w:instrText xml:space="preserve"> \* MERGEFORMAT </w:instrText>
      </w:r>
      <w:r w:rsidRPr="007F6332">
        <w:rPr>
          <w:rFonts w:cs="Arial"/>
        </w:rPr>
      </w:r>
      <w:r w:rsidRPr="007F6332">
        <w:rPr>
          <w:rFonts w:cs="Arial"/>
        </w:rPr>
        <w:fldChar w:fldCharType="separate"/>
      </w:r>
      <w:r w:rsidR="00D82E58" w:rsidRPr="007F6332">
        <w:rPr>
          <w:rFonts w:cs="Arial"/>
        </w:rPr>
        <w:t xml:space="preserve">Table </w:t>
      </w:r>
      <w:r w:rsidRPr="007F6332">
        <w:rPr>
          <w:rFonts w:cs="Arial"/>
        </w:rPr>
        <w:fldChar w:fldCharType="end"/>
      </w:r>
      <w:r w:rsidR="00341842" w:rsidRPr="007F6332">
        <w:rPr>
          <w:rFonts w:cs="Arial"/>
        </w:rPr>
        <w:t>5.8</w:t>
      </w:r>
      <w:r w:rsidRPr="007F6332">
        <w:rPr>
          <w:rFonts w:cs="Arial"/>
        </w:rPr>
        <w:t xml:space="preserve"> shows the movement in Scheme expenses on an accrual basis since the previous review, compared with the December 2022 projections.</w:t>
      </w:r>
    </w:p>
    <w:p w14:paraId="5013A0E6" w14:textId="338A9BC2" w:rsidR="00723E93" w:rsidRPr="007F6332" w:rsidRDefault="00723E93" w:rsidP="00823FC9">
      <w:pPr>
        <w:pStyle w:val="FiguresandTablesHeading4"/>
      </w:pPr>
      <w:bookmarkStart w:id="135" w:name="_Ref145061285"/>
      <w:r w:rsidRPr="007F6332">
        <w:t xml:space="preserve">Table </w:t>
      </w:r>
      <w:bookmarkEnd w:id="135"/>
      <w:r w:rsidR="0045717D" w:rsidRPr="007F6332">
        <w:t>5.8:</w:t>
      </w:r>
      <w:r w:rsidRPr="007F6332">
        <w:t xml:space="preserve"> Movement in project</w:t>
      </w:r>
      <w:r w:rsidR="00EC2CD2" w:rsidRPr="007F6332">
        <w:t xml:space="preserve">ed Scheme expenses </w:t>
      </w:r>
      <w:r w:rsidRPr="007F6332">
        <w:t>compared with December 2022 projections</w:t>
      </w:r>
    </w:p>
    <w:tbl>
      <w:tblPr>
        <w:tblStyle w:val="FSRtable1"/>
        <w:tblW w:w="9530" w:type="dxa"/>
        <w:tblInd w:w="0" w:type="dxa"/>
        <w:tblLayout w:type="fixed"/>
        <w:tblLook w:val="04A0" w:firstRow="1" w:lastRow="0" w:firstColumn="1" w:lastColumn="0" w:noHBand="0" w:noVBand="1"/>
      </w:tblPr>
      <w:tblGrid>
        <w:gridCol w:w="3119"/>
        <w:gridCol w:w="1068"/>
        <w:gridCol w:w="1069"/>
        <w:gridCol w:w="1068"/>
        <w:gridCol w:w="1069"/>
        <w:gridCol w:w="1068"/>
        <w:gridCol w:w="1069"/>
      </w:tblGrid>
      <w:tr w:rsidR="004C6718" w:rsidRPr="007F6332" w14:paraId="4E7ED52C" w14:textId="77777777" w:rsidTr="00CD33D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19" w:type="dxa"/>
            <w:hideMark/>
          </w:tcPr>
          <w:p w14:paraId="1C10863A" w14:textId="3B6CA344" w:rsidR="005A45F2" w:rsidRPr="007F6332" w:rsidRDefault="00723E93" w:rsidP="003D58DB">
            <w:pPr>
              <w:spacing w:line="240" w:lineRule="auto"/>
              <w:rPr>
                <w:rFonts w:eastAsia="Times New Roman"/>
                <w:bCs/>
                <w:color w:val="FFFFFF"/>
                <w:szCs w:val="22"/>
                <w:lang w:eastAsia="en-AU"/>
              </w:rPr>
            </w:pPr>
            <w:r w:rsidRPr="007F6332">
              <w:rPr>
                <w:rFonts w:eastAsia="Times New Roman"/>
                <w:bCs/>
                <w:color w:val="FFFFFF"/>
                <w:szCs w:val="22"/>
                <w:lang w:eastAsia="en-AU"/>
              </w:rPr>
              <w:t>Scheme expenses ($m)</w:t>
            </w:r>
            <w:r w:rsidR="003D58DB" w:rsidRPr="007F6332">
              <w:rPr>
                <w:rFonts w:eastAsia="Times New Roman"/>
                <w:bCs/>
                <w:color w:val="FFFFFF"/>
                <w:szCs w:val="22"/>
                <w:lang w:eastAsia="en-AU"/>
              </w:rPr>
              <w:t xml:space="preserve"> </w:t>
            </w:r>
            <w:r w:rsidR="005A45F2" w:rsidRPr="007F6332">
              <w:rPr>
                <w:rFonts w:eastAsia="Times New Roman"/>
                <w:bCs/>
                <w:color w:val="FFFFFF"/>
                <w:szCs w:val="22"/>
                <w:lang w:eastAsia="en-AU"/>
              </w:rPr>
              <w:t>(accrual basis)</w:t>
            </w:r>
          </w:p>
        </w:tc>
        <w:tc>
          <w:tcPr>
            <w:tcW w:w="1068" w:type="dxa"/>
            <w:noWrap/>
            <w:hideMark/>
          </w:tcPr>
          <w:p w14:paraId="40FA1D69" w14:textId="77777777" w:rsidR="00723E93" w:rsidRPr="007F6332" w:rsidRDefault="00723E93" w:rsidP="006C2D75">
            <w:pPr>
              <w:jc w:val="left"/>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2023-24</w:t>
            </w:r>
          </w:p>
        </w:tc>
        <w:tc>
          <w:tcPr>
            <w:tcW w:w="1069" w:type="dxa"/>
            <w:noWrap/>
            <w:hideMark/>
          </w:tcPr>
          <w:p w14:paraId="564723C7" w14:textId="77777777" w:rsidR="00723E93" w:rsidRPr="007F6332" w:rsidRDefault="00723E93" w:rsidP="006C2D75">
            <w:pPr>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2024-25</w:t>
            </w:r>
          </w:p>
        </w:tc>
        <w:tc>
          <w:tcPr>
            <w:tcW w:w="1068" w:type="dxa"/>
            <w:noWrap/>
            <w:hideMark/>
          </w:tcPr>
          <w:p w14:paraId="023472F2" w14:textId="77777777" w:rsidR="00723E93" w:rsidRPr="007F6332" w:rsidRDefault="00723E93" w:rsidP="006C2D75">
            <w:pPr>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2025-26</w:t>
            </w:r>
          </w:p>
        </w:tc>
        <w:tc>
          <w:tcPr>
            <w:tcW w:w="1069" w:type="dxa"/>
            <w:tcBorders>
              <w:right w:val="dashSmallGap" w:sz="4" w:space="0" w:color="auto"/>
            </w:tcBorders>
            <w:noWrap/>
            <w:hideMark/>
          </w:tcPr>
          <w:p w14:paraId="312A65BD" w14:textId="77777777" w:rsidR="00723E93" w:rsidRPr="007F6332" w:rsidRDefault="00723E93" w:rsidP="006C2D75">
            <w:pPr>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2026-27</w:t>
            </w:r>
          </w:p>
        </w:tc>
        <w:tc>
          <w:tcPr>
            <w:tcW w:w="1068" w:type="dxa"/>
            <w:tcBorders>
              <w:top w:val="nil"/>
              <w:left w:val="dashSmallGap" w:sz="4" w:space="0" w:color="auto"/>
              <w:bottom w:val="nil"/>
              <w:right w:val="single" w:sz="4" w:space="0" w:color="auto"/>
            </w:tcBorders>
          </w:tcPr>
          <w:p w14:paraId="428DC380" w14:textId="77777777" w:rsidR="00723E93" w:rsidRPr="007F6332" w:rsidRDefault="00723E93" w:rsidP="006C2D75">
            <w:pPr>
              <w:ind w:right="-148"/>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2032-33 </w:t>
            </w:r>
          </w:p>
        </w:tc>
        <w:tc>
          <w:tcPr>
            <w:tcW w:w="1069" w:type="dxa"/>
            <w:tcBorders>
              <w:left w:val="single" w:sz="4" w:space="0" w:color="auto"/>
            </w:tcBorders>
            <w:hideMark/>
          </w:tcPr>
          <w:p w14:paraId="5391ED0D" w14:textId="77777777" w:rsidR="00723E93" w:rsidRPr="007F6332" w:rsidRDefault="00723E93" w:rsidP="006C2D75">
            <w:pPr>
              <w:ind w:right="-148"/>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 xml:space="preserve">Total </w:t>
            </w:r>
          </w:p>
          <w:p w14:paraId="203FE69D" w14:textId="77777777" w:rsidR="00723E93" w:rsidRPr="007F6332" w:rsidRDefault="00723E93" w:rsidP="006C2D75">
            <w:pPr>
              <w:ind w:right="-148"/>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2023-27</w:t>
            </w:r>
          </w:p>
        </w:tc>
      </w:tr>
      <w:tr w:rsidR="004C6718" w:rsidRPr="007F6332" w14:paraId="1CD7AEBE" w14:textId="77777777" w:rsidTr="004C6718">
        <w:trPr>
          <w:trHeight w:val="340"/>
        </w:trPr>
        <w:tc>
          <w:tcPr>
            <w:cnfStyle w:val="001000000000" w:firstRow="0" w:lastRow="0" w:firstColumn="1" w:lastColumn="0" w:oddVBand="0" w:evenVBand="0" w:oddHBand="0" w:evenHBand="0" w:firstRowFirstColumn="0" w:firstRowLastColumn="0" w:lastRowFirstColumn="0" w:lastRowLastColumn="0"/>
            <w:tcW w:w="3119" w:type="dxa"/>
            <w:shd w:val="clear" w:color="auto" w:fill="B398B8"/>
          </w:tcPr>
          <w:p w14:paraId="72C4E567" w14:textId="4ECB3803" w:rsidR="00031CDE" w:rsidRPr="007F6332" w:rsidRDefault="00031CDE" w:rsidP="00031CDE">
            <w:pPr>
              <w:spacing w:line="240" w:lineRule="auto"/>
              <w:rPr>
                <w:rFonts w:eastAsia="Times New Roman" w:cs="Arial"/>
                <w:b/>
                <w:bCs/>
                <w:color w:val="000000"/>
                <w:szCs w:val="22"/>
                <w:lang w:eastAsia="en-AU"/>
              </w:rPr>
            </w:pPr>
            <w:r w:rsidRPr="007F6332">
              <w:rPr>
                <w:rFonts w:eastAsia="Times New Roman" w:cs="Arial"/>
                <w:b/>
                <w:bCs/>
                <w:color w:val="000000"/>
                <w:szCs w:val="22"/>
                <w:lang w:eastAsia="en-AU"/>
              </w:rPr>
              <w:t xml:space="preserve">June 2022 projections </w:t>
            </w:r>
          </w:p>
        </w:tc>
        <w:tc>
          <w:tcPr>
            <w:tcW w:w="1068" w:type="dxa"/>
            <w:shd w:val="clear" w:color="auto" w:fill="B398B8"/>
            <w:noWrap/>
          </w:tcPr>
          <w:p w14:paraId="06A19A41" w14:textId="6530BD21" w:rsidR="00031CDE" w:rsidRPr="007F6332" w:rsidRDefault="00031CDE" w:rsidP="00031CDE">
            <w:pPr>
              <w:ind w:left="-89" w:right="10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38,133</w:t>
            </w:r>
          </w:p>
        </w:tc>
        <w:tc>
          <w:tcPr>
            <w:tcW w:w="1069" w:type="dxa"/>
            <w:shd w:val="clear" w:color="auto" w:fill="B398B8"/>
            <w:noWrap/>
          </w:tcPr>
          <w:p w14:paraId="00A77095" w14:textId="19D4865D" w:rsidR="00031CDE" w:rsidRPr="007F6332" w:rsidRDefault="00031CDE" w:rsidP="00031CDE">
            <w:pPr>
              <w:ind w:left="-98" w:right="-77"/>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44,116</w:t>
            </w:r>
          </w:p>
        </w:tc>
        <w:tc>
          <w:tcPr>
            <w:tcW w:w="1068" w:type="dxa"/>
            <w:shd w:val="clear" w:color="auto" w:fill="B398B8"/>
            <w:noWrap/>
          </w:tcPr>
          <w:p w14:paraId="3296A3C0" w14:textId="09335C6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50,344</w:t>
            </w:r>
          </w:p>
        </w:tc>
        <w:tc>
          <w:tcPr>
            <w:tcW w:w="1069" w:type="dxa"/>
            <w:tcBorders>
              <w:right w:val="dashSmallGap" w:sz="4" w:space="0" w:color="auto"/>
            </w:tcBorders>
            <w:shd w:val="clear" w:color="auto" w:fill="B398B8"/>
            <w:noWrap/>
          </w:tcPr>
          <w:p w14:paraId="5814C940" w14:textId="126D95BF"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55,510</w:t>
            </w:r>
          </w:p>
        </w:tc>
        <w:tc>
          <w:tcPr>
            <w:tcW w:w="1068" w:type="dxa"/>
            <w:tcBorders>
              <w:top w:val="nil"/>
              <w:left w:val="dashSmallGap" w:sz="4" w:space="0" w:color="auto"/>
              <w:bottom w:val="nil"/>
              <w:right w:val="single" w:sz="4" w:space="0" w:color="auto"/>
            </w:tcBorders>
            <w:shd w:val="clear" w:color="auto" w:fill="B398B8"/>
          </w:tcPr>
          <w:p w14:paraId="3079930D" w14:textId="1116733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96,966</w:t>
            </w:r>
          </w:p>
        </w:tc>
        <w:tc>
          <w:tcPr>
            <w:tcW w:w="1069" w:type="dxa"/>
            <w:tcBorders>
              <w:left w:val="single" w:sz="4" w:space="0" w:color="auto"/>
            </w:tcBorders>
            <w:shd w:val="clear" w:color="auto" w:fill="B398B8"/>
            <w:noWrap/>
          </w:tcPr>
          <w:p w14:paraId="430B2001" w14:textId="254DD81F"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188,103</w:t>
            </w:r>
          </w:p>
        </w:tc>
      </w:tr>
      <w:tr w:rsidR="004C6718" w:rsidRPr="007F6332" w14:paraId="754C89E7" w14:textId="77777777" w:rsidTr="004C6718">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19" w:type="dxa"/>
            <w:shd w:val="clear" w:color="auto" w:fill="A6A6A6" w:themeFill="background1" w:themeFillShade="A6"/>
          </w:tcPr>
          <w:p w14:paraId="1957637A" w14:textId="739A5517" w:rsidR="00031CDE" w:rsidRPr="007F6332" w:rsidRDefault="00031CDE" w:rsidP="00031CDE">
            <w:pPr>
              <w:spacing w:line="240" w:lineRule="auto"/>
              <w:rPr>
                <w:rFonts w:eastAsia="Times New Roman" w:cs="Arial"/>
                <w:color w:val="000000"/>
                <w:szCs w:val="22"/>
                <w:lang w:eastAsia="en-AU"/>
              </w:rPr>
            </w:pPr>
            <w:r w:rsidRPr="007F6332">
              <w:rPr>
                <w:rFonts w:eastAsia="Times New Roman" w:cs="Arial"/>
                <w:color w:val="000000"/>
                <w:szCs w:val="22"/>
                <w:lang w:eastAsia="en-AU"/>
              </w:rPr>
              <w:t>Impact of Immigration</w:t>
            </w:r>
          </w:p>
        </w:tc>
        <w:tc>
          <w:tcPr>
            <w:tcW w:w="1068" w:type="dxa"/>
            <w:shd w:val="clear" w:color="auto" w:fill="A6A6A6" w:themeFill="background1" w:themeFillShade="A6"/>
            <w:noWrap/>
          </w:tcPr>
          <w:p w14:paraId="488FF87E" w14:textId="02BF3ECF" w:rsidR="00031CDE" w:rsidRPr="007F6332" w:rsidRDefault="00031CDE" w:rsidP="00031CDE">
            <w:pPr>
              <w:ind w:left="-89" w:right="10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15</w:t>
            </w:r>
          </w:p>
        </w:tc>
        <w:tc>
          <w:tcPr>
            <w:tcW w:w="1069" w:type="dxa"/>
            <w:shd w:val="clear" w:color="auto" w:fill="A6A6A6" w:themeFill="background1" w:themeFillShade="A6"/>
            <w:noWrap/>
          </w:tcPr>
          <w:p w14:paraId="563CC3F4" w14:textId="7DD92A97" w:rsidR="00031CDE" w:rsidRPr="007F6332" w:rsidRDefault="00031CDE" w:rsidP="00031CDE">
            <w:pPr>
              <w:ind w:left="-98" w:right="-77"/>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69</w:t>
            </w:r>
          </w:p>
        </w:tc>
        <w:tc>
          <w:tcPr>
            <w:tcW w:w="1068" w:type="dxa"/>
            <w:shd w:val="clear" w:color="auto" w:fill="A6A6A6" w:themeFill="background1" w:themeFillShade="A6"/>
            <w:noWrap/>
          </w:tcPr>
          <w:p w14:paraId="74363ABC" w14:textId="0F43E72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147</w:t>
            </w:r>
          </w:p>
        </w:tc>
        <w:tc>
          <w:tcPr>
            <w:tcW w:w="1069" w:type="dxa"/>
            <w:tcBorders>
              <w:right w:val="dashSmallGap" w:sz="4" w:space="0" w:color="auto"/>
            </w:tcBorders>
            <w:shd w:val="clear" w:color="auto" w:fill="A6A6A6" w:themeFill="background1" w:themeFillShade="A6"/>
            <w:noWrap/>
          </w:tcPr>
          <w:p w14:paraId="5F7828FE" w14:textId="3B08B816"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212</w:t>
            </w:r>
          </w:p>
        </w:tc>
        <w:tc>
          <w:tcPr>
            <w:tcW w:w="1068" w:type="dxa"/>
            <w:tcBorders>
              <w:top w:val="nil"/>
              <w:left w:val="dashSmallGap" w:sz="4" w:space="0" w:color="auto"/>
              <w:bottom w:val="nil"/>
              <w:right w:val="single" w:sz="4" w:space="0" w:color="auto"/>
            </w:tcBorders>
            <w:shd w:val="clear" w:color="auto" w:fill="A6A6A6" w:themeFill="background1" w:themeFillShade="A6"/>
          </w:tcPr>
          <w:p w14:paraId="1FC98B4A" w14:textId="588AFECE"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618</w:t>
            </w:r>
          </w:p>
        </w:tc>
        <w:tc>
          <w:tcPr>
            <w:tcW w:w="1069" w:type="dxa"/>
            <w:tcBorders>
              <w:left w:val="single" w:sz="4" w:space="0" w:color="auto"/>
            </w:tcBorders>
            <w:shd w:val="clear" w:color="auto" w:fill="A6A6A6" w:themeFill="background1" w:themeFillShade="A6"/>
            <w:noWrap/>
          </w:tcPr>
          <w:p w14:paraId="11F168C2" w14:textId="675E045E"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445</w:t>
            </w:r>
          </w:p>
        </w:tc>
      </w:tr>
      <w:tr w:rsidR="00031CDE" w:rsidRPr="007F6332" w14:paraId="0D3171CC" w14:textId="77777777" w:rsidTr="00CD33D0">
        <w:trPr>
          <w:trHeight w:val="340"/>
        </w:trPr>
        <w:tc>
          <w:tcPr>
            <w:cnfStyle w:val="001000000000" w:firstRow="0" w:lastRow="0" w:firstColumn="1" w:lastColumn="0" w:oddVBand="0" w:evenVBand="0" w:oddHBand="0" w:evenHBand="0" w:firstRowFirstColumn="0" w:firstRowLastColumn="0" w:lastRowFirstColumn="0" w:lastRowLastColumn="0"/>
            <w:tcW w:w="3119" w:type="dxa"/>
          </w:tcPr>
          <w:p w14:paraId="1453624D" w14:textId="1CDA7AB1" w:rsidR="00031CDE" w:rsidRPr="007F6332" w:rsidRDefault="00031CDE" w:rsidP="00031CDE">
            <w:pPr>
              <w:spacing w:line="240" w:lineRule="auto"/>
              <w:rPr>
                <w:rFonts w:eastAsia="Times New Roman" w:cs="Arial"/>
                <w:color w:val="000000"/>
                <w:szCs w:val="22"/>
                <w:lang w:eastAsia="en-AU"/>
              </w:rPr>
            </w:pPr>
            <w:r w:rsidRPr="007F6332">
              <w:rPr>
                <w:rFonts w:eastAsia="Times New Roman" w:cs="Arial"/>
                <w:color w:val="000000"/>
                <w:szCs w:val="22"/>
                <w:lang w:eastAsia="en-AU"/>
              </w:rPr>
              <w:t>Impact of price changes and normal inflation</w:t>
            </w:r>
          </w:p>
        </w:tc>
        <w:tc>
          <w:tcPr>
            <w:tcW w:w="1068" w:type="dxa"/>
            <w:noWrap/>
          </w:tcPr>
          <w:p w14:paraId="5DEECF5B" w14:textId="04A1AB66" w:rsidR="00031CDE" w:rsidRPr="007F6332" w:rsidRDefault="00031CDE" w:rsidP="00031CDE">
            <w:pPr>
              <w:ind w:left="-89" w:right="10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-176</w:t>
            </w:r>
          </w:p>
        </w:tc>
        <w:tc>
          <w:tcPr>
            <w:tcW w:w="1069" w:type="dxa"/>
            <w:noWrap/>
          </w:tcPr>
          <w:p w14:paraId="2D95B66B" w14:textId="49392C64" w:rsidR="00031CDE" w:rsidRPr="007F6332" w:rsidRDefault="00031CDE" w:rsidP="00031CDE">
            <w:pPr>
              <w:ind w:left="-98" w:right="-77"/>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-208</w:t>
            </w:r>
          </w:p>
        </w:tc>
        <w:tc>
          <w:tcPr>
            <w:tcW w:w="1068" w:type="dxa"/>
            <w:noWrap/>
          </w:tcPr>
          <w:p w14:paraId="6383F0F9" w14:textId="3168C4FB"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-239</w:t>
            </w:r>
          </w:p>
        </w:tc>
        <w:tc>
          <w:tcPr>
            <w:tcW w:w="1069" w:type="dxa"/>
            <w:tcBorders>
              <w:right w:val="dashSmallGap" w:sz="4" w:space="0" w:color="auto"/>
            </w:tcBorders>
            <w:noWrap/>
          </w:tcPr>
          <w:p w14:paraId="57C072F2" w14:textId="1B59A40F"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-263</w:t>
            </w:r>
          </w:p>
        </w:tc>
        <w:tc>
          <w:tcPr>
            <w:tcW w:w="1068" w:type="dxa"/>
            <w:tcBorders>
              <w:top w:val="nil"/>
              <w:left w:val="dashSmallGap" w:sz="4" w:space="0" w:color="auto"/>
              <w:bottom w:val="nil"/>
              <w:right w:val="single" w:sz="4" w:space="0" w:color="auto"/>
            </w:tcBorders>
          </w:tcPr>
          <w:p w14:paraId="0D069CBD" w14:textId="58F782E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-428</w:t>
            </w:r>
          </w:p>
        </w:tc>
        <w:tc>
          <w:tcPr>
            <w:tcW w:w="1069" w:type="dxa"/>
            <w:tcBorders>
              <w:left w:val="single" w:sz="4" w:space="0" w:color="auto"/>
            </w:tcBorders>
            <w:noWrap/>
          </w:tcPr>
          <w:p w14:paraId="51B7A493" w14:textId="2A64CAC1"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-885</w:t>
            </w:r>
          </w:p>
        </w:tc>
      </w:tr>
      <w:tr w:rsidR="004C6718" w:rsidRPr="007F6332" w14:paraId="58EE85B7" w14:textId="77777777" w:rsidTr="004C6718">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19" w:type="dxa"/>
            <w:shd w:val="clear" w:color="auto" w:fill="A6A6A6" w:themeFill="background1" w:themeFillShade="A6"/>
          </w:tcPr>
          <w:p w14:paraId="3CE76325" w14:textId="77C31FDB" w:rsidR="00031CDE" w:rsidRPr="007F6332" w:rsidRDefault="00031CDE" w:rsidP="00031CDE">
            <w:pPr>
              <w:spacing w:line="240" w:lineRule="auto"/>
              <w:rPr>
                <w:rFonts w:eastAsia="Times New Roman" w:cs="Arial"/>
                <w:b/>
                <w:bCs/>
                <w:color w:val="000000"/>
                <w:szCs w:val="22"/>
                <w:lang w:eastAsia="en-AU"/>
              </w:rPr>
            </w:pPr>
            <w:r w:rsidRPr="007F6332">
              <w:rPr>
                <w:rFonts w:eastAsia="Times New Roman" w:cs="Arial"/>
                <w:color w:val="000000"/>
                <w:szCs w:val="22"/>
                <w:lang w:eastAsia="en-AU"/>
              </w:rPr>
              <w:t>Other experience and assumption changes</w:t>
            </w:r>
          </w:p>
        </w:tc>
        <w:tc>
          <w:tcPr>
            <w:tcW w:w="1068" w:type="dxa"/>
            <w:shd w:val="clear" w:color="auto" w:fill="A6A6A6" w:themeFill="background1" w:themeFillShade="A6"/>
            <w:noWrap/>
          </w:tcPr>
          <w:p w14:paraId="13D35996" w14:textId="13AA1B48" w:rsidR="00031CDE" w:rsidRPr="007F6332" w:rsidRDefault="00031CDE" w:rsidP="00031CDE">
            <w:pPr>
              <w:ind w:left="-89" w:right="10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2,004</w:t>
            </w:r>
          </w:p>
        </w:tc>
        <w:tc>
          <w:tcPr>
            <w:tcW w:w="1069" w:type="dxa"/>
            <w:shd w:val="clear" w:color="auto" w:fill="A6A6A6" w:themeFill="background1" w:themeFillShade="A6"/>
            <w:noWrap/>
          </w:tcPr>
          <w:p w14:paraId="2E208C7C" w14:textId="7FE56368" w:rsidR="00031CDE" w:rsidRPr="007F6332" w:rsidRDefault="00031CDE" w:rsidP="00031CDE">
            <w:pPr>
              <w:ind w:left="-98" w:right="-77"/>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1,338</w:t>
            </w:r>
          </w:p>
        </w:tc>
        <w:tc>
          <w:tcPr>
            <w:tcW w:w="1068" w:type="dxa"/>
            <w:shd w:val="clear" w:color="auto" w:fill="A6A6A6" w:themeFill="background1" w:themeFillShade="A6"/>
            <w:noWrap/>
          </w:tcPr>
          <w:p w14:paraId="31BA4558" w14:textId="1E238D36"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95</w:t>
            </w:r>
          </w:p>
        </w:tc>
        <w:tc>
          <w:tcPr>
            <w:tcW w:w="1069" w:type="dxa"/>
            <w:tcBorders>
              <w:right w:val="dashSmallGap" w:sz="4" w:space="0" w:color="auto"/>
            </w:tcBorders>
            <w:shd w:val="clear" w:color="auto" w:fill="A6A6A6" w:themeFill="background1" w:themeFillShade="A6"/>
            <w:noWrap/>
          </w:tcPr>
          <w:p w14:paraId="520301B5" w14:textId="54ED10FB"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-452</w:t>
            </w:r>
          </w:p>
        </w:tc>
        <w:tc>
          <w:tcPr>
            <w:tcW w:w="1068" w:type="dxa"/>
            <w:tcBorders>
              <w:top w:val="nil"/>
              <w:left w:val="dashSmallGap" w:sz="4" w:space="0" w:color="auto"/>
              <w:bottom w:val="nil"/>
              <w:right w:val="single" w:sz="4" w:space="0" w:color="auto"/>
            </w:tcBorders>
            <w:shd w:val="clear" w:color="auto" w:fill="A6A6A6" w:themeFill="background1" w:themeFillShade="A6"/>
          </w:tcPr>
          <w:p w14:paraId="58655432" w14:textId="25B14826"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-2,983</w:t>
            </w:r>
          </w:p>
        </w:tc>
        <w:tc>
          <w:tcPr>
            <w:tcW w:w="1069" w:type="dxa"/>
            <w:tcBorders>
              <w:left w:val="single" w:sz="4" w:space="0" w:color="auto"/>
            </w:tcBorders>
            <w:shd w:val="clear" w:color="auto" w:fill="A6A6A6" w:themeFill="background1" w:themeFillShade="A6"/>
            <w:noWrap/>
          </w:tcPr>
          <w:p w14:paraId="425BDB07" w14:textId="1D29A0EA"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2,986</w:t>
            </w:r>
          </w:p>
        </w:tc>
      </w:tr>
      <w:tr w:rsidR="004C6718" w:rsidRPr="007F6332" w14:paraId="7B3AF721" w14:textId="77777777" w:rsidTr="004C6718">
        <w:trPr>
          <w:trHeight w:val="340"/>
        </w:trPr>
        <w:tc>
          <w:tcPr>
            <w:cnfStyle w:val="001000000000" w:firstRow="0" w:lastRow="0" w:firstColumn="1" w:lastColumn="0" w:oddVBand="0" w:evenVBand="0" w:oddHBand="0" w:evenHBand="0" w:firstRowFirstColumn="0" w:firstRowLastColumn="0" w:lastRowFirstColumn="0" w:lastRowLastColumn="0"/>
            <w:tcW w:w="3119" w:type="dxa"/>
            <w:shd w:val="clear" w:color="auto" w:fill="B398B8"/>
            <w:hideMark/>
          </w:tcPr>
          <w:p w14:paraId="518CA614" w14:textId="10CF5322" w:rsidR="00031CDE" w:rsidRPr="007F6332" w:rsidRDefault="00031CDE" w:rsidP="00031CDE">
            <w:pPr>
              <w:spacing w:line="240" w:lineRule="auto"/>
              <w:rPr>
                <w:rFonts w:eastAsia="Times New Roman" w:cs="Arial"/>
                <w:b/>
                <w:bCs/>
                <w:color w:val="000000"/>
                <w:szCs w:val="22"/>
                <w:lang w:eastAsia="en-AU"/>
              </w:rPr>
            </w:pPr>
            <w:r w:rsidRPr="007F6332">
              <w:rPr>
                <w:rFonts w:eastAsia="Times New Roman" w:cs="Arial"/>
                <w:b/>
                <w:bCs/>
                <w:color w:val="000000"/>
                <w:szCs w:val="22"/>
                <w:lang w:eastAsia="en-AU"/>
              </w:rPr>
              <w:t>December 2022 projections</w:t>
            </w:r>
            <w:r w:rsidRPr="007F6332">
              <w:rPr>
                <w:rFonts w:eastAsia="Times New Roman" w:cs="Arial"/>
                <w:b/>
                <w:bCs/>
                <w:color w:val="000000"/>
                <w:szCs w:val="22"/>
                <w:vertAlign w:val="superscript"/>
                <w:lang w:eastAsia="en-AU"/>
              </w:rPr>
              <w:footnoteReference w:id="85"/>
            </w:r>
            <w:r w:rsidRPr="007F6332">
              <w:rPr>
                <w:rFonts w:eastAsia="Times New Roman" w:cs="Arial"/>
                <w:b/>
                <w:bCs/>
                <w:color w:val="000000"/>
                <w:szCs w:val="22"/>
                <w:lang w:eastAsia="en-AU"/>
              </w:rPr>
              <w:t xml:space="preserve"> </w:t>
            </w:r>
          </w:p>
        </w:tc>
        <w:tc>
          <w:tcPr>
            <w:tcW w:w="1068" w:type="dxa"/>
            <w:shd w:val="clear" w:color="auto" w:fill="B398B8"/>
            <w:noWrap/>
            <w:hideMark/>
          </w:tcPr>
          <w:p w14:paraId="1BCC3CFC" w14:textId="7CB50927" w:rsidR="00031CDE" w:rsidRPr="007F6332" w:rsidRDefault="00031CDE" w:rsidP="00031CDE">
            <w:pPr>
              <w:ind w:left="-89" w:right="10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39,977</w:t>
            </w:r>
          </w:p>
        </w:tc>
        <w:tc>
          <w:tcPr>
            <w:tcW w:w="1069" w:type="dxa"/>
            <w:shd w:val="clear" w:color="auto" w:fill="B398B8"/>
            <w:noWrap/>
            <w:hideMark/>
          </w:tcPr>
          <w:p w14:paraId="054C62B9" w14:textId="482D1A26" w:rsidR="00031CDE" w:rsidRPr="007F6332" w:rsidRDefault="00031CDE" w:rsidP="00031CDE">
            <w:pPr>
              <w:ind w:left="-98" w:right="-77"/>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45,315</w:t>
            </w:r>
          </w:p>
        </w:tc>
        <w:tc>
          <w:tcPr>
            <w:tcW w:w="1068" w:type="dxa"/>
            <w:shd w:val="clear" w:color="auto" w:fill="B398B8"/>
            <w:noWrap/>
            <w:hideMark/>
          </w:tcPr>
          <w:p w14:paraId="5E73F825" w14:textId="0550FCC0"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50,348</w:t>
            </w:r>
          </w:p>
        </w:tc>
        <w:tc>
          <w:tcPr>
            <w:tcW w:w="1069" w:type="dxa"/>
            <w:tcBorders>
              <w:right w:val="dashSmallGap" w:sz="4" w:space="0" w:color="auto"/>
            </w:tcBorders>
            <w:shd w:val="clear" w:color="auto" w:fill="B398B8"/>
            <w:noWrap/>
            <w:hideMark/>
          </w:tcPr>
          <w:p w14:paraId="22039256" w14:textId="0EFCF62B"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55,007</w:t>
            </w:r>
          </w:p>
        </w:tc>
        <w:tc>
          <w:tcPr>
            <w:tcW w:w="1068" w:type="dxa"/>
            <w:tcBorders>
              <w:top w:val="nil"/>
              <w:left w:val="dashSmallGap" w:sz="4" w:space="0" w:color="auto"/>
              <w:bottom w:val="nil"/>
              <w:right w:val="single" w:sz="4" w:space="0" w:color="auto"/>
            </w:tcBorders>
            <w:shd w:val="clear" w:color="auto" w:fill="B398B8"/>
          </w:tcPr>
          <w:p w14:paraId="7E11C07C" w14:textId="197C8DBD"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94,172</w:t>
            </w:r>
          </w:p>
        </w:tc>
        <w:tc>
          <w:tcPr>
            <w:tcW w:w="1069" w:type="dxa"/>
            <w:tcBorders>
              <w:left w:val="single" w:sz="4" w:space="0" w:color="auto"/>
            </w:tcBorders>
            <w:shd w:val="clear" w:color="auto" w:fill="B398B8"/>
            <w:noWrap/>
            <w:hideMark/>
          </w:tcPr>
          <w:p w14:paraId="0A124DAF" w14:textId="5A565563"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190,648</w:t>
            </w:r>
          </w:p>
        </w:tc>
      </w:tr>
      <w:tr w:rsidR="004C6718" w:rsidRPr="007F6332" w14:paraId="569B94D0" w14:textId="77777777" w:rsidTr="004C6718">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19" w:type="dxa"/>
            <w:shd w:val="clear" w:color="auto" w:fill="A6A6A6" w:themeFill="background1" w:themeFillShade="A6"/>
            <w:hideMark/>
          </w:tcPr>
          <w:p w14:paraId="2027B4E9" w14:textId="3D16ACFA" w:rsidR="00031CDE" w:rsidRPr="007F6332" w:rsidRDefault="00031CDE" w:rsidP="00031CDE">
            <w:pPr>
              <w:spacing w:line="240" w:lineRule="auto"/>
              <w:rPr>
                <w:rFonts w:eastAsia="Times New Roman" w:cs="Arial"/>
                <w:color w:val="000000"/>
                <w:szCs w:val="22"/>
                <w:lang w:eastAsia="en-AU"/>
              </w:rPr>
            </w:pPr>
            <w:r w:rsidRPr="007F6332">
              <w:rPr>
                <w:rFonts w:eastAsia="Times New Roman" w:cs="Arial"/>
                <w:color w:val="000000"/>
                <w:szCs w:val="22"/>
                <w:lang w:eastAsia="en-AU"/>
              </w:rPr>
              <w:t>Impact of price changes and normal inflation</w:t>
            </w:r>
          </w:p>
        </w:tc>
        <w:tc>
          <w:tcPr>
            <w:tcW w:w="1068" w:type="dxa"/>
            <w:shd w:val="clear" w:color="auto" w:fill="A6A6A6" w:themeFill="background1" w:themeFillShade="A6"/>
            <w:noWrap/>
          </w:tcPr>
          <w:p w14:paraId="2E54154E" w14:textId="29F6CFE2" w:rsidR="00031CDE" w:rsidRPr="007F6332" w:rsidRDefault="00031CDE" w:rsidP="00031CDE">
            <w:pPr>
              <w:ind w:left="-89" w:right="10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783</w:t>
            </w:r>
          </w:p>
        </w:tc>
        <w:tc>
          <w:tcPr>
            <w:tcW w:w="1069" w:type="dxa"/>
            <w:shd w:val="clear" w:color="auto" w:fill="A6A6A6" w:themeFill="background1" w:themeFillShade="A6"/>
            <w:noWrap/>
          </w:tcPr>
          <w:p w14:paraId="6AC20FD3" w14:textId="7C91DB81" w:rsidR="00031CDE" w:rsidRPr="007F6332" w:rsidRDefault="00031CDE" w:rsidP="00031CDE">
            <w:pPr>
              <w:ind w:left="-98" w:right="-77"/>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601</w:t>
            </w:r>
          </w:p>
        </w:tc>
        <w:tc>
          <w:tcPr>
            <w:tcW w:w="1068" w:type="dxa"/>
            <w:shd w:val="clear" w:color="auto" w:fill="A6A6A6" w:themeFill="background1" w:themeFillShade="A6"/>
            <w:noWrap/>
          </w:tcPr>
          <w:p w14:paraId="31E5FE3A" w14:textId="029ECBDE"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781</w:t>
            </w:r>
          </w:p>
        </w:tc>
        <w:tc>
          <w:tcPr>
            <w:tcW w:w="1069" w:type="dxa"/>
            <w:tcBorders>
              <w:right w:val="dashSmallGap" w:sz="4" w:space="0" w:color="auto"/>
            </w:tcBorders>
            <w:shd w:val="clear" w:color="auto" w:fill="A6A6A6" w:themeFill="background1" w:themeFillShade="A6"/>
            <w:noWrap/>
          </w:tcPr>
          <w:p w14:paraId="5F56B21D" w14:textId="20FFBB9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972</w:t>
            </w:r>
          </w:p>
        </w:tc>
        <w:tc>
          <w:tcPr>
            <w:tcW w:w="1068" w:type="dxa"/>
            <w:tcBorders>
              <w:top w:val="nil"/>
              <w:left w:val="dashSmallGap" w:sz="4" w:space="0" w:color="auto"/>
              <w:bottom w:val="nil"/>
              <w:right w:val="single" w:sz="4" w:space="0" w:color="auto"/>
            </w:tcBorders>
            <w:shd w:val="clear" w:color="auto" w:fill="A6A6A6" w:themeFill="background1" w:themeFillShade="A6"/>
          </w:tcPr>
          <w:p w14:paraId="1BFBE179" w14:textId="0DCD908B"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2,958</w:t>
            </w:r>
          </w:p>
        </w:tc>
        <w:tc>
          <w:tcPr>
            <w:tcW w:w="1069" w:type="dxa"/>
            <w:tcBorders>
              <w:left w:val="single" w:sz="4" w:space="0" w:color="auto"/>
            </w:tcBorders>
            <w:shd w:val="clear" w:color="auto" w:fill="A6A6A6" w:themeFill="background1" w:themeFillShade="A6"/>
            <w:noWrap/>
          </w:tcPr>
          <w:p w14:paraId="290597C1" w14:textId="222EDD72"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3,137</w:t>
            </w:r>
          </w:p>
        </w:tc>
      </w:tr>
      <w:tr w:rsidR="00031CDE" w:rsidRPr="007F6332" w14:paraId="4BC372A1" w14:textId="77777777" w:rsidTr="00CD33D0">
        <w:trPr>
          <w:trHeight w:val="340"/>
        </w:trPr>
        <w:tc>
          <w:tcPr>
            <w:cnfStyle w:val="001000000000" w:firstRow="0" w:lastRow="0" w:firstColumn="1" w:lastColumn="0" w:oddVBand="0" w:evenVBand="0" w:oddHBand="0" w:evenHBand="0" w:firstRowFirstColumn="0" w:firstRowLastColumn="0" w:lastRowFirstColumn="0" w:lastRowLastColumn="0"/>
            <w:tcW w:w="3119" w:type="dxa"/>
            <w:hideMark/>
          </w:tcPr>
          <w:p w14:paraId="29A8D744" w14:textId="7AF213AF" w:rsidR="00031CDE" w:rsidRPr="007F6332" w:rsidRDefault="00031CDE" w:rsidP="00031CDE">
            <w:pPr>
              <w:spacing w:line="240" w:lineRule="auto"/>
              <w:rPr>
                <w:rFonts w:eastAsia="Times New Roman" w:cs="Arial"/>
                <w:color w:val="000000"/>
                <w:szCs w:val="22"/>
                <w:lang w:eastAsia="en-AU"/>
              </w:rPr>
            </w:pPr>
            <w:r w:rsidRPr="007F6332">
              <w:rPr>
                <w:rFonts w:eastAsia="Times New Roman" w:cs="Arial"/>
                <w:color w:val="000000"/>
                <w:szCs w:val="22"/>
                <w:lang w:eastAsia="en-AU"/>
              </w:rPr>
              <w:t>Other updates for experience and assumption changes</w:t>
            </w:r>
          </w:p>
        </w:tc>
        <w:tc>
          <w:tcPr>
            <w:tcW w:w="1068" w:type="dxa"/>
            <w:noWrap/>
          </w:tcPr>
          <w:p w14:paraId="4D570E2A" w14:textId="33EA2666" w:rsidR="00031CDE" w:rsidRPr="007F6332" w:rsidRDefault="00031CDE" w:rsidP="00031CDE">
            <w:pPr>
              <w:ind w:left="-89" w:right="10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600</w:t>
            </w:r>
          </w:p>
        </w:tc>
        <w:tc>
          <w:tcPr>
            <w:tcW w:w="1069" w:type="dxa"/>
            <w:noWrap/>
          </w:tcPr>
          <w:p w14:paraId="1FC73F85" w14:textId="38CFDA6A" w:rsidR="00031CDE" w:rsidRPr="007F6332" w:rsidRDefault="00031CDE" w:rsidP="00031CDE">
            <w:pPr>
              <w:ind w:left="-98" w:right="-77"/>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459</w:t>
            </w:r>
          </w:p>
        </w:tc>
        <w:tc>
          <w:tcPr>
            <w:tcW w:w="1068" w:type="dxa"/>
            <w:noWrap/>
          </w:tcPr>
          <w:p w14:paraId="39DC9820" w14:textId="18FAF9AA"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-340</w:t>
            </w:r>
          </w:p>
        </w:tc>
        <w:tc>
          <w:tcPr>
            <w:tcW w:w="1069" w:type="dxa"/>
            <w:tcBorders>
              <w:right w:val="dashSmallGap" w:sz="4" w:space="0" w:color="auto"/>
            </w:tcBorders>
            <w:noWrap/>
          </w:tcPr>
          <w:p w14:paraId="5EC4D00D" w14:textId="6F48AA79"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-772</w:t>
            </w:r>
          </w:p>
        </w:tc>
        <w:tc>
          <w:tcPr>
            <w:tcW w:w="1068" w:type="dxa"/>
            <w:tcBorders>
              <w:top w:val="nil"/>
              <w:left w:val="dashSmallGap" w:sz="4" w:space="0" w:color="auto"/>
              <w:bottom w:val="nil"/>
              <w:right w:val="single" w:sz="4" w:space="0" w:color="auto"/>
            </w:tcBorders>
          </w:tcPr>
          <w:p w14:paraId="3F6E670D" w14:textId="51C0DB3E"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-4,789</w:t>
            </w:r>
          </w:p>
        </w:tc>
        <w:tc>
          <w:tcPr>
            <w:tcW w:w="1069" w:type="dxa"/>
            <w:tcBorders>
              <w:left w:val="single" w:sz="4" w:space="0" w:color="auto"/>
            </w:tcBorders>
            <w:noWrap/>
          </w:tcPr>
          <w:p w14:paraId="09743FE2" w14:textId="6EA7B9F4" w:rsidR="00031CDE" w:rsidRPr="007F6332" w:rsidRDefault="00031CDE" w:rsidP="00031CDE">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-53</w:t>
            </w:r>
          </w:p>
        </w:tc>
      </w:tr>
      <w:tr w:rsidR="00061783" w:rsidRPr="007F6332" w14:paraId="7858AA38" w14:textId="77777777" w:rsidTr="00CD33D0">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19" w:type="dxa"/>
            <w:shd w:val="clear" w:color="auto" w:fill="B398B8"/>
            <w:hideMark/>
          </w:tcPr>
          <w:p w14:paraId="241166CD" w14:textId="1283706D" w:rsidR="00031CDE" w:rsidRPr="007F6332" w:rsidRDefault="00031CDE" w:rsidP="00031CDE">
            <w:pPr>
              <w:spacing w:line="240" w:lineRule="auto"/>
              <w:rPr>
                <w:rFonts w:eastAsia="Times New Roman" w:cs="Arial"/>
                <w:b/>
                <w:bCs/>
                <w:color w:val="000000"/>
                <w:szCs w:val="22"/>
                <w:lang w:eastAsia="en-AU"/>
              </w:rPr>
            </w:pPr>
            <w:r w:rsidRPr="007F6332">
              <w:rPr>
                <w:rFonts w:eastAsia="Times New Roman" w:cs="Arial"/>
                <w:b/>
                <w:bCs/>
                <w:color w:val="000000"/>
                <w:szCs w:val="22"/>
                <w:lang w:eastAsia="en-AU"/>
              </w:rPr>
              <w:t>June 2023 projections</w:t>
            </w:r>
          </w:p>
        </w:tc>
        <w:tc>
          <w:tcPr>
            <w:tcW w:w="1068" w:type="dxa"/>
            <w:shd w:val="clear" w:color="auto" w:fill="B398B8"/>
            <w:noWrap/>
            <w:hideMark/>
          </w:tcPr>
          <w:p w14:paraId="4AA197EB" w14:textId="577CB600" w:rsidR="00031CDE" w:rsidRPr="007F6332" w:rsidRDefault="00031CDE" w:rsidP="00031CDE">
            <w:pPr>
              <w:spacing w:line="240" w:lineRule="auto"/>
              <w:ind w:left="41"/>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41,360</w:t>
            </w:r>
          </w:p>
        </w:tc>
        <w:tc>
          <w:tcPr>
            <w:tcW w:w="1069" w:type="dxa"/>
            <w:shd w:val="clear" w:color="auto" w:fill="B398B8"/>
            <w:noWrap/>
            <w:hideMark/>
          </w:tcPr>
          <w:p w14:paraId="344DFD38" w14:textId="664AEE46" w:rsidR="00031CDE" w:rsidRPr="007F6332" w:rsidRDefault="00031CDE" w:rsidP="00031CDE">
            <w:pPr>
              <w:ind w:left="-98" w:right="-77"/>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46,376</w:t>
            </w:r>
          </w:p>
        </w:tc>
        <w:tc>
          <w:tcPr>
            <w:tcW w:w="1068" w:type="dxa"/>
            <w:shd w:val="clear" w:color="auto" w:fill="B398B8"/>
            <w:noWrap/>
            <w:hideMark/>
          </w:tcPr>
          <w:p w14:paraId="2EF827EF" w14:textId="1FBB8E15"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50,788</w:t>
            </w:r>
          </w:p>
        </w:tc>
        <w:tc>
          <w:tcPr>
            <w:tcW w:w="1069" w:type="dxa"/>
            <w:tcBorders>
              <w:right w:val="dashSmallGap" w:sz="4" w:space="0" w:color="auto"/>
            </w:tcBorders>
            <w:shd w:val="clear" w:color="auto" w:fill="B398B8"/>
            <w:noWrap/>
            <w:hideMark/>
          </w:tcPr>
          <w:p w14:paraId="0120C675" w14:textId="21ECC4C5"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55,207</w:t>
            </w:r>
          </w:p>
        </w:tc>
        <w:tc>
          <w:tcPr>
            <w:tcW w:w="1068" w:type="dxa"/>
            <w:tcBorders>
              <w:top w:val="nil"/>
              <w:left w:val="dashSmallGap" w:sz="4" w:space="0" w:color="auto"/>
              <w:bottom w:val="single" w:sz="4" w:space="0" w:color="auto"/>
              <w:right w:val="single" w:sz="4" w:space="0" w:color="auto"/>
            </w:tcBorders>
            <w:shd w:val="clear" w:color="auto" w:fill="B398B8"/>
          </w:tcPr>
          <w:p w14:paraId="616A26AE" w14:textId="1345871F"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92,341</w:t>
            </w:r>
          </w:p>
        </w:tc>
        <w:tc>
          <w:tcPr>
            <w:tcW w:w="1069" w:type="dxa"/>
            <w:tcBorders>
              <w:left w:val="single" w:sz="4" w:space="0" w:color="auto"/>
            </w:tcBorders>
            <w:shd w:val="clear" w:color="auto" w:fill="B398B8"/>
            <w:noWrap/>
            <w:hideMark/>
          </w:tcPr>
          <w:p w14:paraId="405AD98C" w14:textId="32C53B76" w:rsidR="00031CDE" w:rsidRPr="007F6332" w:rsidRDefault="00031CDE" w:rsidP="00031CDE">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193,731</w:t>
            </w:r>
          </w:p>
        </w:tc>
      </w:tr>
    </w:tbl>
    <w:p w14:paraId="5002F33A" w14:textId="77777777" w:rsidR="0027383C" w:rsidRPr="007F6332" w:rsidRDefault="0027383C" w:rsidP="001D062D">
      <w:pPr>
        <w:pStyle w:val="FSRnormal"/>
        <w:spacing w:before="0" w:after="0"/>
        <w:rPr>
          <w:rFonts w:eastAsiaTheme="majorEastAsia" w:cs="Arial"/>
          <w:lang w:eastAsia="en-US"/>
        </w:rPr>
      </w:pPr>
      <w:bookmarkStart w:id="136" w:name="_Toc146902160"/>
      <w:bookmarkStart w:id="137" w:name="_Toc152614985"/>
      <w:bookmarkStart w:id="138" w:name="_Toc83220849"/>
      <w:bookmarkStart w:id="139" w:name="_Toc83220854"/>
      <w:bookmarkStart w:id="140" w:name="_Ref144927908"/>
      <w:bookmarkStart w:id="141" w:name="_Toc146286160"/>
      <w:bookmarkStart w:id="142" w:name="_Toc146286496"/>
    </w:p>
    <w:p w14:paraId="1763B8B8" w14:textId="5DFD0DB0" w:rsidR="006E2F2D" w:rsidRPr="007F6332" w:rsidRDefault="007568BE" w:rsidP="001D062D">
      <w:pPr>
        <w:pStyle w:val="Heading3"/>
        <w:ind w:left="709" w:hanging="709"/>
        <w:rPr>
          <w:rFonts w:eastAsiaTheme="majorEastAsia" w:cs="Arial"/>
          <w:szCs w:val="26"/>
          <w:lang w:val="en-AU" w:eastAsia="en-US"/>
        </w:rPr>
      </w:pPr>
      <w:r w:rsidRPr="007F6332">
        <w:rPr>
          <w:rFonts w:cs="Arial"/>
        </w:rPr>
        <w:t>Plan Budget</w:t>
      </w:r>
      <w:r w:rsidR="006E2F2D" w:rsidRPr="007F6332">
        <w:rPr>
          <w:rFonts w:cs="Arial"/>
        </w:rPr>
        <w:t xml:space="preserve"> projections</w:t>
      </w:r>
      <w:bookmarkEnd w:id="136"/>
      <w:bookmarkEnd w:id="137"/>
    </w:p>
    <w:p w14:paraId="683DEB7B" w14:textId="08E7FBC3" w:rsidR="00723E93" w:rsidRPr="007F6332" w:rsidRDefault="00723E93" w:rsidP="00723E93">
      <w:pPr>
        <w:pStyle w:val="FSRnormal"/>
        <w:rPr>
          <w:rFonts w:cs="Arial"/>
        </w:rPr>
      </w:pPr>
      <w:r w:rsidRPr="007F6332">
        <w:rPr>
          <w:rFonts w:eastAsia="Arial" w:cs="Arial"/>
        </w:rPr>
        <w:t>T</w:t>
      </w:r>
      <w:r w:rsidRPr="007F6332">
        <w:rPr>
          <w:rFonts w:cs="Arial"/>
        </w:rPr>
        <w:t>he combination of projected numbers of participants and average plan budget assumptions gives the total expected plan budgets across the Scheme for each financial year. This is similar to the process used to project Scheme expenses using average payment assumptions. The utilisation rate is the proportion of the plan budget which is spent on supports</w:t>
      </w:r>
      <w:r w:rsidR="009C40FE" w:rsidRPr="007F6332">
        <w:rPr>
          <w:rFonts w:cs="Arial"/>
        </w:rPr>
        <w:t xml:space="preserve"> </w:t>
      </w:r>
      <w:r w:rsidRPr="007F6332">
        <w:rPr>
          <w:rFonts w:cs="Arial"/>
        </w:rPr>
        <w:t xml:space="preserve">and is calculated by dividing the expected participant expense (on an accrual basis) by the projected plan budget. </w:t>
      </w:r>
    </w:p>
    <w:p w14:paraId="2A7FC9C4" w14:textId="77777777" w:rsidR="00723E93" w:rsidRPr="007F6332" w:rsidRDefault="00723E93" w:rsidP="00723E93">
      <w:pPr>
        <w:pStyle w:val="FSRnormal"/>
        <w:rPr>
          <w:rFonts w:cs="Arial"/>
        </w:rPr>
      </w:pPr>
      <w:r w:rsidRPr="007F6332">
        <w:rPr>
          <w:rFonts w:cs="Arial"/>
        </w:rPr>
        <w:t xml:space="preserve">Average annualised plan budgets were selected for each participant cohort and support category based on recent experience as of June 2023, with assumptions applied to allow for future normal inflation and additional growth. As is the case for projected average payments and Scheme expenses, the changing mix of participants will affect the rate at which average and total plan budgets grow over time. </w:t>
      </w:r>
    </w:p>
    <w:p w14:paraId="036C3641" w14:textId="77777777" w:rsidR="00723E93" w:rsidRPr="007F6332" w:rsidRDefault="00723E93" w:rsidP="001D062D">
      <w:pPr>
        <w:pStyle w:val="Heading4"/>
        <w:ind w:left="851" w:hanging="851"/>
        <w:rPr>
          <w:rFonts w:cs="Arial"/>
        </w:rPr>
      </w:pPr>
      <w:r w:rsidRPr="007F6332">
        <w:rPr>
          <w:rFonts w:cs="Arial"/>
        </w:rPr>
        <w:t>Scheme plan budget projections</w:t>
      </w:r>
    </w:p>
    <w:p w14:paraId="696A0B1E" w14:textId="4B041460" w:rsidR="00723E93" w:rsidRPr="007F6332" w:rsidRDefault="00723E93" w:rsidP="00723E93">
      <w:pPr>
        <w:pStyle w:val="FSRnormal"/>
        <w:spacing w:before="0" w:after="0"/>
        <w:rPr>
          <w:rFonts w:cs="Arial"/>
        </w:rPr>
      </w:pPr>
      <w:r w:rsidRPr="007F6332">
        <w:rPr>
          <w:rFonts w:cs="Arial"/>
        </w:rPr>
        <w:fldChar w:fldCharType="begin"/>
      </w:r>
      <w:r w:rsidRPr="007F6332">
        <w:rPr>
          <w:rFonts w:cs="Arial"/>
        </w:rPr>
        <w:instrText xml:space="preserve"> REF _Ref113277634 \h  \* MERGEFORMAT </w:instrText>
      </w:r>
      <w:r w:rsidRPr="007F6332">
        <w:rPr>
          <w:rFonts w:cs="Arial"/>
        </w:rPr>
      </w:r>
      <w:r w:rsidRPr="007F6332">
        <w:rPr>
          <w:rFonts w:cs="Arial"/>
        </w:rPr>
        <w:fldChar w:fldCharType="separate"/>
      </w:r>
      <w:r w:rsidR="00D82E58" w:rsidRPr="007F6332">
        <w:rPr>
          <w:rFonts w:cs="Arial"/>
        </w:rPr>
        <w:t xml:space="preserve">Table </w:t>
      </w:r>
      <w:r w:rsidRPr="007F6332">
        <w:rPr>
          <w:rFonts w:cs="Arial"/>
        </w:rPr>
        <w:fldChar w:fldCharType="end"/>
      </w:r>
      <w:r w:rsidR="00341842" w:rsidRPr="007F6332">
        <w:rPr>
          <w:rFonts w:cs="Arial"/>
        </w:rPr>
        <w:t>5.9</w:t>
      </w:r>
      <w:r w:rsidRPr="007F6332">
        <w:rPr>
          <w:rFonts w:cs="Arial"/>
        </w:rPr>
        <w:t xml:space="preserve"> </w:t>
      </w:r>
      <w:r w:rsidRPr="007F6332">
        <w:rPr>
          <w:rFonts w:cs="Arial"/>
          <w:lang w:eastAsia="en-AU"/>
        </w:rPr>
        <w:t xml:space="preserve">shows the total projected plan budgets, including the proportion of plan budgets estimated to be for participants with SIL supports and for those without SIL supports. </w:t>
      </w:r>
      <w:r w:rsidRPr="007F6332">
        <w:rPr>
          <w:rFonts w:cs="Arial"/>
        </w:rPr>
        <w:t xml:space="preserve">Scheme-level plan budgets are expected to grow by 15.7% from $46.0 billion in 2022-23 to $53.2 billion in 2023-24. Approximately 30% of expected total plan budgets in 2023-24 relate to </w:t>
      </w:r>
      <w:r w:rsidRPr="007F6332">
        <w:rPr>
          <w:rFonts w:cs="Arial"/>
          <w:lang w:eastAsia="en-AU"/>
        </w:rPr>
        <w:t>participants with SIL supports while 70% relate to participants without SIL supports</w:t>
      </w:r>
      <w:r w:rsidRPr="007F6332">
        <w:rPr>
          <w:rFonts w:cs="Arial"/>
        </w:rPr>
        <w:t xml:space="preserve">. By </w:t>
      </w:r>
      <w:r w:rsidRPr="007F6332">
        <w:rPr>
          <w:rFonts w:cs="Arial"/>
        </w:rPr>
        <w:lastRenderedPageBreak/>
        <w:t>2026-27, Scheme annual plan budgets are projected to be about $70.1 billion, with an implied annual rate of growth of between 8% and 9% in the medium term.</w:t>
      </w:r>
    </w:p>
    <w:p w14:paraId="47D374BA" w14:textId="3BF32155" w:rsidR="00723E93" w:rsidRPr="007F6332" w:rsidRDefault="00723E93" w:rsidP="00823FC9">
      <w:pPr>
        <w:pStyle w:val="FiguresandTablesHeading5"/>
      </w:pPr>
      <w:bookmarkStart w:id="143" w:name="_Ref113277634"/>
      <w:r w:rsidRPr="007F6332">
        <w:t xml:space="preserve">Table </w:t>
      </w:r>
      <w:bookmarkEnd w:id="143"/>
      <w:r w:rsidR="0045717D" w:rsidRPr="007F6332">
        <w:t>5.9</w:t>
      </w:r>
      <w:r w:rsidRPr="007F6332">
        <w:t>: Total plan budget projection and proportions by participants with SIL</w:t>
      </w:r>
    </w:p>
    <w:tbl>
      <w:tblPr>
        <w:tblW w:w="5000" w:type="pct"/>
        <w:tblLook w:val="04A0" w:firstRow="1" w:lastRow="0" w:firstColumn="1" w:lastColumn="0" w:noHBand="0" w:noVBand="1"/>
      </w:tblPr>
      <w:tblGrid>
        <w:gridCol w:w="2539"/>
        <w:gridCol w:w="1024"/>
        <w:gridCol w:w="1024"/>
        <w:gridCol w:w="1024"/>
        <w:gridCol w:w="1113"/>
        <w:gridCol w:w="1115"/>
        <w:gridCol w:w="1211"/>
      </w:tblGrid>
      <w:tr w:rsidR="00723E93" w:rsidRPr="007F6332" w14:paraId="0E7CE2F3" w14:textId="77777777" w:rsidTr="00970232">
        <w:trPr>
          <w:trHeight w:val="473"/>
        </w:trPr>
        <w:tc>
          <w:tcPr>
            <w:tcW w:w="1414" w:type="pct"/>
            <w:tcBorders>
              <w:left w:val="nil"/>
              <w:bottom w:val="nil"/>
              <w:right w:val="nil"/>
            </w:tcBorders>
            <w:shd w:val="clear" w:color="auto" w:fill="6B2976"/>
            <w:noWrap/>
            <w:vAlign w:val="center"/>
            <w:hideMark/>
          </w:tcPr>
          <w:p w14:paraId="1631E44E" w14:textId="77777777" w:rsidR="00723E93" w:rsidRPr="007F6332" w:rsidRDefault="00723E93">
            <w:pPr>
              <w:spacing w:after="0" w:line="240" w:lineRule="auto"/>
              <w:rPr>
                <w:rFonts w:eastAsia="Times New Roman" w:cs="Arial"/>
                <w:b/>
                <w:bCs/>
                <w:color w:val="FFFFFF"/>
                <w:sz w:val="18"/>
                <w:szCs w:val="18"/>
                <w:lang w:eastAsia="en-AU"/>
              </w:rPr>
            </w:pPr>
            <w:r w:rsidRPr="007F6332">
              <w:rPr>
                <w:rFonts w:eastAsia="Times New Roman" w:cs="Arial"/>
                <w:b/>
                <w:bCs/>
                <w:color w:val="FFFFFF"/>
                <w:sz w:val="18"/>
                <w:szCs w:val="18"/>
                <w:lang w:eastAsia="en-AU"/>
              </w:rPr>
              <w:t> </w:t>
            </w:r>
          </w:p>
        </w:tc>
        <w:tc>
          <w:tcPr>
            <w:tcW w:w="549" w:type="pct"/>
            <w:tcBorders>
              <w:left w:val="nil"/>
              <w:bottom w:val="nil"/>
              <w:right w:val="nil"/>
            </w:tcBorders>
            <w:shd w:val="clear" w:color="auto" w:fill="6B2976"/>
            <w:noWrap/>
            <w:vAlign w:val="center"/>
            <w:hideMark/>
          </w:tcPr>
          <w:p w14:paraId="13104AEC"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2022-23</w:t>
            </w:r>
          </w:p>
        </w:tc>
        <w:tc>
          <w:tcPr>
            <w:tcW w:w="550" w:type="pct"/>
            <w:tcBorders>
              <w:left w:val="nil"/>
              <w:bottom w:val="nil"/>
              <w:right w:val="nil"/>
            </w:tcBorders>
            <w:shd w:val="clear" w:color="auto" w:fill="6B2976"/>
            <w:noWrap/>
            <w:vAlign w:val="center"/>
            <w:hideMark/>
          </w:tcPr>
          <w:p w14:paraId="7316F741"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550" w:type="pct"/>
            <w:tcBorders>
              <w:left w:val="nil"/>
              <w:bottom w:val="nil"/>
              <w:right w:val="nil"/>
            </w:tcBorders>
            <w:shd w:val="clear" w:color="auto" w:fill="6B2976"/>
            <w:noWrap/>
            <w:vAlign w:val="center"/>
            <w:hideMark/>
          </w:tcPr>
          <w:p w14:paraId="5318694E"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628" w:type="pct"/>
            <w:tcBorders>
              <w:left w:val="nil"/>
              <w:bottom w:val="nil"/>
              <w:right w:val="nil"/>
            </w:tcBorders>
            <w:shd w:val="clear" w:color="auto" w:fill="6B2976"/>
            <w:noWrap/>
            <w:vAlign w:val="center"/>
            <w:hideMark/>
          </w:tcPr>
          <w:p w14:paraId="6A8CB65E"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628" w:type="pct"/>
            <w:tcBorders>
              <w:left w:val="nil"/>
              <w:right w:val="nil"/>
            </w:tcBorders>
            <w:shd w:val="clear" w:color="auto" w:fill="6B2976"/>
            <w:noWrap/>
            <w:vAlign w:val="center"/>
            <w:hideMark/>
          </w:tcPr>
          <w:p w14:paraId="333D169B"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681" w:type="pct"/>
            <w:tcBorders>
              <w:left w:val="nil"/>
              <w:bottom w:val="nil"/>
              <w:right w:val="nil"/>
            </w:tcBorders>
            <w:shd w:val="clear" w:color="auto" w:fill="6B2976"/>
            <w:noWrap/>
            <w:vAlign w:val="center"/>
            <w:hideMark/>
          </w:tcPr>
          <w:p w14:paraId="499905B6"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20DF01AF" w14:textId="77777777" w:rsidTr="00C1755E">
        <w:trPr>
          <w:trHeight w:val="397"/>
        </w:trPr>
        <w:tc>
          <w:tcPr>
            <w:tcW w:w="1414" w:type="pct"/>
            <w:shd w:val="clear" w:color="auto" w:fill="B398B8"/>
            <w:noWrap/>
            <w:vAlign w:val="center"/>
            <w:hideMark/>
          </w:tcPr>
          <w:p w14:paraId="681B30DC"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Plan Budgets ($m)</w:t>
            </w:r>
          </w:p>
        </w:tc>
        <w:tc>
          <w:tcPr>
            <w:tcW w:w="549" w:type="pct"/>
            <w:shd w:val="clear" w:color="auto" w:fill="B398B8"/>
            <w:noWrap/>
            <w:vAlign w:val="center"/>
            <w:hideMark/>
          </w:tcPr>
          <w:p w14:paraId="762E44AE" w14:textId="77777777" w:rsidR="00723E93" w:rsidRPr="007F6332" w:rsidRDefault="00723E93">
            <w:pPr>
              <w:spacing w:after="0" w:line="240" w:lineRule="auto"/>
              <w:jc w:val="right"/>
              <w:rPr>
                <w:rFonts w:eastAsia="Times New Roman" w:cs="Arial"/>
                <w:color w:val="000000"/>
                <w:szCs w:val="22"/>
                <w:highlight w:val="yellow"/>
                <w:lang w:eastAsia="en-AU"/>
              </w:rPr>
            </w:pPr>
            <w:r w:rsidRPr="007F6332">
              <w:rPr>
                <w:rFonts w:cs="Arial"/>
                <w:szCs w:val="22"/>
              </w:rPr>
              <w:t>45,955</w:t>
            </w:r>
          </w:p>
        </w:tc>
        <w:tc>
          <w:tcPr>
            <w:tcW w:w="550" w:type="pct"/>
            <w:shd w:val="clear" w:color="auto" w:fill="B398B8"/>
            <w:noWrap/>
            <w:vAlign w:val="center"/>
            <w:hideMark/>
          </w:tcPr>
          <w:p w14:paraId="680DC277" w14:textId="77777777" w:rsidR="00723E93" w:rsidRPr="007F6332" w:rsidRDefault="00723E93">
            <w:pPr>
              <w:spacing w:after="0" w:line="240" w:lineRule="auto"/>
              <w:jc w:val="right"/>
              <w:rPr>
                <w:rFonts w:eastAsia="Times New Roman" w:cs="Arial"/>
                <w:color w:val="000000"/>
                <w:szCs w:val="22"/>
                <w:highlight w:val="yellow"/>
                <w:lang w:eastAsia="en-AU"/>
              </w:rPr>
            </w:pPr>
            <w:r w:rsidRPr="007F6332">
              <w:rPr>
                <w:rFonts w:cs="Arial"/>
                <w:szCs w:val="22"/>
              </w:rPr>
              <w:t>53,183</w:t>
            </w:r>
          </w:p>
        </w:tc>
        <w:tc>
          <w:tcPr>
            <w:tcW w:w="550" w:type="pct"/>
            <w:shd w:val="clear" w:color="auto" w:fill="B398B8"/>
            <w:noWrap/>
            <w:vAlign w:val="center"/>
            <w:hideMark/>
          </w:tcPr>
          <w:p w14:paraId="72EA47CA" w14:textId="77777777" w:rsidR="00723E93" w:rsidRPr="007F6332" w:rsidRDefault="00723E93">
            <w:pPr>
              <w:spacing w:after="0" w:line="240" w:lineRule="auto"/>
              <w:jc w:val="right"/>
              <w:rPr>
                <w:rFonts w:eastAsia="Times New Roman" w:cs="Arial"/>
                <w:color w:val="000000"/>
                <w:szCs w:val="22"/>
                <w:highlight w:val="yellow"/>
                <w:lang w:eastAsia="en-AU"/>
              </w:rPr>
            </w:pPr>
            <w:r w:rsidRPr="007F6332">
              <w:rPr>
                <w:rFonts w:cs="Arial"/>
                <w:szCs w:val="22"/>
              </w:rPr>
              <w:t>59,253</w:t>
            </w:r>
          </w:p>
        </w:tc>
        <w:tc>
          <w:tcPr>
            <w:tcW w:w="628" w:type="pct"/>
            <w:shd w:val="clear" w:color="auto" w:fill="B398B8"/>
            <w:noWrap/>
            <w:vAlign w:val="center"/>
            <w:hideMark/>
          </w:tcPr>
          <w:p w14:paraId="20D0F431" w14:textId="77777777" w:rsidR="00723E93" w:rsidRPr="007F6332" w:rsidRDefault="00723E93">
            <w:pPr>
              <w:spacing w:after="0" w:line="240" w:lineRule="auto"/>
              <w:jc w:val="right"/>
              <w:rPr>
                <w:rFonts w:eastAsia="Times New Roman" w:cs="Arial"/>
                <w:color w:val="000000"/>
                <w:szCs w:val="22"/>
                <w:highlight w:val="yellow"/>
                <w:lang w:eastAsia="en-AU"/>
              </w:rPr>
            </w:pPr>
            <w:r w:rsidRPr="007F6332">
              <w:rPr>
                <w:rFonts w:cs="Arial"/>
                <w:szCs w:val="22"/>
              </w:rPr>
              <w:t>64,623</w:t>
            </w:r>
          </w:p>
        </w:tc>
        <w:tc>
          <w:tcPr>
            <w:tcW w:w="628" w:type="pct"/>
            <w:tcBorders>
              <w:right w:val="dashSmallGap" w:sz="4" w:space="0" w:color="auto"/>
            </w:tcBorders>
            <w:shd w:val="clear" w:color="auto" w:fill="B398B8"/>
            <w:noWrap/>
            <w:vAlign w:val="center"/>
            <w:hideMark/>
          </w:tcPr>
          <w:p w14:paraId="0B34AD2F" w14:textId="77777777" w:rsidR="00723E93" w:rsidRPr="007F6332" w:rsidRDefault="00723E93">
            <w:pPr>
              <w:spacing w:after="0" w:line="240" w:lineRule="auto"/>
              <w:jc w:val="right"/>
              <w:rPr>
                <w:rFonts w:eastAsia="Times New Roman" w:cs="Arial"/>
                <w:color w:val="000000"/>
                <w:szCs w:val="22"/>
                <w:highlight w:val="yellow"/>
                <w:lang w:eastAsia="en-AU"/>
              </w:rPr>
            </w:pPr>
            <w:r w:rsidRPr="007F6332">
              <w:rPr>
                <w:rFonts w:cs="Arial"/>
                <w:szCs w:val="22"/>
              </w:rPr>
              <w:t>70,067</w:t>
            </w:r>
          </w:p>
        </w:tc>
        <w:tc>
          <w:tcPr>
            <w:tcW w:w="681" w:type="pct"/>
            <w:tcBorders>
              <w:left w:val="dashSmallGap" w:sz="4" w:space="0" w:color="auto"/>
            </w:tcBorders>
            <w:shd w:val="clear" w:color="auto" w:fill="B398B8"/>
            <w:noWrap/>
            <w:vAlign w:val="center"/>
            <w:hideMark/>
          </w:tcPr>
          <w:p w14:paraId="7EE48C15" w14:textId="77777777" w:rsidR="00723E93" w:rsidRPr="007F6332" w:rsidRDefault="00723E93">
            <w:pPr>
              <w:spacing w:after="0" w:line="240" w:lineRule="auto"/>
              <w:jc w:val="right"/>
              <w:rPr>
                <w:rFonts w:eastAsia="Times New Roman" w:cs="Arial"/>
                <w:color w:val="000000"/>
                <w:szCs w:val="22"/>
                <w:highlight w:val="yellow"/>
                <w:lang w:eastAsia="en-AU"/>
              </w:rPr>
            </w:pPr>
            <w:r w:rsidRPr="007F6332">
              <w:rPr>
                <w:rFonts w:cs="Arial"/>
                <w:szCs w:val="22"/>
              </w:rPr>
              <w:t>116,587</w:t>
            </w:r>
          </w:p>
        </w:tc>
      </w:tr>
      <w:tr w:rsidR="00723E93" w:rsidRPr="007F6332" w14:paraId="52DA5C14" w14:textId="77777777" w:rsidTr="00C1755E">
        <w:trPr>
          <w:trHeight w:val="397"/>
        </w:trPr>
        <w:tc>
          <w:tcPr>
            <w:tcW w:w="1414" w:type="pct"/>
            <w:shd w:val="clear" w:color="auto" w:fill="A6A6A6" w:themeFill="background1" w:themeFillShade="A6"/>
            <w:noWrap/>
            <w:vAlign w:val="center"/>
            <w:hideMark/>
          </w:tcPr>
          <w:p w14:paraId="26505A63" w14:textId="77777777" w:rsidR="00723E93" w:rsidRPr="007F6332" w:rsidRDefault="00723E93">
            <w:pPr>
              <w:spacing w:after="0" w:line="240" w:lineRule="auto"/>
              <w:ind w:firstLineChars="200" w:firstLine="440"/>
              <w:rPr>
                <w:rFonts w:eastAsia="Times New Roman" w:cs="Arial"/>
                <w:i/>
                <w:iCs/>
                <w:color w:val="000000"/>
                <w:szCs w:val="22"/>
                <w:lang w:eastAsia="en-AU"/>
              </w:rPr>
            </w:pPr>
            <w:r w:rsidRPr="007F6332">
              <w:rPr>
                <w:rFonts w:eastAsia="Times New Roman" w:cs="Arial"/>
                <w:i/>
                <w:iCs/>
                <w:color w:val="000000"/>
                <w:szCs w:val="22"/>
                <w:lang w:eastAsia="en-AU"/>
              </w:rPr>
              <w:t>Implied Growth (%)</w:t>
            </w:r>
          </w:p>
        </w:tc>
        <w:tc>
          <w:tcPr>
            <w:tcW w:w="549" w:type="pct"/>
            <w:shd w:val="clear" w:color="auto" w:fill="A6A6A6" w:themeFill="background1" w:themeFillShade="A6"/>
            <w:noWrap/>
            <w:vAlign w:val="center"/>
            <w:hideMark/>
          </w:tcPr>
          <w:p w14:paraId="73A84A33"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w:t>
            </w:r>
          </w:p>
        </w:tc>
        <w:tc>
          <w:tcPr>
            <w:tcW w:w="550" w:type="pct"/>
            <w:shd w:val="clear" w:color="auto" w:fill="A6A6A6" w:themeFill="background1" w:themeFillShade="A6"/>
            <w:noWrap/>
            <w:vAlign w:val="center"/>
            <w:hideMark/>
          </w:tcPr>
          <w:p w14:paraId="1A337640"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15.7%</w:t>
            </w:r>
          </w:p>
        </w:tc>
        <w:tc>
          <w:tcPr>
            <w:tcW w:w="550" w:type="pct"/>
            <w:shd w:val="clear" w:color="auto" w:fill="A6A6A6" w:themeFill="background1" w:themeFillShade="A6"/>
            <w:noWrap/>
            <w:vAlign w:val="center"/>
            <w:hideMark/>
          </w:tcPr>
          <w:p w14:paraId="434C2222"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11.4%</w:t>
            </w:r>
          </w:p>
        </w:tc>
        <w:tc>
          <w:tcPr>
            <w:tcW w:w="628" w:type="pct"/>
            <w:shd w:val="clear" w:color="auto" w:fill="A6A6A6" w:themeFill="background1" w:themeFillShade="A6"/>
            <w:noWrap/>
            <w:vAlign w:val="center"/>
            <w:hideMark/>
          </w:tcPr>
          <w:p w14:paraId="5AC6449F"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9.1%</w:t>
            </w:r>
          </w:p>
        </w:tc>
        <w:tc>
          <w:tcPr>
            <w:tcW w:w="628" w:type="pct"/>
            <w:tcBorders>
              <w:right w:val="dashSmallGap" w:sz="4" w:space="0" w:color="auto"/>
            </w:tcBorders>
            <w:shd w:val="clear" w:color="auto" w:fill="A6A6A6" w:themeFill="background1" w:themeFillShade="A6"/>
            <w:noWrap/>
            <w:vAlign w:val="center"/>
            <w:hideMark/>
          </w:tcPr>
          <w:p w14:paraId="0343728A"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8.4%</w:t>
            </w:r>
          </w:p>
        </w:tc>
        <w:tc>
          <w:tcPr>
            <w:tcW w:w="681" w:type="pct"/>
            <w:tcBorders>
              <w:left w:val="dashSmallGap" w:sz="4" w:space="0" w:color="auto"/>
            </w:tcBorders>
            <w:shd w:val="clear" w:color="auto" w:fill="A6A6A6" w:themeFill="background1" w:themeFillShade="A6"/>
            <w:noWrap/>
            <w:vAlign w:val="center"/>
            <w:hideMark/>
          </w:tcPr>
          <w:p w14:paraId="4D8DC564"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8.9%</w:t>
            </w:r>
          </w:p>
        </w:tc>
      </w:tr>
      <w:tr w:rsidR="00723E93" w:rsidRPr="007F6332" w14:paraId="58151430" w14:textId="77777777" w:rsidTr="00970232">
        <w:trPr>
          <w:trHeight w:val="397"/>
        </w:trPr>
        <w:tc>
          <w:tcPr>
            <w:tcW w:w="1414" w:type="pct"/>
            <w:noWrap/>
            <w:vAlign w:val="center"/>
            <w:hideMark/>
          </w:tcPr>
          <w:p w14:paraId="1E0B5870" w14:textId="77777777" w:rsidR="00723E93" w:rsidRPr="007F6332" w:rsidRDefault="00723E93">
            <w:pPr>
              <w:spacing w:after="0" w:line="240" w:lineRule="auto"/>
              <w:ind w:firstLineChars="200" w:firstLine="440"/>
              <w:rPr>
                <w:rFonts w:eastAsia="Times New Roman" w:cs="Arial"/>
                <w:i/>
                <w:iCs/>
                <w:color w:val="000000"/>
                <w:szCs w:val="22"/>
                <w:lang w:eastAsia="en-AU"/>
              </w:rPr>
            </w:pPr>
            <w:r w:rsidRPr="007F6332">
              <w:rPr>
                <w:rFonts w:eastAsia="Times New Roman" w:cs="Arial"/>
                <w:i/>
                <w:iCs/>
                <w:color w:val="000000"/>
                <w:szCs w:val="22"/>
                <w:lang w:eastAsia="en-AU"/>
              </w:rPr>
              <w:t>Proportion with SIL</w:t>
            </w:r>
          </w:p>
        </w:tc>
        <w:tc>
          <w:tcPr>
            <w:tcW w:w="549" w:type="pct"/>
            <w:noWrap/>
            <w:vAlign w:val="center"/>
            <w:hideMark/>
          </w:tcPr>
          <w:p w14:paraId="344C8D1E" w14:textId="77777777" w:rsidR="00723E93" w:rsidRPr="007F6332" w:rsidRDefault="00723E93">
            <w:pPr>
              <w:rPr>
                <w:rFonts w:eastAsia="Times New Roman" w:cs="Arial"/>
                <w:i/>
                <w:iCs/>
                <w:color w:val="000000"/>
                <w:szCs w:val="22"/>
                <w:lang w:eastAsia="en-AU"/>
              </w:rPr>
            </w:pPr>
          </w:p>
        </w:tc>
        <w:tc>
          <w:tcPr>
            <w:tcW w:w="550" w:type="pct"/>
            <w:noWrap/>
            <w:vAlign w:val="center"/>
            <w:hideMark/>
          </w:tcPr>
          <w:p w14:paraId="77CE75DC"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29.8%</w:t>
            </w:r>
          </w:p>
        </w:tc>
        <w:tc>
          <w:tcPr>
            <w:tcW w:w="550" w:type="pct"/>
            <w:noWrap/>
            <w:vAlign w:val="center"/>
            <w:hideMark/>
          </w:tcPr>
          <w:p w14:paraId="468C8171"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31.0%</w:t>
            </w:r>
          </w:p>
        </w:tc>
        <w:tc>
          <w:tcPr>
            <w:tcW w:w="628" w:type="pct"/>
            <w:noWrap/>
            <w:vAlign w:val="center"/>
            <w:hideMark/>
          </w:tcPr>
          <w:p w14:paraId="174EA418"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31.6%</w:t>
            </w:r>
          </w:p>
        </w:tc>
        <w:tc>
          <w:tcPr>
            <w:tcW w:w="628" w:type="pct"/>
            <w:tcBorders>
              <w:top w:val="nil"/>
              <w:left w:val="nil"/>
              <w:bottom w:val="nil"/>
              <w:right w:val="dashSmallGap" w:sz="4" w:space="0" w:color="auto"/>
            </w:tcBorders>
            <w:noWrap/>
            <w:vAlign w:val="center"/>
            <w:hideMark/>
          </w:tcPr>
          <w:p w14:paraId="3EF9F09B"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31.7%</w:t>
            </w:r>
          </w:p>
        </w:tc>
        <w:tc>
          <w:tcPr>
            <w:tcW w:w="681" w:type="pct"/>
            <w:tcBorders>
              <w:left w:val="dashSmallGap" w:sz="4" w:space="0" w:color="auto"/>
            </w:tcBorders>
            <w:noWrap/>
            <w:vAlign w:val="center"/>
            <w:hideMark/>
          </w:tcPr>
          <w:p w14:paraId="15903384"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31.2%</w:t>
            </w:r>
          </w:p>
        </w:tc>
      </w:tr>
      <w:tr w:rsidR="00723E93" w:rsidRPr="007F6332" w14:paraId="61EF4926" w14:textId="77777777" w:rsidTr="00C1755E">
        <w:trPr>
          <w:trHeight w:val="397"/>
        </w:trPr>
        <w:tc>
          <w:tcPr>
            <w:tcW w:w="1963" w:type="pct"/>
            <w:gridSpan w:val="2"/>
            <w:tcBorders>
              <w:bottom w:val="single" w:sz="4" w:space="0" w:color="auto"/>
            </w:tcBorders>
            <w:shd w:val="clear" w:color="auto" w:fill="A6A6A6" w:themeFill="background1" w:themeFillShade="A6"/>
            <w:noWrap/>
            <w:vAlign w:val="center"/>
            <w:hideMark/>
          </w:tcPr>
          <w:p w14:paraId="3BB448FC" w14:textId="77777777" w:rsidR="00723E93" w:rsidRPr="007F6332" w:rsidRDefault="00723E93">
            <w:pPr>
              <w:spacing w:after="0" w:line="240" w:lineRule="auto"/>
              <w:ind w:firstLineChars="200" w:firstLine="440"/>
              <w:rPr>
                <w:rFonts w:eastAsia="Times New Roman" w:cs="Arial"/>
                <w:i/>
                <w:iCs/>
                <w:color w:val="000000"/>
                <w:szCs w:val="22"/>
                <w:lang w:eastAsia="en-AU"/>
              </w:rPr>
            </w:pPr>
            <w:r w:rsidRPr="007F6332">
              <w:rPr>
                <w:rFonts w:eastAsia="Times New Roman" w:cs="Arial"/>
                <w:i/>
                <w:iCs/>
                <w:color w:val="000000"/>
                <w:szCs w:val="22"/>
                <w:lang w:eastAsia="en-AU"/>
              </w:rPr>
              <w:t>Proportion without SIL</w:t>
            </w:r>
          </w:p>
        </w:tc>
        <w:tc>
          <w:tcPr>
            <w:tcW w:w="550" w:type="pct"/>
            <w:tcBorders>
              <w:bottom w:val="single" w:sz="4" w:space="0" w:color="auto"/>
            </w:tcBorders>
            <w:shd w:val="clear" w:color="auto" w:fill="A6A6A6" w:themeFill="background1" w:themeFillShade="A6"/>
            <w:noWrap/>
            <w:vAlign w:val="center"/>
            <w:hideMark/>
          </w:tcPr>
          <w:p w14:paraId="0E60B355"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70.2%</w:t>
            </w:r>
          </w:p>
        </w:tc>
        <w:tc>
          <w:tcPr>
            <w:tcW w:w="550" w:type="pct"/>
            <w:tcBorders>
              <w:bottom w:val="single" w:sz="4" w:space="0" w:color="auto"/>
            </w:tcBorders>
            <w:shd w:val="clear" w:color="auto" w:fill="A6A6A6" w:themeFill="background1" w:themeFillShade="A6"/>
            <w:noWrap/>
            <w:vAlign w:val="center"/>
            <w:hideMark/>
          </w:tcPr>
          <w:p w14:paraId="2ECC77CE"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69.0%</w:t>
            </w:r>
          </w:p>
        </w:tc>
        <w:tc>
          <w:tcPr>
            <w:tcW w:w="628" w:type="pct"/>
            <w:tcBorders>
              <w:bottom w:val="single" w:sz="4" w:space="0" w:color="auto"/>
            </w:tcBorders>
            <w:shd w:val="clear" w:color="auto" w:fill="A6A6A6" w:themeFill="background1" w:themeFillShade="A6"/>
            <w:noWrap/>
            <w:vAlign w:val="center"/>
            <w:hideMark/>
          </w:tcPr>
          <w:p w14:paraId="751CEEF4"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68.4%</w:t>
            </w:r>
          </w:p>
        </w:tc>
        <w:tc>
          <w:tcPr>
            <w:tcW w:w="628" w:type="pct"/>
            <w:tcBorders>
              <w:top w:val="nil"/>
              <w:left w:val="nil"/>
              <w:bottom w:val="single" w:sz="4" w:space="0" w:color="auto"/>
              <w:right w:val="dashSmallGap" w:sz="4" w:space="0" w:color="auto"/>
            </w:tcBorders>
            <w:shd w:val="clear" w:color="auto" w:fill="A6A6A6" w:themeFill="background1" w:themeFillShade="A6"/>
            <w:noWrap/>
            <w:vAlign w:val="center"/>
            <w:hideMark/>
          </w:tcPr>
          <w:p w14:paraId="7207EDAA"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68.3%</w:t>
            </w:r>
          </w:p>
        </w:tc>
        <w:tc>
          <w:tcPr>
            <w:tcW w:w="681" w:type="pct"/>
            <w:tcBorders>
              <w:left w:val="dashSmallGap" w:sz="4" w:space="0" w:color="auto"/>
              <w:bottom w:val="single" w:sz="4" w:space="0" w:color="auto"/>
            </w:tcBorders>
            <w:shd w:val="clear" w:color="auto" w:fill="A6A6A6" w:themeFill="background1" w:themeFillShade="A6"/>
            <w:noWrap/>
            <w:vAlign w:val="center"/>
            <w:hideMark/>
          </w:tcPr>
          <w:p w14:paraId="353589AC" w14:textId="77777777" w:rsidR="00723E93" w:rsidRPr="007F6332" w:rsidRDefault="00723E93">
            <w:pPr>
              <w:spacing w:after="0" w:line="240" w:lineRule="auto"/>
              <w:jc w:val="right"/>
              <w:rPr>
                <w:rFonts w:eastAsia="Times New Roman" w:cs="Arial"/>
                <w:i/>
                <w:iCs/>
                <w:color w:val="000000"/>
                <w:szCs w:val="22"/>
                <w:lang w:eastAsia="en-AU"/>
              </w:rPr>
            </w:pPr>
            <w:r w:rsidRPr="007F6332">
              <w:rPr>
                <w:rFonts w:eastAsia="Times New Roman" w:cs="Arial"/>
                <w:i/>
                <w:iCs/>
                <w:color w:val="000000"/>
                <w:szCs w:val="22"/>
                <w:lang w:eastAsia="en-AU"/>
              </w:rPr>
              <w:t>68.8%</w:t>
            </w:r>
          </w:p>
        </w:tc>
      </w:tr>
    </w:tbl>
    <w:p w14:paraId="33D62374" w14:textId="3B38CF8B" w:rsidR="00723E93" w:rsidRPr="007F6332" w:rsidRDefault="00723E93" w:rsidP="00723E93">
      <w:pPr>
        <w:pStyle w:val="FSRnormal"/>
        <w:rPr>
          <w:rFonts w:eastAsia="Arial" w:cs="Arial"/>
        </w:rPr>
      </w:pPr>
      <w:r w:rsidRPr="007F6332">
        <w:rPr>
          <w:rFonts w:cs="Arial"/>
        </w:rPr>
        <w:fldChar w:fldCharType="begin"/>
      </w:r>
      <w:r w:rsidRPr="007F6332">
        <w:rPr>
          <w:rFonts w:eastAsia="Times New Roman" w:cs="Arial"/>
          <w:lang w:eastAsia="en-AU"/>
        </w:rPr>
        <w:instrText xml:space="preserve"> REF _Ref143590190 \h  \* MERGEFORMAT </w:instrText>
      </w:r>
      <w:r w:rsidRPr="007F6332">
        <w:rPr>
          <w:rFonts w:cs="Arial"/>
        </w:rPr>
      </w:r>
      <w:r w:rsidRPr="007F6332">
        <w:rPr>
          <w:rFonts w:cs="Arial"/>
        </w:rPr>
        <w:fldChar w:fldCharType="separate"/>
      </w:r>
      <w:r w:rsidR="00D82E58" w:rsidRPr="007F6332">
        <w:rPr>
          <w:rFonts w:cs="Arial"/>
        </w:rPr>
        <w:t xml:space="preserve">Table </w:t>
      </w:r>
      <w:r w:rsidRPr="007F6332">
        <w:rPr>
          <w:rFonts w:cs="Arial"/>
        </w:rPr>
        <w:fldChar w:fldCharType="end"/>
      </w:r>
      <w:r w:rsidR="00341842" w:rsidRPr="007F6332">
        <w:rPr>
          <w:rFonts w:cs="Arial"/>
        </w:rPr>
        <w:t>5.</w:t>
      </w:r>
      <w:r w:rsidR="00950565" w:rsidRPr="007F6332">
        <w:rPr>
          <w:rFonts w:cs="Arial"/>
        </w:rPr>
        <w:t>10</w:t>
      </w:r>
      <w:r w:rsidRPr="007F6332">
        <w:rPr>
          <w:rFonts w:eastAsia="Times New Roman" w:cs="Arial"/>
          <w:lang w:eastAsia="en-AU"/>
        </w:rPr>
        <w:t xml:space="preserve"> shows projected Scheme plan budgets</w:t>
      </w:r>
      <w:r w:rsidRPr="007F6332">
        <w:rPr>
          <w:rFonts w:eastAsia="Arial" w:cs="Arial"/>
        </w:rPr>
        <w:t xml:space="preserve">, split between existing Scheme participants and participants expected to join the Scheme after 30 June 2023. By 2032-33, 67.4% of projected expenses relate to current Scheme participants, with 32.6% relating to future new entrants. </w:t>
      </w:r>
    </w:p>
    <w:p w14:paraId="391ADB27" w14:textId="58CA3CBA" w:rsidR="00723E93" w:rsidRPr="007F6332" w:rsidRDefault="00723E93" w:rsidP="00823FC9">
      <w:pPr>
        <w:pStyle w:val="FiguresandTablesHeading5"/>
      </w:pPr>
      <w:bookmarkStart w:id="144" w:name="_Ref143590190"/>
      <w:r w:rsidRPr="007F6332">
        <w:t xml:space="preserve">Table </w:t>
      </w:r>
      <w:bookmarkEnd w:id="144"/>
      <w:r w:rsidR="0045717D" w:rsidRPr="007F6332">
        <w:t>5.10</w:t>
      </w:r>
      <w:r w:rsidRPr="007F6332">
        <w:t>: Split of projected Scheme plan budgets by existing and new participants</w:t>
      </w:r>
    </w:p>
    <w:tbl>
      <w:tblPr>
        <w:tblW w:w="9066" w:type="dxa"/>
        <w:tblLook w:val="04A0" w:firstRow="1" w:lastRow="0" w:firstColumn="1" w:lastColumn="0" w:noHBand="0" w:noVBand="1"/>
      </w:tblPr>
      <w:tblGrid>
        <w:gridCol w:w="3460"/>
        <w:gridCol w:w="1066"/>
        <w:gridCol w:w="1080"/>
        <w:gridCol w:w="1100"/>
        <w:gridCol w:w="1180"/>
        <w:gridCol w:w="1180"/>
      </w:tblGrid>
      <w:tr w:rsidR="00723E93" w:rsidRPr="007F6332" w14:paraId="3B6F2D57" w14:textId="77777777" w:rsidTr="00970232">
        <w:trPr>
          <w:trHeight w:val="447"/>
        </w:trPr>
        <w:tc>
          <w:tcPr>
            <w:tcW w:w="3460" w:type="dxa"/>
            <w:tcBorders>
              <w:left w:val="single" w:sz="8" w:space="0" w:color="auto"/>
              <w:bottom w:val="nil"/>
              <w:right w:val="nil"/>
            </w:tcBorders>
            <w:shd w:val="clear" w:color="auto" w:fill="6B2976"/>
            <w:noWrap/>
            <w:vAlign w:val="center"/>
            <w:hideMark/>
          </w:tcPr>
          <w:p w14:paraId="565641FB" w14:textId="77777777" w:rsidR="00723E93" w:rsidRPr="007F6332" w:rsidRDefault="00723E93">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Scheme plan budgets ($m)</w:t>
            </w:r>
          </w:p>
        </w:tc>
        <w:tc>
          <w:tcPr>
            <w:tcW w:w="1066" w:type="dxa"/>
            <w:tcBorders>
              <w:left w:val="nil"/>
              <w:bottom w:val="nil"/>
              <w:right w:val="nil"/>
            </w:tcBorders>
            <w:shd w:val="clear" w:color="auto" w:fill="6B2976"/>
            <w:noWrap/>
            <w:vAlign w:val="center"/>
            <w:hideMark/>
          </w:tcPr>
          <w:p w14:paraId="462E19B8"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080" w:type="dxa"/>
            <w:tcBorders>
              <w:left w:val="nil"/>
              <w:bottom w:val="nil"/>
              <w:right w:val="nil"/>
            </w:tcBorders>
            <w:shd w:val="clear" w:color="auto" w:fill="6B2976"/>
            <w:noWrap/>
            <w:vAlign w:val="center"/>
            <w:hideMark/>
          </w:tcPr>
          <w:p w14:paraId="719D7205"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00" w:type="dxa"/>
            <w:tcBorders>
              <w:left w:val="nil"/>
              <w:bottom w:val="nil"/>
              <w:right w:val="nil"/>
            </w:tcBorders>
            <w:shd w:val="clear" w:color="auto" w:fill="6B2976"/>
            <w:noWrap/>
            <w:vAlign w:val="center"/>
            <w:hideMark/>
          </w:tcPr>
          <w:p w14:paraId="402C2347"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180" w:type="dxa"/>
            <w:tcBorders>
              <w:left w:val="nil"/>
              <w:right w:val="nil"/>
            </w:tcBorders>
            <w:shd w:val="clear" w:color="auto" w:fill="6B2976"/>
            <w:noWrap/>
            <w:vAlign w:val="center"/>
            <w:hideMark/>
          </w:tcPr>
          <w:p w14:paraId="78521F33"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80" w:type="dxa"/>
            <w:tcBorders>
              <w:left w:val="nil"/>
              <w:bottom w:val="nil"/>
              <w:right w:val="nil"/>
            </w:tcBorders>
            <w:shd w:val="clear" w:color="auto" w:fill="6B2976"/>
            <w:noWrap/>
            <w:vAlign w:val="center"/>
            <w:hideMark/>
          </w:tcPr>
          <w:p w14:paraId="0183E184"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4187C4A5" w14:textId="77777777" w:rsidTr="00970232">
        <w:trPr>
          <w:trHeight w:val="340"/>
        </w:trPr>
        <w:tc>
          <w:tcPr>
            <w:tcW w:w="3460" w:type="dxa"/>
            <w:noWrap/>
            <w:vAlign w:val="center"/>
            <w:hideMark/>
          </w:tcPr>
          <w:p w14:paraId="332B38C6"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Existing Scheme participants</w:t>
            </w:r>
          </w:p>
        </w:tc>
        <w:tc>
          <w:tcPr>
            <w:tcW w:w="1066" w:type="dxa"/>
            <w:noWrap/>
            <w:vAlign w:val="center"/>
            <w:hideMark/>
          </w:tcPr>
          <w:p w14:paraId="1C2DE4E4" w14:textId="77777777" w:rsidR="00723E93" w:rsidRPr="007F6332" w:rsidRDefault="00723E93">
            <w:pPr>
              <w:spacing w:after="0" w:line="240" w:lineRule="auto"/>
              <w:jc w:val="right"/>
              <w:rPr>
                <w:rFonts w:eastAsiaTheme="minorHAnsi" w:cs="Arial"/>
                <w:color w:val="000000" w:themeColor="text1"/>
                <w:kern w:val="2"/>
                <w:szCs w:val="22"/>
                <w:lang w:eastAsia="en-US"/>
                <w14:ligatures w14:val="standardContextual"/>
              </w:rPr>
            </w:pPr>
            <w:r w:rsidRPr="007F6332">
              <w:rPr>
                <w:rFonts w:cs="Arial"/>
                <w:szCs w:val="22"/>
              </w:rPr>
              <w:t>51,855</w:t>
            </w:r>
          </w:p>
        </w:tc>
        <w:tc>
          <w:tcPr>
            <w:tcW w:w="1080" w:type="dxa"/>
            <w:noWrap/>
            <w:vAlign w:val="center"/>
            <w:hideMark/>
          </w:tcPr>
          <w:p w14:paraId="27B2B3F4" w14:textId="77777777" w:rsidR="00723E93" w:rsidRPr="007F6332" w:rsidRDefault="00723E93">
            <w:pPr>
              <w:spacing w:after="0" w:line="240" w:lineRule="auto"/>
              <w:jc w:val="right"/>
              <w:rPr>
                <w:rFonts w:cs="Arial"/>
                <w:szCs w:val="22"/>
              </w:rPr>
            </w:pPr>
            <w:r w:rsidRPr="007F6332">
              <w:rPr>
                <w:rFonts w:cs="Arial"/>
                <w:szCs w:val="22"/>
              </w:rPr>
              <w:t>54,927</w:t>
            </w:r>
          </w:p>
        </w:tc>
        <w:tc>
          <w:tcPr>
            <w:tcW w:w="1100" w:type="dxa"/>
            <w:noWrap/>
            <w:vAlign w:val="center"/>
            <w:hideMark/>
          </w:tcPr>
          <w:p w14:paraId="0DAE692A" w14:textId="77777777" w:rsidR="00723E93" w:rsidRPr="007F6332" w:rsidRDefault="00723E93">
            <w:pPr>
              <w:spacing w:after="0" w:line="240" w:lineRule="auto"/>
              <w:jc w:val="right"/>
              <w:rPr>
                <w:rFonts w:cs="Arial"/>
                <w:szCs w:val="22"/>
              </w:rPr>
            </w:pPr>
            <w:r w:rsidRPr="007F6332">
              <w:rPr>
                <w:rFonts w:cs="Arial"/>
                <w:szCs w:val="22"/>
              </w:rPr>
              <w:t>57,028</w:t>
            </w:r>
          </w:p>
        </w:tc>
        <w:tc>
          <w:tcPr>
            <w:tcW w:w="1180" w:type="dxa"/>
            <w:tcBorders>
              <w:right w:val="dashSmallGap" w:sz="4" w:space="0" w:color="auto"/>
            </w:tcBorders>
            <w:noWrap/>
            <w:vAlign w:val="center"/>
            <w:hideMark/>
          </w:tcPr>
          <w:p w14:paraId="77053BB5" w14:textId="77777777" w:rsidR="00723E93" w:rsidRPr="007F6332" w:rsidRDefault="00723E93">
            <w:pPr>
              <w:spacing w:after="0" w:line="240" w:lineRule="auto"/>
              <w:jc w:val="right"/>
              <w:rPr>
                <w:rFonts w:cs="Arial"/>
                <w:szCs w:val="22"/>
              </w:rPr>
            </w:pPr>
            <w:r w:rsidRPr="007F6332">
              <w:rPr>
                <w:rFonts w:cs="Arial"/>
                <w:szCs w:val="22"/>
              </w:rPr>
              <w:t>59,169</w:t>
            </w:r>
          </w:p>
        </w:tc>
        <w:tc>
          <w:tcPr>
            <w:tcW w:w="1180" w:type="dxa"/>
            <w:tcBorders>
              <w:left w:val="dashSmallGap" w:sz="4" w:space="0" w:color="auto"/>
            </w:tcBorders>
            <w:noWrap/>
            <w:vAlign w:val="center"/>
            <w:hideMark/>
          </w:tcPr>
          <w:p w14:paraId="1ED08B96" w14:textId="77777777" w:rsidR="00723E93" w:rsidRPr="007F6332" w:rsidRDefault="00723E93">
            <w:pPr>
              <w:spacing w:after="0" w:line="240" w:lineRule="auto"/>
              <w:jc w:val="right"/>
              <w:rPr>
                <w:rFonts w:cs="Arial"/>
                <w:szCs w:val="22"/>
              </w:rPr>
            </w:pPr>
            <w:r w:rsidRPr="007F6332">
              <w:rPr>
                <w:rFonts w:cs="Arial"/>
                <w:szCs w:val="22"/>
              </w:rPr>
              <w:t>78,627</w:t>
            </w:r>
          </w:p>
        </w:tc>
      </w:tr>
      <w:tr w:rsidR="00723E93" w:rsidRPr="007F6332" w14:paraId="73CB5973" w14:textId="77777777" w:rsidTr="00C1755E">
        <w:trPr>
          <w:trHeight w:val="340"/>
        </w:trPr>
        <w:tc>
          <w:tcPr>
            <w:tcW w:w="3460" w:type="dxa"/>
            <w:shd w:val="clear" w:color="auto" w:fill="A6A6A6" w:themeFill="background1" w:themeFillShade="A6"/>
            <w:noWrap/>
            <w:vAlign w:val="center"/>
            <w:hideMark/>
          </w:tcPr>
          <w:p w14:paraId="108FCEE7" w14:textId="6D1D1779"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Future participant</w:t>
            </w:r>
            <w:r w:rsidR="00DC02B5" w:rsidRPr="007F6332">
              <w:rPr>
                <w:rFonts w:eastAsia="Times New Roman" w:cs="Arial"/>
                <w:color w:val="000000"/>
                <w:szCs w:val="22"/>
                <w:lang w:eastAsia="en-AU"/>
              </w:rPr>
              <w:t>s</w:t>
            </w:r>
          </w:p>
        </w:tc>
        <w:tc>
          <w:tcPr>
            <w:tcW w:w="1066" w:type="dxa"/>
            <w:shd w:val="clear" w:color="auto" w:fill="A6A6A6" w:themeFill="background1" w:themeFillShade="A6"/>
            <w:noWrap/>
            <w:vAlign w:val="center"/>
            <w:hideMark/>
          </w:tcPr>
          <w:p w14:paraId="7801290A" w14:textId="77777777" w:rsidR="00723E93" w:rsidRPr="007F6332" w:rsidRDefault="00723E93">
            <w:pPr>
              <w:spacing w:after="0" w:line="240" w:lineRule="auto"/>
              <w:jc w:val="right"/>
              <w:rPr>
                <w:rFonts w:eastAsiaTheme="minorHAnsi" w:cs="Arial"/>
                <w:color w:val="000000" w:themeColor="text1"/>
                <w:kern w:val="2"/>
                <w:szCs w:val="22"/>
                <w:lang w:eastAsia="en-US"/>
                <w14:ligatures w14:val="standardContextual"/>
              </w:rPr>
            </w:pPr>
            <w:r w:rsidRPr="007F6332">
              <w:rPr>
                <w:rFonts w:cs="Arial"/>
                <w:szCs w:val="22"/>
              </w:rPr>
              <w:t>1,328</w:t>
            </w:r>
          </w:p>
        </w:tc>
        <w:tc>
          <w:tcPr>
            <w:tcW w:w="1080" w:type="dxa"/>
            <w:shd w:val="clear" w:color="auto" w:fill="A6A6A6" w:themeFill="background1" w:themeFillShade="A6"/>
            <w:noWrap/>
            <w:vAlign w:val="center"/>
            <w:hideMark/>
          </w:tcPr>
          <w:p w14:paraId="5F905C84" w14:textId="77777777" w:rsidR="00723E93" w:rsidRPr="007F6332" w:rsidRDefault="00723E93">
            <w:pPr>
              <w:spacing w:after="0" w:line="240" w:lineRule="auto"/>
              <w:jc w:val="right"/>
              <w:rPr>
                <w:rFonts w:cs="Arial"/>
                <w:szCs w:val="22"/>
              </w:rPr>
            </w:pPr>
            <w:r w:rsidRPr="007F6332">
              <w:rPr>
                <w:rFonts w:cs="Arial"/>
                <w:szCs w:val="22"/>
              </w:rPr>
              <w:t>4,327</w:t>
            </w:r>
          </w:p>
        </w:tc>
        <w:tc>
          <w:tcPr>
            <w:tcW w:w="1100" w:type="dxa"/>
            <w:shd w:val="clear" w:color="auto" w:fill="A6A6A6" w:themeFill="background1" w:themeFillShade="A6"/>
            <w:noWrap/>
            <w:vAlign w:val="center"/>
            <w:hideMark/>
          </w:tcPr>
          <w:p w14:paraId="403A25C5" w14:textId="77777777" w:rsidR="00723E93" w:rsidRPr="007F6332" w:rsidRDefault="00723E93">
            <w:pPr>
              <w:spacing w:after="0" w:line="240" w:lineRule="auto"/>
              <w:jc w:val="right"/>
              <w:rPr>
                <w:rFonts w:cs="Arial"/>
                <w:szCs w:val="22"/>
              </w:rPr>
            </w:pPr>
            <w:r w:rsidRPr="007F6332">
              <w:rPr>
                <w:rFonts w:cs="Arial"/>
                <w:szCs w:val="22"/>
              </w:rPr>
              <w:t>7,595</w:t>
            </w:r>
          </w:p>
        </w:tc>
        <w:tc>
          <w:tcPr>
            <w:tcW w:w="1180" w:type="dxa"/>
            <w:tcBorders>
              <w:right w:val="dashSmallGap" w:sz="4" w:space="0" w:color="auto"/>
            </w:tcBorders>
            <w:shd w:val="clear" w:color="auto" w:fill="A6A6A6" w:themeFill="background1" w:themeFillShade="A6"/>
            <w:noWrap/>
            <w:vAlign w:val="center"/>
            <w:hideMark/>
          </w:tcPr>
          <w:p w14:paraId="11C7CD09" w14:textId="77777777" w:rsidR="00723E93" w:rsidRPr="007F6332" w:rsidRDefault="00723E93">
            <w:pPr>
              <w:spacing w:after="0" w:line="240" w:lineRule="auto"/>
              <w:jc w:val="right"/>
              <w:rPr>
                <w:rFonts w:cs="Arial"/>
                <w:szCs w:val="22"/>
              </w:rPr>
            </w:pPr>
            <w:r w:rsidRPr="007F6332">
              <w:rPr>
                <w:rFonts w:cs="Arial"/>
                <w:szCs w:val="22"/>
              </w:rPr>
              <w:t>10,899</w:t>
            </w:r>
          </w:p>
        </w:tc>
        <w:tc>
          <w:tcPr>
            <w:tcW w:w="1180" w:type="dxa"/>
            <w:tcBorders>
              <w:left w:val="dashSmallGap" w:sz="4" w:space="0" w:color="auto"/>
            </w:tcBorders>
            <w:shd w:val="clear" w:color="auto" w:fill="A6A6A6" w:themeFill="background1" w:themeFillShade="A6"/>
            <w:noWrap/>
            <w:vAlign w:val="center"/>
            <w:hideMark/>
          </w:tcPr>
          <w:p w14:paraId="39119D46" w14:textId="77777777" w:rsidR="00723E93" w:rsidRPr="007F6332" w:rsidRDefault="00723E93">
            <w:pPr>
              <w:spacing w:after="0" w:line="240" w:lineRule="auto"/>
              <w:jc w:val="right"/>
              <w:rPr>
                <w:rFonts w:cs="Arial"/>
                <w:szCs w:val="22"/>
              </w:rPr>
            </w:pPr>
            <w:r w:rsidRPr="007F6332">
              <w:rPr>
                <w:rFonts w:cs="Arial"/>
                <w:szCs w:val="22"/>
              </w:rPr>
              <w:t>37,960</w:t>
            </w:r>
          </w:p>
        </w:tc>
      </w:tr>
      <w:tr w:rsidR="00723E93" w:rsidRPr="007F6332" w14:paraId="65A828F8" w14:textId="77777777" w:rsidTr="00C1755E">
        <w:trPr>
          <w:trHeight w:val="340"/>
        </w:trPr>
        <w:tc>
          <w:tcPr>
            <w:tcW w:w="3460" w:type="dxa"/>
            <w:tcBorders>
              <w:left w:val="nil"/>
              <w:bottom w:val="single" w:sz="8" w:space="0" w:color="auto"/>
              <w:right w:val="nil"/>
            </w:tcBorders>
            <w:shd w:val="clear" w:color="auto" w:fill="B398B8"/>
            <w:noWrap/>
            <w:vAlign w:val="center"/>
            <w:hideMark/>
          </w:tcPr>
          <w:p w14:paraId="5B337481" w14:textId="77777777" w:rsidR="00723E93" w:rsidRPr="007F6332" w:rsidRDefault="00723E93">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Scheme plan budgets</w:t>
            </w:r>
          </w:p>
        </w:tc>
        <w:tc>
          <w:tcPr>
            <w:tcW w:w="1066" w:type="dxa"/>
            <w:tcBorders>
              <w:left w:val="nil"/>
              <w:bottom w:val="single" w:sz="8" w:space="0" w:color="auto"/>
              <w:right w:val="nil"/>
            </w:tcBorders>
            <w:shd w:val="clear" w:color="auto" w:fill="B398B8"/>
            <w:noWrap/>
            <w:vAlign w:val="center"/>
            <w:hideMark/>
          </w:tcPr>
          <w:p w14:paraId="60097013"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cs="Arial"/>
                <w:b/>
                <w:bCs/>
                <w:color w:val="000000"/>
                <w:szCs w:val="22"/>
              </w:rPr>
              <w:t>53,183</w:t>
            </w:r>
          </w:p>
        </w:tc>
        <w:tc>
          <w:tcPr>
            <w:tcW w:w="1080" w:type="dxa"/>
            <w:tcBorders>
              <w:left w:val="nil"/>
              <w:bottom w:val="single" w:sz="8" w:space="0" w:color="auto"/>
              <w:right w:val="nil"/>
            </w:tcBorders>
            <w:shd w:val="clear" w:color="auto" w:fill="B398B8"/>
            <w:noWrap/>
            <w:vAlign w:val="center"/>
            <w:hideMark/>
          </w:tcPr>
          <w:p w14:paraId="651D625D"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cs="Arial"/>
                <w:b/>
                <w:bCs/>
                <w:color w:val="000000"/>
                <w:szCs w:val="22"/>
              </w:rPr>
              <w:t>59,253</w:t>
            </w:r>
          </w:p>
        </w:tc>
        <w:tc>
          <w:tcPr>
            <w:tcW w:w="1100" w:type="dxa"/>
            <w:tcBorders>
              <w:left w:val="nil"/>
              <w:bottom w:val="single" w:sz="8" w:space="0" w:color="auto"/>
              <w:right w:val="nil"/>
            </w:tcBorders>
            <w:shd w:val="clear" w:color="auto" w:fill="B398B8"/>
            <w:noWrap/>
            <w:vAlign w:val="center"/>
            <w:hideMark/>
          </w:tcPr>
          <w:p w14:paraId="33538558"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cs="Arial"/>
                <w:b/>
                <w:bCs/>
                <w:color w:val="000000"/>
                <w:szCs w:val="22"/>
              </w:rPr>
              <w:t>64,623</w:t>
            </w:r>
          </w:p>
        </w:tc>
        <w:tc>
          <w:tcPr>
            <w:tcW w:w="1180" w:type="dxa"/>
            <w:tcBorders>
              <w:left w:val="nil"/>
              <w:bottom w:val="single" w:sz="8" w:space="0" w:color="auto"/>
              <w:right w:val="dashSmallGap" w:sz="4" w:space="0" w:color="auto"/>
            </w:tcBorders>
            <w:shd w:val="clear" w:color="auto" w:fill="B398B8"/>
            <w:noWrap/>
            <w:vAlign w:val="center"/>
            <w:hideMark/>
          </w:tcPr>
          <w:p w14:paraId="262F489A"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cs="Arial"/>
                <w:b/>
                <w:bCs/>
                <w:color w:val="000000"/>
                <w:szCs w:val="22"/>
              </w:rPr>
              <w:t>70,067</w:t>
            </w:r>
          </w:p>
        </w:tc>
        <w:tc>
          <w:tcPr>
            <w:tcW w:w="1180" w:type="dxa"/>
            <w:tcBorders>
              <w:left w:val="dashSmallGap" w:sz="4" w:space="0" w:color="auto"/>
              <w:bottom w:val="single" w:sz="8" w:space="0" w:color="auto"/>
              <w:right w:val="nil"/>
            </w:tcBorders>
            <w:shd w:val="clear" w:color="auto" w:fill="B398B8"/>
            <w:noWrap/>
            <w:vAlign w:val="center"/>
            <w:hideMark/>
          </w:tcPr>
          <w:p w14:paraId="7F01084B"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cs="Arial"/>
                <w:b/>
                <w:bCs/>
                <w:color w:val="000000"/>
                <w:szCs w:val="22"/>
              </w:rPr>
              <w:t>116,587</w:t>
            </w:r>
          </w:p>
        </w:tc>
      </w:tr>
      <w:tr w:rsidR="00723E93" w:rsidRPr="007F6332" w14:paraId="0415AB47" w14:textId="77777777" w:rsidTr="00970232">
        <w:trPr>
          <w:trHeight w:val="461"/>
        </w:trPr>
        <w:tc>
          <w:tcPr>
            <w:tcW w:w="3460" w:type="dxa"/>
            <w:tcBorders>
              <w:top w:val="single" w:sz="8" w:space="0" w:color="auto"/>
              <w:left w:val="nil"/>
              <w:bottom w:val="nil"/>
              <w:right w:val="nil"/>
            </w:tcBorders>
            <w:shd w:val="clear" w:color="auto" w:fill="6B2976"/>
            <w:noWrap/>
            <w:vAlign w:val="center"/>
            <w:hideMark/>
          </w:tcPr>
          <w:p w14:paraId="7F389884" w14:textId="77777777" w:rsidR="00723E93" w:rsidRPr="007F6332" w:rsidRDefault="00723E93">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Scheme plan budgets (%)</w:t>
            </w:r>
          </w:p>
        </w:tc>
        <w:tc>
          <w:tcPr>
            <w:tcW w:w="1066" w:type="dxa"/>
            <w:tcBorders>
              <w:top w:val="single" w:sz="8" w:space="0" w:color="auto"/>
              <w:left w:val="nil"/>
              <w:bottom w:val="nil"/>
              <w:right w:val="nil"/>
            </w:tcBorders>
            <w:shd w:val="clear" w:color="auto" w:fill="6B2976"/>
            <w:noWrap/>
            <w:vAlign w:val="center"/>
            <w:hideMark/>
          </w:tcPr>
          <w:p w14:paraId="39400BC5"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080" w:type="dxa"/>
            <w:tcBorders>
              <w:top w:val="single" w:sz="8" w:space="0" w:color="auto"/>
              <w:left w:val="nil"/>
              <w:bottom w:val="nil"/>
              <w:right w:val="nil"/>
            </w:tcBorders>
            <w:shd w:val="clear" w:color="auto" w:fill="6B2976"/>
            <w:noWrap/>
            <w:vAlign w:val="center"/>
            <w:hideMark/>
          </w:tcPr>
          <w:p w14:paraId="69105C4E"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00" w:type="dxa"/>
            <w:tcBorders>
              <w:top w:val="single" w:sz="8" w:space="0" w:color="auto"/>
              <w:left w:val="nil"/>
              <w:bottom w:val="nil"/>
              <w:right w:val="nil"/>
            </w:tcBorders>
            <w:shd w:val="clear" w:color="auto" w:fill="6B2976"/>
            <w:noWrap/>
            <w:vAlign w:val="center"/>
            <w:hideMark/>
          </w:tcPr>
          <w:p w14:paraId="33B21113"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180" w:type="dxa"/>
            <w:tcBorders>
              <w:top w:val="single" w:sz="8" w:space="0" w:color="auto"/>
              <w:left w:val="nil"/>
              <w:bottom w:val="nil"/>
              <w:right w:val="dashSmallGap" w:sz="4" w:space="0" w:color="auto"/>
            </w:tcBorders>
            <w:shd w:val="clear" w:color="auto" w:fill="6B2976"/>
            <w:noWrap/>
            <w:vAlign w:val="center"/>
            <w:hideMark/>
          </w:tcPr>
          <w:p w14:paraId="5145DF97"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80" w:type="dxa"/>
            <w:tcBorders>
              <w:top w:val="single" w:sz="8" w:space="0" w:color="auto"/>
              <w:left w:val="dashSmallGap" w:sz="4" w:space="0" w:color="auto"/>
              <w:bottom w:val="nil"/>
              <w:right w:val="nil"/>
            </w:tcBorders>
            <w:shd w:val="clear" w:color="auto" w:fill="6B2976"/>
            <w:noWrap/>
            <w:vAlign w:val="center"/>
            <w:hideMark/>
          </w:tcPr>
          <w:p w14:paraId="009F8DF5"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52E4C8C2" w14:textId="77777777" w:rsidTr="00970232">
        <w:trPr>
          <w:trHeight w:val="340"/>
        </w:trPr>
        <w:tc>
          <w:tcPr>
            <w:tcW w:w="3460" w:type="dxa"/>
            <w:noWrap/>
            <w:vAlign w:val="center"/>
            <w:hideMark/>
          </w:tcPr>
          <w:p w14:paraId="4E5869E8"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Existing Scheme participants</w:t>
            </w:r>
          </w:p>
        </w:tc>
        <w:tc>
          <w:tcPr>
            <w:tcW w:w="1066" w:type="dxa"/>
            <w:noWrap/>
            <w:vAlign w:val="center"/>
            <w:hideMark/>
          </w:tcPr>
          <w:p w14:paraId="30E3C793"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97.5%</w:t>
            </w:r>
          </w:p>
        </w:tc>
        <w:tc>
          <w:tcPr>
            <w:tcW w:w="1080" w:type="dxa"/>
            <w:noWrap/>
            <w:vAlign w:val="center"/>
            <w:hideMark/>
          </w:tcPr>
          <w:p w14:paraId="2D6C2846"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92.7%</w:t>
            </w:r>
          </w:p>
        </w:tc>
        <w:tc>
          <w:tcPr>
            <w:tcW w:w="1100" w:type="dxa"/>
            <w:noWrap/>
            <w:vAlign w:val="center"/>
            <w:hideMark/>
          </w:tcPr>
          <w:p w14:paraId="2951BF0D"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88.2%</w:t>
            </w:r>
          </w:p>
        </w:tc>
        <w:tc>
          <w:tcPr>
            <w:tcW w:w="1180" w:type="dxa"/>
            <w:tcBorders>
              <w:top w:val="nil"/>
              <w:left w:val="nil"/>
              <w:right w:val="dashSmallGap" w:sz="4" w:space="0" w:color="auto"/>
            </w:tcBorders>
            <w:noWrap/>
            <w:vAlign w:val="center"/>
            <w:hideMark/>
          </w:tcPr>
          <w:p w14:paraId="401B2359"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84.4%</w:t>
            </w:r>
          </w:p>
        </w:tc>
        <w:tc>
          <w:tcPr>
            <w:tcW w:w="1180" w:type="dxa"/>
            <w:tcBorders>
              <w:left w:val="dashSmallGap" w:sz="4" w:space="0" w:color="auto"/>
            </w:tcBorders>
            <w:noWrap/>
            <w:vAlign w:val="center"/>
            <w:hideMark/>
          </w:tcPr>
          <w:p w14:paraId="6C27EE10"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67.4%</w:t>
            </w:r>
          </w:p>
        </w:tc>
      </w:tr>
      <w:tr w:rsidR="00723E93" w:rsidRPr="007F6332" w14:paraId="08085CCF" w14:textId="77777777" w:rsidTr="00C1755E">
        <w:trPr>
          <w:trHeight w:val="340"/>
        </w:trPr>
        <w:tc>
          <w:tcPr>
            <w:tcW w:w="3460" w:type="dxa"/>
            <w:shd w:val="clear" w:color="auto" w:fill="A6A6A6" w:themeFill="background1" w:themeFillShade="A6"/>
            <w:noWrap/>
            <w:vAlign w:val="center"/>
            <w:hideMark/>
          </w:tcPr>
          <w:p w14:paraId="2DF69883" w14:textId="101A670F"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Future participant</w:t>
            </w:r>
            <w:r w:rsidR="00DC02B5" w:rsidRPr="007F6332">
              <w:rPr>
                <w:rFonts w:eastAsia="Times New Roman" w:cs="Arial"/>
                <w:color w:val="000000"/>
                <w:szCs w:val="22"/>
                <w:lang w:eastAsia="en-AU"/>
              </w:rPr>
              <w:t>s</w:t>
            </w:r>
          </w:p>
        </w:tc>
        <w:tc>
          <w:tcPr>
            <w:tcW w:w="1066" w:type="dxa"/>
            <w:shd w:val="clear" w:color="auto" w:fill="A6A6A6" w:themeFill="background1" w:themeFillShade="A6"/>
            <w:noWrap/>
            <w:vAlign w:val="center"/>
            <w:hideMark/>
          </w:tcPr>
          <w:p w14:paraId="6845B1DA"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w:t>
            </w:r>
          </w:p>
        </w:tc>
        <w:tc>
          <w:tcPr>
            <w:tcW w:w="1080" w:type="dxa"/>
            <w:shd w:val="clear" w:color="auto" w:fill="A6A6A6" w:themeFill="background1" w:themeFillShade="A6"/>
            <w:noWrap/>
            <w:vAlign w:val="center"/>
            <w:hideMark/>
          </w:tcPr>
          <w:p w14:paraId="54C4F759"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7.3%</w:t>
            </w:r>
          </w:p>
        </w:tc>
        <w:tc>
          <w:tcPr>
            <w:tcW w:w="1100" w:type="dxa"/>
            <w:shd w:val="clear" w:color="auto" w:fill="A6A6A6" w:themeFill="background1" w:themeFillShade="A6"/>
            <w:noWrap/>
            <w:vAlign w:val="center"/>
            <w:hideMark/>
          </w:tcPr>
          <w:p w14:paraId="2351F48A"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11.8%</w:t>
            </w:r>
          </w:p>
        </w:tc>
        <w:tc>
          <w:tcPr>
            <w:tcW w:w="1180" w:type="dxa"/>
            <w:tcBorders>
              <w:right w:val="dashSmallGap" w:sz="4" w:space="0" w:color="auto"/>
            </w:tcBorders>
            <w:shd w:val="clear" w:color="auto" w:fill="A6A6A6" w:themeFill="background1" w:themeFillShade="A6"/>
            <w:noWrap/>
            <w:vAlign w:val="center"/>
            <w:hideMark/>
          </w:tcPr>
          <w:p w14:paraId="1A1F187E"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15.6%</w:t>
            </w:r>
          </w:p>
        </w:tc>
        <w:tc>
          <w:tcPr>
            <w:tcW w:w="1180" w:type="dxa"/>
            <w:tcBorders>
              <w:left w:val="dashSmallGap" w:sz="4" w:space="0" w:color="auto"/>
            </w:tcBorders>
            <w:shd w:val="clear" w:color="auto" w:fill="A6A6A6" w:themeFill="background1" w:themeFillShade="A6"/>
            <w:noWrap/>
            <w:vAlign w:val="center"/>
            <w:hideMark/>
          </w:tcPr>
          <w:p w14:paraId="35FB62C1"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32.6%</w:t>
            </w:r>
          </w:p>
        </w:tc>
      </w:tr>
      <w:tr w:rsidR="00723E93" w:rsidRPr="007F6332" w14:paraId="55A9F9A6" w14:textId="77777777" w:rsidTr="00C1755E">
        <w:trPr>
          <w:trHeight w:val="340"/>
        </w:trPr>
        <w:tc>
          <w:tcPr>
            <w:tcW w:w="3460" w:type="dxa"/>
            <w:tcBorders>
              <w:left w:val="nil"/>
              <w:bottom w:val="single" w:sz="8" w:space="0" w:color="auto"/>
              <w:right w:val="nil"/>
            </w:tcBorders>
            <w:shd w:val="clear" w:color="auto" w:fill="B398B8"/>
            <w:noWrap/>
            <w:vAlign w:val="center"/>
            <w:hideMark/>
          </w:tcPr>
          <w:p w14:paraId="43DD2ABF" w14:textId="77777777" w:rsidR="00723E93" w:rsidRPr="007F6332" w:rsidRDefault="00723E93">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Scheme plan budgets</w:t>
            </w:r>
          </w:p>
        </w:tc>
        <w:tc>
          <w:tcPr>
            <w:tcW w:w="1066" w:type="dxa"/>
            <w:tcBorders>
              <w:left w:val="nil"/>
              <w:bottom w:val="single" w:sz="8" w:space="0" w:color="auto"/>
              <w:right w:val="nil"/>
            </w:tcBorders>
            <w:shd w:val="clear" w:color="auto" w:fill="B398B8"/>
            <w:noWrap/>
            <w:vAlign w:val="center"/>
            <w:hideMark/>
          </w:tcPr>
          <w:p w14:paraId="16BDA80C"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w:t>
            </w:r>
          </w:p>
        </w:tc>
        <w:tc>
          <w:tcPr>
            <w:tcW w:w="1080" w:type="dxa"/>
            <w:tcBorders>
              <w:left w:val="nil"/>
              <w:bottom w:val="single" w:sz="8" w:space="0" w:color="auto"/>
              <w:right w:val="nil"/>
            </w:tcBorders>
            <w:shd w:val="clear" w:color="auto" w:fill="B398B8"/>
            <w:noWrap/>
            <w:vAlign w:val="center"/>
            <w:hideMark/>
          </w:tcPr>
          <w:p w14:paraId="04E492DA"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w:t>
            </w:r>
          </w:p>
        </w:tc>
        <w:tc>
          <w:tcPr>
            <w:tcW w:w="1100" w:type="dxa"/>
            <w:tcBorders>
              <w:left w:val="nil"/>
              <w:bottom w:val="single" w:sz="8" w:space="0" w:color="auto"/>
              <w:right w:val="nil"/>
            </w:tcBorders>
            <w:shd w:val="clear" w:color="auto" w:fill="B398B8"/>
            <w:noWrap/>
            <w:vAlign w:val="center"/>
            <w:hideMark/>
          </w:tcPr>
          <w:p w14:paraId="4FE27B67"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w:t>
            </w:r>
          </w:p>
        </w:tc>
        <w:tc>
          <w:tcPr>
            <w:tcW w:w="1180" w:type="dxa"/>
            <w:tcBorders>
              <w:left w:val="nil"/>
              <w:bottom w:val="single" w:sz="8" w:space="0" w:color="auto"/>
              <w:right w:val="dashSmallGap" w:sz="4" w:space="0" w:color="auto"/>
            </w:tcBorders>
            <w:shd w:val="clear" w:color="auto" w:fill="B398B8"/>
            <w:noWrap/>
            <w:vAlign w:val="center"/>
            <w:hideMark/>
          </w:tcPr>
          <w:p w14:paraId="3EA4FFD3"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w:t>
            </w:r>
          </w:p>
        </w:tc>
        <w:tc>
          <w:tcPr>
            <w:tcW w:w="1180" w:type="dxa"/>
            <w:tcBorders>
              <w:left w:val="dashSmallGap" w:sz="4" w:space="0" w:color="auto"/>
              <w:bottom w:val="single" w:sz="8" w:space="0" w:color="auto"/>
              <w:right w:val="nil"/>
            </w:tcBorders>
            <w:shd w:val="clear" w:color="auto" w:fill="B398B8"/>
            <w:noWrap/>
            <w:vAlign w:val="center"/>
            <w:hideMark/>
          </w:tcPr>
          <w:p w14:paraId="5AF72096"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w:t>
            </w:r>
          </w:p>
        </w:tc>
      </w:tr>
    </w:tbl>
    <w:p w14:paraId="1B9A82DA" w14:textId="77777777" w:rsidR="00723E93" w:rsidRPr="007F6332" w:rsidRDefault="00723E93" w:rsidP="001D062D">
      <w:pPr>
        <w:pStyle w:val="Heading4"/>
        <w:ind w:left="851" w:hanging="851"/>
        <w:rPr>
          <w:rFonts w:cs="Arial"/>
        </w:rPr>
      </w:pPr>
      <w:r w:rsidRPr="007F6332">
        <w:rPr>
          <w:rFonts w:cs="Arial"/>
        </w:rPr>
        <w:t>Average plan budget assumptions</w:t>
      </w:r>
    </w:p>
    <w:p w14:paraId="119AA7A9" w14:textId="5FF065B7" w:rsidR="00723E93" w:rsidRPr="007F6332" w:rsidRDefault="00723E93" w:rsidP="00723E93">
      <w:pPr>
        <w:pStyle w:val="FSRnormal"/>
        <w:rPr>
          <w:rFonts w:eastAsia="Times New Roman" w:cs="Arial"/>
          <w:lang w:eastAsia="en-AU"/>
        </w:rPr>
      </w:pPr>
      <w:r w:rsidRPr="007F6332">
        <w:rPr>
          <w:rFonts w:cs="Arial"/>
        </w:rPr>
        <w:t>Table 5.</w:t>
      </w:r>
      <w:r w:rsidR="003B4006" w:rsidRPr="007F6332">
        <w:rPr>
          <w:rFonts w:cs="Arial"/>
        </w:rPr>
        <w:t>11</w:t>
      </w:r>
      <w:r w:rsidRPr="007F6332">
        <w:rPr>
          <w:rFonts w:cs="Arial"/>
        </w:rPr>
        <w:t xml:space="preserve"> shows that the projected average annualised plan budget is expected to increase by 4.2% from about $79,800 in 2022-23 to $83,100 in 2023-24. This is driven by price limit changes from the 2022-23 Annual Pricing Review and additional growth due to increased use of supports over time. It is partially offset by the changing mix of participants, as the increasing proportion of participants in the Scheme who are children and/or have a high level of function has the effect of lowering the average plan budget over time. By 2026-27, the average plan budget is projected to be $90,600.</w:t>
      </w:r>
    </w:p>
    <w:p w14:paraId="751EB64A" w14:textId="4D224F8B" w:rsidR="00723E93" w:rsidRPr="007F6332" w:rsidRDefault="00723E93" w:rsidP="00823FC9">
      <w:pPr>
        <w:pStyle w:val="FiguresandTablesHeading5"/>
      </w:pPr>
      <w:r w:rsidRPr="007F6332">
        <w:t xml:space="preserve">Table </w:t>
      </w:r>
      <w:r w:rsidR="0045717D" w:rsidRPr="007F6332">
        <w:t>5.11</w:t>
      </w:r>
      <w:r w:rsidRPr="007F6332">
        <w:t>: Projected average plan budgets</w:t>
      </w:r>
    </w:p>
    <w:tbl>
      <w:tblPr>
        <w:tblW w:w="5000" w:type="pct"/>
        <w:tblLook w:val="04A0" w:firstRow="1" w:lastRow="0" w:firstColumn="1" w:lastColumn="0" w:noHBand="0" w:noVBand="1"/>
      </w:tblPr>
      <w:tblGrid>
        <w:gridCol w:w="2687"/>
        <w:gridCol w:w="1060"/>
        <w:gridCol w:w="1060"/>
        <w:gridCol w:w="1060"/>
        <w:gridCol w:w="1061"/>
        <w:gridCol w:w="1061"/>
        <w:gridCol w:w="1061"/>
      </w:tblGrid>
      <w:tr w:rsidR="00723E93" w:rsidRPr="007F6332" w14:paraId="6FBDD019" w14:textId="77777777" w:rsidTr="00970232">
        <w:trPr>
          <w:trHeight w:val="489"/>
        </w:trPr>
        <w:tc>
          <w:tcPr>
            <w:tcW w:w="1364" w:type="pct"/>
            <w:tcBorders>
              <w:top w:val="single" w:sz="8" w:space="0" w:color="auto"/>
              <w:left w:val="nil"/>
              <w:right w:val="nil"/>
            </w:tcBorders>
            <w:shd w:val="clear" w:color="auto" w:fill="6B2976"/>
            <w:noWrap/>
            <w:vAlign w:val="center"/>
            <w:hideMark/>
          </w:tcPr>
          <w:p w14:paraId="3644220E" w14:textId="77777777" w:rsidR="00723E93" w:rsidRPr="007F6332" w:rsidRDefault="00723E93">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 </w:t>
            </w:r>
          </w:p>
        </w:tc>
        <w:tc>
          <w:tcPr>
            <w:tcW w:w="606" w:type="pct"/>
            <w:tcBorders>
              <w:top w:val="single" w:sz="8" w:space="0" w:color="auto"/>
              <w:left w:val="nil"/>
              <w:right w:val="nil"/>
            </w:tcBorders>
            <w:shd w:val="clear" w:color="auto" w:fill="6B2976"/>
            <w:noWrap/>
            <w:vAlign w:val="center"/>
            <w:hideMark/>
          </w:tcPr>
          <w:p w14:paraId="6EDB3F96"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2022-23</w:t>
            </w:r>
          </w:p>
        </w:tc>
        <w:tc>
          <w:tcPr>
            <w:tcW w:w="606" w:type="pct"/>
            <w:tcBorders>
              <w:top w:val="single" w:sz="8" w:space="0" w:color="auto"/>
              <w:left w:val="nil"/>
              <w:right w:val="nil"/>
            </w:tcBorders>
            <w:shd w:val="clear" w:color="auto" w:fill="6B2976"/>
            <w:noWrap/>
            <w:vAlign w:val="center"/>
            <w:hideMark/>
          </w:tcPr>
          <w:p w14:paraId="6C2348CA"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606" w:type="pct"/>
            <w:tcBorders>
              <w:top w:val="single" w:sz="8" w:space="0" w:color="auto"/>
              <w:left w:val="nil"/>
              <w:right w:val="nil"/>
            </w:tcBorders>
            <w:shd w:val="clear" w:color="auto" w:fill="6B2976"/>
            <w:noWrap/>
            <w:vAlign w:val="center"/>
            <w:hideMark/>
          </w:tcPr>
          <w:p w14:paraId="20AC4B6C"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606" w:type="pct"/>
            <w:tcBorders>
              <w:top w:val="single" w:sz="8" w:space="0" w:color="auto"/>
              <w:left w:val="nil"/>
              <w:right w:val="nil"/>
            </w:tcBorders>
            <w:shd w:val="clear" w:color="auto" w:fill="6B2976"/>
            <w:noWrap/>
            <w:vAlign w:val="center"/>
            <w:hideMark/>
          </w:tcPr>
          <w:p w14:paraId="0CD62037"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606" w:type="pct"/>
            <w:tcBorders>
              <w:top w:val="single" w:sz="8" w:space="0" w:color="auto"/>
              <w:left w:val="nil"/>
              <w:right w:val="nil"/>
            </w:tcBorders>
            <w:shd w:val="clear" w:color="auto" w:fill="6B2976"/>
            <w:noWrap/>
            <w:vAlign w:val="center"/>
            <w:hideMark/>
          </w:tcPr>
          <w:p w14:paraId="0D9E9761"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606" w:type="pct"/>
            <w:tcBorders>
              <w:top w:val="single" w:sz="8" w:space="0" w:color="auto"/>
              <w:left w:val="nil"/>
              <w:right w:val="nil"/>
            </w:tcBorders>
            <w:shd w:val="clear" w:color="auto" w:fill="6B2976"/>
            <w:noWrap/>
            <w:vAlign w:val="center"/>
            <w:hideMark/>
          </w:tcPr>
          <w:p w14:paraId="18221CF6"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1865E935" w14:textId="77777777" w:rsidTr="00970232">
        <w:trPr>
          <w:trHeight w:val="397"/>
        </w:trPr>
        <w:tc>
          <w:tcPr>
            <w:tcW w:w="1364" w:type="pct"/>
            <w:tcBorders>
              <w:bottom w:val="single" w:sz="4" w:space="0" w:color="auto"/>
            </w:tcBorders>
            <w:shd w:val="clear" w:color="auto" w:fill="A6A6A6" w:themeFill="background1" w:themeFillShade="A6"/>
            <w:noWrap/>
            <w:vAlign w:val="center"/>
            <w:hideMark/>
          </w:tcPr>
          <w:p w14:paraId="5FE53AE7"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Average plan budgets ($)</w:t>
            </w:r>
          </w:p>
        </w:tc>
        <w:tc>
          <w:tcPr>
            <w:tcW w:w="606" w:type="pct"/>
            <w:tcBorders>
              <w:bottom w:val="single" w:sz="4" w:space="0" w:color="auto"/>
            </w:tcBorders>
            <w:shd w:val="clear" w:color="auto" w:fill="A6A6A6" w:themeFill="background1" w:themeFillShade="A6"/>
            <w:noWrap/>
            <w:vAlign w:val="center"/>
            <w:hideMark/>
          </w:tcPr>
          <w:p w14:paraId="78119871"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79,800</w:t>
            </w:r>
          </w:p>
        </w:tc>
        <w:tc>
          <w:tcPr>
            <w:tcW w:w="606" w:type="pct"/>
            <w:tcBorders>
              <w:bottom w:val="single" w:sz="4" w:space="0" w:color="auto"/>
            </w:tcBorders>
            <w:shd w:val="clear" w:color="auto" w:fill="A6A6A6" w:themeFill="background1" w:themeFillShade="A6"/>
            <w:noWrap/>
            <w:vAlign w:val="center"/>
            <w:hideMark/>
          </w:tcPr>
          <w:p w14:paraId="56120FCD"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83,100</w:t>
            </w:r>
          </w:p>
        </w:tc>
        <w:tc>
          <w:tcPr>
            <w:tcW w:w="606" w:type="pct"/>
            <w:tcBorders>
              <w:bottom w:val="single" w:sz="4" w:space="0" w:color="auto"/>
            </w:tcBorders>
            <w:shd w:val="clear" w:color="auto" w:fill="A6A6A6" w:themeFill="background1" w:themeFillShade="A6"/>
            <w:noWrap/>
            <w:vAlign w:val="center"/>
            <w:hideMark/>
          </w:tcPr>
          <w:p w14:paraId="0DF502EB"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85,600</w:t>
            </w:r>
          </w:p>
        </w:tc>
        <w:tc>
          <w:tcPr>
            <w:tcW w:w="606" w:type="pct"/>
            <w:tcBorders>
              <w:bottom w:val="single" w:sz="4" w:space="0" w:color="auto"/>
            </w:tcBorders>
            <w:shd w:val="clear" w:color="auto" w:fill="A6A6A6" w:themeFill="background1" w:themeFillShade="A6"/>
            <w:noWrap/>
            <w:vAlign w:val="center"/>
            <w:hideMark/>
          </w:tcPr>
          <w:p w14:paraId="0B7DA3E0"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88,000</w:t>
            </w:r>
          </w:p>
        </w:tc>
        <w:tc>
          <w:tcPr>
            <w:tcW w:w="606" w:type="pct"/>
            <w:tcBorders>
              <w:bottom w:val="single" w:sz="4" w:space="0" w:color="auto"/>
            </w:tcBorders>
            <w:shd w:val="clear" w:color="auto" w:fill="A6A6A6" w:themeFill="background1" w:themeFillShade="A6"/>
            <w:noWrap/>
            <w:vAlign w:val="center"/>
            <w:hideMark/>
          </w:tcPr>
          <w:p w14:paraId="6E048C2F"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90,600</w:t>
            </w:r>
          </w:p>
        </w:tc>
        <w:tc>
          <w:tcPr>
            <w:tcW w:w="606" w:type="pct"/>
            <w:tcBorders>
              <w:bottom w:val="single" w:sz="4" w:space="0" w:color="auto"/>
            </w:tcBorders>
            <w:shd w:val="clear" w:color="auto" w:fill="A6A6A6" w:themeFill="background1" w:themeFillShade="A6"/>
            <w:noWrap/>
            <w:vAlign w:val="center"/>
            <w:hideMark/>
          </w:tcPr>
          <w:p w14:paraId="3F82CFAD"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115,400</w:t>
            </w:r>
          </w:p>
        </w:tc>
      </w:tr>
    </w:tbl>
    <w:p w14:paraId="18B04310" w14:textId="41779E72" w:rsidR="00723E93" w:rsidRPr="007F6332" w:rsidRDefault="00723E93" w:rsidP="00723E93">
      <w:pPr>
        <w:pStyle w:val="FSRnormal"/>
        <w:rPr>
          <w:rFonts w:eastAsia="Times New Roman" w:cs="Arial"/>
          <w:lang w:eastAsia="en-AU"/>
        </w:rPr>
      </w:pPr>
      <w:r w:rsidRPr="007F6332">
        <w:rPr>
          <w:rFonts w:cs="Arial"/>
        </w:rPr>
        <w:fldChar w:fldCharType="begin"/>
      </w:r>
      <w:r w:rsidRPr="007F6332">
        <w:rPr>
          <w:rFonts w:eastAsia="Times New Roman" w:cs="Arial"/>
          <w:lang w:eastAsia="en-AU"/>
        </w:rPr>
        <w:instrText xml:space="preserve"> REF _Ref113277696 \h </w:instrText>
      </w:r>
      <w:r w:rsidRPr="007F6332">
        <w:rPr>
          <w:rFonts w:cs="Arial"/>
        </w:rPr>
        <w:instrText xml:space="preserve"> \* MERGEFORMAT </w:instrText>
      </w:r>
      <w:r w:rsidRPr="007F6332">
        <w:rPr>
          <w:rFonts w:cs="Arial"/>
        </w:rPr>
      </w:r>
      <w:r w:rsidRPr="007F6332">
        <w:rPr>
          <w:rFonts w:cs="Arial"/>
        </w:rPr>
        <w:fldChar w:fldCharType="separate"/>
      </w:r>
      <w:r w:rsidR="00D82E58" w:rsidRPr="007F6332">
        <w:rPr>
          <w:rFonts w:cs="Arial"/>
        </w:rPr>
        <w:t xml:space="preserve">Table </w:t>
      </w:r>
      <w:r w:rsidRPr="007F6332">
        <w:rPr>
          <w:rFonts w:cs="Arial"/>
        </w:rPr>
        <w:fldChar w:fldCharType="end"/>
      </w:r>
      <w:r w:rsidR="00341842" w:rsidRPr="007F6332">
        <w:rPr>
          <w:rFonts w:cs="Arial"/>
        </w:rPr>
        <w:t>5.</w:t>
      </w:r>
      <w:r w:rsidR="00950565" w:rsidRPr="007F6332">
        <w:rPr>
          <w:rFonts w:cs="Arial"/>
        </w:rPr>
        <w:t>12</w:t>
      </w:r>
      <w:r w:rsidRPr="007F6332">
        <w:rPr>
          <w:rFonts w:eastAsia="Times New Roman" w:cs="Arial"/>
          <w:lang w:eastAsia="en-AU"/>
        </w:rPr>
        <w:t xml:space="preserve"> displays the 2023-24 projected average annualised plan budgets for participants without SIL supports; broken down by disability and age band.</w:t>
      </w:r>
    </w:p>
    <w:p w14:paraId="31B7AF6E" w14:textId="1451CAC5" w:rsidR="00723E93" w:rsidRPr="007F6332" w:rsidRDefault="00723E93" w:rsidP="00CE7E91">
      <w:pPr>
        <w:pStyle w:val="FSRlist"/>
        <w:numPr>
          <w:ilvl w:val="0"/>
          <w:numId w:val="43"/>
        </w:numPr>
        <w:rPr>
          <w:rFonts w:cs="Arial"/>
          <w:lang w:eastAsia="en-AU"/>
        </w:rPr>
      </w:pPr>
      <w:r w:rsidRPr="007F6332">
        <w:rPr>
          <w:rFonts w:cs="Arial"/>
          <w:lang w:eastAsia="en-AU"/>
        </w:rPr>
        <w:lastRenderedPageBreak/>
        <w:t>Children have lower average annualised plan budgets than adults, reflecting a higher proportion of early intervention participants and more informal supports, primarily provided by parents. </w:t>
      </w:r>
    </w:p>
    <w:p w14:paraId="6ED1E234" w14:textId="5C97CE51" w:rsidR="00723E93" w:rsidRPr="007F6332" w:rsidRDefault="00723E93" w:rsidP="00CE7E91">
      <w:pPr>
        <w:pStyle w:val="FSRlist"/>
        <w:numPr>
          <w:ilvl w:val="0"/>
          <w:numId w:val="43"/>
        </w:numPr>
        <w:rPr>
          <w:rFonts w:cs="Arial"/>
          <w:lang w:eastAsia="en-AU"/>
        </w:rPr>
      </w:pPr>
      <w:r w:rsidRPr="007F6332">
        <w:rPr>
          <w:rFonts w:cs="Arial"/>
          <w:lang w:eastAsia="en-AU"/>
        </w:rPr>
        <w:t>Participants with spinal cord injury, acquired brain injury</w:t>
      </w:r>
      <w:r w:rsidRPr="007F6332">
        <w:rPr>
          <w:rStyle w:val="FootnoteReference"/>
          <w:rFonts w:eastAsia="Times New Roman" w:cs="Arial"/>
          <w:lang w:eastAsia="en-AU"/>
        </w:rPr>
        <w:t xml:space="preserve"> </w:t>
      </w:r>
      <w:r w:rsidRPr="007F6332">
        <w:rPr>
          <w:rFonts w:eastAsia="Times New Roman" w:cs="Arial"/>
          <w:lang w:eastAsia="en-AU"/>
        </w:rPr>
        <w:t xml:space="preserve">and </w:t>
      </w:r>
      <w:r w:rsidRPr="007F6332">
        <w:rPr>
          <w:rFonts w:cs="Arial"/>
        </w:rPr>
        <w:t xml:space="preserve">cerebral palsy have </w:t>
      </w:r>
      <w:r w:rsidR="00DC02B5" w:rsidRPr="007F6332">
        <w:rPr>
          <w:rFonts w:cs="Arial"/>
        </w:rPr>
        <w:t>higher</w:t>
      </w:r>
      <w:r w:rsidRPr="007F6332">
        <w:rPr>
          <w:rFonts w:cs="Arial"/>
        </w:rPr>
        <w:t xml:space="preserve"> average plan budgets which reflects their higher support needs, while participants with hearing impairment, other sensory/speech</w:t>
      </w:r>
      <w:r w:rsidRPr="007F6332">
        <w:rPr>
          <w:rFonts w:eastAsia="Times New Roman" w:cs="Arial"/>
          <w:lang w:eastAsia="en-AU"/>
        </w:rPr>
        <w:t xml:space="preserve">, </w:t>
      </w:r>
      <w:r w:rsidRPr="007F6332">
        <w:rPr>
          <w:rFonts w:cs="Arial"/>
          <w:lang w:eastAsia="en-AU"/>
        </w:rPr>
        <w:t>and developmental delay have lower average plan budgets. </w:t>
      </w:r>
    </w:p>
    <w:p w14:paraId="04DFDD87" w14:textId="5FA622D6" w:rsidR="00723E93" w:rsidRPr="007F6332" w:rsidRDefault="00723E93" w:rsidP="00823FC9">
      <w:pPr>
        <w:pStyle w:val="FiguresandTablesHeading5"/>
      </w:pPr>
      <w:bookmarkStart w:id="145" w:name="_Ref113277696"/>
      <w:r w:rsidRPr="007F6332">
        <w:rPr>
          <w:rStyle w:val="Heading7Char"/>
          <w:rFonts w:cs="Arial"/>
          <w:b/>
        </w:rPr>
        <w:t xml:space="preserve">Table </w:t>
      </w:r>
      <w:bookmarkEnd w:id="145"/>
      <w:r w:rsidR="0045717D" w:rsidRPr="007F6332">
        <w:rPr>
          <w:rStyle w:val="Heading7Char"/>
          <w:rFonts w:cs="Arial"/>
          <w:b/>
        </w:rPr>
        <w:t>5.12</w:t>
      </w:r>
      <w:r w:rsidRPr="007F6332">
        <w:rPr>
          <w:rStyle w:val="Heading7Char"/>
          <w:rFonts w:cs="Arial"/>
          <w:b/>
        </w:rPr>
        <w:t>: Average annualised plan budgets ($) for participant</w:t>
      </w:r>
      <w:r w:rsidR="00393048" w:rsidRPr="007F6332">
        <w:rPr>
          <w:rStyle w:val="Heading7Char"/>
          <w:rFonts w:cs="Arial"/>
          <w:b/>
        </w:rPr>
        <w:t>s</w:t>
      </w:r>
      <w:r w:rsidRPr="007F6332">
        <w:rPr>
          <w:rStyle w:val="Heading7Char"/>
          <w:rFonts w:cs="Arial"/>
          <w:b/>
        </w:rPr>
        <w:t xml:space="preserve"> without SIL by age band and disability group in 2023-24 </w:t>
      </w:r>
      <w:r w:rsidR="00393048" w:rsidRPr="007F6332">
        <w:rPr>
          <w:rStyle w:val="Heading7Char"/>
          <w:rFonts w:cs="Arial"/>
          <w:b/>
        </w:rPr>
        <w:t>after inflation</w:t>
      </w:r>
      <w:r w:rsidRPr="007F6332">
        <w:rPr>
          <w:rStyle w:val="FootnoteReference"/>
          <w:rFonts w:eastAsia="Times New Roman"/>
          <w:sz w:val="16"/>
          <w:szCs w:val="16"/>
          <w:lang w:eastAsia="en-AU"/>
        </w:rPr>
        <w:footnoteReference w:id="86"/>
      </w:r>
    </w:p>
    <w:tbl>
      <w:tblPr>
        <w:tblStyle w:val="FSRtable"/>
        <w:tblW w:w="4859" w:type="pct"/>
        <w:tblInd w:w="0" w:type="dxa"/>
        <w:tblLook w:val="04A0" w:firstRow="1" w:lastRow="0" w:firstColumn="1" w:lastColumn="0" w:noHBand="0" w:noVBand="1"/>
      </w:tblPr>
      <w:tblGrid>
        <w:gridCol w:w="2557"/>
        <w:gridCol w:w="1248"/>
        <w:gridCol w:w="1247"/>
        <w:gridCol w:w="1247"/>
        <w:gridCol w:w="1247"/>
        <w:gridCol w:w="1249"/>
      </w:tblGrid>
      <w:tr w:rsidR="003661F8" w:rsidRPr="007F6332" w14:paraId="14FAA774" w14:textId="77777777" w:rsidTr="001D062D">
        <w:trPr>
          <w:cnfStyle w:val="100000000000" w:firstRow="1" w:lastRow="0" w:firstColumn="0" w:lastColumn="0" w:oddVBand="0" w:evenVBand="0" w:oddHBand="0" w:evenHBand="0" w:firstRowFirstColumn="0" w:firstRowLastColumn="0" w:lastRowFirstColumn="0" w:lastRowLastColumn="0"/>
          <w:trHeight w:hRule="exact" w:val="430"/>
          <w:tblHeader/>
        </w:trPr>
        <w:tc>
          <w:tcPr>
            <w:cnfStyle w:val="001000000000" w:firstRow="0" w:lastRow="0" w:firstColumn="1" w:lastColumn="0" w:oddVBand="0" w:evenVBand="0" w:oddHBand="0" w:evenHBand="0" w:firstRowFirstColumn="0" w:firstRowLastColumn="0" w:lastRowFirstColumn="0" w:lastRowLastColumn="0"/>
            <w:tcW w:w="1452" w:type="pct"/>
            <w:tcBorders>
              <w:top w:val="single" w:sz="4" w:space="0" w:color="auto"/>
              <w:left w:val="nil"/>
              <w:bottom w:val="nil"/>
              <w:right w:val="nil"/>
            </w:tcBorders>
            <w:hideMark/>
          </w:tcPr>
          <w:p w14:paraId="1B42489B" w14:textId="77777777" w:rsidR="00723E93" w:rsidRPr="007F6332" w:rsidRDefault="00723E93" w:rsidP="007E3662">
            <w:pPr>
              <w:keepNext/>
              <w:keepLines w:val="0"/>
              <w:spacing w:line="240" w:lineRule="auto"/>
              <w:rPr>
                <w:rFonts w:eastAsia="Times New Roman"/>
                <w:bCs/>
                <w:szCs w:val="22"/>
                <w:lang w:eastAsia="en-AU"/>
              </w:rPr>
            </w:pPr>
            <w:r w:rsidRPr="007F6332">
              <w:rPr>
                <w:rFonts w:eastAsia="Times New Roman"/>
                <w:bCs/>
                <w:szCs w:val="22"/>
                <w:lang w:eastAsia="en-AU"/>
              </w:rPr>
              <w:t>Disability Group</w:t>
            </w:r>
          </w:p>
        </w:tc>
        <w:tc>
          <w:tcPr>
            <w:tcW w:w="709" w:type="pct"/>
            <w:tcBorders>
              <w:top w:val="single" w:sz="4" w:space="0" w:color="auto"/>
              <w:left w:val="nil"/>
              <w:bottom w:val="nil"/>
              <w:right w:val="nil"/>
            </w:tcBorders>
            <w:hideMark/>
          </w:tcPr>
          <w:p w14:paraId="58E81D80" w14:textId="77777777" w:rsidR="00723E93" w:rsidRPr="007F6332" w:rsidRDefault="00723E93">
            <w:pPr>
              <w:keepNext/>
              <w:keepLines w:val="0"/>
              <w:spacing w:line="240" w:lineRule="auto"/>
              <w:cnfStyle w:val="100000000000" w:firstRow="1" w:lastRow="0" w:firstColumn="0" w:lastColumn="0" w:oddVBand="0" w:evenVBand="0" w:oddHBand="0" w:evenHBand="0" w:firstRowFirstColumn="0" w:firstRowLastColumn="0" w:lastRowFirstColumn="0" w:lastRowLastColumn="0"/>
              <w:rPr>
                <w:rFonts w:eastAsia="Times New Roman"/>
                <w:szCs w:val="22"/>
                <w:lang w:eastAsia="en-AU"/>
              </w:rPr>
            </w:pPr>
            <w:r w:rsidRPr="007F6332">
              <w:rPr>
                <w:rFonts w:eastAsia="Times New Roman"/>
                <w:szCs w:val="22"/>
                <w:lang w:eastAsia="en-AU"/>
              </w:rPr>
              <w:t>0 to 14</w:t>
            </w:r>
          </w:p>
        </w:tc>
        <w:tc>
          <w:tcPr>
            <w:tcW w:w="709" w:type="pct"/>
            <w:tcBorders>
              <w:top w:val="single" w:sz="4" w:space="0" w:color="auto"/>
              <w:left w:val="nil"/>
              <w:bottom w:val="nil"/>
              <w:right w:val="nil"/>
            </w:tcBorders>
            <w:hideMark/>
          </w:tcPr>
          <w:p w14:paraId="5BC0A45F" w14:textId="77777777" w:rsidR="00723E93" w:rsidRPr="007F6332" w:rsidRDefault="00723E93">
            <w:pPr>
              <w:keepNext/>
              <w:keepLines w:val="0"/>
              <w:spacing w:line="240" w:lineRule="auto"/>
              <w:cnfStyle w:val="100000000000" w:firstRow="1" w:lastRow="0" w:firstColumn="0" w:lastColumn="0" w:oddVBand="0" w:evenVBand="0" w:oddHBand="0" w:evenHBand="0" w:firstRowFirstColumn="0" w:firstRowLastColumn="0" w:lastRowFirstColumn="0" w:lastRowLastColumn="0"/>
              <w:rPr>
                <w:rFonts w:eastAsia="Times New Roman"/>
                <w:szCs w:val="22"/>
                <w:lang w:eastAsia="en-AU"/>
              </w:rPr>
            </w:pPr>
            <w:r w:rsidRPr="007F6332">
              <w:rPr>
                <w:rFonts w:eastAsia="Times New Roman"/>
                <w:szCs w:val="22"/>
                <w:lang w:eastAsia="en-AU"/>
              </w:rPr>
              <w:t>15 to 24</w:t>
            </w:r>
          </w:p>
        </w:tc>
        <w:tc>
          <w:tcPr>
            <w:tcW w:w="709" w:type="pct"/>
            <w:tcBorders>
              <w:top w:val="single" w:sz="4" w:space="0" w:color="auto"/>
              <w:left w:val="nil"/>
              <w:bottom w:val="nil"/>
              <w:right w:val="nil"/>
            </w:tcBorders>
            <w:hideMark/>
          </w:tcPr>
          <w:p w14:paraId="086EA76F" w14:textId="77777777" w:rsidR="00723E93" w:rsidRPr="007F6332" w:rsidRDefault="00723E93">
            <w:pPr>
              <w:keepNext/>
              <w:keepLines w:val="0"/>
              <w:spacing w:line="240" w:lineRule="auto"/>
              <w:cnfStyle w:val="100000000000" w:firstRow="1" w:lastRow="0" w:firstColumn="0" w:lastColumn="0" w:oddVBand="0" w:evenVBand="0" w:oddHBand="0" w:evenHBand="0" w:firstRowFirstColumn="0" w:firstRowLastColumn="0" w:lastRowFirstColumn="0" w:lastRowLastColumn="0"/>
              <w:rPr>
                <w:rFonts w:eastAsia="Times New Roman"/>
                <w:szCs w:val="22"/>
                <w:lang w:eastAsia="en-AU"/>
              </w:rPr>
            </w:pPr>
            <w:r w:rsidRPr="007F6332">
              <w:rPr>
                <w:rFonts w:eastAsia="Times New Roman"/>
                <w:szCs w:val="22"/>
                <w:lang w:eastAsia="en-AU"/>
              </w:rPr>
              <w:t>25 to 64</w:t>
            </w:r>
          </w:p>
        </w:tc>
        <w:tc>
          <w:tcPr>
            <w:tcW w:w="709" w:type="pct"/>
            <w:tcBorders>
              <w:top w:val="single" w:sz="4" w:space="0" w:color="auto"/>
              <w:left w:val="nil"/>
              <w:bottom w:val="nil"/>
              <w:right w:val="nil"/>
            </w:tcBorders>
            <w:hideMark/>
          </w:tcPr>
          <w:p w14:paraId="1819F56A" w14:textId="77777777" w:rsidR="00723E93" w:rsidRPr="007F6332" w:rsidRDefault="00723E93">
            <w:pPr>
              <w:keepNext/>
              <w:keepLines w:val="0"/>
              <w:spacing w:line="240" w:lineRule="auto"/>
              <w:cnfStyle w:val="100000000000" w:firstRow="1" w:lastRow="0" w:firstColumn="0" w:lastColumn="0" w:oddVBand="0" w:evenVBand="0" w:oddHBand="0" w:evenHBand="0" w:firstRowFirstColumn="0" w:firstRowLastColumn="0" w:lastRowFirstColumn="0" w:lastRowLastColumn="0"/>
              <w:rPr>
                <w:rFonts w:eastAsia="Times New Roman"/>
                <w:szCs w:val="22"/>
                <w:lang w:eastAsia="en-AU"/>
              </w:rPr>
            </w:pPr>
            <w:r w:rsidRPr="007F6332">
              <w:rPr>
                <w:rFonts w:eastAsia="Times New Roman"/>
                <w:szCs w:val="22"/>
                <w:lang w:eastAsia="en-AU"/>
              </w:rPr>
              <w:t>65+</w:t>
            </w:r>
          </w:p>
        </w:tc>
        <w:tc>
          <w:tcPr>
            <w:tcW w:w="710" w:type="pct"/>
            <w:tcBorders>
              <w:top w:val="single" w:sz="4" w:space="0" w:color="auto"/>
              <w:left w:val="nil"/>
              <w:bottom w:val="nil"/>
              <w:right w:val="nil"/>
            </w:tcBorders>
            <w:hideMark/>
          </w:tcPr>
          <w:p w14:paraId="36E89DCE" w14:textId="77777777" w:rsidR="00723E93" w:rsidRPr="007F6332" w:rsidRDefault="00723E93">
            <w:pPr>
              <w:keepNext/>
              <w:keepLines w:val="0"/>
              <w:spacing w:line="240" w:lineRule="auto"/>
              <w:cnfStyle w:val="100000000000" w:firstRow="1" w:lastRow="0" w:firstColumn="0" w:lastColumn="0" w:oddVBand="0" w:evenVBand="0" w:oddHBand="0" w:evenHBand="0" w:firstRowFirstColumn="0" w:firstRowLastColumn="0" w:lastRowFirstColumn="0" w:lastRowLastColumn="0"/>
              <w:rPr>
                <w:rFonts w:eastAsia="Times New Roman"/>
                <w:szCs w:val="22"/>
                <w:lang w:eastAsia="en-AU"/>
              </w:rPr>
            </w:pPr>
            <w:r w:rsidRPr="007F6332">
              <w:rPr>
                <w:rFonts w:eastAsia="Times New Roman"/>
                <w:szCs w:val="22"/>
                <w:lang w:eastAsia="en-AU"/>
              </w:rPr>
              <w:t>Total</w:t>
            </w:r>
          </w:p>
        </w:tc>
      </w:tr>
      <w:tr w:rsidR="003661F8" w:rsidRPr="007F6332" w14:paraId="66F8DFE1" w14:textId="77777777" w:rsidTr="001D062D">
        <w:trPr>
          <w:trHeight w:hRule="exact" w:val="325"/>
        </w:trPr>
        <w:tc>
          <w:tcPr>
            <w:cnfStyle w:val="001000000000" w:firstRow="0" w:lastRow="0" w:firstColumn="1" w:lastColumn="0" w:oddVBand="0" w:evenVBand="0" w:oddHBand="0" w:evenHBand="0" w:firstRowFirstColumn="0" w:firstRowLastColumn="0" w:lastRowFirstColumn="0" w:lastRowLastColumn="0"/>
            <w:tcW w:w="1452" w:type="pct"/>
            <w:tcBorders>
              <w:top w:val="nil"/>
              <w:left w:val="nil"/>
              <w:bottom w:val="nil"/>
              <w:right w:val="nil"/>
            </w:tcBorders>
            <w:shd w:val="clear" w:color="auto" w:fill="FFFFFF" w:themeFill="background1"/>
            <w:hideMark/>
          </w:tcPr>
          <w:p w14:paraId="6EF6C8C8" w14:textId="77777777" w:rsidR="00723E93" w:rsidRPr="007F6332" w:rsidRDefault="00723E93" w:rsidP="007E3662">
            <w:pPr>
              <w:keepNext/>
              <w:spacing w:line="240" w:lineRule="auto"/>
              <w:rPr>
                <w:rFonts w:eastAsia="Times New Roman" w:cs="Arial"/>
                <w:color w:val="000000"/>
                <w:szCs w:val="22"/>
                <w:lang w:eastAsia="en-AU"/>
              </w:rPr>
            </w:pPr>
            <w:r w:rsidRPr="007F6332">
              <w:rPr>
                <w:rFonts w:eastAsia="Times New Roman" w:cs="Arial"/>
                <w:szCs w:val="22"/>
                <w:lang w:eastAsia="en-AU"/>
              </w:rPr>
              <w:t>Autism </w:t>
            </w:r>
          </w:p>
        </w:tc>
        <w:tc>
          <w:tcPr>
            <w:tcW w:w="709" w:type="pct"/>
            <w:tcBorders>
              <w:top w:val="nil"/>
              <w:left w:val="nil"/>
              <w:bottom w:val="nil"/>
              <w:right w:val="nil"/>
            </w:tcBorders>
            <w:shd w:val="clear" w:color="auto" w:fill="FFFFFF" w:themeFill="background1"/>
            <w:hideMark/>
          </w:tcPr>
          <w:p w14:paraId="0C8190FA"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Cs w:val="22"/>
                <w:lang w:eastAsia="zh-CN"/>
              </w:rPr>
            </w:pPr>
            <w:r w:rsidRPr="007F6332">
              <w:rPr>
                <w:rFonts w:cs="Arial"/>
                <w:szCs w:val="22"/>
              </w:rPr>
              <w:t>29,400</w:t>
            </w:r>
          </w:p>
        </w:tc>
        <w:tc>
          <w:tcPr>
            <w:tcW w:w="709" w:type="pct"/>
            <w:tcBorders>
              <w:top w:val="nil"/>
              <w:left w:val="nil"/>
              <w:bottom w:val="nil"/>
              <w:right w:val="nil"/>
            </w:tcBorders>
            <w:shd w:val="clear" w:color="auto" w:fill="FFFFFF" w:themeFill="background1"/>
            <w:hideMark/>
          </w:tcPr>
          <w:p w14:paraId="61A38516"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53,800</w:t>
            </w:r>
          </w:p>
        </w:tc>
        <w:tc>
          <w:tcPr>
            <w:tcW w:w="709" w:type="pct"/>
            <w:tcBorders>
              <w:top w:val="nil"/>
              <w:left w:val="nil"/>
              <w:bottom w:val="nil"/>
              <w:right w:val="nil"/>
            </w:tcBorders>
            <w:shd w:val="clear" w:color="auto" w:fill="FFFFFF" w:themeFill="background1"/>
            <w:hideMark/>
          </w:tcPr>
          <w:p w14:paraId="593574A8"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73,900</w:t>
            </w:r>
          </w:p>
        </w:tc>
        <w:tc>
          <w:tcPr>
            <w:tcW w:w="709" w:type="pct"/>
            <w:tcBorders>
              <w:top w:val="nil"/>
              <w:left w:val="nil"/>
              <w:bottom w:val="nil"/>
              <w:right w:val="nil"/>
            </w:tcBorders>
            <w:shd w:val="clear" w:color="auto" w:fill="FFFFFF" w:themeFill="background1"/>
            <w:hideMark/>
          </w:tcPr>
          <w:p w14:paraId="72C93ECC"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80,400</w:t>
            </w:r>
          </w:p>
        </w:tc>
        <w:tc>
          <w:tcPr>
            <w:tcW w:w="710" w:type="pct"/>
            <w:tcBorders>
              <w:top w:val="nil"/>
              <w:left w:val="nil"/>
              <w:bottom w:val="nil"/>
              <w:right w:val="nil"/>
            </w:tcBorders>
            <w:shd w:val="clear" w:color="auto" w:fill="FFFFFF" w:themeFill="background1"/>
            <w:hideMark/>
          </w:tcPr>
          <w:p w14:paraId="2D7B1C49"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40,800</w:t>
            </w:r>
          </w:p>
        </w:tc>
      </w:tr>
      <w:tr w:rsidR="003661F8" w:rsidRPr="007F6332" w14:paraId="1AA4F98B" w14:textId="77777777" w:rsidTr="001D062D">
        <w:trPr>
          <w:cnfStyle w:val="000000010000" w:firstRow="0" w:lastRow="0" w:firstColumn="0" w:lastColumn="0" w:oddVBand="0" w:evenVBand="0" w:oddHBand="0" w:evenHBand="1" w:firstRowFirstColumn="0" w:firstRowLastColumn="0" w:lastRowFirstColumn="0" w:lastRowLastColumn="0"/>
          <w:trHeight w:hRule="exact" w:val="325"/>
        </w:trPr>
        <w:tc>
          <w:tcPr>
            <w:cnfStyle w:val="001000000000" w:firstRow="0" w:lastRow="0" w:firstColumn="1" w:lastColumn="0" w:oddVBand="0" w:evenVBand="0" w:oddHBand="0" w:evenHBand="0" w:firstRowFirstColumn="0" w:firstRowLastColumn="0" w:lastRowFirstColumn="0" w:lastRowLastColumn="0"/>
            <w:tcW w:w="1452" w:type="pct"/>
            <w:tcBorders>
              <w:top w:val="nil"/>
              <w:left w:val="nil"/>
              <w:bottom w:val="nil"/>
              <w:right w:val="nil"/>
            </w:tcBorders>
            <w:shd w:val="clear" w:color="auto" w:fill="A6A6A6" w:themeFill="background1" w:themeFillShade="A6"/>
            <w:hideMark/>
          </w:tcPr>
          <w:p w14:paraId="74B19FE3" w14:textId="77777777" w:rsidR="00723E93" w:rsidRPr="007F6332" w:rsidRDefault="00723E93" w:rsidP="007E3662">
            <w:pPr>
              <w:keepNext/>
              <w:spacing w:line="240" w:lineRule="auto"/>
              <w:rPr>
                <w:rFonts w:eastAsia="Times New Roman" w:cs="Arial"/>
                <w:szCs w:val="22"/>
                <w:lang w:eastAsia="en-AU"/>
              </w:rPr>
            </w:pPr>
            <w:r w:rsidRPr="007F6332">
              <w:rPr>
                <w:rFonts w:eastAsia="Times New Roman" w:cs="Arial"/>
                <w:szCs w:val="22"/>
                <w:lang w:eastAsia="en-AU"/>
              </w:rPr>
              <w:t>Developmental Delay </w:t>
            </w:r>
          </w:p>
        </w:tc>
        <w:tc>
          <w:tcPr>
            <w:tcW w:w="709" w:type="pct"/>
            <w:tcBorders>
              <w:top w:val="nil"/>
              <w:left w:val="nil"/>
              <w:bottom w:val="nil"/>
              <w:right w:val="nil"/>
            </w:tcBorders>
            <w:shd w:val="clear" w:color="auto" w:fill="A6A6A6" w:themeFill="background1" w:themeFillShade="A6"/>
            <w:hideMark/>
          </w:tcPr>
          <w:p w14:paraId="5D4FCFE8"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lang w:eastAsia="zh-CN"/>
              </w:rPr>
            </w:pPr>
            <w:r w:rsidRPr="007F6332">
              <w:rPr>
                <w:rFonts w:cs="Arial"/>
                <w:szCs w:val="22"/>
              </w:rPr>
              <w:t>21,300</w:t>
            </w:r>
          </w:p>
        </w:tc>
        <w:tc>
          <w:tcPr>
            <w:tcW w:w="709" w:type="pct"/>
            <w:tcBorders>
              <w:top w:val="nil"/>
              <w:left w:val="nil"/>
              <w:bottom w:val="nil"/>
              <w:right w:val="nil"/>
            </w:tcBorders>
            <w:shd w:val="clear" w:color="auto" w:fill="A6A6A6" w:themeFill="background1" w:themeFillShade="A6"/>
            <w:hideMark/>
          </w:tcPr>
          <w:p w14:paraId="59E7EEA4"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w:t>
            </w:r>
          </w:p>
        </w:tc>
        <w:tc>
          <w:tcPr>
            <w:tcW w:w="709" w:type="pct"/>
            <w:tcBorders>
              <w:top w:val="nil"/>
              <w:left w:val="nil"/>
              <w:bottom w:val="nil"/>
              <w:right w:val="nil"/>
            </w:tcBorders>
            <w:shd w:val="clear" w:color="auto" w:fill="A6A6A6" w:themeFill="background1" w:themeFillShade="A6"/>
            <w:hideMark/>
          </w:tcPr>
          <w:p w14:paraId="31BAF0FB"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w:t>
            </w:r>
          </w:p>
        </w:tc>
        <w:tc>
          <w:tcPr>
            <w:tcW w:w="709" w:type="pct"/>
            <w:tcBorders>
              <w:top w:val="nil"/>
              <w:left w:val="nil"/>
              <w:bottom w:val="nil"/>
              <w:right w:val="nil"/>
            </w:tcBorders>
            <w:shd w:val="clear" w:color="auto" w:fill="A6A6A6" w:themeFill="background1" w:themeFillShade="A6"/>
            <w:hideMark/>
          </w:tcPr>
          <w:p w14:paraId="6BBB9A22"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w:t>
            </w:r>
          </w:p>
        </w:tc>
        <w:tc>
          <w:tcPr>
            <w:tcW w:w="710" w:type="pct"/>
            <w:tcBorders>
              <w:top w:val="nil"/>
              <w:left w:val="nil"/>
              <w:bottom w:val="nil"/>
              <w:right w:val="nil"/>
            </w:tcBorders>
            <w:shd w:val="clear" w:color="auto" w:fill="A6A6A6" w:themeFill="background1" w:themeFillShade="A6"/>
            <w:hideMark/>
          </w:tcPr>
          <w:p w14:paraId="1714F919"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21,300</w:t>
            </w:r>
          </w:p>
        </w:tc>
      </w:tr>
      <w:tr w:rsidR="003661F8" w:rsidRPr="007F6332" w14:paraId="7A1E6AAE" w14:textId="77777777" w:rsidTr="001D062D">
        <w:trPr>
          <w:trHeight w:hRule="exact" w:val="325"/>
        </w:trPr>
        <w:tc>
          <w:tcPr>
            <w:cnfStyle w:val="001000000000" w:firstRow="0" w:lastRow="0" w:firstColumn="1" w:lastColumn="0" w:oddVBand="0" w:evenVBand="0" w:oddHBand="0" w:evenHBand="0" w:firstRowFirstColumn="0" w:firstRowLastColumn="0" w:lastRowFirstColumn="0" w:lastRowLastColumn="0"/>
            <w:tcW w:w="1452" w:type="pct"/>
            <w:tcBorders>
              <w:top w:val="nil"/>
              <w:left w:val="nil"/>
              <w:bottom w:val="nil"/>
              <w:right w:val="nil"/>
            </w:tcBorders>
            <w:shd w:val="clear" w:color="auto" w:fill="FFFFFF" w:themeFill="background1"/>
            <w:hideMark/>
          </w:tcPr>
          <w:p w14:paraId="46060B95" w14:textId="77777777" w:rsidR="00723E93" w:rsidRPr="007F6332" w:rsidRDefault="00723E93" w:rsidP="007E3662">
            <w:pPr>
              <w:keepNext/>
              <w:spacing w:line="240" w:lineRule="auto"/>
              <w:rPr>
                <w:rFonts w:eastAsia="Times New Roman" w:cs="Arial"/>
                <w:szCs w:val="22"/>
                <w:lang w:eastAsia="en-AU"/>
              </w:rPr>
            </w:pPr>
            <w:r w:rsidRPr="007F6332">
              <w:rPr>
                <w:rFonts w:eastAsia="Times New Roman" w:cs="Arial"/>
                <w:szCs w:val="22"/>
                <w:lang w:eastAsia="en-AU"/>
              </w:rPr>
              <w:t>Intellectual Disability</w:t>
            </w:r>
          </w:p>
        </w:tc>
        <w:tc>
          <w:tcPr>
            <w:tcW w:w="709" w:type="pct"/>
            <w:tcBorders>
              <w:top w:val="nil"/>
              <w:left w:val="nil"/>
              <w:bottom w:val="nil"/>
              <w:right w:val="nil"/>
            </w:tcBorders>
            <w:shd w:val="clear" w:color="auto" w:fill="FFFFFF" w:themeFill="background1"/>
            <w:hideMark/>
          </w:tcPr>
          <w:p w14:paraId="70F734E8"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lang w:eastAsia="zh-CN"/>
              </w:rPr>
            </w:pPr>
            <w:r w:rsidRPr="007F6332">
              <w:rPr>
                <w:rFonts w:cs="Arial"/>
                <w:szCs w:val="22"/>
              </w:rPr>
              <w:t>44,400</w:t>
            </w:r>
          </w:p>
        </w:tc>
        <w:tc>
          <w:tcPr>
            <w:tcW w:w="709" w:type="pct"/>
            <w:tcBorders>
              <w:top w:val="nil"/>
              <w:left w:val="nil"/>
              <w:bottom w:val="nil"/>
              <w:right w:val="nil"/>
            </w:tcBorders>
            <w:shd w:val="clear" w:color="auto" w:fill="FFFFFF" w:themeFill="background1"/>
            <w:hideMark/>
          </w:tcPr>
          <w:p w14:paraId="56B5AA0E"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84,400</w:t>
            </w:r>
          </w:p>
        </w:tc>
        <w:tc>
          <w:tcPr>
            <w:tcW w:w="709" w:type="pct"/>
            <w:tcBorders>
              <w:top w:val="nil"/>
              <w:left w:val="nil"/>
              <w:bottom w:val="nil"/>
              <w:right w:val="nil"/>
            </w:tcBorders>
            <w:shd w:val="clear" w:color="auto" w:fill="FFFFFF" w:themeFill="background1"/>
            <w:hideMark/>
          </w:tcPr>
          <w:p w14:paraId="1249CC02"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103,600</w:t>
            </w:r>
          </w:p>
        </w:tc>
        <w:tc>
          <w:tcPr>
            <w:tcW w:w="709" w:type="pct"/>
            <w:tcBorders>
              <w:top w:val="nil"/>
              <w:left w:val="nil"/>
              <w:bottom w:val="nil"/>
              <w:right w:val="nil"/>
            </w:tcBorders>
            <w:shd w:val="clear" w:color="auto" w:fill="FFFFFF" w:themeFill="background1"/>
            <w:hideMark/>
          </w:tcPr>
          <w:p w14:paraId="342411F0"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118,800</w:t>
            </w:r>
          </w:p>
        </w:tc>
        <w:tc>
          <w:tcPr>
            <w:tcW w:w="710" w:type="pct"/>
            <w:tcBorders>
              <w:top w:val="nil"/>
              <w:left w:val="nil"/>
              <w:bottom w:val="nil"/>
              <w:right w:val="nil"/>
            </w:tcBorders>
            <w:shd w:val="clear" w:color="auto" w:fill="FFFFFF" w:themeFill="background1"/>
            <w:hideMark/>
          </w:tcPr>
          <w:p w14:paraId="66D0FA47"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84,100</w:t>
            </w:r>
          </w:p>
        </w:tc>
      </w:tr>
      <w:tr w:rsidR="003661F8" w:rsidRPr="007F6332" w14:paraId="2421A736" w14:textId="77777777" w:rsidTr="001D062D">
        <w:trPr>
          <w:cnfStyle w:val="000000010000" w:firstRow="0" w:lastRow="0" w:firstColumn="0" w:lastColumn="0" w:oddVBand="0" w:evenVBand="0" w:oddHBand="0" w:evenHBand="1" w:firstRowFirstColumn="0" w:firstRowLastColumn="0" w:lastRowFirstColumn="0" w:lastRowLastColumn="0"/>
          <w:trHeight w:hRule="exact" w:val="325"/>
        </w:trPr>
        <w:tc>
          <w:tcPr>
            <w:cnfStyle w:val="001000000000" w:firstRow="0" w:lastRow="0" w:firstColumn="1" w:lastColumn="0" w:oddVBand="0" w:evenVBand="0" w:oddHBand="0" w:evenHBand="0" w:firstRowFirstColumn="0" w:firstRowLastColumn="0" w:lastRowFirstColumn="0" w:lastRowLastColumn="0"/>
            <w:tcW w:w="1452" w:type="pct"/>
            <w:tcBorders>
              <w:top w:val="nil"/>
              <w:left w:val="nil"/>
              <w:bottom w:val="nil"/>
              <w:right w:val="nil"/>
            </w:tcBorders>
            <w:shd w:val="clear" w:color="auto" w:fill="A6A6A6" w:themeFill="background1" w:themeFillShade="A6"/>
            <w:hideMark/>
          </w:tcPr>
          <w:p w14:paraId="7BEF7CD5" w14:textId="77777777" w:rsidR="00723E93" w:rsidRPr="007F6332" w:rsidRDefault="00723E93" w:rsidP="007E3662">
            <w:pPr>
              <w:keepNext/>
              <w:spacing w:line="240" w:lineRule="auto"/>
              <w:rPr>
                <w:rFonts w:eastAsia="Times New Roman" w:cs="Arial"/>
                <w:szCs w:val="22"/>
                <w:lang w:eastAsia="en-AU"/>
              </w:rPr>
            </w:pPr>
            <w:r w:rsidRPr="007F6332">
              <w:rPr>
                <w:rFonts w:eastAsia="Times New Roman" w:cs="Arial"/>
                <w:szCs w:val="22"/>
                <w:lang w:eastAsia="en-AU"/>
              </w:rPr>
              <w:t>Other Neurological</w:t>
            </w:r>
          </w:p>
        </w:tc>
        <w:tc>
          <w:tcPr>
            <w:tcW w:w="709" w:type="pct"/>
            <w:tcBorders>
              <w:top w:val="nil"/>
              <w:left w:val="nil"/>
              <w:bottom w:val="nil"/>
              <w:right w:val="nil"/>
            </w:tcBorders>
            <w:shd w:val="clear" w:color="auto" w:fill="A6A6A6" w:themeFill="background1" w:themeFillShade="A6"/>
            <w:hideMark/>
          </w:tcPr>
          <w:p w14:paraId="2D94FFAD"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lang w:eastAsia="zh-CN"/>
              </w:rPr>
            </w:pPr>
            <w:r w:rsidRPr="007F6332">
              <w:rPr>
                <w:rFonts w:cs="Arial"/>
                <w:szCs w:val="22"/>
              </w:rPr>
              <w:t>74,300</w:t>
            </w:r>
          </w:p>
        </w:tc>
        <w:tc>
          <w:tcPr>
            <w:tcW w:w="709" w:type="pct"/>
            <w:tcBorders>
              <w:top w:val="nil"/>
              <w:left w:val="nil"/>
              <w:bottom w:val="nil"/>
              <w:right w:val="nil"/>
            </w:tcBorders>
            <w:shd w:val="clear" w:color="auto" w:fill="A6A6A6" w:themeFill="background1" w:themeFillShade="A6"/>
            <w:hideMark/>
          </w:tcPr>
          <w:p w14:paraId="482152E9"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128,300 </w:t>
            </w:r>
          </w:p>
        </w:tc>
        <w:tc>
          <w:tcPr>
            <w:tcW w:w="709" w:type="pct"/>
            <w:tcBorders>
              <w:top w:val="nil"/>
              <w:left w:val="nil"/>
              <w:bottom w:val="nil"/>
              <w:right w:val="nil"/>
            </w:tcBorders>
            <w:shd w:val="clear" w:color="auto" w:fill="A6A6A6" w:themeFill="background1" w:themeFillShade="A6"/>
            <w:hideMark/>
          </w:tcPr>
          <w:p w14:paraId="41767DED"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145,900 </w:t>
            </w:r>
          </w:p>
        </w:tc>
        <w:tc>
          <w:tcPr>
            <w:tcW w:w="709" w:type="pct"/>
            <w:tcBorders>
              <w:top w:val="nil"/>
              <w:left w:val="nil"/>
              <w:bottom w:val="nil"/>
              <w:right w:val="nil"/>
            </w:tcBorders>
            <w:shd w:val="clear" w:color="auto" w:fill="A6A6A6" w:themeFill="background1" w:themeFillShade="A6"/>
            <w:hideMark/>
          </w:tcPr>
          <w:p w14:paraId="79C9B94C"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159,600 </w:t>
            </w:r>
          </w:p>
        </w:tc>
        <w:tc>
          <w:tcPr>
            <w:tcW w:w="710" w:type="pct"/>
            <w:tcBorders>
              <w:top w:val="nil"/>
              <w:left w:val="nil"/>
              <w:bottom w:val="nil"/>
              <w:right w:val="nil"/>
            </w:tcBorders>
            <w:shd w:val="clear" w:color="auto" w:fill="A6A6A6" w:themeFill="background1" w:themeFillShade="A6"/>
            <w:hideMark/>
          </w:tcPr>
          <w:p w14:paraId="4AD68E65"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139,600</w:t>
            </w:r>
          </w:p>
        </w:tc>
      </w:tr>
      <w:tr w:rsidR="0027383C" w:rsidRPr="007F6332" w14:paraId="1416033B" w14:textId="77777777" w:rsidTr="0027383C">
        <w:trPr>
          <w:trHeight w:hRule="exact" w:val="340"/>
        </w:trPr>
        <w:tc>
          <w:tcPr>
            <w:cnfStyle w:val="001000000000" w:firstRow="0" w:lastRow="0" w:firstColumn="1" w:lastColumn="0" w:oddVBand="0" w:evenVBand="0" w:oddHBand="0" w:evenHBand="0" w:firstRowFirstColumn="0" w:firstRowLastColumn="0" w:lastRowFirstColumn="0" w:lastRowLastColumn="0"/>
            <w:tcW w:w="1452" w:type="pct"/>
            <w:tcBorders>
              <w:top w:val="nil"/>
              <w:left w:val="nil"/>
              <w:bottom w:val="nil"/>
              <w:right w:val="nil"/>
            </w:tcBorders>
            <w:shd w:val="clear" w:color="auto" w:fill="FFFFFF" w:themeFill="background1"/>
            <w:hideMark/>
          </w:tcPr>
          <w:p w14:paraId="3A189963" w14:textId="77777777" w:rsidR="00723E93" w:rsidRPr="007F6332" w:rsidRDefault="00723E93" w:rsidP="007E3662">
            <w:pPr>
              <w:keepNext/>
              <w:spacing w:line="240" w:lineRule="auto"/>
              <w:rPr>
                <w:rFonts w:eastAsia="Times New Roman" w:cs="Arial"/>
                <w:szCs w:val="22"/>
                <w:lang w:eastAsia="en-AU"/>
              </w:rPr>
            </w:pPr>
            <w:r w:rsidRPr="007F6332">
              <w:rPr>
                <w:rFonts w:eastAsia="Times New Roman" w:cs="Arial"/>
                <w:szCs w:val="22"/>
                <w:lang w:eastAsia="en-AU"/>
              </w:rPr>
              <w:t>Psychosocial disability</w:t>
            </w:r>
          </w:p>
        </w:tc>
        <w:tc>
          <w:tcPr>
            <w:tcW w:w="709" w:type="pct"/>
            <w:tcBorders>
              <w:top w:val="nil"/>
              <w:left w:val="nil"/>
              <w:bottom w:val="nil"/>
              <w:right w:val="nil"/>
            </w:tcBorders>
            <w:shd w:val="clear" w:color="auto" w:fill="FFFFFF" w:themeFill="background1"/>
            <w:hideMark/>
          </w:tcPr>
          <w:p w14:paraId="5CC12B7A"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lang w:eastAsia="zh-CN"/>
              </w:rPr>
            </w:pPr>
            <w:r w:rsidRPr="007F6332">
              <w:rPr>
                <w:rFonts w:cs="Arial"/>
                <w:szCs w:val="22"/>
              </w:rPr>
              <w:t>37,400</w:t>
            </w:r>
          </w:p>
        </w:tc>
        <w:tc>
          <w:tcPr>
            <w:tcW w:w="709" w:type="pct"/>
            <w:tcBorders>
              <w:top w:val="nil"/>
              <w:left w:val="nil"/>
              <w:bottom w:val="nil"/>
              <w:right w:val="nil"/>
            </w:tcBorders>
            <w:shd w:val="clear" w:color="auto" w:fill="FFFFFF" w:themeFill="background1"/>
            <w:hideMark/>
          </w:tcPr>
          <w:p w14:paraId="79ADD037"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81,800</w:t>
            </w:r>
          </w:p>
        </w:tc>
        <w:tc>
          <w:tcPr>
            <w:tcW w:w="709" w:type="pct"/>
            <w:tcBorders>
              <w:top w:val="nil"/>
              <w:left w:val="nil"/>
              <w:bottom w:val="nil"/>
              <w:right w:val="nil"/>
            </w:tcBorders>
            <w:shd w:val="clear" w:color="auto" w:fill="FFFFFF" w:themeFill="background1"/>
            <w:hideMark/>
          </w:tcPr>
          <w:p w14:paraId="1C19D993"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85,300</w:t>
            </w:r>
          </w:p>
        </w:tc>
        <w:tc>
          <w:tcPr>
            <w:tcW w:w="709" w:type="pct"/>
            <w:tcBorders>
              <w:top w:val="nil"/>
              <w:left w:val="nil"/>
              <w:bottom w:val="nil"/>
              <w:right w:val="nil"/>
            </w:tcBorders>
            <w:shd w:val="clear" w:color="auto" w:fill="FFFFFF" w:themeFill="background1"/>
            <w:hideMark/>
          </w:tcPr>
          <w:p w14:paraId="26BC9F2A"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94,600</w:t>
            </w:r>
          </w:p>
        </w:tc>
        <w:tc>
          <w:tcPr>
            <w:tcW w:w="710" w:type="pct"/>
            <w:tcBorders>
              <w:top w:val="nil"/>
              <w:left w:val="nil"/>
              <w:bottom w:val="nil"/>
              <w:right w:val="nil"/>
            </w:tcBorders>
            <w:shd w:val="clear" w:color="auto" w:fill="FFFFFF" w:themeFill="background1"/>
            <w:hideMark/>
          </w:tcPr>
          <w:p w14:paraId="2D32E207"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85,800</w:t>
            </w:r>
          </w:p>
        </w:tc>
      </w:tr>
      <w:tr w:rsidR="003661F8" w:rsidRPr="007F6332" w14:paraId="57C8BEEE" w14:textId="77777777" w:rsidTr="001D062D">
        <w:trPr>
          <w:cnfStyle w:val="000000010000" w:firstRow="0" w:lastRow="0" w:firstColumn="0" w:lastColumn="0" w:oddVBand="0" w:evenVBand="0" w:oddHBand="0" w:evenHBand="1" w:firstRowFirstColumn="0" w:firstRowLastColumn="0" w:lastRowFirstColumn="0" w:lastRowLastColumn="0"/>
          <w:trHeight w:hRule="exact" w:val="325"/>
        </w:trPr>
        <w:tc>
          <w:tcPr>
            <w:cnfStyle w:val="001000000000" w:firstRow="0" w:lastRow="0" w:firstColumn="1" w:lastColumn="0" w:oddVBand="0" w:evenVBand="0" w:oddHBand="0" w:evenHBand="0" w:firstRowFirstColumn="0" w:firstRowLastColumn="0" w:lastRowFirstColumn="0" w:lastRowLastColumn="0"/>
            <w:tcW w:w="1452" w:type="pct"/>
            <w:tcBorders>
              <w:top w:val="nil"/>
              <w:left w:val="nil"/>
              <w:bottom w:val="nil"/>
              <w:right w:val="nil"/>
            </w:tcBorders>
            <w:shd w:val="clear" w:color="auto" w:fill="A6A6A6" w:themeFill="background1" w:themeFillShade="A6"/>
            <w:hideMark/>
          </w:tcPr>
          <w:p w14:paraId="2B86BC5C" w14:textId="77777777" w:rsidR="00723E93" w:rsidRPr="007F6332" w:rsidRDefault="00723E93" w:rsidP="007E3662">
            <w:pPr>
              <w:keepNext/>
              <w:spacing w:line="240" w:lineRule="auto"/>
              <w:rPr>
                <w:rFonts w:eastAsia="Times New Roman" w:cs="Arial"/>
                <w:color w:val="000000"/>
                <w:szCs w:val="22"/>
                <w:lang w:eastAsia="en-AU"/>
              </w:rPr>
            </w:pPr>
            <w:r w:rsidRPr="007F6332">
              <w:rPr>
                <w:rFonts w:eastAsia="Times New Roman" w:cs="Arial"/>
                <w:szCs w:val="22"/>
                <w:lang w:eastAsia="en-AU"/>
              </w:rPr>
              <w:t>Other </w:t>
            </w:r>
          </w:p>
        </w:tc>
        <w:tc>
          <w:tcPr>
            <w:tcW w:w="709" w:type="pct"/>
            <w:tcBorders>
              <w:top w:val="nil"/>
              <w:left w:val="nil"/>
              <w:bottom w:val="nil"/>
              <w:right w:val="nil"/>
            </w:tcBorders>
            <w:shd w:val="clear" w:color="auto" w:fill="A6A6A6" w:themeFill="background1" w:themeFillShade="A6"/>
            <w:hideMark/>
          </w:tcPr>
          <w:p w14:paraId="6AF4EBA9"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color w:val="000000" w:themeColor="text1"/>
                <w:szCs w:val="22"/>
                <w:lang w:eastAsia="zh-CN"/>
              </w:rPr>
            </w:pPr>
            <w:r w:rsidRPr="007F6332">
              <w:rPr>
                <w:rFonts w:cs="Arial"/>
                <w:szCs w:val="22"/>
              </w:rPr>
              <w:t>35,600</w:t>
            </w:r>
          </w:p>
        </w:tc>
        <w:tc>
          <w:tcPr>
            <w:tcW w:w="709" w:type="pct"/>
            <w:tcBorders>
              <w:top w:val="nil"/>
              <w:left w:val="nil"/>
              <w:bottom w:val="nil"/>
              <w:right w:val="nil"/>
            </w:tcBorders>
            <w:shd w:val="clear" w:color="auto" w:fill="A6A6A6" w:themeFill="background1" w:themeFillShade="A6"/>
            <w:hideMark/>
          </w:tcPr>
          <w:p w14:paraId="5101B538"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67,200</w:t>
            </w:r>
          </w:p>
        </w:tc>
        <w:tc>
          <w:tcPr>
            <w:tcW w:w="709" w:type="pct"/>
            <w:tcBorders>
              <w:top w:val="nil"/>
              <w:left w:val="nil"/>
              <w:bottom w:val="nil"/>
              <w:right w:val="nil"/>
            </w:tcBorders>
            <w:shd w:val="clear" w:color="auto" w:fill="A6A6A6" w:themeFill="background1" w:themeFillShade="A6"/>
            <w:hideMark/>
          </w:tcPr>
          <w:p w14:paraId="499204E1"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102,600</w:t>
            </w:r>
          </w:p>
        </w:tc>
        <w:tc>
          <w:tcPr>
            <w:tcW w:w="709" w:type="pct"/>
            <w:tcBorders>
              <w:top w:val="nil"/>
              <w:left w:val="nil"/>
              <w:bottom w:val="nil"/>
              <w:right w:val="nil"/>
            </w:tcBorders>
            <w:shd w:val="clear" w:color="auto" w:fill="A6A6A6" w:themeFill="background1" w:themeFillShade="A6"/>
            <w:hideMark/>
          </w:tcPr>
          <w:p w14:paraId="01D1F5EC"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110,100</w:t>
            </w:r>
          </w:p>
        </w:tc>
        <w:tc>
          <w:tcPr>
            <w:tcW w:w="710" w:type="pct"/>
            <w:tcBorders>
              <w:top w:val="nil"/>
              <w:left w:val="nil"/>
              <w:bottom w:val="nil"/>
              <w:right w:val="nil"/>
            </w:tcBorders>
            <w:shd w:val="clear" w:color="auto" w:fill="A6A6A6" w:themeFill="background1" w:themeFillShade="A6"/>
            <w:hideMark/>
          </w:tcPr>
          <w:p w14:paraId="6ED40B77" w14:textId="77777777" w:rsidR="00723E93" w:rsidRPr="007F6332" w:rsidRDefault="00723E93">
            <w:pPr>
              <w:keepNext/>
              <w:keepLines w:val="0"/>
              <w:spacing w:line="240" w:lineRule="auto"/>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87,500</w:t>
            </w:r>
          </w:p>
        </w:tc>
      </w:tr>
      <w:tr w:rsidR="0027383C" w:rsidRPr="007F6332" w14:paraId="73DC2E4D" w14:textId="77777777" w:rsidTr="0027383C">
        <w:trPr>
          <w:trHeight w:hRule="exact" w:val="325"/>
        </w:trPr>
        <w:tc>
          <w:tcPr>
            <w:cnfStyle w:val="001000000000" w:firstRow="0" w:lastRow="0" w:firstColumn="1" w:lastColumn="0" w:oddVBand="0" w:evenVBand="0" w:oddHBand="0" w:evenHBand="0" w:firstRowFirstColumn="0" w:firstRowLastColumn="0" w:lastRowFirstColumn="0" w:lastRowLastColumn="0"/>
            <w:tcW w:w="1452" w:type="pct"/>
            <w:tcBorders>
              <w:top w:val="nil"/>
              <w:left w:val="nil"/>
              <w:bottom w:val="single" w:sz="4" w:space="0" w:color="auto"/>
              <w:right w:val="nil"/>
            </w:tcBorders>
            <w:shd w:val="clear" w:color="auto" w:fill="B398B8"/>
            <w:hideMark/>
          </w:tcPr>
          <w:p w14:paraId="4B519431" w14:textId="77777777" w:rsidR="00723E93" w:rsidRPr="007F6332" w:rsidRDefault="00723E93" w:rsidP="007E3662">
            <w:pPr>
              <w:keepNext/>
              <w:spacing w:line="240" w:lineRule="auto"/>
              <w:rPr>
                <w:rFonts w:eastAsia="Times New Roman" w:cs="Arial"/>
                <w:b/>
                <w:color w:val="000000"/>
                <w:szCs w:val="22"/>
                <w:lang w:eastAsia="en-AU"/>
              </w:rPr>
            </w:pPr>
            <w:r w:rsidRPr="007F6332">
              <w:rPr>
                <w:rFonts w:eastAsia="Times New Roman" w:cs="Arial"/>
                <w:b/>
                <w:szCs w:val="22"/>
                <w:lang w:eastAsia="en-AU"/>
              </w:rPr>
              <w:t>Total </w:t>
            </w:r>
          </w:p>
        </w:tc>
        <w:tc>
          <w:tcPr>
            <w:tcW w:w="709" w:type="pct"/>
            <w:tcBorders>
              <w:top w:val="nil"/>
              <w:left w:val="nil"/>
              <w:bottom w:val="single" w:sz="4" w:space="0" w:color="auto"/>
              <w:right w:val="nil"/>
            </w:tcBorders>
            <w:shd w:val="clear" w:color="auto" w:fill="B398B8"/>
            <w:hideMark/>
          </w:tcPr>
          <w:p w14:paraId="13AEEC94"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Cs w:val="22"/>
                <w:lang w:eastAsia="zh-CN"/>
              </w:rPr>
            </w:pPr>
            <w:r w:rsidRPr="007F6332">
              <w:rPr>
                <w:rFonts w:cs="Arial"/>
                <w:b/>
                <w:bCs/>
                <w:szCs w:val="22"/>
              </w:rPr>
              <w:t>28,900</w:t>
            </w:r>
          </w:p>
        </w:tc>
        <w:tc>
          <w:tcPr>
            <w:tcW w:w="709" w:type="pct"/>
            <w:tcBorders>
              <w:top w:val="nil"/>
              <w:left w:val="nil"/>
              <w:bottom w:val="single" w:sz="4" w:space="0" w:color="auto"/>
              <w:right w:val="nil"/>
            </w:tcBorders>
            <w:shd w:val="clear" w:color="auto" w:fill="B398B8"/>
            <w:hideMark/>
          </w:tcPr>
          <w:p w14:paraId="38B695E6"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b/>
                <w:bCs/>
                <w:szCs w:val="22"/>
              </w:rPr>
            </w:pPr>
            <w:r w:rsidRPr="007F6332">
              <w:rPr>
                <w:rFonts w:cs="Arial"/>
                <w:b/>
                <w:bCs/>
                <w:szCs w:val="22"/>
              </w:rPr>
              <w:t>64,300</w:t>
            </w:r>
          </w:p>
        </w:tc>
        <w:tc>
          <w:tcPr>
            <w:tcW w:w="709" w:type="pct"/>
            <w:tcBorders>
              <w:top w:val="nil"/>
              <w:left w:val="nil"/>
              <w:bottom w:val="single" w:sz="4" w:space="0" w:color="auto"/>
              <w:right w:val="nil"/>
            </w:tcBorders>
            <w:shd w:val="clear" w:color="auto" w:fill="B398B8"/>
            <w:hideMark/>
          </w:tcPr>
          <w:p w14:paraId="4FA171DE"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b/>
                <w:bCs/>
                <w:szCs w:val="22"/>
              </w:rPr>
            </w:pPr>
            <w:r w:rsidRPr="007F6332">
              <w:rPr>
                <w:rFonts w:cs="Arial"/>
                <w:b/>
                <w:bCs/>
                <w:szCs w:val="22"/>
              </w:rPr>
              <w:t>97,500</w:t>
            </w:r>
          </w:p>
        </w:tc>
        <w:tc>
          <w:tcPr>
            <w:tcW w:w="709" w:type="pct"/>
            <w:tcBorders>
              <w:top w:val="nil"/>
              <w:left w:val="nil"/>
              <w:bottom w:val="single" w:sz="4" w:space="0" w:color="auto"/>
              <w:right w:val="nil"/>
            </w:tcBorders>
            <w:shd w:val="clear" w:color="auto" w:fill="B398B8"/>
            <w:hideMark/>
          </w:tcPr>
          <w:p w14:paraId="7F9A3F44"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b/>
                <w:bCs/>
                <w:szCs w:val="22"/>
              </w:rPr>
            </w:pPr>
            <w:r w:rsidRPr="007F6332">
              <w:rPr>
                <w:rFonts w:cs="Arial"/>
                <w:b/>
                <w:bCs/>
                <w:szCs w:val="22"/>
              </w:rPr>
              <w:t>116,200</w:t>
            </w:r>
          </w:p>
        </w:tc>
        <w:tc>
          <w:tcPr>
            <w:tcW w:w="710" w:type="pct"/>
            <w:tcBorders>
              <w:top w:val="nil"/>
              <w:left w:val="nil"/>
              <w:bottom w:val="single" w:sz="4" w:space="0" w:color="auto"/>
              <w:right w:val="nil"/>
            </w:tcBorders>
            <w:shd w:val="clear" w:color="auto" w:fill="B398B8"/>
            <w:hideMark/>
          </w:tcPr>
          <w:p w14:paraId="5B7A09F0" w14:textId="77777777" w:rsidR="00723E93" w:rsidRPr="007F6332" w:rsidRDefault="00723E93">
            <w:pPr>
              <w:keepNext/>
              <w:keepLines w:val="0"/>
              <w:spacing w:line="240" w:lineRule="auto"/>
              <w:cnfStyle w:val="000000000000" w:firstRow="0" w:lastRow="0" w:firstColumn="0" w:lastColumn="0" w:oddVBand="0" w:evenVBand="0" w:oddHBand="0" w:evenHBand="0" w:firstRowFirstColumn="0" w:firstRowLastColumn="0" w:lastRowFirstColumn="0" w:lastRowLastColumn="0"/>
              <w:rPr>
                <w:rFonts w:cs="Arial"/>
                <w:b/>
                <w:bCs/>
                <w:szCs w:val="22"/>
              </w:rPr>
            </w:pPr>
            <w:r w:rsidRPr="007F6332">
              <w:rPr>
                <w:rFonts w:cs="Arial"/>
                <w:b/>
                <w:bCs/>
                <w:szCs w:val="22"/>
              </w:rPr>
              <w:t>61,600</w:t>
            </w:r>
          </w:p>
        </w:tc>
      </w:tr>
    </w:tbl>
    <w:p w14:paraId="60E93250" w14:textId="38B4254B" w:rsidR="00723E93" w:rsidRPr="007F6332" w:rsidRDefault="0045717D" w:rsidP="00723E93">
      <w:pPr>
        <w:pStyle w:val="FSRnormal"/>
        <w:rPr>
          <w:rFonts w:eastAsia="Times New Roman" w:cs="Arial"/>
          <w:lang w:eastAsia="en-AU"/>
        </w:rPr>
      </w:pPr>
      <w:r w:rsidRPr="007F6332">
        <w:rPr>
          <w:rFonts w:cs="Arial"/>
        </w:rPr>
        <w:t>Table 5.</w:t>
      </w:r>
      <w:r w:rsidR="00950565" w:rsidRPr="007F6332">
        <w:rPr>
          <w:rFonts w:cs="Arial"/>
        </w:rPr>
        <w:t>13</w:t>
      </w:r>
      <w:r w:rsidR="00723E93" w:rsidRPr="007F6332">
        <w:rPr>
          <w:rFonts w:cs="Arial"/>
        </w:rPr>
        <w:t xml:space="preserve"> </w:t>
      </w:r>
      <w:r w:rsidR="00723E93" w:rsidRPr="007F6332">
        <w:rPr>
          <w:rFonts w:eastAsia="Times New Roman" w:cs="Arial"/>
          <w:lang w:eastAsia="en-AU"/>
        </w:rPr>
        <w:t>displays the 2023-24 projected average annualised plan budgets (in 2023-24 dollars) for participants with SIL supports, broken down by disability and age groups.</w:t>
      </w:r>
    </w:p>
    <w:p w14:paraId="70D06A7F" w14:textId="06928AF1" w:rsidR="00AA097F" w:rsidRPr="007F6332" w:rsidRDefault="00AA097F" w:rsidP="00CE7E91">
      <w:pPr>
        <w:pStyle w:val="FSRlist"/>
        <w:numPr>
          <w:ilvl w:val="0"/>
          <w:numId w:val="43"/>
        </w:numPr>
        <w:rPr>
          <w:rFonts w:cs="Arial"/>
        </w:rPr>
      </w:pPr>
      <w:r w:rsidRPr="007F6332">
        <w:rPr>
          <w:rFonts w:cs="Arial"/>
          <w:lang w:eastAsia="en-AU"/>
        </w:rPr>
        <w:t>Average plan budgets for participants with SIL supports are lower at higher ages.</w:t>
      </w:r>
    </w:p>
    <w:p w14:paraId="2C629C37" w14:textId="217E23B0" w:rsidR="00AA097F" w:rsidRPr="007F6332" w:rsidRDefault="00723E93" w:rsidP="00CE7E91">
      <w:pPr>
        <w:pStyle w:val="FSRlist"/>
        <w:numPr>
          <w:ilvl w:val="0"/>
          <w:numId w:val="43"/>
        </w:numPr>
        <w:rPr>
          <w:rFonts w:cs="Arial"/>
        </w:rPr>
      </w:pPr>
      <w:r w:rsidRPr="007F6332">
        <w:rPr>
          <w:rFonts w:cs="Arial"/>
          <w:lang w:eastAsia="en-AU"/>
        </w:rPr>
        <w:t>Participants with SIL supports with spinal cord injury, multiple sclerosis, or stroke</w:t>
      </w:r>
      <w:r w:rsidRPr="007F6332">
        <w:rPr>
          <w:rStyle w:val="FootnoteReference"/>
          <w:rFonts w:eastAsia="Times New Roman" w:cs="Arial"/>
          <w:lang w:eastAsia="en-AU"/>
        </w:rPr>
        <w:t xml:space="preserve"> </w:t>
      </w:r>
      <w:r w:rsidRPr="007F6332">
        <w:rPr>
          <w:rFonts w:cs="Arial"/>
          <w:lang w:eastAsia="en-AU"/>
        </w:rPr>
        <w:t>have higher annualised average plan budgets, while participants with SIL supports with hearing impairment, other sensory/speech</w:t>
      </w:r>
      <w:r w:rsidRPr="007F6332">
        <w:rPr>
          <w:rFonts w:eastAsia="Times New Roman" w:cs="Arial"/>
          <w:lang w:eastAsia="en-AU"/>
        </w:rPr>
        <w:t xml:space="preserve">, </w:t>
      </w:r>
      <w:r w:rsidRPr="007F6332">
        <w:rPr>
          <w:rFonts w:cs="Arial"/>
          <w:lang w:eastAsia="en-AU"/>
        </w:rPr>
        <w:t>and psychosocial disability have lower annualised average plan budgets.</w:t>
      </w:r>
      <w:bookmarkStart w:id="146" w:name="_Ref142655372"/>
    </w:p>
    <w:p w14:paraId="28168B52" w14:textId="2004B8F7" w:rsidR="00723E93" w:rsidRPr="007F6332" w:rsidRDefault="00723E93" w:rsidP="00823FC9">
      <w:pPr>
        <w:pStyle w:val="FiguresandTablesHeading5"/>
      </w:pPr>
      <w:r w:rsidRPr="007F6332">
        <w:t xml:space="preserve">Table </w:t>
      </w:r>
      <w:bookmarkEnd w:id="146"/>
      <w:r w:rsidR="0045717D" w:rsidRPr="007F6332">
        <w:t>5.13</w:t>
      </w:r>
      <w:r w:rsidRPr="007F6332">
        <w:rPr>
          <w:noProof/>
        </w:rPr>
        <w:t>:</w:t>
      </w:r>
      <w:r w:rsidRPr="007F6332">
        <w:t xml:space="preserve"> Average annualised plan budgets ($) for participant with SIL by age band and disability group in 2023-24 </w:t>
      </w:r>
      <w:r w:rsidR="00393048" w:rsidRPr="007F6332">
        <w:t>after inflation</w:t>
      </w:r>
      <w:r w:rsidRPr="007F6332">
        <w:rPr>
          <w:rStyle w:val="FootnoteReference"/>
          <w:rFonts w:eastAsia="Times New Roman"/>
          <w:sz w:val="20"/>
          <w:szCs w:val="20"/>
          <w:lang w:eastAsia="en-AU"/>
        </w:rPr>
        <w:footnoteReference w:id="87"/>
      </w:r>
    </w:p>
    <w:tbl>
      <w:tblPr>
        <w:tblW w:w="4856" w:type="pct"/>
        <w:tblLook w:val="04A0" w:firstRow="1" w:lastRow="0" w:firstColumn="1" w:lastColumn="0" w:noHBand="0" w:noVBand="1"/>
      </w:tblPr>
      <w:tblGrid>
        <w:gridCol w:w="2553"/>
        <w:gridCol w:w="1559"/>
        <w:gridCol w:w="1559"/>
        <w:gridCol w:w="1559"/>
        <w:gridCol w:w="1559"/>
      </w:tblGrid>
      <w:tr w:rsidR="00723E93" w:rsidRPr="007F6332" w14:paraId="52BFE4A8" w14:textId="77777777" w:rsidTr="00E53368">
        <w:trPr>
          <w:trHeight w:val="480"/>
        </w:trPr>
        <w:tc>
          <w:tcPr>
            <w:tcW w:w="1452" w:type="pct"/>
            <w:tcBorders>
              <w:top w:val="single" w:sz="8" w:space="0" w:color="auto"/>
              <w:left w:val="nil"/>
              <w:bottom w:val="nil"/>
              <w:right w:val="nil"/>
            </w:tcBorders>
            <w:shd w:val="clear" w:color="auto" w:fill="6B2976"/>
            <w:vAlign w:val="center"/>
            <w:hideMark/>
          </w:tcPr>
          <w:p w14:paraId="03EB93A5" w14:textId="77777777" w:rsidR="00723E93" w:rsidRPr="007F6332" w:rsidRDefault="00723E93">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Disability Group </w:t>
            </w:r>
          </w:p>
        </w:tc>
        <w:tc>
          <w:tcPr>
            <w:tcW w:w="887" w:type="pct"/>
            <w:tcBorders>
              <w:top w:val="single" w:sz="8" w:space="0" w:color="auto"/>
              <w:left w:val="nil"/>
              <w:bottom w:val="nil"/>
              <w:right w:val="nil"/>
            </w:tcBorders>
            <w:shd w:val="clear" w:color="auto" w:fill="6B2976"/>
            <w:vAlign w:val="center"/>
            <w:hideMark/>
          </w:tcPr>
          <w:p w14:paraId="7F8BE606"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0 to 24</w:t>
            </w:r>
          </w:p>
        </w:tc>
        <w:tc>
          <w:tcPr>
            <w:tcW w:w="887" w:type="pct"/>
            <w:tcBorders>
              <w:top w:val="single" w:sz="8" w:space="0" w:color="auto"/>
              <w:left w:val="nil"/>
              <w:bottom w:val="nil"/>
              <w:right w:val="nil"/>
            </w:tcBorders>
            <w:shd w:val="clear" w:color="auto" w:fill="6B2976"/>
            <w:vAlign w:val="center"/>
            <w:hideMark/>
          </w:tcPr>
          <w:p w14:paraId="35046027"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25 to 64</w:t>
            </w:r>
          </w:p>
        </w:tc>
        <w:tc>
          <w:tcPr>
            <w:tcW w:w="887" w:type="pct"/>
            <w:tcBorders>
              <w:top w:val="single" w:sz="8" w:space="0" w:color="auto"/>
              <w:left w:val="nil"/>
              <w:bottom w:val="nil"/>
              <w:right w:val="nil"/>
            </w:tcBorders>
            <w:shd w:val="clear" w:color="auto" w:fill="6B2976"/>
            <w:vAlign w:val="center"/>
            <w:hideMark/>
          </w:tcPr>
          <w:p w14:paraId="03E98845"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65+</w:t>
            </w:r>
          </w:p>
        </w:tc>
        <w:tc>
          <w:tcPr>
            <w:tcW w:w="887" w:type="pct"/>
            <w:tcBorders>
              <w:top w:val="single" w:sz="8" w:space="0" w:color="auto"/>
              <w:left w:val="nil"/>
              <w:bottom w:val="nil"/>
              <w:right w:val="nil"/>
            </w:tcBorders>
            <w:shd w:val="clear" w:color="auto" w:fill="6B2976"/>
            <w:vAlign w:val="center"/>
            <w:hideMark/>
          </w:tcPr>
          <w:p w14:paraId="311D7936" w14:textId="77777777" w:rsidR="00723E93" w:rsidRPr="007F6332" w:rsidRDefault="00723E93">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Total</w:t>
            </w:r>
          </w:p>
        </w:tc>
      </w:tr>
      <w:tr w:rsidR="00723E93" w:rsidRPr="007F6332" w14:paraId="18A975D6" w14:textId="77777777" w:rsidTr="00970232">
        <w:trPr>
          <w:trHeight w:val="340"/>
        </w:trPr>
        <w:tc>
          <w:tcPr>
            <w:tcW w:w="1452" w:type="pct"/>
            <w:vAlign w:val="center"/>
            <w:hideMark/>
          </w:tcPr>
          <w:p w14:paraId="26B3EB48"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Autism</w:t>
            </w:r>
          </w:p>
        </w:tc>
        <w:tc>
          <w:tcPr>
            <w:tcW w:w="887" w:type="pct"/>
            <w:vAlign w:val="center"/>
            <w:hideMark/>
          </w:tcPr>
          <w:p w14:paraId="5F55F25C"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573,900</w:t>
            </w:r>
          </w:p>
        </w:tc>
        <w:tc>
          <w:tcPr>
            <w:tcW w:w="887" w:type="pct"/>
            <w:vAlign w:val="center"/>
            <w:hideMark/>
          </w:tcPr>
          <w:p w14:paraId="7F3F9F04"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516,400</w:t>
            </w:r>
          </w:p>
        </w:tc>
        <w:tc>
          <w:tcPr>
            <w:tcW w:w="887" w:type="pct"/>
            <w:vAlign w:val="center"/>
            <w:hideMark/>
          </w:tcPr>
          <w:p w14:paraId="46C4565D"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457,500</w:t>
            </w:r>
          </w:p>
        </w:tc>
        <w:tc>
          <w:tcPr>
            <w:tcW w:w="887" w:type="pct"/>
            <w:vAlign w:val="center"/>
            <w:hideMark/>
          </w:tcPr>
          <w:p w14:paraId="7531F5A3"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533,500</w:t>
            </w:r>
          </w:p>
        </w:tc>
      </w:tr>
      <w:tr w:rsidR="00723E93" w:rsidRPr="007F6332" w14:paraId="097F95CD" w14:textId="77777777" w:rsidTr="00970232">
        <w:trPr>
          <w:trHeight w:val="340"/>
        </w:trPr>
        <w:tc>
          <w:tcPr>
            <w:tcW w:w="1452" w:type="pct"/>
            <w:shd w:val="clear" w:color="auto" w:fill="C0C0C0"/>
            <w:vAlign w:val="center"/>
            <w:hideMark/>
          </w:tcPr>
          <w:p w14:paraId="381A63E4"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Intellectual Disability</w:t>
            </w:r>
          </w:p>
        </w:tc>
        <w:tc>
          <w:tcPr>
            <w:tcW w:w="887" w:type="pct"/>
            <w:shd w:val="clear" w:color="auto" w:fill="C0C0C0"/>
            <w:vAlign w:val="center"/>
            <w:hideMark/>
          </w:tcPr>
          <w:p w14:paraId="6776F0CD"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498,300</w:t>
            </w:r>
          </w:p>
        </w:tc>
        <w:tc>
          <w:tcPr>
            <w:tcW w:w="887" w:type="pct"/>
            <w:shd w:val="clear" w:color="auto" w:fill="C0C0C0"/>
            <w:vAlign w:val="center"/>
            <w:hideMark/>
          </w:tcPr>
          <w:p w14:paraId="5900D38B"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428,700</w:t>
            </w:r>
          </w:p>
        </w:tc>
        <w:tc>
          <w:tcPr>
            <w:tcW w:w="887" w:type="pct"/>
            <w:shd w:val="clear" w:color="auto" w:fill="C0C0C0"/>
            <w:vAlign w:val="center"/>
            <w:hideMark/>
          </w:tcPr>
          <w:p w14:paraId="0FC06AFE"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405,700</w:t>
            </w:r>
          </w:p>
        </w:tc>
        <w:tc>
          <w:tcPr>
            <w:tcW w:w="887" w:type="pct"/>
            <w:shd w:val="clear" w:color="auto" w:fill="C0C0C0"/>
            <w:vAlign w:val="center"/>
            <w:hideMark/>
          </w:tcPr>
          <w:p w14:paraId="63D55089"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431,800</w:t>
            </w:r>
          </w:p>
        </w:tc>
      </w:tr>
      <w:tr w:rsidR="00723E93" w:rsidRPr="007F6332" w14:paraId="33C66B15" w14:textId="77777777" w:rsidTr="00970232">
        <w:trPr>
          <w:trHeight w:val="340"/>
        </w:trPr>
        <w:tc>
          <w:tcPr>
            <w:tcW w:w="1452" w:type="pct"/>
            <w:vAlign w:val="center"/>
            <w:hideMark/>
          </w:tcPr>
          <w:p w14:paraId="7EA2A0E0"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Other Neurological</w:t>
            </w:r>
          </w:p>
        </w:tc>
        <w:tc>
          <w:tcPr>
            <w:tcW w:w="887" w:type="pct"/>
            <w:vAlign w:val="center"/>
            <w:hideMark/>
          </w:tcPr>
          <w:p w14:paraId="4002B58C"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613,000 </w:t>
            </w:r>
          </w:p>
        </w:tc>
        <w:tc>
          <w:tcPr>
            <w:tcW w:w="887" w:type="pct"/>
            <w:vAlign w:val="center"/>
            <w:hideMark/>
          </w:tcPr>
          <w:p w14:paraId="42FBA595"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519,000 </w:t>
            </w:r>
          </w:p>
        </w:tc>
        <w:tc>
          <w:tcPr>
            <w:tcW w:w="887" w:type="pct"/>
            <w:vAlign w:val="center"/>
            <w:hideMark/>
          </w:tcPr>
          <w:p w14:paraId="4B0C2A48"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505,600 </w:t>
            </w:r>
          </w:p>
        </w:tc>
        <w:tc>
          <w:tcPr>
            <w:tcW w:w="887" w:type="pct"/>
            <w:vAlign w:val="center"/>
            <w:hideMark/>
          </w:tcPr>
          <w:p w14:paraId="2CBEEE3D"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519,600</w:t>
            </w:r>
          </w:p>
        </w:tc>
      </w:tr>
      <w:tr w:rsidR="00723E93" w:rsidRPr="007F6332" w14:paraId="05CF09DE" w14:textId="77777777" w:rsidTr="00970232">
        <w:trPr>
          <w:trHeight w:val="340"/>
        </w:trPr>
        <w:tc>
          <w:tcPr>
            <w:tcW w:w="1452" w:type="pct"/>
            <w:shd w:val="clear" w:color="auto" w:fill="C0C0C0"/>
            <w:vAlign w:val="center"/>
            <w:hideMark/>
          </w:tcPr>
          <w:p w14:paraId="5E06E50F"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Psychosocial disability</w:t>
            </w:r>
          </w:p>
        </w:tc>
        <w:tc>
          <w:tcPr>
            <w:tcW w:w="887" w:type="pct"/>
            <w:shd w:val="clear" w:color="auto" w:fill="C0C0C0"/>
            <w:vAlign w:val="center"/>
            <w:hideMark/>
          </w:tcPr>
          <w:p w14:paraId="498E67E2"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461,000</w:t>
            </w:r>
          </w:p>
        </w:tc>
        <w:tc>
          <w:tcPr>
            <w:tcW w:w="887" w:type="pct"/>
            <w:shd w:val="clear" w:color="auto" w:fill="C0C0C0"/>
            <w:vAlign w:val="center"/>
            <w:hideMark/>
          </w:tcPr>
          <w:p w14:paraId="77343778"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393,900</w:t>
            </w:r>
          </w:p>
        </w:tc>
        <w:tc>
          <w:tcPr>
            <w:tcW w:w="887" w:type="pct"/>
            <w:shd w:val="clear" w:color="auto" w:fill="C0C0C0"/>
            <w:vAlign w:val="center"/>
            <w:hideMark/>
          </w:tcPr>
          <w:p w14:paraId="2940E5CA"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383,000</w:t>
            </w:r>
          </w:p>
        </w:tc>
        <w:tc>
          <w:tcPr>
            <w:tcW w:w="887" w:type="pct"/>
            <w:shd w:val="clear" w:color="auto" w:fill="C0C0C0"/>
            <w:vAlign w:val="center"/>
            <w:hideMark/>
          </w:tcPr>
          <w:p w14:paraId="39BC3F24"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395,900</w:t>
            </w:r>
          </w:p>
        </w:tc>
      </w:tr>
      <w:tr w:rsidR="00723E93" w:rsidRPr="007F6332" w14:paraId="04F4C082" w14:textId="77777777" w:rsidTr="00970232">
        <w:trPr>
          <w:trHeight w:val="340"/>
        </w:trPr>
        <w:tc>
          <w:tcPr>
            <w:tcW w:w="1452" w:type="pct"/>
            <w:vAlign w:val="center"/>
            <w:hideMark/>
          </w:tcPr>
          <w:p w14:paraId="72BA4F8E" w14:textId="77777777" w:rsidR="00723E93" w:rsidRPr="007F6332" w:rsidRDefault="00723E9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Other</w:t>
            </w:r>
          </w:p>
        </w:tc>
        <w:tc>
          <w:tcPr>
            <w:tcW w:w="887" w:type="pct"/>
            <w:vAlign w:val="center"/>
            <w:hideMark/>
          </w:tcPr>
          <w:p w14:paraId="708AE67B"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607,500</w:t>
            </w:r>
          </w:p>
        </w:tc>
        <w:tc>
          <w:tcPr>
            <w:tcW w:w="887" w:type="pct"/>
            <w:vAlign w:val="center"/>
            <w:hideMark/>
          </w:tcPr>
          <w:p w14:paraId="1BB8EC1B"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535,900</w:t>
            </w:r>
          </w:p>
        </w:tc>
        <w:tc>
          <w:tcPr>
            <w:tcW w:w="887" w:type="pct"/>
            <w:vAlign w:val="center"/>
            <w:hideMark/>
          </w:tcPr>
          <w:p w14:paraId="20467F2F"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527,400</w:t>
            </w:r>
          </w:p>
        </w:tc>
        <w:tc>
          <w:tcPr>
            <w:tcW w:w="887" w:type="pct"/>
            <w:vAlign w:val="center"/>
            <w:hideMark/>
          </w:tcPr>
          <w:p w14:paraId="4B89EA77" w14:textId="77777777" w:rsidR="00723E93" w:rsidRPr="007F6332" w:rsidRDefault="00723E93">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537,100</w:t>
            </w:r>
          </w:p>
        </w:tc>
      </w:tr>
      <w:tr w:rsidR="00723E93" w:rsidRPr="007F6332" w14:paraId="58A392D2" w14:textId="77777777" w:rsidTr="00970232">
        <w:trPr>
          <w:trHeight w:val="340"/>
        </w:trPr>
        <w:tc>
          <w:tcPr>
            <w:tcW w:w="1452" w:type="pct"/>
            <w:tcBorders>
              <w:top w:val="nil"/>
              <w:left w:val="nil"/>
              <w:bottom w:val="single" w:sz="4" w:space="0" w:color="auto"/>
              <w:right w:val="nil"/>
            </w:tcBorders>
            <w:shd w:val="clear" w:color="auto" w:fill="B398B8"/>
            <w:vAlign w:val="center"/>
            <w:hideMark/>
          </w:tcPr>
          <w:p w14:paraId="3C89F692" w14:textId="77777777" w:rsidR="00723E93" w:rsidRPr="007F6332" w:rsidRDefault="00723E93">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887" w:type="pct"/>
            <w:tcBorders>
              <w:top w:val="nil"/>
              <w:left w:val="nil"/>
              <w:bottom w:val="single" w:sz="4" w:space="0" w:color="auto"/>
              <w:right w:val="nil"/>
            </w:tcBorders>
            <w:shd w:val="clear" w:color="auto" w:fill="B398B8"/>
            <w:vAlign w:val="center"/>
            <w:hideMark/>
          </w:tcPr>
          <w:p w14:paraId="13C5137C"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541,000</w:t>
            </w:r>
          </w:p>
        </w:tc>
        <w:tc>
          <w:tcPr>
            <w:tcW w:w="887" w:type="pct"/>
            <w:tcBorders>
              <w:top w:val="nil"/>
              <w:left w:val="nil"/>
              <w:bottom w:val="single" w:sz="4" w:space="0" w:color="auto"/>
              <w:right w:val="nil"/>
            </w:tcBorders>
            <w:shd w:val="clear" w:color="auto" w:fill="B398B8"/>
            <w:vAlign w:val="center"/>
            <w:hideMark/>
          </w:tcPr>
          <w:p w14:paraId="0A894ABA"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465,600</w:t>
            </w:r>
          </w:p>
        </w:tc>
        <w:tc>
          <w:tcPr>
            <w:tcW w:w="887" w:type="pct"/>
            <w:tcBorders>
              <w:top w:val="nil"/>
              <w:left w:val="nil"/>
              <w:bottom w:val="single" w:sz="4" w:space="0" w:color="auto"/>
              <w:right w:val="nil"/>
            </w:tcBorders>
            <w:shd w:val="clear" w:color="auto" w:fill="B398B8"/>
            <w:vAlign w:val="center"/>
            <w:hideMark/>
          </w:tcPr>
          <w:p w14:paraId="50046A68"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454,600</w:t>
            </w:r>
          </w:p>
        </w:tc>
        <w:tc>
          <w:tcPr>
            <w:tcW w:w="887" w:type="pct"/>
            <w:tcBorders>
              <w:top w:val="nil"/>
              <w:left w:val="nil"/>
              <w:bottom w:val="single" w:sz="4" w:space="0" w:color="auto"/>
              <w:right w:val="nil"/>
            </w:tcBorders>
            <w:shd w:val="clear" w:color="auto" w:fill="B398B8"/>
            <w:vAlign w:val="center"/>
            <w:hideMark/>
          </w:tcPr>
          <w:p w14:paraId="5472F165" w14:textId="77777777" w:rsidR="00723E93" w:rsidRPr="007F6332" w:rsidRDefault="00723E93">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471,200</w:t>
            </w:r>
          </w:p>
        </w:tc>
      </w:tr>
    </w:tbl>
    <w:p w14:paraId="44595ED0" w14:textId="77777777" w:rsidR="00457C58" w:rsidRPr="007F6332" w:rsidRDefault="00457C58" w:rsidP="00AA097F">
      <w:pPr>
        <w:pStyle w:val="Heading4"/>
        <w:rPr>
          <w:rFonts w:cs="Arial"/>
        </w:rPr>
        <w:sectPr w:rsidR="00457C58" w:rsidRPr="007F6332" w:rsidSect="00E53368">
          <w:pgSz w:w="11906" w:h="16838"/>
          <w:pgMar w:top="1440" w:right="1416" w:bottom="1702" w:left="1440" w:header="708" w:footer="680" w:gutter="0"/>
          <w:cols w:space="708"/>
          <w:titlePg/>
          <w:docGrid w:linePitch="360"/>
        </w:sectPr>
      </w:pPr>
    </w:p>
    <w:p w14:paraId="1644680B" w14:textId="5A414363" w:rsidR="00723E93" w:rsidRPr="007F6332" w:rsidRDefault="00723E93" w:rsidP="001D062D">
      <w:pPr>
        <w:pStyle w:val="Heading4"/>
        <w:ind w:left="851" w:hanging="851"/>
        <w:rPr>
          <w:rFonts w:cs="Arial"/>
        </w:rPr>
      </w:pPr>
      <w:r w:rsidRPr="007F6332">
        <w:rPr>
          <w:rFonts w:cs="Arial"/>
        </w:rPr>
        <w:lastRenderedPageBreak/>
        <w:t>Projected utilisation</w:t>
      </w:r>
    </w:p>
    <w:p w14:paraId="253AF91B" w14:textId="6D2E3223" w:rsidR="00723E93" w:rsidRPr="007F6332" w:rsidRDefault="00950565" w:rsidP="00723E93">
      <w:pPr>
        <w:pStyle w:val="FSRnormal"/>
        <w:rPr>
          <w:rFonts w:eastAsia="Times New Roman" w:cs="Arial"/>
          <w:lang w:eastAsia="en-AU"/>
        </w:rPr>
      </w:pPr>
      <w:r w:rsidRPr="007F6332">
        <w:rPr>
          <w:rFonts w:eastAsia="Times New Roman" w:cs="Arial"/>
          <w:lang w:eastAsia="en-AU"/>
        </w:rPr>
        <w:t xml:space="preserve">Figure 5.1 </w:t>
      </w:r>
      <w:r w:rsidR="00723E93" w:rsidRPr="007F6332">
        <w:rPr>
          <w:rFonts w:eastAsia="Times New Roman" w:cs="Arial"/>
          <w:lang w:eastAsia="en-AU"/>
        </w:rPr>
        <w:t>shows historical and projected utilisation rates for the Scheme in aggregate and depicts Scheme expenses as a proportion of total plan budgets.</w:t>
      </w:r>
      <w:bookmarkStart w:id="147" w:name="_Ref142658567"/>
    </w:p>
    <w:p w14:paraId="28E00467" w14:textId="0DF8B340" w:rsidR="00723E93" w:rsidRPr="007F6332" w:rsidRDefault="00723E93" w:rsidP="00823FC9">
      <w:pPr>
        <w:pStyle w:val="FiguresandTablesHeading5"/>
        <w:rPr>
          <w:rStyle w:val="Heading7Char"/>
          <w:rFonts w:cs="Arial"/>
          <w:b/>
          <w:iCs/>
        </w:rPr>
      </w:pPr>
      <w:r w:rsidRPr="007F6332">
        <w:rPr>
          <w:rStyle w:val="Heading7Char"/>
          <w:rFonts w:cs="Arial"/>
          <w:b/>
          <w:iCs/>
        </w:rPr>
        <w:t xml:space="preserve">Figure </w:t>
      </w:r>
      <w:bookmarkEnd w:id="147"/>
      <w:r w:rsidR="0045717D" w:rsidRPr="007F6332">
        <w:rPr>
          <w:rStyle w:val="Heading7Char"/>
          <w:rFonts w:cs="Arial"/>
          <w:b/>
          <w:iCs/>
        </w:rPr>
        <w:t>5.1</w:t>
      </w:r>
      <w:r w:rsidRPr="007F6332">
        <w:rPr>
          <w:rStyle w:val="Heading7Char"/>
          <w:rFonts w:cs="Arial"/>
          <w:b/>
          <w:iCs/>
        </w:rPr>
        <w:t>: Utilisation over time</w:t>
      </w:r>
    </w:p>
    <w:p w14:paraId="2F99E1AB" w14:textId="66B4387B" w:rsidR="00DF34E0" w:rsidRPr="007F6332" w:rsidRDefault="00DF34E0" w:rsidP="00CE7E91">
      <w:pPr>
        <w:rPr>
          <w:rFonts w:cs="Arial"/>
        </w:rPr>
      </w:pPr>
      <w:r w:rsidRPr="007F6332">
        <w:rPr>
          <w:rFonts w:cs="Arial"/>
          <w:noProof/>
        </w:rPr>
        <w:drawing>
          <wp:inline distT="0" distB="0" distL="0" distR="0" wp14:anchorId="47B6B9B5" wp14:editId="0736330B">
            <wp:extent cx="5581650" cy="3732028"/>
            <wp:effectExtent l="0" t="0" r="0" b="1905"/>
            <wp:docPr id="1967527407" name="Picture 1967527407" descr="Figure 5.1: Utilisation over time. The chart shows the total historical and projected Scheme payments and unutilised plan budgets, and the resulting utilisation. &#10;For 2018-19 and prior, total payments are $19.2b and total unutilised plan budgets are $8.0b, resulting in a utilisation rate of 70.6%.&#10;For 2019-20, total payments are $17.3b and total unutilised plan budgets are $7.0b, resulting in a utilisation rate of 71.1%.&#10;For 2020-21, total payments are $23.5b and total unutilised plan budgets are $8.8b, resulting in a utilisation rate of 72.8%.&#10;For 2021-22, total payments are $27.9b and total unutilised plan budgets are $9.1b, resulting in a utilisation rate of 75.5%.&#10;For 2022-23, total payments are $35.4b and total unutilised plan budgets are $10.6b, resulting in a utilisation rate of 77.0%.&#10;For 2023-24, projected total payments are $41.4b and projected total unutilised plan budgets are $11.8b, resulting in a projected utilisation rate of 77.8%.&#10;For 2024-25, projected total payments are $46.4b and projected total unutilised plan budgets are $12.9b, resulting in a projected utilisation rate of 78.3%.&#10;For 2025-26, projected total payments are $50.8b and projected total unutilised plan budgets are $13.8b, resulting in a projected utilisation rate of 78.6%.&#10;For 2026-27, projected total payments are $55.2b and projected total unutilised plan budgets are $14.9b, resulting in a projected utilisation rate of 7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27407" name="Picture 1967527407" descr="Figure 5.1: Utilisation over time. The chart shows the total historical and projected Scheme payments and unutilised plan budgets, and the resulting utilisation. &#10;For 2018-19 and prior, total payments are $19.2b and total unutilised plan budgets are $8.0b, resulting in a utilisation rate of 70.6%.&#10;For 2019-20, total payments are $17.3b and total unutilised plan budgets are $7.0b, resulting in a utilisation rate of 71.1%.&#10;For 2020-21, total payments are $23.5b and total unutilised plan budgets are $8.8b, resulting in a utilisation rate of 72.8%.&#10;For 2021-22, total payments are $27.9b and total unutilised plan budgets are $9.1b, resulting in a utilisation rate of 75.5%.&#10;For 2022-23, total payments are $35.4b and total unutilised plan budgets are $10.6b, resulting in a utilisation rate of 77.0%.&#10;For 2023-24, projected total payments are $41.4b and projected total unutilised plan budgets are $11.8b, resulting in a projected utilisation rate of 77.8%.&#10;For 2024-25, projected total payments are $46.4b and projected total unutilised plan budgets are $12.9b, resulting in a projected utilisation rate of 78.3%.&#10;For 2025-26, projected total payments are $50.8b and projected total unutilised plan budgets are $13.8b, resulting in a projected utilisation rate of 78.6%.&#10;For 2026-27, projected total payments are $55.2b and projected total unutilised plan budgets are $14.9b, resulting in a projected utilisation rate of 78.8%.&#10;"/>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a:stretch/>
                  </pic:blipFill>
                  <pic:spPr bwMode="auto">
                    <a:xfrm>
                      <a:off x="0" y="0"/>
                      <a:ext cx="5605331" cy="3747862"/>
                    </a:xfrm>
                    <a:prstGeom prst="rect">
                      <a:avLst/>
                    </a:prstGeom>
                    <a:noFill/>
                    <a:ln>
                      <a:noFill/>
                    </a:ln>
                    <a:extLst>
                      <a:ext uri="{53640926-AAD7-44D8-BBD7-CCE9431645EC}">
                        <a14:shadowObscured xmlns:a14="http://schemas.microsoft.com/office/drawing/2010/main"/>
                      </a:ext>
                    </a:extLst>
                  </pic:spPr>
                </pic:pic>
              </a:graphicData>
            </a:graphic>
          </wp:inline>
        </w:drawing>
      </w:r>
    </w:p>
    <w:p w14:paraId="253F09AE" w14:textId="43D68990" w:rsidR="00723E93" w:rsidRPr="007F6332" w:rsidRDefault="00AA097F" w:rsidP="00723E93">
      <w:pPr>
        <w:pStyle w:val="FSRnormal"/>
        <w:rPr>
          <w:rFonts w:cs="Arial"/>
        </w:rPr>
      </w:pPr>
      <w:r w:rsidRPr="007F6332">
        <w:rPr>
          <w:rFonts w:cs="Arial"/>
        </w:rPr>
        <w:t>Utilisation has increased from around 70% during the trial and transition periods to 77% in 2022-23</w:t>
      </w:r>
      <w:r w:rsidRPr="007F6332">
        <w:rPr>
          <w:rStyle w:val="FootnoteReference"/>
          <w:rFonts w:cs="Arial"/>
        </w:rPr>
        <w:footnoteReference w:id="88"/>
      </w:r>
      <w:r w:rsidRPr="007F6332">
        <w:rPr>
          <w:rFonts w:cs="Arial"/>
        </w:rPr>
        <w:t xml:space="preserve">. </w:t>
      </w:r>
      <w:r w:rsidR="00723E93" w:rsidRPr="007F6332">
        <w:rPr>
          <w:rFonts w:cs="Arial"/>
        </w:rPr>
        <w:t xml:space="preserve">The impact of the </w:t>
      </w:r>
      <w:r w:rsidR="002D6881" w:rsidRPr="007F6332">
        <w:rPr>
          <w:rFonts w:cs="Arial"/>
        </w:rPr>
        <w:t>Budget initiatives</w:t>
      </w:r>
      <w:r w:rsidR="00723E93" w:rsidRPr="007F6332">
        <w:rPr>
          <w:rFonts w:cs="Arial"/>
        </w:rPr>
        <w:t xml:space="preserve"> on utilisation is highly uncertain. However, utilisation may increase further to the extent that improvements to planning processes better align participant supports with their goals</w:t>
      </w:r>
      <w:r w:rsidR="00DC02B5" w:rsidRPr="007F6332">
        <w:rPr>
          <w:rFonts w:cs="Arial"/>
        </w:rPr>
        <w:t>.</w:t>
      </w:r>
    </w:p>
    <w:p w14:paraId="7E633006" w14:textId="77777777" w:rsidR="00723E93" w:rsidRPr="007F6332" w:rsidRDefault="00723E93" w:rsidP="00723E93">
      <w:pPr>
        <w:pStyle w:val="FSRnormal"/>
        <w:rPr>
          <w:rFonts w:cs="Arial"/>
        </w:rPr>
      </w:pPr>
      <w:r w:rsidRPr="007F6332">
        <w:rPr>
          <w:rFonts w:cs="Arial"/>
        </w:rPr>
        <w:t xml:space="preserve">In aggregate, utilisation is projected to continue to increase in the short term but at a reducing rate and gradually stabilise over the medium term. The overall Scheme utilisation rates are expected to be 77.8% and 78.3% for 2023-24 and 2024-25 respectively; and </w:t>
      </w:r>
      <w:bookmarkStart w:id="148" w:name="_Hlk146628774"/>
      <w:r w:rsidRPr="007F6332">
        <w:rPr>
          <w:rFonts w:cs="Arial"/>
        </w:rPr>
        <w:t>reaching 78.8% by 2026-27</w:t>
      </w:r>
      <w:bookmarkEnd w:id="148"/>
      <w:r w:rsidRPr="007F6332">
        <w:rPr>
          <w:rFonts w:cs="Arial"/>
        </w:rPr>
        <w:t>.</w:t>
      </w:r>
    </w:p>
    <w:p w14:paraId="3E3651E3" w14:textId="6149BA72" w:rsidR="00723E93" w:rsidRPr="007F6332" w:rsidRDefault="00723E93" w:rsidP="00723E93">
      <w:pPr>
        <w:pStyle w:val="FSRnormal"/>
        <w:rPr>
          <w:rFonts w:cs="Arial"/>
        </w:rPr>
      </w:pPr>
      <w:r w:rsidRPr="007F6332">
        <w:rPr>
          <w:rFonts w:cs="Arial"/>
        </w:rPr>
        <w:t>Figure 5.2 below shows the trajectory of utilisation split by participants</w:t>
      </w:r>
      <w:r w:rsidR="00DC02B5" w:rsidRPr="007F6332">
        <w:rPr>
          <w:rFonts w:cs="Arial"/>
        </w:rPr>
        <w:t>’</w:t>
      </w:r>
      <w:r w:rsidRPr="007F6332">
        <w:rPr>
          <w:rFonts w:cs="Arial"/>
        </w:rPr>
        <w:t xml:space="preserve"> usage of SIL supports. This split shows participants in SIL arrangements utilise a greater proportion of their plans and their utilisation increase has been historically slower than participants who </w:t>
      </w:r>
      <w:r w:rsidR="00DC6F69" w:rsidRPr="007F6332">
        <w:rPr>
          <w:rFonts w:cs="Arial"/>
        </w:rPr>
        <w:t xml:space="preserve">are not in </w:t>
      </w:r>
      <w:r w:rsidRPr="007F6332">
        <w:rPr>
          <w:rFonts w:cs="Arial"/>
        </w:rPr>
        <w:t>SIL arrangements. The projected utilisation for participants with and without SIL supports is 90% and 74% respectively by 2026-27.</w:t>
      </w:r>
    </w:p>
    <w:p w14:paraId="47EBD7FF" w14:textId="5B721CC6" w:rsidR="00D37FBE" w:rsidRPr="007F6332" w:rsidRDefault="00D37FBE" w:rsidP="00823FC9">
      <w:pPr>
        <w:pStyle w:val="FiguresandTablesHeading5"/>
        <w:rPr>
          <w:noProof/>
        </w:rPr>
      </w:pPr>
      <w:r w:rsidRPr="007F6332">
        <w:lastRenderedPageBreak/>
        <w:t>Figure 5.2: Utilisation projections split by SIL arrangements</w:t>
      </w:r>
    </w:p>
    <w:p w14:paraId="4F6A4B2C" w14:textId="321653FF" w:rsidR="00D37FBE" w:rsidRPr="007F6332" w:rsidRDefault="007E3662" w:rsidP="00CD33D0">
      <w:pPr>
        <w:rPr>
          <w:rFonts w:cs="Arial"/>
        </w:rPr>
      </w:pPr>
      <w:r w:rsidRPr="007F6332">
        <w:rPr>
          <w:rFonts w:eastAsiaTheme="majorEastAsia" w:cs="Arial"/>
          <w:noProof/>
        </w:rPr>
        <w:drawing>
          <wp:inline distT="0" distB="0" distL="0" distR="0" wp14:anchorId="5FE2FECC" wp14:editId="0664CF87">
            <wp:extent cx="5741035" cy="2713990"/>
            <wp:effectExtent l="0" t="0" r="0" b="0"/>
            <wp:docPr id="1991919838" name="Picture 3" descr="Figure 5.2: Shows Utilisation projections split by participants' usage of SIL supports, SIL or non-SIL. Projections for 2023-24 to 2026-27 show the utilisation rates for both participants with and without SIL supports stabilising, with participants with SIL supports utilising a higher proportion of their plans.&#10;2018-19 actual SIL supports rates equal 86%.&#10;2018-19 actual non SIL rates equal 63%.&#10;2019-20 actual SIL supports rates equal 85%.&#10;2019-20 actual non SIL rates equal 64%.&#10;2020-21 actual SIL supports rates equal 86%.&#10;2020-21 actual non SIL rates equal 66%.&#10;2021-22 actual SIL supports rates equal 88%.&#10;2021-22 actual non SIL rates equal 69%.&#10;2022-23 actual SIL supports rates equal 89%.&#10;2022-23 actual non SIL rates equal 72%.&#10;2023-24 projections for SIL supports rates equal 90%.&#10;2023-24 projections for non SIL rates equal 73%.&#10;2024-25 projections for SIL supports rates equal 90%.&#10;2024-25 projections for non SIL rates equal 73%.&#10;2025-26 projections for SIL supports rates equal 90%.&#10;2025-26 projections for non SIL rates equal 73%.&#10;2026-27 projections for SIL supports rates equal 90%.&#10;2026-27 projections for non SIL rates equal 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19838" name="Picture 3" descr="Figure 5.2: Shows Utilisation projections split by participants' usage of SIL supports, SIL or non-SIL. Projections for 2023-24 to 2026-27 show the utilisation rates for both participants with and without SIL supports stabilising, with participants with SIL supports utilising a higher proportion of their plans.&#10;2018-19 actual SIL supports rates equal 86%.&#10;2018-19 actual non SIL rates equal 63%.&#10;2019-20 actual SIL supports rates equal 85%.&#10;2019-20 actual non SIL rates equal 64%.&#10;2020-21 actual SIL supports rates equal 86%.&#10;2020-21 actual non SIL rates equal 66%.&#10;2021-22 actual SIL supports rates equal 88%.&#10;2021-22 actual non SIL rates equal 69%.&#10;2022-23 actual SIL supports rates equal 89%.&#10;2022-23 actual non SIL rates equal 72%.&#10;2023-24 projections for SIL supports rates equal 90%.&#10;2023-24 projections for non SIL rates equal 73%.&#10;2024-25 projections for SIL supports rates equal 90%.&#10;2024-25 projections for non SIL rates equal 73%.&#10;2025-26 projections for SIL supports rates equal 90%.&#10;2025-26 projections for non SIL rates equal 73%.&#10;2026-27 projections for SIL supports rates equal 90%.&#10;2026-27 projections for non SIL rates equal 74%.&#10;"/>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a:stretch/>
                  </pic:blipFill>
                  <pic:spPr bwMode="auto">
                    <a:xfrm>
                      <a:off x="0" y="0"/>
                      <a:ext cx="5741035" cy="2713990"/>
                    </a:xfrm>
                    <a:prstGeom prst="rect">
                      <a:avLst/>
                    </a:prstGeom>
                    <a:noFill/>
                    <a:ln>
                      <a:noFill/>
                    </a:ln>
                    <a:extLst>
                      <a:ext uri="{53640926-AAD7-44D8-BBD7-CCE9431645EC}">
                        <a14:shadowObscured xmlns:a14="http://schemas.microsoft.com/office/drawing/2010/main"/>
                      </a:ext>
                    </a:extLst>
                  </pic:spPr>
                </pic:pic>
              </a:graphicData>
            </a:graphic>
          </wp:inline>
        </w:drawing>
      </w:r>
    </w:p>
    <w:p w14:paraId="7C8728CA" w14:textId="73D92C35" w:rsidR="00723E93" w:rsidRPr="007F6332" w:rsidRDefault="00723E93" w:rsidP="001D062D">
      <w:pPr>
        <w:pStyle w:val="Heading3"/>
        <w:ind w:left="709" w:hanging="709"/>
        <w:rPr>
          <w:rFonts w:cs="Arial"/>
        </w:rPr>
      </w:pPr>
      <w:bookmarkStart w:id="149" w:name="_Toc152614986"/>
      <w:bookmarkEnd w:id="138"/>
      <w:bookmarkEnd w:id="139"/>
      <w:r w:rsidRPr="007F6332">
        <w:rPr>
          <w:rFonts w:cs="Arial"/>
        </w:rPr>
        <w:t>Participant projections</w:t>
      </w:r>
      <w:bookmarkEnd w:id="140"/>
      <w:bookmarkEnd w:id="141"/>
      <w:bookmarkEnd w:id="142"/>
      <w:bookmarkEnd w:id="149"/>
    </w:p>
    <w:p w14:paraId="6834D6B9" w14:textId="77777777" w:rsidR="00723E93" w:rsidRPr="007F6332" w:rsidRDefault="00723E93" w:rsidP="00723E93">
      <w:pPr>
        <w:rPr>
          <w:rFonts w:cs="Arial"/>
        </w:rPr>
      </w:pPr>
      <w:r w:rsidRPr="007F6332">
        <w:rPr>
          <w:rFonts w:cs="Arial"/>
        </w:rPr>
        <w:t>The number of participants expected in the Scheme at the end of each projection year is determined as a function of:</w:t>
      </w:r>
    </w:p>
    <w:p w14:paraId="4E1E7576" w14:textId="77777777" w:rsidR="00723E93" w:rsidRPr="007F6332" w:rsidRDefault="00723E93" w:rsidP="00C1755E">
      <w:pPr>
        <w:pStyle w:val="FSRlist"/>
        <w:rPr>
          <w:rFonts w:cs="Arial"/>
        </w:rPr>
      </w:pPr>
      <w:r w:rsidRPr="007F6332">
        <w:rPr>
          <w:rFonts w:cs="Arial"/>
        </w:rPr>
        <w:t>The number of participants currently in the Scheme.</w:t>
      </w:r>
    </w:p>
    <w:p w14:paraId="018D0C2F" w14:textId="77777777" w:rsidR="00723E93" w:rsidRPr="007F6332" w:rsidRDefault="00723E93" w:rsidP="00C1755E">
      <w:pPr>
        <w:pStyle w:val="FSRlist"/>
        <w:rPr>
          <w:rFonts w:cs="Arial"/>
        </w:rPr>
      </w:pPr>
      <w:r w:rsidRPr="007F6332">
        <w:rPr>
          <w:rFonts w:cs="Arial"/>
        </w:rPr>
        <w:t>The number of new participants expected to enter the Scheme each year.</w:t>
      </w:r>
    </w:p>
    <w:p w14:paraId="1B191229" w14:textId="3C2F37A2" w:rsidR="00723E93" w:rsidRPr="007F6332" w:rsidRDefault="00723E93" w:rsidP="00C1755E">
      <w:pPr>
        <w:pStyle w:val="FSRlist"/>
        <w:rPr>
          <w:rFonts w:cs="Arial"/>
        </w:rPr>
      </w:pPr>
      <w:r w:rsidRPr="007F6332">
        <w:rPr>
          <w:rFonts w:cs="Arial"/>
        </w:rPr>
        <w:t xml:space="preserve">The rate at which participants are expected to leave the Scheme due to </w:t>
      </w:r>
      <w:r w:rsidR="00AA097F" w:rsidRPr="007F6332">
        <w:rPr>
          <w:rFonts w:cs="Arial"/>
        </w:rPr>
        <w:t>mortality</w:t>
      </w:r>
      <w:r w:rsidRPr="007F6332">
        <w:rPr>
          <w:rFonts w:cs="Arial"/>
        </w:rPr>
        <w:t>.</w:t>
      </w:r>
    </w:p>
    <w:p w14:paraId="2BDA7362" w14:textId="77777777" w:rsidR="00723E93" w:rsidRPr="007F6332" w:rsidRDefault="00723E93" w:rsidP="00C1755E">
      <w:pPr>
        <w:pStyle w:val="FSRlist"/>
        <w:rPr>
          <w:rFonts w:cs="Arial"/>
        </w:rPr>
      </w:pPr>
      <w:r w:rsidRPr="007F6332">
        <w:rPr>
          <w:rFonts w:cs="Arial"/>
        </w:rPr>
        <w:t>The rate at which participants are expected to leave the Scheme due to other reasons, such as no longer meeting eligibility requirements or no longer requiring disability supports.</w:t>
      </w:r>
    </w:p>
    <w:p w14:paraId="76893653" w14:textId="77777777" w:rsidR="00723E93" w:rsidRPr="007F6332" w:rsidRDefault="00723E93" w:rsidP="00723E93">
      <w:pPr>
        <w:rPr>
          <w:rFonts w:cs="Arial"/>
        </w:rPr>
      </w:pPr>
      <w:r w:rsidRPr="007F6332">
        <w:rPr>
          <w:rFonts w:cs="Arial"/>
        </w:rPr>
        <w:t>Other dynamics related to the number of participants in the Scheme, which are known to influence Scheme expenses, are also considered:</w:t>
      </w:r>
    </w:p>
    <w:p w14:paraId="08F60DCC" w14:textId="18681FE6" w:rsidR="00723E93" w:rsidRPr="007F6332" w:rsidRDefault="00723E93" w:rsidP="00C1755E">
      <w:pPr>
        <w:pStyle w:val="FSRlist"/>
        <w:rPr>
          <w:rFonts w:cs="Arial"/>
        </w:rPr>
      </w:pPr>
      <w:r w:rsidRPr="007F6332">
        <w:rPr>
          <w:rFonts w:cs="Arial"/>
        </w:rPr>
        <w:t>Children that joined the Scheme with developmental delay receiving a diagnosis, typically resulting in a change in reported primary disability to autism or an intellectual disability.</w:t>
      </w:r>
    </w:p>
    <w:p w14:paraId="627BFBBC" w14:textId="0EFF1314" w:rsidR="00723E93" w:rsidRPr="007F6332" w:rsidRDefault="00723E93" w:rsidP="00C1755E">
      <w:pPr>
        <w:pStyle w:val="FSRlist"/>
        <w:rPr>
          <w:rFonts w:cs="Arial"/>
        </w:rPr>
      </w:pPr>
      <w:r w:rsidRPr="007F6332">
        <w:rPr>
          <w:rFonts w:cs="Arial"/>
        </w:rPr>
        <w:t xml:space="preserve">The number of participants </w:t>
      </w:r>
      <w:r w:rsidR="00DC02B5" w:rsidRPr="007F6332">
        <w:rPr>
          <w:rFonts w:cs="Arial"/>
        </w:rPr>
        <w:t>wi</w:t>
      </w:r>
      <w:r w:rsidR="00116446" w:rsidRPr="007F6332">
        <w:rPr>
          <w:rFonts w:cs="Arial"/>
        </w:rPr>
        <w:t>th SIL supports</w:t>
      </w:r>
      <w:r w:rsidR="00F73CCD" w:rsidRPr="007F6332">
        <w:rPr>
          <w:rFonts w:cs="Arial"/>
        </w:rPr>
        <w:t xml:space="preserve">, </w:t>
      </w:r>
      <w:r w:rsidRPr="007F6332">
        <w:rPr>
          <w:rFonts w:cs="Arial"/>
        </w:rPr>
        <w:t xml:space="preserve">discussed in Section </w:t>
      </w:r>
      <w:r w:rsidR="00F73CCD" w:rsidRPr="007F6332">
        <w:rPr>
          <w:rFonts w:cs="Arial"/>
        </w:rPr>
        <w:t>5.5.</w:t>
      </w:r>
    </w:p>
    <w:p w14:paraId="49755714" w14:textId="21F528C5" w:rsidR="00723E93" w:rsidRPr="007F6332" w:rsidRDefault="00723E93" w:rsidP="00723E93">
      <w:pPr>
        <w:rPr>
          <w:rFonts w:cs="Arial"/>
        </w:rPr>
      </w:pPr>
      <w:r w:rsidRPr="007F6332">
        <w:rPr>
          <w:rFonts w:cs="Arial"/>
        </w:rPr>
        <w:t xml:space="preserve">The </w:t>
      </w:r>
      <w:r w:rsidR="009C40FE" w:rsidRPr="007F6332">
        <w:rPr>
          <w:rFonts w:cs="Arial"/>
        </w:rPr>
        <w:t xml:space="preserve">June 2023 projection </w:t>
      </w:r>
      <w:r w:rsidRPr="007F6332">
        <w:rPr>
          <w:rFonts w:cs="Arial"/>
        </w:rPr>
        <w:t>forecasts a higher number of participants in the next four years, followed by a lower number of participants in subsequent years compared to the previous review. This is primarily a result of a higher number of new entrants expected in the short-term combined with an increase to longer-term expectations about the rate of participants leaving the Scheme.</w:t>
      </w:r>
    </w:p>
    <w:p w14:paraId="16F88DD6" w14:textId="77777777" w:rsidR="005A6E4E" w:rsidRPr="007F6332" w:rsidRDefault="005A6E4E">
      <w:pPr>
        <w:spacing w:line="276" w:lineRule="auto"/>
        <w:rPr>
          <w:rFonts w:cs="Arial"/>
        </w:rPr>
      </w:pPr>
      <w:r w:rsidRPr="007F6332">
        <w:rPr>
          <w:rFonts w:cs="Arial"/>
        </w:rPr>
        <w:br w:type="page"/>
      </w:r>
    </w:p>
    <w:p w14:paraId="032C54DF" w14:textId="2793E03A" w:rsidR="005A6E4E" w:rsidRPr="007F6332" w:rsidRDefault="005A6E4E" w:rsidP="00D07ACF">
      <w:pPr>
        <w:pStyle w:val="FiguresandTablesHeading4"/>
      </w:pPr>
      <w:r w:rsidRPr="007F6332">
        <w:lastRenderedPageBreak/>
        <w:t>Figure 5.3: Projected participant numbers (all ages) at 30 June</w:t>
      </w:r>
    </w:p>
    <w:p w14:paraId="709389CB" w14:textId="62AA31C4" w:rsidR="005A6E4E" w:rsidRPr="007F6332" w:rsidRDefault="00E56A04" w:rsidP="00CD33D0">
      <w:pPr>
        <w:rPr>
          <w:rFonts w:cs="Arial"/>
        </w:rPr>
      </w:pPr>
      <w:r w:rsidRPr="007F6332">
        <w:rPr>
          <w:rFonts w:eastAsiaTheme="majorEastAsia" w:cs="Arial"/>
          <w:noProof/>
        </w:rPr>
        <w:drawing>
          <wp:inline distT="0" distB="0" distL="0" distR="0" wp14:anchorId="7EC33AC4" wp14:editId="046FC456">
            <wp:extent cx="6100052" cy="2873828"/>
            <wp:effectExtent l="0" t="0" r="0" b="3175"/>
            <wp:docPr id="1457279077" name="Picture 5" descr="Figure 5.3: Comparison of participant numbers to previous review&#10;The figure shows number of actual participants entering the Scheme 30 June 2018 through to 30 June 2023 and a comparison between the June 2022 projections and June 2023 projections at each 30 June for the years 2023 to 2033. &#10;Figures for actual experience for years: 2018, 172,333. 2019, 286,015. 2020, 391,999. 2021, 466,619. 2022, 534,655. 2023, 610,502. &#10;Figures from June 2022 projections: 2023, 592,294. 2027, 787,820, 2033, 1,062,787.&#10;Figures from June 2023 projections: 2027, 792,200. 2033, 1,030,33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79077" name="Picture 5" descr="Figure 5.3: Comparison of participant numbers to previous review&#10;The figure shows number of actual participants entering the Scheme 30 June 2018 through to 30 June 2023 and a comparison between the June 2022 projections and June 2023 projections at each 30 June for the years 2023 to 2033. &#10;Figures for actual experience for years: 2018, 172,333. 2019, 286,015. 2020, 391,999. 2021, 466,619. 2022, 534,655. 2023, 610,502. &#10;Figures from June 2022 projections: 2023, 592,294. 2027, 787,820, 2033, 1,062,787.&#10;Figures from June 2023 projections: 2027, 792,200. 2033, 1,030,337. "/>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00052" cy="2873828"/>
                    </a:xfrm>
                    <a:prstGeom prst="rect">
                      <a:avLst/>
                    </a:prstGeom>
                    <a:noFill/>
                  </pic:spPr>
                </pic:pic>
              </a:graphicData>
            </a:graphic>
          </wp:inline>
        </w:drawing>
      </w:r>
    </w:p>
    <w:p w14:paraId="01CC7CD4" w14:textId="402F58B3" w:rsidR="00723E93" w:rsidRPr="007F6332" w:rsidRDefault="00723E93" w:rsidP="001D062D">
      <w:pPr>
        <w:pStyle w:val="Heading4"/>
        <w:ind w:left="851" w:hanging="851"/>
        <w:rPr>
          <w:rFonts w:cs="Arial"/>
        </w:rPr>
      </w:pPr>
      <w:r w:rsidRPr="007F6332">
        <w:rPr>
          <w:rFonts w:cs="Arial"/>
        </w:rPr>
        <w:t>New entrants</w:t>
      </w:r>
    </w:p>
    <w:p w14:paraId="1CDD8924" w14:textId="77777777" w:rsidR="00723E93" w:rsidRPr="007F6332" w:rsidRDefault="00723E93" w:rsidP="00723E93">
      <w:pPr>
        <w:rPr>
          <w:rFonts w:cs="Arial"/>
        </w:rPr>
      </w:pPr>
      <w:r w:rsidRPr="007F6332">
        <w:rPr>
          <w:rFonts w:cs="Arial"/>
        </w:rPr>
        <w:t xml:space="preserve">The number of new participants expected to enter the Scheme each year are modelled based on assumed rates of new entrants. Expected new entrant rates are comprised of two components: </w:t>
      </w:r>
    </w:p>
    <w:p w14:paraId="79E2DF6D" w14:textId="40A69350" w:rsidR="00723E93" w:rsidRPr="007F6332" w:rsidRDefault="00723E93" w:rsidP="00C1755E">
      <w:pPr>
        <w:pStyle w:val="FSRlist"/>
        <w:rPr>
          <w:rFonts w:cs="Arial"/>
        </w:rPr>
      </w:pPr>
      <w:r w:rsidRPr="007F6332">
        <w:rPr>
          <w:rFonts w:cs="Arial"/>
        </w:rPr>
        <w:t xml:space="preserve">New entrants in the short-term, resulting from the expected continuation of </w:t>
      </w:r>
      <w:r w:rsidR="00707E85" w:rsidRPr="007F6332">
        <w:rPr>
          <w:rFonts w:cs="Arial"/>
        </w:rPr>
        <w:t>short-term</w:t>
      </w:r>
      <w:r w:rsidRPr="007F6332">
        <w:rPr>
          <w:rFonts w:cs="Arial"/>
        </w:rPr>
        <w:t xml:space="preserve"> trends</w:t>
      </w:r>
      <w:r w:rsidR="00707E85" w:rsidRPr="007F6332">
        <w:rPr>
          <w:rFonts w:cs="Arial"/>
        </w:rPr>
        <w:t>. This includes</w:t>
      </w:r>
      <w:r w:rsidRPr="007F6332">
        <w:rPr>
          <w:rFonts w:cs="Arial"/>
        </w:rPr>
        <w:t xml:space="preserve"> participants with previously unmet needs (PUN), who </w:t>
      </w:r>
      <w:r w:rsidR="00F73CCD" w:rsidRPr="007F6332">
        <w:rPr>
          <w:rFonts w:cs="Arial"/>
        </w:rPr>
        <w:t xml:space="preserve">acquired their disability some years prior and only accessed the Scheme recently </w:t>
      </w:r>
      <w:r w:rsidR="00707E85" w:rsidRPr="007F6332">
        <w:rPr>
          <w:rFonts w:cs="Arial"/>
        </w:rPr>
        <w:t>(</w:t>
      </w:r>
      <w:r w:rsidR="00F73CCD" w:rsidRPr="007F6332">
        <w:rPr>
          <w:rFonts w:cs="Arial"/>
        </w:rPr>
        <w:t>for var</w:t>
      </w:r>
      <w:r w:rsidR="00707E85" w:rsidRPr="007F6332">
        <w:rPr>
          <w:rFonts w:cs="Arial"/>
        </w:rPr>
        <w:t>ious reasons).</w:t>
      </w:r>
    </w:p>
    <w:p w14:paraId="0FA25608" w14:textId="77777777" w:rsidR="00723E93" w:rsidRPr="007F6332" w:rsidRDefault="00723E93" w:rsidP="00C1755E">
      <w:pPr>
        <w:pStyle w:val="FSRlist"/>
        <w:rPr>
          <w:rFonts w:cs="Arial"/>
        </w:rPr>
      </w:pPr>
      <w:r w:rsidRPr="007F6332">
        <w:rPr>
          <w:rFonts w:cs="Arial"/>
        </w:rPr>
        <w:t>Long-term new entrant rates related to the steady intake of new participants beyond an assumed steady-intake date.</w:t>
      </w:r>
    </w:p>
    <w:p w14:paraId="61CB2714" w14:textId="6CA30F4D" w:rsidR="00723E93" w:rsidRPr="007F6332" w:rsidRDefault="00B72689" w:rsidP="00723E93">
      <w:pPr>
        <w:rPr>
          <w:rFonts w:cs="Arial"/>
        </w:rPr>
      </w:pPr>
      <w:r w:rsidRPr="007F6332">
        <w:rPr>
          <w:rFonts w:cs="Arial"/>
        </w:rPr>
        <w:t>For the June 2023 projections, new entrant rate assumptions have been updated to take account of the latest observed Scheme experience compared to the June 2022 projections as follows:</w:t>
      </w:r>
    </w:p>
    <w:p w14:paraId="49A7109E" w14:textId="77777777" w:rsidR="00723E93" w:rsidRPr="007F6332" w:rsidRDefault="00723E93" w:rsidP="00C1755E">
      <w:pPr>
        <w:pStyle w:val="FSRlist"/>
        <w:rPr>
          <w:rFonts w:cs="Arial"/>
        </w:rPr>
      </w:pPr>
      <w:r w:rsidRPr="007F6332">
        <w:rPr>
          <w:rFonts w:cs="Arial"/>
        </w:rPr>
        <w:t>A revision to the expected rate of new entrants in the short-term with developmental delay</w:t>
      </w:r>
      <w:r w:rsidRPr="007F6332">
        <w:rPr>
          <w:rFonts w:cs="Arial"/>
          <w:szCs w:val="22"/>
          <w:vertAlign w:val="superscript"/>
        </w:rPr>
        <w:footnoteReference w:id="89"/>
      </w:r>
      <w:r w:rsidRPr="007F6332">
        <w:rPr>
          <w:rFonts w:cs="Arial"/>
        </w:rPr>
        <w:t xml:space="preserve"> and autism, anticipating that the current high rate of new entrants with developmental delay will gradually reduce. The rate of new entrants with autism is expected to peak in 2024 before reducing to steady long-term rates by June 2026.</w:t>
      </w:r>
    </w:p>
    <w:p w14:paraId="51C1CF72" w14:textId="7A0BAF4F" w:rsidR="00674024" w:rsidRPr="007F6332" w:rsidRDefault="00674024" w:rsidP="00C1755E">
      <w:pPr>
        <w:pStyle w:val="FSRlist"/>
        <w:rPr>
          <w:rFonts w:cs="Arial"/>
        </w:rPr>
      </w:pPr>
      <w:r w:rsidRPr="007F6332">
        <w:rPr>
          <w:rFonts w:cs="Arial"/>
        </w:rPr>
        <w:t xml:space="preserve">An increase in the proportion of new entrants that are assumed to be participants with previously unmet need (‘PUN’). This proportion is set based on the observed rate of decline in the number of new entrants, as well as findings from an internal review of a sample </w:t>
      </w:r>
      <w:r w:rsidR="00DC02B5" w:rsidRPr="007F6332">
        <w:rPr>
          <w:rFonts w:cs="Arial"/>
        </w:rPr>
        <w:t xml:space="preserve">of </w:t>
      </w:r>
      <w:r w:rsidRPr="007F6332">
        <w:rPr>
          <w:rFonts w:cs="Arial"/>
        </w:rPr>
        <w:t xml:space="preserve">participants. The increased proportion of participants with PUN means that </w:t>
      </w:r>
      <w:r w:rsidRPr="007F6332">
        <w:rPr>
          <w:rFonts w:cs="Arial"/>
        </w:rPr>
        <w:lastRenderedPageBreak/>
        <w:t xml:space="preserve">a greater number of new entrants are expected in the short-term with PUN </w:t>
      </w:r>
      <w:bookmarkStart w:id="150" w:name="_Hlk150367884"/>
      <w:r w:rsidR="006A73D0" w:rsidRPr="007F6332">
        <w:rPr>
          <w:rFonts w:cs="Arial"/>
        </w:rPr>
        <w:t>and a</w:t>
      </w:r>
      <w:r w:rsidR="003A78F5" w:rsidRPr="007F6332">
        <w:rPr>
          <w:rFonts w:cs="Arial"/>
        </w:rPr>
        <w:t>s a result, lower numbers of new entrants are projected in the medium to long term.</w:t>
      </w:r>
      <w:r w:rsidR="003A78F5" w:rsidRPr="007F6332" w:rsidDel="003A78F5">
        <w:rPr>
          <w:rFonts w:cs="Arial"/>
        </w:rPr>
        <w:t xml:space="preserve"> </w:t>
      </w:r>
      <w:bookmarkEnd w:id="150"/>
    </w:p>
    <w:p w14:paraId="7F12C8CF" w14:textId="21E4634A" w:rsidR="00723E93" w:rsidRPr="007F6332" w:rsidRDefault="00723E93" w:rsidP="00C1755E">
      <w:pPr>
        <w:pStyle w:val="FSRlist"/>
        <w:rPr>
          <w:rFonts w:cs="Arial"/>
        </w:rPr>
      </w:pPr>
      <w:r w:rsidRPr="007F6332">
        <w:rPr>
          <w:rFonts w:cs="Arial"/>
        </w:rPr>
        <w:t xml:space="preserve">The timeframe over which participants with PUN are expected to reduce to zero has been extended to 30 June 2026 from 30 June 2024 in the previous review. This is to reflect the higher-than-expected number of new entrants with PUN, and the consequent likelihood that adults with a previously unmet need will continue to enter the Scheme for several years. </w:t>
      </w:r>
    </w:p>
    <w:p w14:paraId="0EAEB9FE" w14:textId="2D516FAC" w:rsidR="00723E93" w:rsidRPr="007F6332" w:rsidRDefault="00950565" w:rsidP="00723E93">
      <w:pPr>
        <w:rPr>
          <w:rFonts w:cs="Arial"/>
        </w:rPr>
      </w:pPr>
      <w:r w:rsidRPr="007F6332">
        <w:rPr>
          <w:rFonts w:cs="Arial"/>
        </w:rPr>
        <w:t>Table 5.14</w:t>
      </w:r>
      <w:r w:rsidR="00723E93" w:rsidRPr="007F6332">
        <w:rPr>
          <w:rFonts w:cs="Arial"/>
        </w:rPr>
        <w:t xml:space="preserve"> presents the long-term new entrant rates assumed for the </w:t>
      </w:r>
      <w:r w:rsidR="00B72689" w:rsidRPr="007F6332">
        <w:rPr>
          <w:rFonts w:cs="Arial"/>
        </w:rPr>
        <w:t>June 2023 projections</w:t>
      </w:r>
      <w:r w:rsidR="00723E93" w:rsidRPr="007F6332">
        <w:rPr>
          <w:rFonts w:cs="Arial"/>
        </w:rPr>
        <w:t xml:space="preserve">, both before and after adjustments made for </w:t>
      </w:r>
      <w:r w:rsidR="002D6881" w:rsidRPr="007F6332">
        <w:rPr>
          <w:rFonts w:cs="Arial"/>
        </w:rPr>
        <w:t>Budget initiatives</w:t>
      </w:r>
      <w:r w:rsidR="00723E93" w:rsidRPr="007F6332">
        <w:rPr>
          <w:rFonts w:cs="Arial"/>
        </w:rPr>
        <w:t xml:space="preserve">, compared to those assumed from the previous review by key disability groups. </w:t>
      </w:r>
    </w:p>
    <w:p w14:paraId="6DA40691" w14:textId="377717D4" w:rsidR="00674024" w:rsidRPr="007F6332" w:rsidRDefault="00674024" w:rsidP="00674024">
      <w:pPr>
        <w:rPr>
          <w:rFonts w:cs="Arial"/>
        </w:rPr>
      </w:pPr>
      <w:r w:rsidRPr="007F6332">
        <w:rPr>
          <w:rFonts w:cs="Arial"/>
        </w:rPr>
        <w:t xml:space="preserve">Taking a lifetime approach and ensuring plans are more transparent and flexible is expected to reduce the number of children entering with developmental delay. A new entrant rate of 133.9 (per 100,000 population aged 0 to 64) is expected for participants with developmental delay in the </w:t>
      </w:r>
      <w:r w:rsidR="00DE45BC" w:rsidRPr="007F6332">
        <w:rPr>
          <w:rFonts w:cs="Arial"/>
        </w:rPr>
        <w:t>June 2023 projections</w:t>
      </w:r>
      <w:r w:rsidRPr="007F6332">
        <w:rPr>
          <w:rFonts w:cs="Arial"/>
        </w:rPr>
        <w:t xml:space="preserve"> compared with 148.8 without the impact of </w:t>
      </w:r>
      <w:r w:rsidR="002D6881" w:rsidRPr="007F6332">
        <w:rPr>
          <w:rFonts w:cs="Arial"/>
        </w:rPr>
        <w:t>Budget initiatives</w:t>
      </w:r>
      <w:r w:rsidRPr="007F6332">
        <w:rPr>
          <w:rFonts w:cs="Arial"/>
        </w:rPr>
        <w:t>.</w:t>
      </w:r>
    </w:p>
    <w:p w14:paraId="5EDB7641" w14:textId="77777777" w:rsidR="00BC6A52" w:rsidRPr="007F6332" w:rsidRDefault="00674024" w:rsidP="00BC6A52">
      <w:pPr>
        <w:rPr>
          <w:rFonts w:cs="Arial"/>
        </w:rPr>
      </w:pPr>
      <w:r w:rsidRPr="007F6332">
        <w:rPr>
          <w:rFonts w:cs="Arial"/>
        </w:rPr>
        <w:t xml:space="preserve">A new entrant rate of 314.7 (per 100,000 population aged 0 to 64), in aggregate across all disability types, has been assumed for the June </w:t>
      </w:r>
      <w:r w:rsidR="00A41C5B" w:rsidRPr="007F6332">
        <w:rPr>
          <w:rFonts w:cs="Arial"/>
        </w:rPr>
        <w:t xml:space="preserve">2023 </w:t>
      </w:r>
      <w:r w:rsidRPr="007F6332">
        <w:rPr>
          <w:rFonts w:cs="Arial"/>
        </w:rPr>
        <w:t xml:space="preserve">projections. </w:t>
      </w:r>
      <w:r w:rsidR="003D2D99" w:rsidRPr="007F6332">
        <w:rPr>
          <w:rFonts w:cs="Arial"/>
        </w:rPr>
        <w:t>This is 2.0% higher than the new entrant rate assumed in the previous review, including an assumed rate that is 2.3% higher for new entrants with autism, 21.2% higher for new entrants with developmental delay, and a reduction of 18.6% in the rate of new entrants with disabilities other than developmental delay and autism</w:t>
      </w:r>
      <w:r w:rsidR="00723E93" w:rsidRPr="007F6332">
        <w:rPr>
          <w:rFonts w:cs="Arial"/>
        </w:rPr>
        <w:t>.</w:t>
      </w:r>
      <w:bookmarkStart w:id="151" w:name="_Ref144844142"/>
    </w:p>
    <w:p w14:paraId="160A352A" w14:textId="757D315B" w:rsidR="00723E93" w:rsidRPr="007F6332" w:rsidRDefault="00723E93" w:rsidP="00D07ACF">
      <w:pPr>
        <w:pStyle w:val="FiguresandTablesHeading5"/>
      </w:pPr>
      <w:r w:rsidRPr="007F6332">
        <w:t xml:space="preserve">Table </w:t>
      </w:r>
      <w:bookmarkEnd w:id="151"/>
      <w:r w:rsidR="0045717D" w:rsidRPr="007F6332">
        <w:t>5.14:</w:t>
      </w:r>
      <w:r w:rsidRPr="007F6332">
        <w:t xml:space="preserve"> </w:t>
      </w:r>
      <w:r w:rsidR="0038375C" w:rsidRPr="007F6332">
        <w:t>Comparison of assumed new entrant rates (per 100,000 population) by disability group</w:t>
      </w:r>
    </w:p>
    <w:tbl>
      <w:tblPr>
        <w:tblStyle w:val="FSRtable"/>
        <w:tblW w:w="9106" w:type="dxa"/>
        <w:tblInd w:w="5" w:type="dxa"/>
        <w:tblLook w:val="04A0" w:firstRow="1" w:lastRow="0" w:firstColumn="1" w:lastColumn="0" w:noHBand="0" w:noVBand="1"/>
      </w:tblPr>
      <w:tblGrid>
        <w:gridCol w:w="1991"/>
        <w:gridCol w:w="1832"/>
        <w:gridCol w:w="1617"/>
        <w:gridCol w:w="1402"/>
        <w:gridCol w:w="1241"/>
        <w:gridCol w:w="1023"/>
      </w:tblGrid>
      <w:tr w:rsidR="003B4006" w:rsidRPr="007F6332" w14:paraId="663EFD47" w14:textId="77777777" w:rsidTr="00E53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tcPr>
          <w:p w14:paraId="20A63DA3" w14:textId="77777777" w:rsidR="00723E93" w:rsidRPr="007F6332" w:rsidRDefault="00723E93" w:rsidP="006C2D75">
            <w:pPr>
              <w:spacing w:line="264" w:lineRule="auto"/>
              <w:rPr>
                <w:szCs w:val="22"/>
              </w:rPr>
            </w:pPr>
            <w:bookmarkStart w:id="152" w:name="_Hlk144301248"/>
            <w:r w:rsidRPr="007F6332">
              <w:t>Disability Group</w:t>
            </w:r>
          </w:p>
        </w:tc>
        <w:tc>
          <w:tcPr>
            <w:tcW w:w="1832" w:type="dxa"/>
            <w:tcBorders>
              <w:top w:val="single" w:sz="4" w:space="0" w:color="auto"/>
              <w:bottom w:val="nil"/>
              <w:right w:val="dashed" w:sz="4" w:space="0" w:color="auto"/>
            </w:tcBorders>
          </w:tcPr>
          <w:p w14:paraId="24976498" w14:textId="46CB05F4" w:rsidR="00723E93" w:rsidRPr="007F6332" w:rsidRDefault="003B4006" w:rsidP="006C2D75">
            <w:pPr>
              <w:spacing w:line="264" w:lineRule="auto"/>
              <w:jc w:val="center"/>
              <w:cnfStyle w:val="100000000000" w:firstRow="1" w:lastRow="0" w:firstColumn="0" w:lastColumn="0" w:oddVBand="0" w:evenVBand="0" w:oddHBand="0" w:evenHBand="0" w:firstRowFirstColumn="0" w:firstRowLastColumn="0" w:lastRowFirstColumn="0" w:lastRowLastColumn="0"/>
            </w:pPr>
            <w:r w:rsidRPr="007F6332">
              <w:t>June 2023 projections</w:t>
            </w:r>
            <w:r w:rsidR="00723E93" w:rsidRPr="007F6332">
              <w:t xml:space="preserve"> (before </w:t>
            </w:r>
            <w:r w:rsidR="002D6881" w:rsidRPr="007F6332">
              <w:t>Budget initiatives</w:t>
            </w:r>
            <w:r w:rsidR="00723E93" w:rsidRPr="007F6332">
              <w:t>)</w:t>
            </w:r>
          </w:p>
        </w:tc>
        <w:tc>
          <w:tcPr>
            <w:tcW w:w="1617" w:type="dxa"/>
            <w:tcBorders>
              <w:left w:val="dashed" w:sz="4" w:space="0" w:color="auto"/>
            </w:tcBorders>
          </w:tcPr>
          <w:p w14:paraId="5EFACE8B" w14:textId="75B03CFA" w:rsidR="00723E93" w:rsidRPr="007F6332" w:rsidRDefault="003B4006" w:rsidP="006C2D7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t>June 2023 projections</w:t>
            </w:r>
            <w:r w:rsidR="00723E93" w:rsidRPr="007F6332">
              <w:t xml:space="preserve"> (after </w:t>
            </w:r>
            <w:r w:rsidR="002D6881" w:rsidRPr="007F6332">
              <w:t>Budget initiatives</w:t>
            </w:r>
            <w:r w:rsidR="00723E93" w:rsidRPr="007F6332">
              <w:t>)</w:t>
            </w:r>
          </w:p>
        </w:tc>
        <w:tc>
          <w:tcPr>
            <w:tcW w:w="1402" w:type="dxa"/>
          </w:tcPr>
          <w:p w14:paraId="56D29498" w14:textId="3C945506" w:rsidR="00723E93" w:rsidRPr="007F6332" w:rsidRDefault="003B4006" w:rsidP="006C2D7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t>June 2022 projections</w:t>
            </w:r>
          </w:p>
        </w:tc>
        <w:tc>
          <w:tcPr>
            <w:tcW w:w="1241" w:type="dxa"/>
          </w:tcPr>
          <w:p w14:paraId="679B6CD9" w14:textId="77777777" w:rsidR="00723E93" w:rsidRPr="007F6332" w:rsidRDefault="00723E93" w:rsidP="006C2D7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rPr>
                <w:bCs/>
                <w:iCs/>
              </w:rPr>
              <w:t>Absolute Change</w:t>
            </w:r>
          </w:p>
        </w:tc>
        <w:tc>
          <w:tcPr>
            <w:tcW w:w="1023" w:type="dxa"/>
          </w:tcPr>
          <w:p w14:paraId="50ABB4AC" w14:textId="77777777" w:rsidR="00723E93" w:rsidRPr="007F6332" w:rsidRDefault="00723E93" w:rsidP="006C2D7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t>% Change</w:t>
            </w:r>
          </w:p>
        </w:tc>
      </w:tr>
      <w:tr w:rsidR="003B4006" w:rsidRPr="007F6332" w14:paraId="1AC85251" w14:textId="77777777" w:rsidTr="00970232">
        <w:trPr>
          <w:trHeight w:val="340"/>
        </w:trPr>
        <w:tc>
          <w:tcPr>
            <w:cnfStyle w:val="001000000000" w:firstRow="0" w:lastRow="0" w:firstColumn="1" w:lastColumn="0" w:oddVBand="0" w:evenVBand="0" w:oddHBand="0" w:evenHBand="0" w:firstRowFirstColumn="0" w:firstRowLastColumn="0" w:lastRowFirstColumn="0" w:lastRowLastColumn="0"/>
            <w:tcW w:w="1991" w:type="dxa"/>
          </w:tcPr>
          <w:p w14:paraId="198781FC" w14:textId="77777777" w:rsidR="00723E93" w:rsidRPr="007F6332" w:rsidRDefault="00723E93" w:rsidP="00AD65E3">
            <w:pPr>
              <w:pStyle w:val="Heading5"/>
              <w:numPr>
                <w:ilvl w:val="0"/>
                <w:numId w:val="0"/>
              </w:numPr>
              <w:ind w:left="-50"/>
              <w:rPr>
                <w:rFonts w:cs="Arial"/>
              </w:rPr>
            </w:pPr>
            <w:r w:rsidRPr="007F6332">
              <w:rPr>
                <w:rFonts w:cs="Arial"/>
              </w:rPr>
              <w:t>Autism</w:t>
            </w:r>
          </w:p>
        </w:tc>
        <w:tc>
          <w:tcPr>
            <w:tcW w:w="1832" w:type="dxa"/>
            <w:tcBorders>
              <w:top w:val="nil"/>
              <w:bottom w:val="nil"/>
              <w:right w:val="dashed" w:sz="4" w:space="0" w:color="auto"/>
            </w:tcBorders>
          </w:tcPr>
          <w:p w14:paraId="7E925751"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96.3</w:t>
            </w:r>
          </w:p>
        </w:tc>
        <w:tc>
          <w:tcPr>
            <w:tcW w:w="1617" w:type="dxa"/>
            <w:tcBorders>
              <w:left w:val="dashed" w:sz="4" w:space="0" w:color="auto"/>
            </w:tcBorders>
          </w:tcPr>
          <w:p w14:paraId="4F2CB629"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96.3</w:t>
            </w:r>
          </w:p>
        </w:tc>
        <w:tc>
          <w:tcPr>
            <w:tcW w:w="1402" w:type="dxa"/>
          </w:tcPr>
          <w:p w14:paraId="015526EE"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94.1</w:t>
            </w:r>
          </w:p>
        </w:tc>
        <w:tc>
          <w:tcPr>
            <w:tcW w:w="1241" w:type="dxa"/>
          </w:tcPr>
          <w:p w14:paraId="3AC31862"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2.2</w:t>
            </w:r>
          </w:p>
        </w:tc>
        <w:tc>
          <w:tcPr>
            <w:tcW w:w="1023" w:type="dxa"/>
          </w:tcPr>
          <w:p w14:paraId="698B299D"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2.3%</w:t>
            </w:r>
          </w:p>
        </w:tc>
      </w:tr>
      <w:tr w:rsidR="003B4006" w:rsidRPr="007F6332" w14:paraId="56182A04" w14:textId="77777777" w:rsidTr="00E53368">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991" w:type="dxa"/>
          </w:tcPr>
          <w:p w14:paraId="120A9E95" w14:textId="77777777" w:rsidR="00723E93" w:rsidRPr="007F6332" w:rsidRDefault="00723E93" w:rsidP="00AD65E3">
            <w:pPr>
              <w:pStyle w:val="Heading5"/>
              <w:numPr>
                <w:ilvl w:val="0"/>
                <w:numId w:val="0"/>
              </w:numPr>
              <w:ind w:left="-50"/>
              <w:rPr>
                <w:rFonts w:cs="Arial"/>
              </w:rPr>
            </w:pPr>
            <w:r w:rsidRPr="007F6332">
              <w:rPr>
                <w:rFonts w:cs="Arial"/>
              </w:rPr>
              <w:t>Developmental Delay</w:t>
            </w:r>
          </w:p>
        </w:tc>
        <w:tc>
          <w:tcPr>
            <w:tcW w:w="1832" w:type="dxa"/>
            <w:tcBorders>
              <w:top w:val="nil"/>
              <w:bottom w:val="nil"/>
              <w:right w:val="dashed" w:sz="4" w:space="0" w:color="auto"/>
            </w:tcBorders>
          </w:tcPr>
          <w:p w14:paraId="3C727399"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148.8</w:t>
            </w:r>
          </w:p>
        </w:tc>
        <w:tc>
          <w:tcPr>
            <w:tcW w:w="1617" w:type="dxa"/>
            <w:tcBorders>
              <w:left w:val="dashed" w:sz="4" w:space="0" w:color="auto"/>
            </w:tcBorders>
          </w:tcPr>
          <w:p w14:paraId="0DC99AA3"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133.9</w:t>
            </w:r>
          </w:p>
        </w:tc>
        <w:tc>
          <w:tcPr>
            <w:tcW w:w="1402" w:type="dxa"/>
          </w:tcPr>
          <w:p w14:paraId="0A3E21D4"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110.5</w:t>
            </w:r>
          </w:p>
        </w:tc>
        <w:tc>
          <w:tcPr>
            <w:tcW w:w="1241" w:type="dxa"/>
          </w:tcPr>
          <w:p w14:paraId="0CA487DA"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23.5</w:t>
            </w:r>
          </w:p>
        </w:tc>
        <w:tc>
          <w:tcPr>
            <w:tcW w:w="1023" w:type="dxa"/>
          </w:tcPr>
          <w:p w14:paraId="1EFC74C3"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21.2%</w:t>
            </w:r>
          </w:p>
        </w:tc>
      </w:tr>
      <w:tr w:rsidR="003B4006" w:rsidRPr="007F6332" w14:paraId="67000774" w14:textId="77777777" w:rsidTr="00E53368">
        <w:trPr>
          <w:trHeight w:val="227"/>
        </w:trPr>
        <w:tc>
          <w:tcPr>
            <w:cnfStyle w:val="001000000000" w:firstRow="0" w:lastRow="0" w:firstColumn="1" w:lastColumn="0" w:oddVBand="0" w:evenVBand="0" w:oddHBand="0" w:evenHBand="0" w:firstRowFirstColumn="0" w:firstRowLastColumn="0" w:lastRowFirstColumn="0" w:lastRowLastColumn="0"/>
            <w:tcW w:w="1991" w:type="dxa"/>
          </w:tcPr>
          <w:p w14:paraId="7810B8BC" w14:textId="77777777" w:rsidR="00723E93" w:rsidRPr="007F6332" w:rsidRDefault="00723E93" w:rsidP="00AD65E3">
            <w:pPr>
              <w:pStyle w:val="Heading5"/>
              <w:numPr>
                <w:ilvl w:val="0"/>
                <w:numId w:val="0"/>
              </w:numPr>
              <w:ind w:left="-50"/>
              <w:rPr>
                <w:rFonts w:cs="Arial"/>
              </w:rPr>
            </w:pPr>
            <w:r w:rsidRPr="007F6332">
              <w:rPr>
                <w:rFonts w:cs="Arial"/>
              </w:rPr>
              <w:t>Intellectual Disability</w:t>
            </w:r>
          </w:p>
        </w:tc>
        <w:tc>
          <w:tcPr>
            <w:tcW w:w="1832" w:type="dxa"/>
            <w:tcBorders>
              <w:top w:val="nil"/>
              <w:bottom w:val="nil"/>
              <w:right w:val="dashed" w:sz="4" w:space="0" w:color="auto"/>
            </w:tcBorders>
          </w:tcPr>
          <w:p w14:paraId="348C09F8"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18.0</w:t>
            </w:r>
          </w:p>
        </w:tc>
        <w:tc>
          <w:tcPr>
            <w:tcW w:w="1617" w:type="dxa"/>
            <w:tcBorders>
              <w:left w:val="dashed" w:sz="4" w:space="0" w:color="auto"/>
            </w:tcBorders>
          </w:tcPr>
          <w:p w14:paraId="7B674ABA"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18.0</w:t>
            </w:r>
          </w:p>
        </w:tc>
        <w:tc>
          <w:tcPr>
            <w:tcW w:w="1402" w:type="dxa"/>
          </w:tcPr>
          <w:p w14:paraId="44AAC764"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21.0</w:t>
            </w:r>
          </w:p>
        </w:tc>
        <w:tc>
          <w:tcPr>
            <w:tcW w:w="1241" w:type="dxa"/>
          </w:tcPr>
          <w:p w14:paraId="66B0310D"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-3.1</w:t>
            </w:r>
          </w:p>
        </w:tc>
        <w:tc>
          <w:tcPr>
            <w:tcW w:w="1023" w:type="dxa"/>
          </w:tcPr>
          <w:p w14:paraId="1056A4E1"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-14.6%</w:t>
            </w:r>
          </w:p>
        </w:tc>
      </w:tr>
      <w:tr w:rsidR="003B4006" w:rsidRPr="007F6332" w14:paraId="77EE6375" w14:textId="77777777" w:rsidTr="00E53368">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991" w:type="dxa"/>
          </w:tcPr>
          <w:p w14:paraId="072AE46E" w14:textId="77777777" w:rsidR="00723E93" w:rsidRPr="007F6332" w:rsidRDefault="00723E93" w:rsidP="00AD65E3">
            <w:pPr>
              <w:pStyle w:val="Heading5"/>
              <w:numPr>
                <w:ilvl w:val="0"/>
                <w:numId w:val="0"/>
              </w:numPr>
              <w:ind w:left="-50"/>
              <w:rPr>
                <w:rFonts w:cs="Arial"/>
              </w:rPr>
            </w:pPr>
            <w:r w:rsidRPr="007F6332">
              <w:rPr>
                <w:rFonts w:cs="Arial"/>
              </w:rPr>
              <w:t>Other Neurological</w:t>
            </w:r>
          </w:p>
        </w:tc>
        <w:tc>
          <w:tcPr>
            <w:tcW w:w="1832" w:type="dxa"/>
            <w:tcBorders>
              <w:top w:val="nil"/>
              <w:bottom w:val="nil"/>
              <w:right w:val="dashed" w:sz="4" w:space="0" w:color="auto"/>
            </w:tcBorders>
          </w:tcPr>
          <w:p w14:paraId="138A0A09"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7.8</w:t>
            </w:r>
          </w:p>
        </w:tc>
        <w:tc>
          <w:tcPr>
            <w:tcW w:w="1617" w:type="dxa"/>
            <w:tcBorders>
              <w:left w:val="dashed" w:sz="4" w:space="0" w:color="auto"/>
            </w:tcBorders>
          </w:tcPr>
          <w:p w14:paraId="31AFA5FB"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7.8</w:t>
            </w:r>
          </w:p>
        </w:tc>
        <w:tc>
          <w:tcPr>
            <w:tcW w:w="1402" w:type="dxa"/>
          </w:tcPr>
          <w:p w14:paraId="3A7F5631"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9.9</w:t>
            </w:r>
          </w:p>
        </w:tc>
        <w:tc>
          <w:tcPr>
            <w:tcW w:w="1241" w:type="dxa"/>
          </w:tcPr>
          <w:p w14:paraId="421A5EA2"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-2.1</w:t>
            </w:r>
          </w:p>
        </w:tc>
        <w:tc>
          <w:tcPr>
            <w:tcW w:w="1023" w:type="dxa"/>
          </w:tcPr>
          <w:p w14:paraId="08AD359C"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-21.0%</w:t>
            </w:r>
          </w:p>
        </w:tc>
      </w:tr>
      <w:tr w:rsidR="003B4006" w:rsidRPr="007F6332" w14:paraId="16F1742B" w14:textId="77777777" w:rsidTr="00E53368">
        <w:trPr>
          <w:trHeight w:val="227"/>
        </w:trPr>
        <w:tc>
          <w:tcPr>
            <w:cnfStyle w:val="001000000000" w:firstRow="0" w:lastRow="0" w:firstColumn="1" w:lastColumn="0" w:oddVBand="0" w:evenVBand="0" w:oddHBand="0" w:evenHBand="0" w:firstRowFirstColumn="0" w:firstRowLastColumn="0" w:lastRowFirstColumn="0" w:lastRowLastColumn="0"/>
            <w:tcW w:w="1991" w:type="dxa"/>
          </w:tcPr>
          <w:p w14:paraId="0F6A6BC7" w14:textId="77777777" w:rsidR="00723E93" w:rsidRPr="007F6332" w:rsidRDefault="00723E93" w:rsidP="00AD65E3">
            <w:pPr>
              <w:pStyle w:val="Heading5"/>
              <w:numPr>
                <w:ilvl w:val="0"/>
                <w:numId w:val="0"/>
              </w:numPr>
              <w:ind w:left="-50"/>
              <w:rPr>
                <w:rFonts w:cs="Arial"/>
              </w:rPr>
            </w:pPr>
            <w:r w:rsidRPr="007F6332">
              <w:rPr>
                <w:rFonts w:cs="Arial"/>
              </w:rPr>
              <w:t>Psychosocial Disability</w:t>
            </w:r>
          </w:p>
        </w:tc>
        <w:tc>
          <w:tcPr>
            <w:tcW w:w="1832" w:type="dxa"/>
            <w:tcBorders>
              <w:top w:val="nil"/>
              <w:bottom w:val="nil"/>
              <w:right w:val="dashed" w:sz="4" w:space="0" w:color="auto"/>
            </w:tcBorders>
          </w:tcPr>
          <w:p w14:paraId="00B576E8"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19.4</w:t>
            </w:r>
          </w:p>
        </w:tc>
        <w:tc>
          <w:tcPr>
            <w:tcW w:w="1617" w:type="dxa"/>
            <w:tcBorders>
              <w:left w:val="dashed" w:sz="4" w:space="0" w:color="auto"/>
            </w:tcBorders>
          </w:tcPr>
          <w:p w14:paraId="4C9F4BF1"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19.4</w:t>
            </w:r>
          </w:p>
        </w:tc>
        <w:tc>
          <w:tcPr>
            <w:tcW w:w="1402" w:type="dxa"/>
          </w:tcPr>
          <w:p w14:paraId="16313618"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24.4</w:t>
            </w:r>
          </w:p>
        </w:tc>
        <w:tc>
          <w:tcPr>
            <w:tcW w:w="1241" w:type="dxa"/>
          </w:tcPr>
          <w:p w14:paraId="78F4F7FA"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-5.0</w:t>
            </w:r>
          </w:p>
        </w:tc>
        <w:tc>
          <w:tcPr>
            <w:tcW w:w="1023" w:type="dxa"/>
          </w:tcPr>
          <w:p w14:paraId="68DA3A0A"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-20.5%</w:t>
            </w:r>
          </w:p>
        </w:tc>
      </w:tr>
      <w:tr w:rsidR="003B4006" w:rsidRPr="007F6332" w14:paraId="5C82C76A" w14:textId="77777777" w:rsidTr="00970232">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91" w:type="dxa"/>
            <w:tcBorders>
              <w:bottom w:val="nil"/>
            </w:tcBorders>
          </w:tcPr>
          <w:p w14:paraId="480243A0" w14:textId="1E29CDC7" w:rsidR="00723E93" w:rsidRPr="007F6332" w:rsidRDefault="00723E93" w:rsidP="00AD65E3">
            <w:pPr>
              <w:pStyle w:val="Heading5"/>
              <w:numPr>
                <w:ilvl w:val="0"/>
                <w:numId w:val="0"/>
              </w:numPr>
              <w:ind w:left="-50"/>
              <w:rPr>
                <w:rFonts w:cs="Arial"/>
              </w:rPr>
            </w:pPr>
            <w:r w:rsidRPr="007F6332">
              <w:rPr>
                <w:rFonts w:cs="Arial"/>
              </w:rPr>
              <w:t xml:space="preserve">Other </w:t>
            </w:r>
          </w:p>
        </w:tc>
        <w:tc>
          <w:tcPr>
            <w:tcW w:w="1832" w:type="dxa"/>
            <w:tcBorders>
              <w:top w:val="nil"/>
              <w:bottom w:val="nil"/>
              <w:right w:val="dashed" w:sz="4" w:space="0" w:color="auto"/>
            </w:tcBorders>
          </w:tcPr>
          <w:p w14:paraId="19E93F33"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39.4</w:t>
            </w:r>
          </w:p>
        </w:tc>
        <w:tc>
          <w:tcPr>
            <w:tcW w:w="1617" w:type="dxa"/>
            <w:tcBorders>
              <w:left w:val="dashed" w:sz="4" w:space="0" w:color="auto"/>
              <w:bottom w:val="nil"/>
            </w:tcBorders>
          </w:tcPr>
          <w:p w14:paraId="242A347D"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39.4</w:t>
            </w:r>
          </w:p>
        </w:tc>
        <w:tc>
          <w:tcPr>
            <w:tcW w:w="1402" w:type="dxa"/>
            <w:tcBorders>
              <w:bottom w:val="nil"/>
            </w:tcBorders>
          </w:tcPr>
          <w:p w14:paraId="022C524A"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48.6</w:t>
            </w:r>
          </w:p>
        </w:tc>
        <w:tc>
          <w:tcPr>
            <w:tcW w:w="1241" w:type="dxa"/>
            <w:tcBorders>
              <w:bottom w:val="nil"/>
            </w:tcBorders>
          </w:tcPr>
          <w:p w14:paraId="795DA12B"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-9.2</w:t>
            </w:r>
          </w:p>
        </w:tc>
        <w:tc>
          <w:tcPr>
            <w:tcW w:w="1023" w:type="dxa"/>
            <w:tcBorders>
              <w:bottom w:val="nil"/>
            </w:tcBorders>
          </w:tcPr>
          <w:p w14:paraId="17FCE8FC"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color w:val="000000"/>
                <w:szCs w:val="22"/>
              </w:rPr>
              <w:t>-18.9%</w:t>
            </w:r>
          </w:p>
        </w:tc>
      </w:tr>
      <w:tr w:rsidR="003B4006" w:rsidRPr="007F6332" w14:paraId="07BEC42E" w14:textId="77777777" w:rsidTr="00E53368">
        <w:trPr>
          <w:trHeight w:val="227"/>
        </w:trPr>
        <w:tc>
          <w:tcPr>
            <w:cnfStyle w:val="001000000000" w:firstRow="0" w:lastRow="0" w:firstColumn="1" w:lastColumn="0" w:oddVBand="0" w:evenVBand="0" w:oddHBand="0" w:evenHBand="0" w:firstRowFirstColumn="0" w:firstRowLastColumn="0" w:lastRowFirstColumn="0" w:lastRowLastColumn="0"/>
            <w:tcW w:w="1991" w:type="dxa"/>
            <w:tcBorders>
              <w:top w:val="nil"/>
              <w:bottom w:val="single" w:sz="4" w:space="0" w:color="auto"/>
            </w:tcBorders>
            <w:shd w:val="clear" w:color="auto" w:fill="B398B8"/>
          </w:tcPr>
          <w:p w14:paraId="20290C5F" w14:textId="77777777" w:rsidR="00723E93" w:rsidRPr="007F6332" w:rsidRDefault="00723E93" w:rsidP="006C2D75">
            <w:pPr>
              <w:spacing w:line="264" w:lineRule="auto"/>
              <w:rPr>
                <w:rFonts w:cs="Arial"/>
                <w:b/>
                <w:bCs/>
                <w:color w:val="000000"/>
                <w:szCs w:val="22"/>
              </w:rPr>
            </w:pPr>
            <w:r w:rsidRPr="007F6332">
              <w:rPr>
                <w:rFonts w:cs="Arial"/>
                <w:b/>
                <w:bCs/>
                <w:color w:val="000000"/>
                <w:szCs w:val="22"/>
              </w:rPr>
              <w:t>Total All Disabilities</w:t>
            </w:r>
          </w:p>
        </w:tc>
        <w:tc>
          <w:tcPr>
            <w:tcW w:w="1832" w:type="dxa"/>
            <w:tcBorders>
              <w:top w:val="nil"/>
              <w:bottom w:val="single" w:sz="4" w:space="0" w:color="auto"/>
              <w:right w:val="dashed" w:sz="4" w:space="0" w:color="auto"/>
            </w:tcBorders>
            <w:shd w:val="clear" w:color="auto" w:fill="B398B8"/>
          </w:tcPr>
          <w:p w14:paraId="61CC4A56"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329.6</w:t>
            </w:r>
          </w:p>
        </w:tc>
        <w:tc>
          <w:tcPr>
            <w:tcW w:w="1617" w:type="dxa"/>
            <w:tcBorders>
              <w:top w:val="nil"/>
              <w:left w:val="dashed" w:sz="4" w:space="0" w:color="auto"/>
              <w:bottom w:val="single" w:sz="4" w:space="0" w:color="auto"/>
            </w:tcBorders>
            <w:shd w:val="clear" w:color="auto" w:fill="B398B8"/>
          </w:tcPr>
          <w:p w14:paraId="754CBD6D"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314.7</w:t>
            </w:r>
          </w:p>
        </w:tc>
        <w:tc>
          <w:tcPr>
            <w:tcW w:w="1402" w:type="dxa"/>
            <w:tcBorders>
              <w:top w:val="nil"/>
              <w:bottom w:val="single" w:sz="4" w:space="0" w:color="auto"/>
            </w:tcBorders>
            <w:shd w:val="clear" w:color="auto" w:fill="B398B8"/>
          </w:tcPr>
          <w:p w14:paraId="1C0BE5ED"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308.4</w:t>
            </w:r>
          </w:p>
        </w:tc>
        <w:tc>
          <w:tcPr>
            <w:tcW w:w="1241" w:type="dxa"/>
            <w:tcBorders>
              <w:top w:val="nil"/>
              <w:bottom w:val="single" w:sz="4" w:space="0" w:color="auto"/>
            </w:tcBorders>
            <w:shd w:val="clear" w:color="auto" w:fill="B398B8"/>
          </w:tcPr>
          <w:p w14:paraId="0F807B29"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6.3</w:t>
            </w:r>
          </w:p>
        </w:tc>
        <w:tc>
          <w:tcPr>
            <w:tcW w:w="1023" w:type="dxa"/>
            <w:tcBorders>
              <w:top w:val="nil"/>
              <w:bottom w:val="single" w:sz="4" w:space="0" w:color="auto"/>
            </w:tcBorders>
            <w:shd w:val="clear" w:color="auto" w:fill="B398B8"/>
          </w:tcPr>
          <w:p w14:paraId="4F018100"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2.0%</w:t>
            </w:r>
          </w:p>
        </w:tc>
      </w:tr>
    </w:tbl>
    <w:bookmarkEnd w:id="152"/>
    <w:p w14:paraId="3C78D0C2" w14:textId="5D7380CC" w:rsidR="00723E93" w:rsidRPr="007F6332" w:rsidRDefault="00950565" w:rsidP="00723E93">
      <w:pPr>
        <w:spacing w:before="120"/>
        <w:rPr>
          <w:rFonts w:cs="Arial"/>
        </w:rPr>
      </w:pPr>
      <w:r w:rsidRPr="007F6332">
        <w:rPr>
          <w:rFonts w:cs="Arial"/>
        </w:rPr>
        <w:t xml:space="preserve">Table 5.15 </w:t>
      </w:r>
      <w:r w:rsidR="00723E93" w:rsidRPr="007F6332">
        <w:rPr>
          <w:rFonts w:cs="Arial"/>
        </w:rPr>
        <w:t xml:space="preserve">shows updated long-term new entrant rates assumed by age before and after adjustments made for </w:t>
      </w:r>
      <w:r w:rsidR="002D6881" w:rsidRPr="007F6332">
        <w:rPr>
          <w:rFonts w:cs="Arial"/>
        </w:rPr>
        <w:t>Budget initiatives</w:t>
      </w:r>
      <w:r w:rsidR="00723E93" w:rsidRPr="007F6332">
        <w:rPr>
          <w:rFonts w:cs="Arial"/>
        </w:rPr>
        <w:t xml:space="preserve"> compared to the previous review. The </w:t>
      </w:r>
      <w:r w:rsidR="002D6881" w:rsidRPr="007F6332">
        <w:rPr>
          <w:rFonts w:cs="Arial"/>
        </w:rPr>
        <w:t>Budget initiatives</w:t>
      </w:r>
      <w:r w:rsidR="00723E93" w:rsidRPr="007F6332">
        <w:rPr>
          <w:rFonts w:cs="Arial"/>
        </w:rPr>
        <w:t xml:space="preserve"> reduce the expected number of new entrants with development</w:t>
      </w:r>
      <w:r w:rsidR="00570C75" w:rsidRPr="007F6332">
        <w:rPr>
          <w:rFonts w:cs="Arial"/>
        </w:rPr>
        <w:t>al</w:t>
      </w:r>
      <w:r w:rsidR="00723E93" w:rsidRPr="007F6332">
        <w:rPr>
          <w:rFonts w:cs="Arial"/>
        </w:rPr>
        <w:t xml:space="preserve"> delay and global development</w:t>
      </w:r>
      <w:r w:rsidR="00A716CF" w:rsidRPr="007F6332">
        <w:rPr>
          <w:rFonts w:cs="Arial"/>
        </w:rPr>
        <w:t>al</w:t>
      </w:r>
      <w:r w:rsidR="00723E93" w:rsidRPr="007F6332">
        <w:rPr>
          <w:rFonts w:cs="Arial"/>
        </w:rPr>
        <w:t xml:space="preserve"> delay which impacts the 0 to 14 age band due to the age profile of the </w:t>
      </w:r>
      <w:r w:rsidR="00723E93" w:rsidRPr="007F6332">
        <w:rPr>
          <w:rFonts w:cs="Arial"/>
        </w:rPr>
        <w:lastRenderedPageBreak/>
        <w:t>participants in this group. New entrant rates for ages 0 to 14 have increased significantly by 17.3%, and the long-term new entrant rates for new entrants aged 15 years and over has decreased by 17.8% compared to the previous review.</w:t>
      </w:r>
    </w:p>
    <w:p w14:paraId="01ED7739" w14:textId="77777777" w:rsidR="00723E93" w:rsidRPr="007F6332" w:rsidRDefault="00723E93" w:rsidP="00723E93">
      <w:pPr>
        <w:rPr>
          <w:rFonts w:cs="Arial"/>
        </w:rPr>
      </w:pPr>
      <w:r w:rsidRPr="007F6332">
        <w:rPr>
          <w:rFonts w:cs="Arial"/>
        </w:rPr>
        <w:t>Overall, the revised assumptions reflect a future expected decline in the long-term new entrants in the adult population, as new entrants with PUN reduce over the next three years to 30 June 2026.</w:t>
      </w:r>
    </w:p>
    <w:p w14:paraId="0E0389E5" w14:textId="431FFD16" w:rsidR="00723E93" w:rsidRPr="007F6332" w:rsidRDefault="00723E93" w:rsidP="00D07ACF">
      <w:pPr>
        <w:pStyle w:val="FiguresandTablesHeading5"/>
      </w:pPr>
      <w:bookmarkStart w:id="153" w:name="_Ref144844150"/>
      <w:r w:rsidRPr="007F6332">
        <w:t xml:space="preserve">Table </w:t>
      </w:r>
      <w:bookmarkEnd w:id="153"/>
      <w:r w:rsidR="0045717D" w:rsidRPr="007F6332">
        <w:t>5.15:</w:t>
      </w:r>
      <w:r w:rsidRPr="007F6332">
        <w:t xml:space="preserve"> </w:t>
      </w:r>
      <w:r w:rsidR="00BC7BD4" w:rsidRPr="007F6332">
        <w:t>Comparison of a</w:t>
      </w:r>
      <w:r w:rsidRPr="007F6332">
        <w:t>ssumed new entrant rates (per 100,000 population) by age group</w:t>
      </w:r>
    </w:p>
    <w:tbl>
      <w:tblPr>
        <w:tblStyle w:val="FSRtable"/>
        <w:tblpPr w:leftFromText="180" w:rightFromText="180" w:vertAnchor="text" w:tblpY="140"/>
        <w:tblW w:w="9487" w:type="dxa"/>
        <w:tblInd w:w="0" w:type="dxa"/>
        <w:tblLayout w:type="fixed"/>
        <w:tblLook w:val="04A0" w:firstRow="1" w:lastRow="0" w:firstColumn="1" w:lastColumn="0" w:noHBand="0" w:noVBand="1"/>
      </w:tblPr>
      <w:tblGrid>
        <w:gridCol w:w="1653"/>
        <w:gridCol w:w="1814"/>
        <w:gridCol w:w="1814"/>
        <w:gridCol w:w="1644"/>
        <w:gridCol w:w="1281"/>
        <w:gridCol w:w="1281"/>
      </w:tblGrid>
      <w:tr w:rsidR="004C6718" w:rsidRPr="007F6332" w14:paraId="66687D63" w14:textId="77777777" w:rsidTr="00CD3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38CDD4E9" w14:textId="77777777" w:rsidR="00723E93" w:rsidRPr="007F6332" w:rsidRDefault="00723E93" w:rsidP="006C2D75">
            <w:pPr>
              <w:spacing w:line="264" w:lineRule="auto"/>
              <w:rPr>
                <w:szCs w:val="22"/>
              </w:rPr>
            </w:pPr>
            <w:r w:rsidRPr="007F6332">
              <w:rPr>
                <w:szCs w:val="22"/>
              </w:rPr>
              <w:t>Age Group</w:t>
            </w:r>
          </w:p>
        </w:tc>
        <w:tc>
          <w:tcPr>
            <w:tcW w:w="1814" w:type="dxa"/>
            <w:tcBorders>
              <w:top w:val="single" w:sz="4" w:space="0" w:color="auto"/>
              <w:bottom w:val="nil"/>
              <w:right w:val="dashed" w:sz="4" w:space="0" w:color="auto"/>
            </w:tcBorders>
          </w:tcPr>
          <w:p w14:paraId="4B6DBA66" w14:textId="33210247" w:rsidR="00723E93" w:rsidRPr="007F6332" w:rsidRDefault="003B4006" w:rsidP="006C2D75">
            <w:pPr>
              <w:spacing w:line="264" w:lineRule="auto"/>
              <w:ind w:left="24" w:hanging="24"/>
              <w:jc w:val="center"/>
              <w:cnfStyle w:val="100000000000" w:firstRow="1" w:lastRow="0" w:firstColumn="0" w:lastColumn="0" w:oddVBand="0" w:evenVBand="0" w:oddHBand="0" w:evenHBand="0" w:firstRowFirstColumn="0" w:firstRowLastColumn="0" w:lastRowFirstColumn="0" w:lastRowLastColumn="0"/>
              <w:rPr>
                <w:szCs w:val="22"/>
              </w:rPr>
            </w:pPr>
            <w:r w:rsidRPr="007F6332">
              <w:rPr>
                <w:szCs w:val="22"/>
              </w:rPr>
              <w:t>June 2023 projections</w:t>
            </w:r>
            <w:r w:rsidR="00723E93" w:rsidRPr="007F6332">
              <w:rPr>
                <w:szCs w:val="22"/>
              </w:rPr>
              <w:t xml:space="preserve"> (before </w:t>
            </w:r>
            <w:r w:rsidR="002D6881" w:rsidRPr="007F6332">
              <w:rPr>
                <w:szCs w:val="22"/>
              </w:rPr>
              <w:t>Budget initiatives</w:t>
            </w:r>
            <w:r w:rsidR="00723E93" w:rsidRPr="007F6332">
              <w:rPr>
                <w:szCs w:val="22"/>
              </w:rPr>
              <w:t>)</w:t>
            </w:r>
          </w:p>
        </w:tc>
        <w:tc>
          <w:tcPr>
            <w:tcW w:w="1814" w:type="dxa"/>
            <w:tcBorders>
              <w:left w:val="dashed" w:sz="4" w:space="0" w:color="auto"/>
            </w:tcBorders>
          </w:tcPr>
          <w:p w14:paraId="4B94A708" w14:textId="70247915" w:rsidR="00723E93" w:rsidRPr="007F6332" w:rsidRDefault="003B4006" w:rsidP="006C2D7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rPr>
                <w:szCs w:val="22"/>
              </w:rPr>
              <w:t>June 2023 projections</w:t>
            </w:r>
            <w:r w:rsidR="00723E93" w:rsidRPr="007F6332">
              <w:rPr>
                <w:szCs w:val="22"/>
              </w:rPr>
              <w:t xml:space="preserve"> (after </w:t>
            </w:r>
            <w:r w:rsidR="002D6881" w:rsidRPr="007F6332">
              <w:rPr>
                <w:szCs w:val="22"/>
              </w:rPr>
              <w:t>Budget initiatives</w:t>
            </w:r>
            <w:r w:rsidR="00723E93" w:rsidRPr="007F6332">
              <w:rPr>
                <w:szCs w:val="22"/>
              </w:rPr>
              <w:t>)</w:t>
            </w:r>
          </w:p>
        </w:tc>
        <w:tc>
          <w:tcPr>
            <w:tcW w:w="1644" w:type="dxa"/>
          </w:tcPr>
          <w:p w14:paraId="20D8BECA" w14:textId="15CD8557" w:rsidR="00723E93" w:rsidRPr="007F6332" w:rsidRDefault="003B4006" w:rsidP="006C2D7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rPr>
                <w:szCs w:val="22"/>
              </w:rPr>
              <w:t>June 2022 projections</w:t>
            </w:r>
          </w:p>
        </w:tc>
        <w:tc>
          <w:tcPr>
            <w:tcW w:w="1281" w:type="dxa"/>
          </w:tcPr>
          <w:p w14:paraId="361C1FE7" w14:textId="77777777" w:rsidR="00723E93" w:rsidRPr="007F6332" w:rsidRDefault="00723E93" w:rsidP="006C2D7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rPr>
                <w:iCs/>
                <w:szCs w:val="22"/>
              </w:rPr>
              <w:t>Absolute Change</w:t>
            </w:r>
          </w:p>
        </w:tc>
        <w:tc>
          <w:tcPr>
            <w:tcW w:w="1281" w:type="dxa"/>
          </w:tcPr>
          <w:p w14:paraId="03E8CD9D" w14:textId="77777777" w:rsidR="00EE63A2" w:rsidRPr="007F6332" w:rsidRDefault="00723E93" w:rsidP="006C2D75">
            <w:pPr>
              <w:spacing w:line="264" w:lineRule="auto"/>
              <w:jc w:val="center"/>
              <w:cnfStyle w:val="100000000000" w:firstRow="1" w:lastRow="0" w:firstColumn="0" w:lastColumn="0" w:oddVBand="0" w:evenVBand="0" w:oddHBand="0" w:evenHBand="0" w:firstRowFirstColumn="0" w:firstRowLastColumn="0" w:lastRowFirstColumn="0" w:lastRowLastColumn="0"/>
              <w:rPr>
                <w:b w:val="0"/>
                <w:szCs w:val="22"/>
              </w:rPr>
            </w:pPr>
            <w:r w:rsidRPr="007F6332">
              <w:rPr>
                <w:szCs w:val="22"/>
              </w:rPr>
              <w:t xml:space="preserve">% </w:t>
            </w:r>
          </w:p>
          <w:p w14:paraId="7000B68F" w14:textId="2C70F160" w:rsidR="00723E93" w:rsidRPr="007F6332" w:rsidRDefault="00723E93" w:rsidP="006C2D7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rPr>
                <w:szCs w:val="22"/>
              </w:rPr>
              <w:t>Change</w:t>
            </w:r>
          </w:p>
        </w:tc>
      </w:tr>
      <w:tr w:rsidR="004C6718" w:rsidRPr="007F6332" w14:paraId="09600403" w14:textId="77777777" w:rsidTr="00CD33D0">
        <w:trPr>
          <w:trHeight w:val="397"/>
        </w:trPr>
        <w:tc>
          <w:tcPr>
            <w:cnfStyle w:val="001000000000" w:firstRow="0" w:lastRow="0" w:firstColumn="1" w:lastColumn="0" w:oddVBand="0" w:evenVBand="0" w:oddHBand="0" w:evenHBand="0" w:firstRowFirstColumn="0" w:firstRowLastColumn="0" w:lastRowFirstColumn="0" w:lastRowLastColumn="0"/>
            <w:tcW w:w="1653" w:type="dxa"/>
          </w:tcPr>
          <w:p w14:paraId="519F3F77" w14:textId="77777777" w:rsidR="00723E93" w:rsidRPr="007F6332" w:rsidRDefault="00723E93" w:rsidP="006C2D75">
            <w:pPr>
              <w:spacing w:line="264" w:lineRule="auto"/>
              <w:rPr>
                <w:rFonts w:cs="Arial"/>
                <w:szCs w:val="22"/>
              </w:rPr>
            </w:pPr>
            <w:r w:rsidRPr="007F6332">
              <w:rPr>
                <w:rFonts w:cs="Arial"/>
                <w:szCs w:val="22"/>
              </w:rPr>
              <w:t>0 to 14</w:t>
            </w:r>
          </w:p>
        </w:tc>
        <w:tc>
          <w:tcPr>
            <w:tcW w:w="1814" w:type="dxa"/>
            <w:tcBorders>
              <w:top w:val="nil"/>
              <w:bottom w:val="nil"/>
              <w:right w:val="dashed" w:sz="4" w:space="0" w:color="auto"/>
            </w:tcBorders>
          </w:tcPr>
          <w:p w14:paraId="6552A5C6"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1,072.9</w:t>
            </w:r>
          </w:p>
        </w:tc>
        <w:tc>
          <w:tcPr>
            <w:tcW w:w="1814" w:type="dxa"/>
            <w:tcBorders>
              <w:left w:val="dashed" w:sz="4" w:space="0" w:color="auto"/>
            </w:tcBorders>
          </w:tcPr>
          <w:p w14:paraId="2EAE8C33" w14:textId="77777777" w:rsidR="00723E93" w:rsidRPr="007F6332" w:rsidRDefault="00723E93" w:rsidP="004C6718">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1,005.9</w:t>
            </w:r>
          </w:p>
        </w:tc>
        <w:tc>
          <w:tcPr>
            <w:tcW w:w="1644" w:type="dxa"/>
          </w:tcPr>
          <w:p w14:paraId="7945503F" w14:textId="77777777" w:rsidR="00723E93" w:rsidRPr="007F6332" w:rsidRDefault="00723E93" w:rsidP="004C6718">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857.4</w:t>
            </w:r>
          </w:p>
        </w:tc>
        <w:tc>
          <w:tcPr>
            <w:tcW w:w="1281" w:type="dxa"/>
          </w:tcPr>
          <w:p w14:paraId="73248B47"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148.5</w:t>
            </w:r>
          </w:p>
        </w:tc>
        <w:tc>
          <w:tcPr>
            <w:tcW w:w="1281" w:type="dxa"/>
          </w:tcPr>
          <w:p w14:paraId="5C000F83"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17.3%</w:t>
            </w:r>
          </w:p>
        </w:tc>
      </w:tr>
      <w:tr w:rsidR="004C6718" w:rsidRPr="007F6332" w14:paraId="0005385D" w14:textId="77777777" w:rsidTr="00CD33D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53" w:type="dxa"/>
            <w:tcBorders>
              <w:bottom w:val="nil"/>
            </w:tcBorders>
          </w:tcPr>
          <w:p w14:paraId="43869E63" w14:textId="77777777" w:rsidR="00723E93" w:rsidRPr="007F6332" w:rsidRDefault="00723E93" w:rsidP="006C2D75">
            <w:pPr>
              <w:spacing w:line="264" w:lineRule="auto"/>
              <w:rPr>
                <w:rFonts w:cs="Arial"/>
                <w:szCs w:val="22"/>
              </w:rPr>
            </w:pPr>
            <w:r w:rsidRPr="007F6332">
              <w:rPr>
                <w:rFonts w:cs="Arial"/>
                <w:szCs w:val="22"/>
              </w:rPr>
              <w:t xml:space="preserve">15+  </w:t>
            </w:r>
          </w:p>
        </w:tc>
        <w:tc>
          <w:tcPr>
            <w:tcW w:w="1814" w:type="dxa"/>
            <w:tcBorders>
              <w:top w:val="nil"/>
              <w:bottom w:val="nil"/>
              <w:right w:val="dashed" w:sz="4" w:space="0" w:color="auto"/>
            </w:tcBorders>
          </w:tcPr>
          <w:p w14:paraId="1E7717C1"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117.7</w:t>
            </w:r>
          </w:p>
        </w:tc>
        <w:tc>
          <w:tcPr>
            <w:tcW w:w="1814" w:type="dxa"/>
            <w:tcBorders>
              <w:left w:val="dashed" w:sz="4" w:space="0" w:color="auto"/>
              <w:bottom w:val="nil"/>
            </w:tcBorders>
          </w:tcPr>
          <w:p w14:paraId="59D70E25" w14:textId="77777777" w:rsidR="00723E93" w:rsidRPr="007F6332" w:rsidRDefault="00723E93" w:rsidP="004C6718">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117.7</w:t>
            </w:r>
          </w:p>
        </w:tc>
        <w:tc>
          <w:tcPr>
            <w:tcW w:w="1644" w:type="dxa"/>
            <w:tcBorders>
              <w:bottom w:val="nil"/>
            </w:tcBorders>
          </w:tcPr>
          <w:p w14:paraId="2A4682C6" w14:textId="77777777" w:rsidR="00723E93" w:rsidRPr="007F6332" w:rsidRDefault="00723E93" w:rsidP="004C6718">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143.2</w:t>
            </w:r>
          </w:p>
        </w:tc>
        <w:tc>
          <w:tcPr>
            <w:tcW w:w="1281" w:type="dxa"/>
            <w:tcBorders>
              <w:bottom w:val="nil"/>
            </w:tcBorders>
          </w:tcPr>
          <w:p w14:paraId="6E13BDE5"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-25.4</w:t>
            </w:r>
          </w:p>
        </w:tc>
        <w:tc>
          <w:tcPr>
            <w:tcW w:w="1281" w:type="dxa"/>
            <w:tcBorders>
              <w:bottom w:val="nil"/>
            </w:tcBorders>
          </w:tcPr>
          <w:p w14:paraId="0668DD7A" w14:textId="77777777" w:rsidR="00723E93" w:rsidRPr="007F6332" w:rsidRDefault="00723E93" w:rsidP="006C2D7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-17.8%</w:t>
            </w:r>
          </w:p>
        </w:tc>
      </w:tr>
      <w:tr w:rsidR="004C6718" w:rsidRPr="007F6332" w14:paraId="2AAB482C" w14:textId="77777777" w:rsidTr="00CD33D0">
        <w:trPr>
          <w:trHeight w:val="397"/>
        </w:trPr>
        <w:tc>
          <w:tcPr>
            <w:cnfStyle w:val="001000000000" w:firstRow="0" w:lastRow="0" w:firstColumn="1" w:lastColumn="0" w:oddVBand="0" w:evenVBand="0" w:oddHBand="0" w:evenHBand="0" w:firstRowFirstColumn="0" w:firstRowLastColumn="0" w:lastRowFirstColumn="0" w:lastRowLastColumn="0"/>
            <w:tcW w:w="1653" w:type="dxa"/>
            <w:tcBorders>
              <w:top w:val="nil"/>
              <w:bottom w:val="single" w:sz="4" w:space="0" w:color="auto"/>
            </w:tcBorders>
            <w:shd w:val="clear" w:color="auto" w:fill="B398B8"/>
          </w:tcPr>
          <w:p w14:paraId="634FED3F" w14:textId="77777777" w:rsidR="00723E93" w:rsidRPr="007F6332" w:rsidRDefault="00723E93" w:rsidP="006C2D75">
            <w:pPr>
              <w:spacing w:line="264" w:lineRule="auto"/>
              <w:rPr>
                <w:rFonts w:cs="Arial"/>
                <w:b/>
                <w:bCs/>
                <w:color w:val="000000"/>
                <w:szCs w:val="22"/>
              </w:rPr>
            </w:pPr>
            <w:r w:rsidRPr="007F6332">
              <w:rPr>
                <w:rFonts w:cs="Arial"/>
                <w:b/>
                <w:bCs/>
                <w:color w:val="000000"/>
                <w:szCs w:val="22"/>
              </w:rPr>
              <w:t>Total All Ages</w:t>
            </w:r>
          </w:p>
        </w:tc>
        <w:tc>
          <w:tcPr>
            <w:tcW w:w="1814" w:type="dxa"/>
            <w:tcBorders>
              <w:top w:val="nil"/>
              <w:bottom w:val="single" w:sz="4" w:space="0" w:color="auto"/>
              <w:right w:val="dashed" w:sz="4" w:space="0" w:color="auto"/>
            </w:tcBorders>
            <w:shd w:val="clear" w:color="auto" w:fill="B398B8"/>
          </w:tcPr>
          <w:p w14:paraId="0C4D8333"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329.6</w:t>
            </w:r>
          </w:p>
        </w:tc>
        <w:tc>
          <w:tcPr>
            <w:tcW w:w="1814" w:type="dxa"/>
            <w:tcBorders>
              <w:top w:val="nil"/>
              <w:left w:val="dashed" w:sz="4" w:space="0" w:color="auto"/>
              <w:bottom w:val="single" w:sz="4" w:space="0" w:color="auto"/>
            </w:tcBorders>
            <w:shd w:val="clear" w:color="auto" w:fill="B398B8"/>
          </w:tcPr>
          <w:p w14:paraId="14AEFFCA" w14:textId="77777777" w:rsidR="00723E93" w:rsidRPr="007F6332" w:rsidRDefault="00723E93" w:rsidP="004C6718">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314.7</w:t>
            </w:r>
          </w:p>
        </w:tc>
        <w:tc>
          <w:tcPr>
            <w:tcW w:w="1644" w:type="dxa"/>
            <w:tcBorders>
              <w:top w:val="nil"/>
              <w:bottom w:val="single" w:sz="4" w:space="0" w:color="auto"/>
            </w:tcBorders>
            <w:shd w:val="clear" w:color="auto" w:fill="B398B8"/>
          </w:tcPr>
          <w:p w14:paraId="1897AE12" w14:textId="77777777" w:rsidR="00723E93" w:rsidRPr="007F6332" w:rsidRDefault="00723E93" w:rsidP="004C6718">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308.4</w:t>
            </w:r>
          </w:p>
        </w:tc>
        <w:tc>
          <w:tcPr>
            <w:tcW w:w="1281" w:type="dxa"/>
            <w:tcBorders>
              <w:top w:val="nil"/>
              <w:bottom w:val="single" w:sz="4" w:space="0" w:color="auto"/>
            </w:tcBorders>
            <w:shd w:val="clear" w:color="auto" w:fill="B398B8"/>
          </w:tcPr>
          <w:p w14:paraId="0DFD992C"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6.3</w:t>
            </w:r>
          </w:p>
        </w:tc>
        <w:tc>
          <w:tcPr>
            <w:tcW w:w="1281" w:type="dxa"/>
            <w:tcBorders>
              <w:top w:val="nil"/>
              <w:bottom w:val="single" w:sz="4" w:space="0" w:color="auto"/>
            </w:tcBorders>
            <w:shd w:val="clear" w:color="auto" w:fill="B398B8"/>
          </w:tcPr>
          <w:p w14:paraId="54E9DC0A" w14:textId="77777777" w:rsidR="00723E93" w:rsidRPr="007F6332" w:rsidRDefault="00723E93" w:rsidP="006C2D7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szCs w:val="22"/>
              </w:rPr>
            </w:pPr>
            <w:r w:rsidRPr="007F6332">
              <w:rPr>
                <w:rFonts w:cs="Arial"/>
                <w:b/>
                <w:bCs/>
                <w:color w:val="000000"/>
                <w:szCs w:val="22"/>
              </w:rPr>
              <w:t>2.0%</w:t>
            </w:r>
          </w:p>
        </w:tc>
      </w:tr>
    </w:tbl>
    <w:p w14:paraId="07FC7FFA" w14:textId="44DA3A9C" w:rsidR="00723E93" w:rsidRPr="007F6332" w:rsidRDefault="0028226B" w:rsidP="0028226B">
      <w:pPr>
        <w:spacing w:before="240"/>
        <w:rPr>
          <w:rFonts w:cs="Arial"/>
          <w:b/>
          <w:bCs/>
        </w:rPr>
      </w:pPr>
      <w:bookmarkStart w:id="154" w:name="_Ref144844166"/>
      <w:r w:rsidRPr="007F6332">
        <w:rPr>
          <w:rFonts w:cs="Arial"/>
        </w:rPr>
        <w:t>Figure 5.4 shows the projected number of new entrants to the Scheme, compared to the previous review for each year from 2023-24 onwards. New entrant numbers are projected to be higher in the short-term to 30 June 2026, reducing to slightly lower levels for years 2026-27 and beyond.</w:t>
      </w:r>
    </w:p>
    <w:p w14:paraId="7CC651F0" w14:textId="25C659CF" w:rsidR="00723E93" w:rsidRPr="007F6332" w:rsidRDefault="00723E93" w:rsidP="00D07ACF">
      <w:pPr>
        <w:pStyle w:val="FiguresandTablesHeading5"/>
      </w:pPr>
      <w:r w:rsidRPr="007F6332">
        <w:t xml:space="preserve">Figure </w:t>
      </w:r>
      <w:bookmarkEnd w:id="154"/>
      <w:r w:rsidR="0045717D" w:rsidRPr="007F6332">
        <w:t>5.4:</w:t>
      </w:r>
      <w:r w:rsidRPr="007F6332">
        <w:t xml:space="preserve"> </w:t>
      </w:r>
      <w:r w:rsidR="005721A4" w:rsidRPr="007F6332">
        <w:t>P</w:t>
      </w:r>
      <w:r w:rsidRPr="007F6332">
        <w:t>rojected new entrant numbers</w:t>
      </w:r>
    </w:p>
    <w:p w14:paraId="050DE795" w14:textId="5BFB6D5A" w:rsidR="00CE5D8C" w:rsidRPr="007F6332" w:rsidRDefault="00CE5D8C" w:rsidP="00CE5D8C">
      <w:pPr>
        <w:rPr>
          <w:rFonts w:cs="Arial"/>
        </w:rPr>
      </w:pPr>
      <w:r w:rsidRPr="007F6332">
        <w:rPr>
          <w:rFonts w:cs="Arial"/>
          <w:noProof/>
        </w:rPr>
        <w:drawing>
          <wp:inline distT="0" distB="0" distL="0" distR="0" wp14:anchorId="28AFA015" wp14:editId="3A1FED3C">
            <wp:extent cx="6163310" cy="2451100"/>
            <wp:effectExtent l="0" t="0" r="8890" b="6350"/>
            <wp:docPr id="1441337549" name="Picture 19" descr="Figure 5.4 The figure shows number of actual new entrants to the Scheme 30 June 2018 through to 30 June 2023 and a comparison between the June 2022 projections and June 2023 projections at each 30 June for the years 2023 to 2033. &#10;Figures for actual experience for years: 2018, 85,559. 2019, 117,297. 2020, 111,289. 2021, 80,973. 2022, 79,835. 2023, 86,400. &#10;Figures from June 2022 projections: 2023, 70,747. 2027, 66,048, 2033, 70,086.&#10;Figures from June 2023 projections: 2027, 65,140. 2033, 6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37549" name="Picture 19" descr="Figure 5.4 The figure shows number of actual new entrants to the Scheme 30 June 2018 through to 30 June 2023 and a comparison between the June 2022 projections and June 2023 projections at each 30 June for the years 2023 to 2033. &#10;Figures for actual experience for years: 2018, 85,559. 2019, 117,297. 2020, 111,289. 2021, 80,973. 2022, 79,835. 2023, 86,400. &#10;Figures from June 2022 projections: 2023, 70,747. 2027, 66,048, 2033, 70,086.&#10;Figures from June 2023 projections: 2027, 65,140. 2033, 69,3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63310" cy="2451100"/>
                    </a:xfrm>
                    <a:prstGeom prst="rect">
                      <a:avLst/>
                    </a:prstGeom>
                    <a:noFill/>
                  </pic:spPr>
                </pic:pic>
              </a:graphicData>
            </a:graphic>
          </wp:inline>
        </w:drawing>
      </w:r>
    </w:p>
    <w:p w14:paraId="1159FEC5" w14:textId="54E6CB17" w:rsidR="00723E93" w:rsidRPr="007F6332" w:rsidRDefault="00723E93" w:rsidP="00CD33D0">
      <w:pPr>
        <w:pStyle w:val="Heading4"/>
        <w:ind w:left="720"/>
        <w:rPr>
          <w:rFonts w:cs="Arial"/>
        </w:rPr>
      </w:pPr>
      <w:r w:rsidRPr="007F6332">
        <w:rPr>
          <w:rFonts w:cs="Arial"/>
        </w:rPr>
        <w:t>Participants leaving the Scheme</w:t>
      </w:r>
    </w:p>
    <w:p w14:paraId="646DEEEE" w14:textId="42460BC5" w:rsidR="003623D9" w:rsidRPr="007F6332" w:rsidRDefault="003623D9" w:rsidP="003623D9">
      <w:pPr>
        <w:rPr>
          <w:rFonts w:cs="Arial"/>
        </w:rPr>
      </w:pPr>
      <w:bookmarkStart w:id="155" w:name="_Hlk151891894"/>
      <w:r w:rsidRPr="007F6332">
        <w:rPr>
          <w:rFonts w:cs="Arial"/>
        </w:rPr>
        <w:t xml:space="preserve">Figure 5.5 presents </w:t>
      </w:r>
      <w:r w:rsidR="00D37C51" w:rsidRPr="007F6332">
        <w:rPr>
          <w:rFonts w:cs="Arial"/>
        </w:rPr>
        <w:t>actual and projected</w:t>
      </w:r>
      <w:r w:rsidRPr="007F6332">
        <w:rPr>
          <w:rFonts w:cs="Arial"/>
        </w:rPr>
        <w:t xml:space="preserve"> rates of participants leaving the Scheme for reasons other than death, both before and after the expected impact of the </w:t>
      </w:r>
      <w:r w:rsidR="002D6881" w:rsidRPr="007F6332">
        <w:rPr>
          <w:rFonts w:cs="Arial"/>
        </w:rPr>
        <w:t>Budget initiatives</w:t>
      </w:r>
      <w:r w:rsidRPr="007F6332">
        <w:rPr>
          <w:rFonts w:cs="Arial"/>
        </w:rPr>
        <w:t>.</w:t>
      </w:r>
    </w:p>
    <w:p w14:paraId="68740935" w14:textId="39567AD5" w:rsidR="003623D9" w:rsidRPr="007F6332" w:rsidRDefault="003623D9" w:rsidP="003623D9">
      <w:pPr>
        <w:rPr>
          <w:rFonts w:cs="Arial"/>
        </w:rPr>
      </w:pPr>
      <w:r w:rsidRPr="007F6332">
        <w:rPr>
          <w:rFonts w:cs="Arial"/>
        </w:rPr>
        <w:t xml:space="preserve">The assumed rates of participants leaving the Scheme (before considering potential impacts of </w:t>
      </w:r>
      <w:r w:rsidR="002D6881" w:rsidRPr="007F6332">
        <w:rPr>
          <w:rFonts w:cs="Arial"/>
        </w:rPr>
        <w:t>Budget initiatives</w:t>
      </w:r>
      <w:r w:rsidRPr="007F6332">
        <w:rPr>
          <w:rFonts w:cs="Arial"/>
        </w:rPr>
        <w:t xml:space="preserve">) were unchanged from the previous review. However, the rates before </w:t>
      </w:r>
      <w:r w:rsidR="002D6881" w:rsidRPr="007F6332">
        <w:rPr>
          <w:rFonts w:cs="Arial"/>
        </w:rPr>
        <w:t>Budget initiatives</w:t>
      </w:r>
      <w:r w:rsidRPr="007F6332">
        <w:rPr>
          <w:rFonts w:cs="Arial"/>
        </w:rPr>
        <w:t xml:space="preserve"> shown in Figure 5.5 are higher, in aggregate, compared with the rates </w:t>
      </w:r>
      <w:r w:rsidRPr="007F6332">
        <w:rPr>
          <w:rFonts w:cs="Arial"/>
        </w:rPr>
        <w:lastRenderedPageBreak/>
        <w:t>presented in the June 2022 projections</w:t>
      </w:r>
      <w:r w:rsidR="007C6BE3" w:rsidRPr="007F6332">
        <w:rPr>
          <w:rFonts w:cs="Arial"/>
        </w:rPr>
        <w:t xml:space="preserve">, </w:t>
      </w:r>
      <w:bookmarkStart w:id="156" w:name="_Hlk148108522"/>
      <w:r w:rsidR="007C6BE3" w:rsidRPr="007F6332">
        <w:rPr>
          <w:rFonts w:cs="Arial"/>
        </w:rPr>
        <w:t>due to a change in projected mix of participants by disability type</w:t>
      </w:r>
      <w:r w:rsidR="007C6BE3" w:rsidRPr="007F6332">
        <w:rPr>
          <w:rStyle w:val="FootnoteReference"/>
          <w:rFonts w:cs="Arial"/>
        </w:rPr>
        <w:footnoteReference w:id="90"/>
      </w:r>
      <w:r w:rsidRPr="007F6332">
        <w:rPr>
          <w:rFonts w:cs="Arial"/>
        </w:rPr>
        <w:t>.</w:t>
      </w:r>
      <w:bookmarkEnd w:id="156"/>
    </w:p>
    <w:p w14:paraId="41833F05" w14:textId="77777777" w:rsidR="00BC6A52" w:rsidRPr="007F6332" w:rsidRDefault="003623D9" w:rsidP="00BC6A52">
      <w:pPr>
        <w:rPr>
          <w:rFonts w:cs="Arial"/>
        </w:rPr>
      </w:pPr>
      <w:r w:rsidRPr="007F6332">
        <w:rPr>
          <w:rFonts w:cs="Arial"/>
        </w:rPr>
        <w:t>Experience has shown that the rate of participants leaving</w:t>
      </w:r>
      <w:r w:rsidR="00CF0254" w:rsidRPr="007F6332">
        <w:rPr>
          <w:rFonts w:cs="Arial"/>
        </w:rPr>
        <w:t xml:space="preserve"> the Scheme</w:t>
      </w:r>
      <w:r w:rsidRPr="007F6332">
        <w:rPr>
          <w:rFonts w:cs="Arial"/>
        </w:rPr>
        <w:t xml:space="preserve"> is highly dependent on operational </w:t>
      </w:r>
      <w:r w:rsidR="00CF0254" w:rsidRPr="007F6332">
        <w:rPr>
          <w:rFonts w:cs="Arial"/>
        </w:rPr>
        <w:t>capability</w:t>
      </w:r>
      <w:r w:rsidRPr="007F6332">
        <w:rPr>
          <w:rFonts w:cs="Arial"/>
        </w:rPr>
        <w:t xml:space="preserve"> and resource allocation towards eligibility reassessment. The </w:t>
      </w:r>
      <w:r w:rsidR="002D6881" w:rsidRPr="007F6332">
        <w:rPr>
          <w:rFonts w:cs="Arial"/>
        </w:rPr>
        <w:t>Budget initiatives</w:t>
      </w:r>
      <w:r w:rsidRPr="007F6332">
        <w:rPr>
          <w:rFonts w:cs="Arial"/>
        </w:rPr>
        <w:t xml:space="preserve">, particularly the increased investment towards improving plan flexibility and transparency as well as improving the Agency’s approach to early childhood, are expected to lead to an increase in Agency efforts towards plan reassessment and other operational changes. The rate of participants leaving the Scheme is therefore expected to experience a short-term increase </w:t>
      </w:r>
      <w:r w:rsidR="005721A4" w:rsidRPr="007F6332">
        <w:rPr>
          <w:rFonts w:cs="Arial"/>
        </w:rPr>
        <w:t xml:space="preserve">before </w:t>
      </w:r>
      <w:r w:rsidRPr="007F6332">
        <w:rPr>
          <w:rFonts w:cs="Arial"/>
        </w:rPr>
        <w:t>reduc</w:t>
      </w:r>
      <w:r w:rsidR="005721A4" w:rsidRPr="007F6332">
        <w:rPr>
          <w:rFonts w:cs="Arial"/>
        </w:rPr>
        <w:t>ing</w:t>
      </w:r>
      <w:r w:rsidRPr="007F6332">
        <w:rPr>
          <w:rFonts w:cs="Arial"/>
        </w:rPr>
        <w:t xml:space="preserve"> towards a stable rate in the long-term</w:t>
      </w:r>
      <w:bookmarkEnd w:id="155"/>
      <w:r w:rsidRPr="007F6332">
        <w:rPr>
          <w:rFonts w:cs="Arial"/>
        </w:rPr>
        <w:t>.</w:t>
      </w:r>
      <w:bookmarkStart w:id="157" w:name="_Hlk151891929"/>
    </w:p>
    <w:p w14:paraId="71DE3C92" w14:textId="59021F9A" w:rsidR="003623D9" w:rsidRPr="007F6332" w:rsidRDefault="003623D9" w:rsidP="00D07ACF">
      <w:pPr>
        <w:pStyle w:val="FiguresandTablesHeading5"/>
      </w:pPr>
      <w:r w:rsidRPr="007F6332">
        <w:t>Figure 5.5: Projected annual rates of participants leaving the Scheme</w:t>
      </w:r>
      <w:r w:rsidR="005721A4" w:rsidRPr="007F6332">
        <w:t xml:space="preserve"> (all ages)</w:t>
      </w:r>
    </w:p>
    <w:p w14:paraId="0193A3D4" w14:textId="7B716D62" w:rsidR="005050E0" w:rsidRPr="007F6332" w:rsidRDefault="005050E0" w:rsidP="00E7147C">
      <w:pPr>
        <w:rPr>
          <w:rFonts w:cs="Arial"/>
          <w:b/>
        </w:rPr>
      </w:pPr>
      <w:r w:rsidRPr="007F6332">
        <w:rPr>
          <w:rFonts w:cs="Arial"/>
          <w:b/>
          <w:noProof/>
        </w:rPr>
        <w:drawing>
          <wp:inline distT="0" distB="0" distL="0" distR="0" wp14:anchorId="1EDE37A2" wp14:editId="001627B5">
            <wp:extent cx="5678377" cy="2990400"/>
            <wp:effectExtent l="0" t="0" r="0" b="635"/>
            <wp:docPr id="1563871069" name="Picture 23" descr="Figure 5.5: Comparison of annual rates of participants leaving the Scheme for reasons other than death, before and after the expected impact of the Budget initiatives.&#10;The figure shows annual rates of actual participants leaving the Scheme for each year ending 30 June 2018 to 30 June 2023 and a comparison between the June 2023 projections both before and after Budget initiatives for each year ending 30 June 2024 to 30 June 2033.  &#10;Figures for actual experience. Rates(%). 2017-18 1.1. 2018-19 0.6. 2019-20 0.5. 2020-21 0.6. 2021-22 1.3. 2022-23 0.9.&#10;Figures from June 2022 projections (before Budget initiatives). Rates(%). 2023-24 1.8. 2024-25 2.0. 2025-26 2.1. 2026-27 2.2. 2027-28 2.2. 2028-29 2.1. 2029-30 2.1. 2030-31 2.1. 2031-32 2.0. 2032-33 2.0.&#10;Figures from June 2023 projections (after Budget initiatives). Rates(%). 2023-24 2.4. 2024-25 2.5. 2025-26 2.9. 2026-27 2.6. 2027-28 2.4. 2028-29 2.3. 2029-30 2.2. 2030-31 2.2. 2031-32 2.1. 2032-33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71069" name="Picture 23" descr="Figure 5.5: Comparison of annual rates of participants leaving the Scheme for reasons other than death, before and after the expected impact of the Budget initiatives.&#10;The figure shows annual rates of actual participants leaving the Scheme for each year ending 30 June 2018 to 30 June 2023 and a comparison between the June 2023 projections both before and after Budget initiatives for each year ending 30 June 2024 to 30 June 2033.  &#10;Figures for actual experience. Rates(%). 2017-18 1.1. 2018-19 0.6. 2019-20 0.5. 2020-21 0.6. 2021-22 1.3. 2022-23 0.9.&#10;Figures from June 2022 projections (before Budget initiatives). Rates(%). 2023-24 1.8. 2024-25 2.0. 2025-26 2.1. 2026-27 2.2. 2027-28 2.2. 2028-29 2.1. 2029-30 2.1. 2030-31 2.1. 2031-32 2.0. 2032-33 2.0.&#10;Figures from June 2023 projections (after Budget initiatives). Rates(%). 2023-24 2.4. 2024-25 2.5. 2025-26 2.9. 2026-27 2.6. 2027-28 2.4. 2028-29 2.3. 2029-30 2.2. 2030-31 2.2. 2031-32 2.1. 2032-33 2.1.&#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13626" cy="3008963"/>
                    </a:xfrm>
                    <a:prstGeom prst="rect">
                      <a:avLst/>
                    </a:prstGeom>
                    <a:noFill/>
                  </pic:spPr>
                </pic:pic>
              </a:graphicData>
            </a:graphic>
          </wp:inline>
        </w:drawing>
      </w:r>
    </w:p>
    <w:bookmarkEnd w:id="157"/>
    <w:p w14:paraId="6E18E1F6" w14:textId="10B6F500" w:rsidR="00E56A04" w:rsidRPr="007F6332" w:rsidRDefault="003623D9" w:rsidP="00E56A04">
      <w:pPr>
        <w:rPr>
          <w:rFonts w:cs="Arial"/>
        </w:rPr>
      </w:pPr>
      <w:r w:rsidRPr="007F6332">
        <w:rPr>
          <w:rFonts w:cs="Arial"/>
        </w:rPr>
        <w:t xml:space="preserve"> </w:t>
      </w:r>
      <w:bookmarkStart w:id="158" w:name="_Hlk151891954"/>
      <w:r w:rsidRPr="007F6332">
        <w:rPr>
          <w:rFonts w:cs="Arial"/>
        </w:rPr>
        <w:t>Figure 5.6 presents the equivalent rates for participants aged 0 to 14 years</w:t>
      </w:r>
      <w:r w:rsidR="00B85858" w:rsidRPr="007F6332">
        <w:rPr>
          <w:rFonts w:cs="Arial"/>
        </w:rPr>
        <w:t xml:space="preserve"> leaving the Scheme</w:t>
      </w:r>
      <w:r w:rsidRPr="007F6332">
        <w:rPr>
          <w:rFonts w:cs="Arial"/>
        </w:rPr>
        <w:t xml:space="preserve">. </w:t>
      </w:r>
      <w:r w:rsidR="00043BF8" w:rsidRPr="007F6332">
        <w:rPr>
          <w:rFonts w:cs="Arial"/>
        </w:rPr>
        <w:t>Most</w:t>
      </w:r>
      <w:r w:rsidRPr="007F6332">
        <w:rPr>
          <w:rFonts w:cs="Arial"/>
        </w:rPr>
        <w:t xml:space="preserve"> participants leaving the Scheme are expected to be children. The rate of children leaving the Scheme is expected to increase from 4.5%</w:t>
      </w:r>
      <w:r w:rsidR="00133B65" w:rsidRPr="007F6332">
        <w:rPr>
          <w:rFonts w:cs="Arial"/>
        </w:rPr>
        <w:t xml:space="preserve"> in 2023-24</w:t>
      </w:r>
      <w:r w:rsidRPr="007F6332">
        <w:rPr>
          <w:rFonts w:cs="Arial"/>
        </w:rPr>
        <w:t xml:space="preserve"> to a peak of almost 6</w:t>
      </w:r>
      <w:r w:rsidR="00133B65" w:rsidRPr="007F6332">
        <w:rPr>
          <w:rFonts w:cs="Arial"/>
        </w:rPr>
        <w:t>.0</w:t>
      </w:r>
      <w:r w:rsidRPr="007F6332">
        <w:rPr>
          <w:rFonts w:cs="Arial"/>
        </w:rPr>
        <w:t>% over the three years</w:t>
      </w:r>
      <w:r w:rsidR="00133B65" w:rsidRPr="007F6332">
        <w:rPr>
          <w:rFonts w:cs="Arial"/>
        </w:rPr>
        <w:t xml:space="preserve"> ending 30 June 2026</w:t>
      </w:r>
      <w:r w:rsidRPr="007F6332">
        <w:rPr>
          <w:rFonts w:cs="Arial"/>
        </w:rPr>
        <w:t xml:space="preserve">, driven by the impact of initiatives related to early childhood. Longer term rates of children leaving are about 0.5 percentage points higher than the expected rate without </w:t>
      </w:r>
      <w:r w:rsidR="002D6881" w:rsidRPr="007F6332">
        <w:rPr>
          <w:rFonts w:cs="Arial"/>
        </w:rPr>
        <w:t>Budget initiatives</w:t>
      </w:r>
      <w:r w:rsidRPr="007F6332">
        <w:rPr>
          <w:rFonts w:cs="Arial"/>
        </w:rPr>
        <w:t>.</w:t>
      </w:r>
    </w:p>
    <w:p w14:paraId="1C547135" w14:textId="77777777" w:rsidR="00E56A04" w:rsidRPr="007F6332" w:rsidRDefault="00E56A04" w:rsidP="00E56A04">
      <w:pPr>
        <w:rPr>
          <w:rFonts w:cs="Arial"/>
        </w:rPr>
        <w:sectPr w:rsidR="00E56A04" w:rsidRPr="007F6332" w:rsidSect="00E53368">
          <w:pgSz w:w="11906" w:h="16838"/>
          <w:pgMar w:top="1440" w:right="1416" w:bottom="1440" w:left="1440" w:header="708" w:footer="680" w:gutter="0"/>
          <w:cols w:space="708"/>
          <w:titlePg/>
          <w:docGrid w:linePitch="360"/>
        </w:sectPr>
      </w:pPr>
    </w:p>
    <w:p w14:paraId="5FBB9B21" w14:textId="4BA1928D" w:rsidR="00BD5B07" w:rsidRPr="007F6332" w:rsidRDefault="003623D9" w:rsidP="00D07ACF">
      <w:pPr>
        <w:pStyle w:val="FiguresandTablesHeading5"/>
      </w:pPr>
      <w:r w:rsidRPr="007F6332">
        <w:lastRenderedPageBreak/>
        <w:t xml:space="preserve">Figure 5.6: Projected annual rates of participants aged 0 to 14 leaving the Scheme </w:t>
      </w:r>
    </w:p>
    <w:p w14:paraId="2FF9E163" w14:textId="757D3845" w:rsidR="00BD5B07" w:rsidRPr="007F6332" w:rsidRDefault="00BD5B07" w:rsidP="003623D9">
      <w:pPr>
        <w:rPr>
          <w:rFonts w:cs="Arial"/>
          <w:caps/>
        </w:rPr>
      </w:pPr>
      <w:r w:rsidRPr="007F6332">
        <w:rPr>
          <w:rFonts w:cs="Arial"/>
          <w:caps/>
          <w:noProof/>
        </w:rPr>
        <w:drawing>
          <wp:inline distT="0" distB="0" distL="0" distR="0" wp14:anchorId="43D138BD" wp14:editId="7DDAB327">
            <wp:extent cx="5723337" cy="3282252"/>
            <wp:effectExtent l="0" t="0" r="0" b="0"/>
            <wp:docPr id="1419687353" name="Picture 25" descr="Figure 5.6: Comparison of annual rates of participants aged 0 to 14 leaving the Scheme for reasons other than death, before and after the expected impact of the Budget initiatives.&#10;The figure shows annual rates of actual participants aged 0 to14 leaving the Scheme for each year ending 30 June 2018 to 30 June 2023 and a comparison between the June 2023 projections both before and after Budget initiatives for each year ending 30 June 2024 to 30 Jun 2033.  &#10;Figures for actual experience. Rates(%). 2017-18 2.1. 2018-19 1.0. 2019-20 0.8. 2020-21 1.0. 2021-22 2.5. 2022-23 1.5.&#10;Figures from June 2022 projections (before Budget initiatives). Rates(%). 2023-24 3.2. 2024-25 3.6. 2025-26 3.9. 2026-27 4.1. 2027-28 4.2. 2028-29 4.2. 2029-30 4.2. 2030-31 4.1. 2031-32 4.1. 2032-33 4.1.&#10;Figures from June 2023 projections (after Budget initiatives). Rates(%). 2023-24 4.5. 2024-25 4.9. 2025-26 5.9. 2026-27 5.3. 2027-28 4.9. 2028-29 4.7. 2029-30 4.6. 2030-31 4.6. 2031-32 4.6. 2032-33 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87353" name="Picture 25" descr="Figure 5.6: Comparison of annual rates of participants aged 0 to 14 leaving the Scheme for reasons other than death, before and after the expected impact of the Budget initiatives.&#10;The figure shows annual rates of actual participants aged 0 to14 leaving the Scheme for each year ending 30 June 2018 to 30 June 2023 and a comparison between the June 2023 projections both before and after Budget initiatives for each year ending 30 June 2024 to 30 Jun 2033.  &#10;Figures for actual experience. Rates(%). 2017-18 2.1. 2018-19 1.0. 2019-20 0.8. 2020-21 1.0. 2021-22 2.5. 2022-23 1.5.&#10;Figures from June 2022 projections (before Budget initiatives). Rates(%). 2023-24 3.2. 2024-25 3.6. 2025-26 3.9. 2026-27 4.1. 2027-28 4.2. 2028-29 4.2. 2029-30 4.2. 2030-31 4.1. 2031-32 4.1. 2032-33 4.1.&#10;Figures from June 2023 projections (after Budget initiatives). Rates(%). 2023-24 4.5. 2024-25 4.9. 2025-26 5.9. 2026-27 5.3. 2027-28 4.9. 2028-29 4.7. 2029-30 4.6. 2030-31 4.6. 2031-32 4.6. 2032-33 4.6.&#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52856" cy="3299181"/>
                    </a:xfrm>
                    <a:prstGeom prst="rect">
                      <a:avLst/>
                    </a:prstGeom>
                    <a:noFill/>
                  </pic:spPr>
                </pic:pic>
              </a:graphicData>
            </a:graphic>
          </wp:inline>
        </w:drawing>
      </w:r>
    </w:p>
    <w:p w14:paraId="31621C9E" w14:textId="3AB45EBD" w:rsidR="003623D9" w:rsidRPr="007F6332" w:rsidRDefault="003623D9" w:rsidP="003623D9">
      <w:pPr>
        <w:rPr>
          <w:rFonts w:cs="Arial"/>
        </w:rPr>
      </w:pPr>
      <w:bookmarkStart w:id="159" w:name="_Hlk151891974"/>
      <w:bookmarkEnd w:id="158"/>
      <w:r w:rsidRPr="007F6332">
        <w:rPr>
          <w:rFonts w:cs="Arial"/>
        </w:rPr>
        <w:t xml:space="preserve">Figure 5.7 </w:t>
      </w:r>
      <w:r w:rsidR="00B85858" w:rsidRPr="007F6332">
        <w:rPr>
          <w:rFonts w:cs="Arial"/>
        </w:rPr>
        <w:t xml:space="preserve">similarly </w:t>
      </w:r>
      <w:r w:rsidRPr="007F6332">
        <w:rPr>
          <w:rFonts w:cs="Arial"/>
        </w:rPr>
        <w:t xml:space="preserve">shows the </w:t>
      </w:r>
      <w:r w:rsidR="00CF0254" w:rsidRPr="007F6332">
        <w:rPr>
          <w:rFonts w:cs="Arial"/>
        </w:rPr>
        <w:t xml:space="preserve">rates </w:t>
      </w:r>
      <w:r w:rsidRPr="007F6332">
        <w:rPr>
          <w:rFonts w:cs="Arial"/>
        </w:rPr>
        <w:t xml:space="preserve">of participants aged 15 to 64 leaving the Scheme. This cohort makes up a small proportion of participants expected to leave the Scheme, </w:t>
      </w:r>
      <w:r w:rsidR="00CF0254" w:rsidRPr="007F6332">
        <w:rPr>
          <w:rFonts w:cs="Arial"/>
        </w:rPr>
        <w:t xml:space="preserve">with </w:t>
      </w:r>
      <w:r w:rsidRPr="007F6332">
        <w:rPr>
          <w:rFonts w:cs="Arial"/>
        </w:rPr>
        <w:t xml:space="preserve">the impact of </w:t>
      </w:r>
      <w:r w:rsidR="002D6881" w:rsidRPr="007F6332">
        <w:rPr>
          <w:rFonts w:cs="Arial"/>
        </w:rPr>
        <w:t>Budget initiatives</w:t>
      </w:r>
      <w:r w:rsidRPr="007F6332">
        <w:rPr>
          <w:rFonts w:cs="Arial"/>
        </w:rPr>
        <w:t xml:space="preserve"> expected to be more moderate</w:t>
      </w:r>
      <w:r w:rsidR="00CF0254" w:rsidRPr="007F6332">
        <w:rPr>
          <w:rFonts w:cs="Arial"/>
        </w:rPr>
        <w:t xml:space="preserve"> of </w:t>
      </w:r>
      <w:r w:rsidRPr="007F6332">
        <w:rPr>
          <w:rFonts w:cs="Arial"/>
        </w:rPr>
        <w:t>about a 0.1 percentage point increase to expected rates</w:t>
      </w:r>
      <w:r w:rsidR="00CF0254" w:rsidRPr="007F6332">
        <w:rPr>
          <w:rFonts w:cs="Arial"/>
        </w:rPr>
        <w:t>.</w:t>
      </w:r>
      <w:r w:rsidR="00557AF4" w:rsidRPr="007F6332" w:rsidDel="00557AF4">
        <w:rPr>
          <w:rFonts w:cs="Arial"/>
        </w:rPr>
        <w:t xml:space="preserve"> </w:t>
      </w:r>
    </w:p>
    <w:p w14:paraId="3EB12F84" w14:textId="77777777" w:rsidR="00BD5B07" w:rsidRPr="007F6332" w:rsidRDefault="003623D9" w:rsidP="00D07ACF">
      <w:pPr>
        <w:pStyle w:val="FiguresandTablesHeading5"/>
      </w:pPr>
      <w:r w:rsidRPr="007F6332">
        <w:t>Figure 5.7: Projected annual rates of participants aged 15 to 64 leaving the Scheme</w:t>
      </w:r>
    </w:p>
    <w:p w14:paraId="5C7646C5" w14:textId="325DDDC4" w:rsidR="00BD5B07" w:rsidRPr="007F6332" w:rsidRDefault="00BD5B07" w:rsidP="003623D9">
      <w:pPr>
        <w:rPr>
          <w:rStyle w:val="Heading7Char"/>
          <w:rFonts w:cs="Arial"/>
        </w:rPr>
      </w:pPr>
      <w:r w:rsidRPr="007F6332">
        <w:rPr>
          <w:rStyle w:val="Heading7Char"/>
          <w:rFonts w:cs="Arial"/>
          <w:noProof/>
        </w:rPr>
        <w:drawing>
          <wp:inline distT="0" distB="0" distL="0" distR="0" wp14:anchorId="0A6CF04F" wp14:editId="18454643">
            <wp:extent cx="5682596" cy="3114102"/>
            <wp:effectExtent l="0" t="0" r="0" b="0"/>
            <wp:docPr id="462450831" name="Picture 24" descr="Figure 5.7: Comparison of annual rates of participants aged 15 to 64 leaving the Scheme for reasons other than death, before and after the expected impact of the Budget initiatives.&#10;The figure shows annual rates of actual participants aged 15 to 64 leaving the Scheme for each year ending 30 June 2018 to 30 June 2023 and a comparison between the June 2023 projections both before and after Budget initiatives for each year ending 30 June 2024 to 30 Jun 2033.  &#10;Figures for actual experience. Rates(%). 2017-18 0.4. 2018-19 0.4. 2019-20 0.2. 2020-21 0.3. 2021-22 0.3. 2022-23 0.3.&#10;Figures from June 2022 projections (before Budget initiatives). Rates(%). 2023-24 0.6. 2024-25 0.6. 2025-26 0.6. 2026-27 0.6. 2027-28 0.6. 2028-29 0.6. 2029-30 0.6. 2030-31 0.7. 2031-32 0.7. 2032-33 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50831" name="Picture 24" descr="Figure 5.7: Comparison of annual rates of participants aged 15 to 64 leaving the Scheme for reasons other than death, before and after the expected impact of the Budget initiatives.&#10;The figure shows annual rates of actual participants aged 15 to 64 leaving the Scheme for each year ending 30 June 2018 to 30 June 2023 and a comparison between the June 2023 projections both before and after Budget initiatives for each year ending 30 June 2024 to 30 Jun 2033.  &#10;Figures for actual experience. Rates(%). 2017-18 0.4. 2018-19 0.4. 2019-20 0.2. 2020-21 0.3. 2021-22 0.3. 2022-23 0.3.&#10;Figures from June 2022 projections (before Budget initiatives). Rates(%). 2023-24 0.6. 2024-25 0.6. 2025-26 0.6. 2026-27 0.6. 2027-28 0.6. 2028-29 0.6. 2029-30 0.6. 2030-31 0.7. 2031-32 0.7. 2032-33 0.7.&#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00778" cy="3124066"/>
                    </a:xfrm>
                    <a:prstGeom prst="rect">
                      <a:avLst/>
                    </a:prstGeom>
                    <a:noFill/>
                  </pic:spPr>
                </pic:pic>
              </a:graphicData>
            </a:graphic>
          </wp:inline>
        </w:drawing>
      </w:r>
    </w:p>
    <w:bookmarkEnd w:id="159"/>
    <w:p w14:paraId="01F5D8CB" w14:textId="77777777" w:rsidR="00E56A04" w:rsidRPr="007F6332" w:rsidRDefault="00E56A04" w:rsidP="003623D9">
      <w:pPr>
        <w:rPr>
          <w:rFonts w:cs="Arial"/>
          <w:b/>
          <w:bCs/>
        </w:rPr>
        <w:sectPr w:rsidR="00E56A04" w:rsidRPr="007F6332" w:rsidSect="00E53368">
          <w:pgSz w:w="11906" w:h="16838"/>
          <w:pgMar w:top="1440" w:right="1416" w:bottom="1440" w:left="1440" w:header="708" w:footer="680" w:gutter="0"/>
          <w:cols w:space="708"/>
          <w:titlePg/>
          <w:docGrid w:linePitch="360"/>
        </w:sectPr>
      </w:pPr>
    </w:p>
    <w:p w14:paraId="301F243A" w14:textId="34A35DE4" w:rsidR="00723E93" w:rsidRPr="007F6332" w:rsidRDefault="00723E93" w:rsidP="00CD33D0">
      <w:pPr>
        <w:pStyle w:val="Heading4"/>
        <w:ind w:left="720"/>
        <w:rPr>
          <w:rFonts w:cs="Arial"/>
        </w:rPr>
      </w:pPr>
      <w:r w:rsidRPr="007F6332">
        <w:rPr>
          <w:rFonts w:cs="Arial"/>
        </w:rPr>
        <w:lastRenderedPageBreak/>
        <w:t xml:space="preserve">Changes to primary disability of children </w:t>
      </w:r>
      <w:r w:rsidR="0028226B" w:rsidRPr="007F6332">
        <w:rPr>
          <w:rFonts w:cs="Arial"/>
        </w:rPr>
        <w:t>with developmental delay</w:t>
      </w:r>
    </w:p>
    <w:p w14:paraId="3E6378C0" w14:textId="4547B2C1" w:rsidR="00BC7BD4" w:rsidRPr="007F6332" w:rsidRDefault="00BC7BD4" w:rsidP="00BC7BD4">
      <w:pPr>
        <w:rPr>
          <w:rFonts w:cs="Arial"/>
        </w:rPr>
      </w:pPr>
      <w:r w:rsidRPr="007F6332">
        <w:rPr>
          <w:rFonts w:cs="Arial"/>
        </w:rPr>
        <w:t>Children who joined the Scheme with developmental delay will sometimes receive a diagnosis, resulting in a change to their reported primary disability. The most common transition observed is from developmental delay to a diagnosis of autism or an intellectual disability.</w:t>
      </w:r>
    </w:p>
    <w:p w14:paraId="091C45AE" w14:textId="77777777" w:rsidR="00BC7BD4" w:rsidRPr="007F6332" w:rsidRDefault="00BC7BD4" w:rsidP="00BC7BD4">
      <w:pPr>
        <w:rPr>
          <w:rFonts w:cs="Arial"/>
        </w:rPr>
      </w:pPr>
      <w:r w:rsidRPr="007F6332">
        <w:rPr>
          <w:rFonts w:cs="Arial"/>
        </w:rPr>
        <w:t>A proportion of children with developmental delay are assumed to change to a primary disability of autism or intellectual disability based on Scheme experience, which then impacts the projected Scheme expenses. Average payment for participants with autism are typically higher than those with developmental delay.</w:t>
      </w:r>
    </w:p>
    <w:p w14:paraId="0D263582" w14:textId="0AA9A10C" w:rsidR="00BC6A52" w:rsidRPr="007F6332" w:rsidRDefault="004C60D5" w:rsidP="00BC6A52">
      <w:pPr>
        <w:rPr>
          <w:rFonts w:cs="Arial"/>
        </w:rPr>
      </w:pPr>
      <w:r w:rsidRPr="007F6332">
        <w:rPr>
          <w:rFonts w:cs="Arial"/>
        </w:rPr>
        <w:t xml:space="preserve">Figure 5.8 </w:t>
      </w:r>
      <w:r w:rsidR="00BC7BD4" w:rsidRPr="007F6332">
        <w:rPr>
          <w:rFonts w:cs="Arial"/>
        </w:rPr>
        <w:t xml:space="preserve">and </w:t>
      </w:r>
      <w:r w:rsidR="00950565" w:rsidRPr="007F6332">
        <w:rPr>
          <w:rFonts w:cs="Arial"/>
        </w:rPr>
        <w:t xml:space="preserve">Figure 5.9 </w:t>
      </w:r>
      <w:r w:rsidR="00BC7BD4" w:rsidRPr="007F6332">
        <w:rPr>
          <w:rFonts w:cs="Arial"/>
        </w:rPr>
        <w:t>shows the historical and assumed transition rates into autism and intellectual disability respectively. Both transition rates for the 12 months to 31 March 2023 saw a reduction, therefore, the expected transition rates were revised downwards slightly for the June 2023 projections</w:t>
      </w:r>
      <w:r w:rsidR="00723E93" w:rsidRPr="007F6332">
        <w:rPr>
          <w:rFonts w:cs="Arial"/>
        </w:rPr>
        <w:t>.</w:t>
      </w:r>
    </w:p>
    <w:p w14:paraId="6A1F154B" w14:textId="457D2BB2" w:rsidR="005A6E4E" w:rsidRPr="007F6332" w:rsidRDefault="005A6E4E" w:rsidP="00D07ACF">
      <w:pPr>
        <w:pStyle w:val="FiguresandTablesHeading5"/>
      </w:pPr>
      <w:r w:rsidRPr="007F6332">
        <w:t>Figure 5.8: Actual vs expected rates of participants transitioning from developmental delay to autism</w:t>
      </w:r>
    </w:p>
    <w:p w14:paraId="22E2A624" w14:textId="65F6590A" w:rsidR="009C7592" w:rsidRPr="007F6332" w:rsidRDefault="009C7592" w:rsidP="00536741">
      <w:pPr>
        <w:rPr>
          <w:rFonts w:cs="Arial"/>
        </w:rPr>
      </w:pPr>
      <w:r w:rsidRPr="007F6332">
        <w:rPr>
          <w:rFonts w:cs="Arial"/>
          <w:noProof/>
        </w:rPr>
        <w:drawing>
          <wp:inline distT="0" distB="0" distL="0" distR="0" wp14:anchorId="36C2CB65" wp14:editId="63F8FA87">
            <wp:extent cx="5746750" cy="3868420"/>
            <wp:effectExtent l="0" t="0" r="6350" b="0"/>
            <wp:docPr id="1746176720" name="Picture 1" descr="Figure 5.8 shows actual and assumed transition rates into autism from developmental delay. Actual figures are shown for financial years 2019-20 to 2021-22 and 12 months to 31 March 2023.&#10;Actual transition rates reduced for the 12 months to 31 March 2023, compared to prior years, with the expected rates used for June 2023 projections slightly reduced compared to June 2022 projections.&#10;2019-20, actual rates of participants transitioning from developmental delay to autism were 14.7%.&#10;2020-21, actual rates of participants transitioning from developmental delay to autism were 14.7%.&#10;2021-22, actual rates of participants transitioning from developmental delay to autism were 15.8%.&#10;12 Months to 31 March 2023, actual rates of participants transitioning from developmental delay to autism were 13.4%.&#10;June 2022 projections expected rates of participants transitioning from developmental delay to autism were 15.6%.&#10;June 2023 projections expected rates of participants transitioning from developmental delay to autism we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76720" name="Picture 1" descr="Figure 5.8 shows actual and assumed transition rates into autism from developmental delay. Actual figures are shown for financial years 2019-20 to 2021-22 and 12 months to 31 March 2023.&#10;Actual transition rates reduced for the 12 months to 31 March 2023, compared to prior years, with the expected rates used for June 2023 projections slightly reduced compared to June 2022 projections.&#10;2019-20, actual rates of participants transitioning from developmental delay to autism were 14.7%.&#10;2020-21, actual rates of participants transitioning from developmental delay to autism were 14.7%.&#10;2021-22, actual rates of participants transitioning from developmental delay to autism were 15.8%.&#10;12 Months to 31 March 2023, actual rates of participants transitioning from developmental delay to autism were 13.4%.&#10;June 2022 projections expected rates of participants transitioning from developmental delay to autism were 15.6%.&#10;June 2023 projections expected rates of participants transitioning from developmental delay to autism were 15.4%."/>
                    <pic:cNvPicPr/>
                  </pic:nvPicPr>
                  <pic:blipFill>
                    <a:blip r:embed="rId83"/>
                    <a:stretch>
                      <a:fillRect/>
                    </a:stretch>
                  </pic:blipFill>
                  <pic:spPr>
                    <a:xfrm>
                      <a:off x="0" y="0"/>
                      <a:ext cx="5746750" cy="3868420"/>
                    </a:xfrm>
                    <a:prstGeom prst="rect">
                      <a:avLst/>
                    </a:prstGeom>
                  </pic:spPr>
                </pic:pic>
              </a:graphicData>
            </a:graphic>
          </wp:inline>
        </w:drawing>
      </w:r>
    </w:p>
    <w:p w14:paraId="2F414384" w14:textId="4A68A45C" w:rsidR="00614D8B" w:rsidRPr="007F6332" w:rsidRDefault="00614D8B" w:rsidP="00F32CAE">
      <w:pPr>
        <w:pStyle w:val="Heading7"/>
        <w:rPr>
          <w:rFonts w:cs="Arial"/>
        </w:rPr>
        <w:sectPr w:rsidR="00614D8B" w:rsidRPr="007F6332" w:rsidSect="00CE7E91">
          <w:pgSz w:w="11906" w:h="16838"/>
          <w:pgMar w:top="1440" w:right="1416" w:bottom="1440" w:left="1440" w:header="708" w:footer="850" w:gutter="0"/>
          <w:cols w:space="708"/>
          <w:titlePg/>
          <w:docGrid w:linePitch="360"/>
        </w:sectPr>
      </w:pPr>
      <w:bookmarkStart w:id="160" w:name="_Ref144844664"/>
    </w:p>
    <w:p w14:paraId="3C5EC027" w14:textId="23D792BC" w:rsidR="00723E93" w:rsidRPr="007F6332" w:rsidRDefault="00723E93" w:rsidP="00D07ACF">
      <w:pPr>
        <w:pStyle w:val="FiguresandTablesHeading5"/>
      </w:pPr>
      <w:r w:rsidRPr="007F6332">
        <w:lastRenderedPageBreak/>
        <w:t xml:space="preserve">Figure </w:t>
      </w:r>
      <w:bookmarkEnd w:id="160"/>
      <w:r w:rsidR="0045717D" w:rsidRPr="007F6332">
        <w:t>5.9:</w:t>
      </w:r>
      <w:r w:rsidRPr="007F6332">
        <w:t xml:space="preserve"> Actual vs expected rates of participants transitioning from developmental delay to intellectual disability</w:t>
      </w:r>
    </w:p>
    <w:p w14:paraId="0A1378C1" w14:textId="4A0EEA95" w:rsidR="009C7592" w:rsidRPr="007F6332" w:rsidRDefault="009C7592" w:rsidP="00536741">
      <w:pPr>
        <w:rPr>
          <w:rFonts w:cs="Arial"/>
        </w:rPr>
      </w:pPr>
      <w:r w:rsidRPr="007F6332">
        <w:rPr>
          <w:rFonts w:cs="Arial"/>
          <w:noProof/>
        </w:rPr>
        <w:drawing>
          <wp:inline distT="0" distB="0" distL="0" distR="0" wp14:anchorId="394A3AAF" wp14:editId="5F48C2C8">
            <wp:extent cx="5746750" cy="3951605"/>
            <wp:effectExtent l="0" t="0" r="6350" b="0"/>
            <wp:docPr id="2088889153" name="Picture 1" descr="Figure 5.9 shows actual data and assumed transition rates into intellectual disability from developmental delay, with actual figures reducing over 2019-20 to 31 March 2023. The expected transition rates used for June 2023 projections rates were slightly reduced compared to June 2022 projections.&#10;2019-20, actual rates of participants transitioning from developmental delay to intellectual disability were 5.4%.&#10;2020-21, actual rates of participants transitioning from developmental delay to intellectual disability 3.3%.&#10;2021-22, actual rates of participants transitioning from developmental delay to intellectual disability were 2.8%.&#10;12 Months to 31 March 2023, actual rates of participants transitioning from developmental delay to intellectual disability 1.7%.&#10;June 2022 projections expected rates of participants transitioning from developmental delay to intellectual disability were 2.9%.&#10;June 2023 projections expected rates of participants transitioning from developmental delay to intellectual disability we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89153" name="Picture 1" descr="Figure 5.9 shows actual data and assumed transition rates into intellectual disability from developmental delay, with actual figures reducing over 2019-20 to 31 March 2023. The expected transition rates used for June 2023 projections rates were slightly reduced compared to June 2022 projections.&#10;2019-20, actual rates of participants transitioning from developmental delay to intellectual disability were 5.4%.&#10;2020-21, actual rates of participants transitioning from developmental delay to intellectual disability 3.3%.&#10;2021-22, actual rates of participants transitioning from developmental delay to intellectual disability were 2.8%.&#10;12 Months to 31 March 2023, actual rates of participants transitioning from developmental delay to intellectual disability 1.7%.&#10;June 2022 projections expected rates of participants transitioning from developmental delay to intellectual disability were 2.9%.&#10;June 2023 projections expected rates of participants transitioning from developmental delay to intellectual disability were 2.8%."/>
                    <pic:cNvPicPr/>
                  </pic:nvPicPr>
                  <pic:blipFill>
                    <a:blip r:embed="rId84"/>
                    <a:stretch>
                      <a:fillRect/>
                    </a:stretch>
                  </pic:blipFill>
                  <pic:spPr>
                    <a:xfrm>
                      <a:off x="0" y="0"/>
                      <a:ext cx="5746750" cy="3951605"/>
                    </a:xfrm>
                    <a:prstGeom prst="rect">
                      <a:avLst/>
                    </a:prstGeom>
                  </pic:spPr>
                </pic:pic>
              </a:graphicData>
            </a:graphic>
          </wp:inline>
        </w:drawing>
      </w:r>
    </w:p>
    <w:p w14:paraId="501F673E" w14:textId="7F2E121D" w:rsidR="00723E93" w:rsidRPr="007F6332" w:rsidRDefault="00723E93" w:rsidP="001D062D">
      <w:pPr>
        <w:pStyle w:val="Heading4"/>
        <w:ind w:left="851" w:hanging="851"/>
        <w:rPr>
          <w:rFonts w:cs="Arial"/>
        </w:rPr>
      </w:pPr>
      <w:r w:rsidRPr="007F6332">
        <w:rPr>
          <w:rFonts w:cs="Arial"/>
        </w:rPr>
        <w:t>Mortality</w:t>
      </w:r>
    </w:p>
    <w:p w14:paraId="5FC89DE6" w14:textId="4A412E5D" w:rsidR="00723E93" w:rsidRPr="007F6332" w:rsidRDefault="003623D9" w:rsidP="00723E93">
      <w:pPr>
        <w:rPr>
          <w:rFonts w:cs="Arial"/>
        </w:rPr>
      </w:pPr>
      <w:r w:rsidRPr="007F6332">
        <w:rPr>
          <w:rFonts w:cs="Arial"/>
        </w:rPr>
        <w:t xml:space="preserve">Figure 5.10 </w:t>
      </w:r>
      <w:r w:rsidR="00723E93" w:rsidRPr="007F6332">
        <w:rPr>
          <w:rFonts w:cs="Arial"/>
        </w:rPr>
        <w:t xml:space="preserve">shows mortality rates </w:t>
      </w:r>
      <w:r w:rsidR="00C57F15" w:rsidRPr="007F6332">
        <w:rPr>
          <w:rFonts w:cs="Arial"/>
        </w:rPr>
        <w:t>are</w:t>
      </w:r>
      <w:r w:rsidR="00723E93" w:rsidRPr="007F6332">
        <w:rPr>
          <w:rFonts w:cs="Arial"/>
        </w:rPr>
        <w:t xml:space="preserve"> trending upwards over the past six years. In particular</w:t>
      </w:r>
      <w:r w:rsidR="003E0B22" w:rsidRPr="007F6332">
        <w:rPr>
          <w:rFonts w:cs="Arial"/>
        </w:rPr>
        <w:t xml:space="preserve">, </w:t>
      </w:r>
      <w:r w:rsidR="00723E93" w:rsidRPr="007F6332">
        <w:rPr>
          <w:rFonts w:cs="Arial"/>
        </w:rPr>
        <w:t xml:space="preserve">mortality rates since 2022 </w:t>
      </w:r>
      <w:r w:rsidR="00BC7BD4" w:rsidRPr="007F6332">
        <w:rPr>
          <w:rFonts w:cs="Arial"/>
        </w:rPr>
        <w:t>were</w:t>
      </w:r>
      <w:r w:rsidR="00723E93" w:rsidRPr="007F6332">
        <w:rPr>
          <w:rFonts w:cs="Arial"/>
        </w:rPr>
        <w:t xml:space="preserve"> higher than expected</w:t>
      </w:r>
      <w:r w:rsidR="00723E93" w:rsidRPr="007F6332">
        <w:rPr>
          <w:rFonts w:cs="Arial"/>
          <w:vertAlign w:val="superscript"/>
        </w:rPr>
        <w:footnoteReference w:id="91"/>
      </w:r>
      <w:r w:rsidR="00723E93" w:rsidRPr="007F6332">
        <w:rPr>
          <w:rFonts w:cs="Arial"/>
        </w:rPr>
        <w:t>.</w:t>
      </w:r>
      <w:r w:rsidR="00DC02B5" w:rsidRPr="007F6332">
        <w:rPr>
          <w:rFonts w:cs="Arial"/>
        </w:rPr>
        <w:t xml:space="preserve"> </w:t>
      </w:r>
      <w:r w:rsidR="00723E93" w:rsidRPr="007F6332">
        <w:rPr>
          <w:rFonts w:cs="Arial"/>
        </w:rPr>
        <w:t>Participant cohorts showing the greatest increase were participants aged over 35 and participants with psychosocial disability.</w:t>
      </w:r>
    </w:p>
    <w:p w14:paraId="59A8A0C7" w14:textId="77777777" w:rsidR="00BC6A52" w:rsidRPr="007F6332" w:rsidRDefault="00BC6A52" w:rsidP="00723E93">
      <w:pPr>
        <w:rPr>
          <w:rFonts w:cs="Arial"/>
        </w:rPr>
        <w:sectPr w:rsidR="00BC6A52" w:rsidRPr="007F6332" w:rsidSect="00CE7E91">
          <w:pgSz w:w="11906" w:h="16838"/>
          <w:pgMar w:top="1440" w:right="1416" w:bottom="1440" w:left="1440" w:header="708" w:footer="850" w:gutter="0"/>
          <w:cols w:space="708"/>
          <w:titlePg/>
          <w:docGrid w:linePitch="360"/>
        </w:sectPr>
      </w:pPr>
    </w:p>
    <w:p w14:paraId="2E5E5B5F" w14:textId="7819B52E" w:rsidR="00723E93" w:rsidRPr="007F6332" w:rsidRDefault="00723E93" w:rsidP="00D07ACF">
      <w:pPr>
        <w:pStyle w:val="FiguresandTablesHeading5"/>
      </w:pPr>
      <w:bookmarkStart w:id="161" w:name="_Ref144844819"/>
      <w:r w:rsidRPr="007F6332">
        <w:lastRenderedPageBreak/>
        <w:t xml:space="preserve">Figure </w:t>
      </w:r>
      <w:bookmarkEnd w:id="161"/>
      <w:r w:rsidR="0045717D" w:rsidRPr="007F6332">
        <w:t>5.10</w:t>
      </w:r>
      <w:r w:rsidR="003623D9" w:rsidRPr="007F6332">
        <w:t>:</w:t>
      </w:r>
      <w:r w:rsidRPr="007F6332">
        <w:t xml:space="preserve"> Actual vs expected </w:t>
      </w:r>
      <w:r w:rsidR="00A11248" w:rsidRPr="007F6332">
        <w:t>rates of participant deaths</w:t>
      </w:r>
      <w:r w:rsidR="00920124" w:rsidRPr="007F6332">
        <w:rPr>
          <w:vertAlign w:val="superscript"/>
        </w:rPr>
        <w:footnoteReference w:id="92"/>
      </w:r>
      <w:r w:rsidRPr="007F6332">
        <w:rPr>
          <w:vertAlign w:val="superscript"/>
        </w:rPr>
        <w:t xml:space="preserve"> </w:t>
      </w:r>
    </w:p>
    <w:p w14:paraId="62D1C2B7" w14:textId="6390DCF0" w:rsidR="00261444" w:rsidRPr="007F6332" w:rsidRDefault="00261444" w:rsidP="00723E93">
      <w:pPr>
        <w:keepNext/>
        <w:rPr>
          <w:rFonts w:cs="Arial"/>
          <w:b/>
          <w:bCs/>
        </w:rPr>
      </w:pPr>
      <w:r w:rsidRPr="007F6332">
        <w:rPr>
          <w:rFonts w:cs="Arial"/>
          <w:b/>
          <w:bCs/>
          <w:noProof/>
        </w:rPr>
        <w:drawing>
          <wp:inline distT="0" distB="0" distL="0" distR="0" wp14:anchorId="6FAD26F0" wp14:editId="3D8B8C9A">
            <wp:extent cx="5524500" cy="3763010"/>
            <wp:effectExtent l="0" t="0" r="0" b="8890"/>
            <wp:docPr id="541075963" name="Picture 2" descr="Figure 5.10 shows actual rates of participant deaths have been trending upwards over the past 6 years ending 30 June, from 2017-18 to 2022-23. Expected rates used for June 2023 projections slightly increased compared to June 2022 projections. &#10;2017-18 actual rate of participants deaths were 0.88%.&#10;2018-19 actual rate of participants death were 0.90%.&#10;2019-20 actual rate of participants death were 1.05%.&#10;2020-21 actual rate of participants death were 0.91%.&#10;2021-22 actual rate of participants death were 1.03%.&#10;2022-23 actual rate of participants death were 1.07%.&#10;June 2022 projections expected rates of participant deaths were 0.94%&#10;June 2023 projections expected rates of participants deaths were 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75963" name="Picture 2" descr="Figure 5.10 shows actual rates of participant deaths have been trending upwards over the past 6 years ending 30 June, from 2017-18 to 2022-23. Expected rates used for June 2023 projections slightly increased compared to June 2022 projections. &#10;2017-18 actual rate of participants deaths were 0.88%.&#10;2018-19 actual rate of participants death were 0.90%.&#10;2019-20 actual rate of participants death were 1.05%.&#10;2020-21 actual rate of participants death were 0.91%.&#10;2021-22 actual rate of participants death were 1.03%.&#10;2022-23 actual rate of participants death were 1.07%.&#10;June 2022 projections expected rates of participant deaths were 0.94%&#10;June 2023 projections expected rates of participants deaths were 0.9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81060" cy="3801536"/>
                    </a:xfrm>
                    <a:prstGeom prst="rect">
                      <a:avLst/>
                    </a:prstGeom>
                    <a:noFill/>
                  </pic:spPr>
                </pic:pic>
              </a:graphicData>
            </a:graphic>
          </wp:inline>
        </w:drawing>
      </w:r>
    </w:p>
    <w:p w14:paraId="6A9477C0" w14:textId="54B9E6EB" w:rsidR="00723E93" w:rsidRPr="007F6332" w:rsidRDefault="00920124" w:rsidP="00C1755E">
      <w:pPr>
        <w:keepNext/>
        <w:rPr>
          <w:rFonts w:cs="Arial"/>
        </w:rPr>
      </w:pPr>
      <w:r w:rsidRPr="007F6332">
        <w:rPr>
          <w:rFonts w:cs="Arial"/>
        </w:rPr>
        <w:t>In response to this growing trend, a comprehensive review of mortality was conducted in early 2023. The expected rates of mortality were increased for the June 2023 projections from 0.94% to 0.98% at the Scheme level, taking into account five years of Scheme experience to February 2023 combined with expectations from the previous review. Mortality rates are constructed by applying disability specific loadings to standard population mortality rates from the Australian Life Tables</w:t>
      </w:r>
      <w:r w:rsidR="00DC02B5" w:rsidRPr="007F6332">
        <w:rPr>
          <w:rFonts w:cs="Arial"/>
        </w:rPr>
        <w:t>.</w:t>
      </w:r>
      <w:r w:rsidR="0071778E" w:rsidRPr="007F6332">
        <w:rPr>
          <w:rStyle w:val="FootnoteReference"/>
          <w:rFonts w:cs="Arial"/>
        </w:rPr>
        <w:footnoteReference w:id="93"/>
      </w:r>
      <w:r w:rsidR="0071778E" w:rsidRPr="007F6332">
        <w:rPr>
          <w:rFonts w:cs="Arial"/>
        </w:rPr>
        <w:t xml:space="preserve"> </w:t>
      </w:r>
      <w:r w:rsidR="0071778E" w:rsidRPr="007F6332">
        <w:rPr>
          <w:rStyle w:val="FootnoteReference"/>
          <w:rFonts w:cs="Arial"/>
        </w:rPr>
        <w:footnoteReference w:id="94"/>
      </w:r>
    </w:p>
    <w:p w14:paraId="5CC2FA5B" w14:textId="77777777" w:rsidR="00723E93" w:rsidRPr="007F6332" w:rsidRDefault="00723E93" w:rsidP="00CD33D0">
      <w:pPr>
        <w:pStyle w:val="Heading4"/>
        <w:ind w:left="720"/>
        <w:rPr>
          <w:rFonts w:cs="Arial"/>
        </w:rPr>
      </w:pPr>
      <w:r w:rsidRPr="007F6332">
        <w:rPr>
          <w:rFonts w:cs="Arial"/>
        </w:rPr>
        <w:t>Scheme population projections</w:t>
      </w:r>
    </w:p>
    <w:p w14:paraId="3F0B6DB2" w14:textId="39E9C767" w:rsidR="00723E93" w:rsidRPr="007F6332" w:rsidRDefault="00723E93" w:rsidP="00723E93">
      <w:pPr>
        <w:rPr>
          <w:rFonts w:cs="Arial"/>
        </w:rPr>
      </w:pPr>
      <w:r w:rsidRPr="007F6332">
        <w:rPr>
          <w:rFonts w:cs="Arial"/>
        </w:rPr>
        <w:t xml:space="preserve">The expected number of participants at the end of each year is calculated as the starting participant population, adding expected new participants and subtracting participants leaving the Scheme or passing away over the year. </w:t>
      </w:r>
      <w:r w:rsidR="003B4006" w:rsidRPr="007F6332">
        <w:rPr>
          <w:rFonts w:cs="Arial"/>
        </w:rPr>
        <w:t>Table 5.16</w:t>
      </w:r>
      <w:r w:rsidRPr="007F6332">
        <w:rPr>
          <w:rFonts w:cs="Arial"/>
        </w:rPr>
        <w:t xml:space="preserve"> shows the projected participant numbers resulting from these components, expressed in absolute terms as well as the proportion of change compared to the participant numbers at the start of the year.</w:t>
      </w:r>
    </w:p>
    <w:p w14:paraId="347C0A13" w14:textId="467A602C" w:rsidR="00723E93" w:rsidRPr="007F6332" w:rsidRDefault="00723E93" w:rsidP="00D07ACF">
      <w:pPr>
        <w:pStyle w:val="FiguresandTablesHeading5"/>
        <w:rPr>
          <w:caps/>
          <w:sz w:val="16"/>
        </w:rPr>
      </w:pPr>
      <w:bookmarkStart w:id="162" w:name="_Ref145621789"/>
      <w:r w:rsidRPr="007F6332">
        <w:lastRenderedPageBreak/>
        <w:t xml:space="preserve">Table </w:t>
      </w:r>
      <w:bookmarkEnd w:id="162"/>
      <w:r w:rsidR="0045717D" w:rsidRPr="007F6332">
        <w:t>5.16:</w:t>
      </w:r>
      <w:r w:rsidRPr="007F6332">
        <w:t xml:space="preserve"> Projected participant numbers by components of new entrants, mortality and participants leaving</w:t>
      </w:r>
    </w:p>
    <w:tbl>
      <w:tblPr>
        <w:tblW w:w="9073" w:type="dxa"/>
        <w:tblLayout w:type="fixed"/>
        <w:tblLook w:val="04A0" w:firstRow="1" w:lastRow="0" w:firstColumn="1" w:lastColumn="0" w:noHBand="0" w:noVBand="1"/>
      </w:tblPr>
      <w:tblGrid>
        <w:gridCol w:w="2835"/>
        <w:gridCol w:w="1276"/>
        <w:gridCol w:w="1276"/>
        <w:gridCol w:w="1276"/>
        <w:gridCol w:w="1276"/>
        <w:gridCol w:w="1134"/>
      </w:tblGrid>
      <w:tr w:rsidR="00723E93" w:rsidRPr="007F6332" w14:paraId="42455E6A" w14:textId="77777777" w:rsidTr="00BC6A52">
        <w:trPr>
          <w:trHeight w:val="621"/>
        </w:trPr>
        <w:tc>
          <w:tcPr>
            <w:tcW w:w="2835" w:type="dxa"/>
            <w:tcBorders>
              <w:top w:val="nil"/>
              <w:left w:val="nil"/>
              <w:bottom w:val="nil"/>
              <w:right w:val="nil"/>
            </w:tcBorders>
            <w:shd w:val="clear" w:color="000000" w:fill="6B2F76"/>
            <w:noWrap/>
            <w:vAlign w:val="center"/>
            <w:hideMark/>
          </w:tcPr>
          <w:p w14:paraId="159B4E86" w14:textId="77777777" w:rsidR="00723E93" w:rsidRPr="007F6332" w:rsidRDefault="00723E93"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 </w:t>
            </w:r>
          </w:p>
        </w:tc>
        <w:tc>
          <w:tcPr>
            <w:tcW w:w="1276" w:type="dxa"/>
            <w:tcBorders>
              <w:top w:val="nil"/>
              <w:left w:val="nil"/>
              <w:bottom w:val="nil"/>
              <w:right w:val="nil"/>
            </w:tcBorders>
            <w:shd w:val="clear" w:color="000000" w:fill="6B2976"/>
            <w:noWrap/>
            <w:vAlign w:val="center"/>
            <w:hideMark/>
          </w:tcPr>
          <w:p w14:paraId="0220396F" w14:textId="77777777"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2023-24</w:t>
            </w:r>
          </w:p>
        </w:tc>
        <w:tc>
          <w:tcPr>
            <w:tcW w:w="1276" w:type="dxa"/>
            <w:tcBorders>
              <w:top w:val="nil"/>
              <w:left w:val="nil"/>
              <w:bottom w:val="nil"/>
              <w:right w:val="nil"/>
            </w:tcBorders>
            <w:shd w:val="clear" w:color="000000" w:fill="6B2976"/>
            <w:noWrap/>
            <w:vAlign w:val="center"/>
            <w:hideMark/>
          </w:tcPr>
          <w:p w14:paraId="29480721" w14:textId="77777777"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2024-25</w:t>
            </w:r>
          </w:p>
        </w:tc>
        <w:tc>
          <w:tcPr>
            <w:tcW w:w="1276" w:type="dxa"/>
            <w:tcBorders>
              <w:top w:val="nil"/>
              <w:left w:val="nil"/>
              <w:bottom w:val="nil"/>
              <w:right w:val="nil"/>
            </w:tcBorders>
            <w:shd w:val="clear" w:color="000000" w:fill="6B2976"/>
            <w:noWrap/>
            <w:vAlign w:val="center"/>
            <w:hideMark/>
          </w:tcPr>
          <w:p w14:paraId="4B46527C" w14:textId="77777777"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2025-26</w:t>
            </w:r>
          </w:p>
        </w:tc>
        <w:tc>
          <w:tcPr>
            <w:tcW w:w="1276" w:type="dxa"/>
            <w:tcBorders>
              <w:top w:val="nil"/>
              <w:left w:val="nil"/>
              <w:bottom w:val="nil"/>
              <w:right w:val="dashed" w:sz="4" w:space="0" w:color="auto"/>
            </w:tcBorders>
            <w:shd w:val="clear" w:color="000000" w:fill="6B2976"/>
            <w:noWrap/>
            <w:vAlign w:val="center"/>
            <w:hideMark/>
          </w:tcPr>
          <w:p w14:paraId="63D73331" w14:textId="77777777"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2026-27</w:t>
            </w:r>
          </w:p>
        </w:tc>
        <w:tc>
          <w:tcPr>
            <w:tcW w:w="1134" w:type="dxa"/>
            <w:tcBorders>
              <w:top w:val="nil"/>
              <w:left w:val="dashed" w:sz="4" w:space="0" w:color="auto"/>
              <w:bottom w:val="nil"/>
              <w:right w:val="nil"/>
            </w:tcBorders>
            <w:shd w:val="clear" w:color="000000" w:fill="6B2976"/>
            <w:noWrap/>
            <w:vAlign w:val="center"/>
            <w:hideMark/>
          </w:tcPr>
          <w:p w14:paraId="51D3B7F7" w14:textId="77777777"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2032-33</w:t>
            </w:r>
          </w:p>
        </w:tc>
      </w:tr>
      <w:tr w:rsidR="00723E93" w:rsidRPr="007F6332" w14:paraId="405D06C1" w14:textId="77777777" w:rsidTr="00BC6A52">
        <w:trPr>
          <w:trHeight w:val="397"/>
        </w:trPr>
        <w:tc>
          <w:tcPr>
            <w:tcW w:w="2835" w:type="dxa"/>
            <w:tcBorders>
              <w:top w:val="single" w:sz="4" w:space="0" w:color="auto"/>
              <w:left w:val="nil"/>
              <w:bottom w:val="nil"/>
              <w:right w:val="nil"/>
            </w:tcBorders>
            <w:shd w:val="clear" w:color="auto" w:fill="auto"/>
            <w:noWrap/>
            <w:vAlign w:val="center"/>
            <w:hideMark/>
          </w:tcPr>
          <w:p w14:paraId="7A43E09F"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Starting participant population</w:t>
            </w:r>
          </w:p>
        </w:tc>
        <w:tc>
          <w:tcPr>
            <w:tcW w:w="1276" w:type="dxa"/>
            <w:tcBorders>
              <w:top w:val="single" w:sz="4" w:space="0" w:color="auto"/>
              <w:left w:val="nil"/>
              <w:bottom w:val="nil"/>
              <w:right w:val="nil"/>
            </w:tcBorders>
            <w:shd w:val="clear" w:color="auto" w:fill="auto"/>
            <w:noWrap/>
            <w:vAlign w:val="center"/>
            <w:hideMark/>
          </w:tcPr>
          <w:p w14:paraId="190D24FB"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610,502</w:t>
            </w:r>
          </w:p>
        </w:tc>
        <w:tc>
          <w:tcPr>
            <w:tcW w:w="1276" w:type="dxa"/>
            <w:tcBorders>
              <w:top w:val="single" w:sz="4" w:space="0" w:color="auto"/>
              <w:left w:val="nil"/>
              <w:bottom w:val="nil"/>
              <w:right w:val="nil"/>
            </w:tcBorders>
            <w:shd w:val="clear" w:color="auto" w:fill="auto"/>
            <w:noWrap/>
            <w:vAlign w:val="center"/>
            <w:hideMark/>
          </w:tcPr>
          <w:p w14:paraId="28507658"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668,907</w:t>
            </w:r>
          </w:p>
        </w:tc>
        <w:tc>
          <w:tcPr>
            <w:tcW w:w="1276" w:type="dxa"/>
            <w:tcBorders>
              <w:top w:val="single" w:sz="4" w:space="0" w:color="auto"/>
              <w:left w:val="nil"/>
              <w:bottom w:val="nil"/>
              <w:right w:val="nil"/>
            </w:tcBorders>
            <w:shd w:val="clear" w:color="auto" w:fill="auto"/>
            <w:noWrap/>
            <w:vAlign w:val="center"/>
            <w:hideMark/>
          </w:tcPr>
          <w:p w14:paraId="31D8DA8C"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714,805</w:t>
            </w:r>
          </w:p>
        </w:tc>
        <w:tc>
          <w:tcPr>
            <w:tcW w:w="1276" w:type="dxa"/>
            <w:tcBorders>
              <w:top w:val="single" w:sz="4" w:space="0" w:color="auto"/>
              <w:left w:val="nil"/>
              <w:bottom w:val="nil"/>
              <w:right w:val="dashed" w:sz="4" w:space="0" w:color="auto"/>
            </w:tcBorders>
            <w:shd w:val="clear" w:color="auto" w:fill="auto"/>
            <w:noWrap/>
            <w:vAlign w:val="center"/>
            <w:hideMark/>
          </w:tcPr>
          <w:p w14:paraId="6744F8C2"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754,022</w:t>
            </w:r>
          </w:p>
        </w:tc>
        <w:tc>
          <w:tcPr>
            <w:tcW w:w="1134" w:type="dxa"/>
            <w:tcBorders>
              <w:top w:val="single" w:sz="4" w:space="0" w:color="auto"/>
              <w:left w:val="dashed" w:sz="4" w:space="0" w:color="auto"/>
              <w:bottom w:val="nil"/>
              <w:right w:val="nil"/>
            </w:tcBorders>
            <w:shd w:val="clear" w:color="auto" w:fill="auto"/>
            <w:noWrap/>
            <w:vAlign w:val="center"/>
            <w:hideMark/>
          </w:tcPr>
          <w:p w14:paraId="5C082AC1"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990,694</w:t>
            </w:r>
          </w:p>
        </w:tc>
      </w:tr>
      <w:tr w:rsidR="00723E93" w:rsidRPr="007F6332" w14:paraId="340B51A7" w14:textId="77777777" w:rsidTr="00BC6A52">
        <w:trPr>
          <w:trHeight w:val="397"/>
        </w:trPr>
        <w:tc>
          <w:tcPr>
            <w:tcW w:w="2835" w:type="dxa"/>
            <w:tcBorders>
              <w:top w:val="nil"/>
              <w:left w:val="nil"/>
              <w:bottom w:val="nil"/>
              <w:right w:val="nil"/>
            </w:tcBorders>
            <w:shd w:val="clear" w:color="auto" w:fill="A6A6A6" w:themeFill="background1" w:themeFillShade="A6"/>
            <w:noWrap/>
            <w:vAlign w:val="center"/>
            <w:hideMark/>
          </w:tcPr>
          <w:p w14:paraId="4BD8EF62"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New entrants</w:t>
            </w:r>
          </w:p>
        </w:tc>
        <w:tc>
          <w:tcPr>
            <w:tcW w:w="1276" w:type="dxa"/>
            <w:tcBorders>
              <w:top w:val="nil"/>
              <w:left w:val="nil"/>
              <w:bottom w:val="nil"/>
              <w:right w:val="nil"/>
            </w:tcBorders>
            <w:shd w:val="clear" w:color="auto" w:fill="A6A6A6" w:themeFill="background1" w:themeFillShade="A6"/>
            <w:noWrap/>
            <w:vAlign w:val="center"/>
            <w:hideMark/>
          </w:tcPr>
          <w:p w14:paraId="5C645133"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79,408</w:t>
            </w:r>
          </w:p>
        </w:tc>
        <w:tc>
          <w:tcPr>
            <w:tcW w:w="1276" w:type="dxa"/>
            <w:tcBorders>
              <w:top w:val="nil"/>
              <w:left w:val="nil"/>
              <w:bottom w:val="nil"/>
              <w:right w:val="nil"/>
            </w:tcBorders>
            <w:shd w:val="clear" w:color="auto" w:fill="A6A6A6" w:themeFill="background1" w:themeFillShade="A6"/>
            <w:noWrap/>
            <w:vAlign w:val="center"/>
            <w:hideMark/>
          </w:tcPr>
          <w:p w14:paraId="0F8C002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69,434</w:t>
            </w:r>
          </w:p>
        </w:tc>
        <w:tc>
          <w:tcPr>
            <w:tcW w:w="1276" w:type="dxa"/>
            <w:tcBorders>
              <w:top w:val="nil"/>
              <w:left w:val="nil"/>
              <w:bottom w:val="nil"/>
              <w:right w:val="nil"/>
            </w:tcBorders>
            <w:shd w:val="clear" w:color="auto" w:fill="A6A6A6" w:themeFill="background1" w:themeFillShade="A6"/>
            <w:noWrap/>
            <w:vAlign w:val="center"/>
            <w:hideMark/>
          </w:tcPr>
          <w:p w14:paraId="08ED830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66,956</w:t>
            </w:r>
          </w:p>
        </w:tc>
        <w:tc>
          <w:tcPr>
            <w:tcW w:w="1276" w:type="dxa"/>
            <w:tcBorders>
              <w:top w:val="nil"/>
              <w:left w:val="nil"/>
              <w:bottom w:val="nil"/>
              <w:right w:val="dashed" w:sz="4" w:space="0" w:color="auto"/>
            </w:tcBorders>
            <w:shd w:val="clear" w:color="auto" w:fill="A6A6A6" w:themeFill="background1" w:themeFillShade="A6"/>
            <w:noWrap/>
            <w:vAlign w:val="center"/>
            <w:hideMark/>
          </w:tcPr>
          <w:p w14:paraId="1AC75365"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65,140</w:t>
            </w:r>
          </w:p>
        </w:tc>
        <w:tc>
          <w:tcPr>
            <w:tcW w:w="1134" w:type="dxa"/>
            <w:tcBorders>
              <w:top w:val="nil"/>
              <w:left w:val="dashed" w:sz="4" w:space="0" w:color="auto"/>
              <w:bottom w:val="nil"/>
              <w:right w:val="nil"/>
            </w:tcBorders>
            <w:shd w:val="clear" w:color="auto" w:fill="A6A6A6" w:themeFill="background1" w:themeFillShade="A6"/>
            <w:noWrap/>
            <w:vAlign w:val="center"/>
            <w:hideMark/>
          </w:tcPr>
          <w:p w14:paraId="6BD70C9A"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69,300</w:t>
            </w:r>
          </w:p>
        </w:tc>
      </w:tr>
      <w:tr w:rsidR="00723E93" w:rsidRPr="007F6332" w14:paraId="79902ED1" w14:textId="77777777" w:rsidTr="00BC6A52">
        <w:trPr>
          <w:trHeight w:val="397"/>
        </w:trPr>
        <w:tc>
          <w:tcPr>
            <w:tcW w:w="2835" w:type="dxa"/>
            <w:tcBorders>
              <w:top w:val="nil"/>
              <w:left w:val="nil"/>
              <w:bottom w:val="nil"/>
              <w:right w:val="nil"/>
            </w:tcBorders>
            <w:shd w:val="clear" w:color="auto" w:fill="auto"/>
            <w:noWrap/>
            <w:vAlign w:val="center"/>
            <w:hideMark/>
          </w:tcPr>
          <w:p w14:paraId="3148481D"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Mortality</w:t>
            </w:r>
          </w:p>
        </w:tc>
        <w:tc>
          <w:tcPr>
            <w:tcW w:w="1276" w:type="dxa"/>
            <w:tcBorders>
              <w:top w:val="nil"/>
              <w:left w:val="nil"/>
              <w:bottom w:val="nil"/>
              <w:right w:val="nil"/>
            </w:tcBorders>
            <w:shd w:val="clear" w:color="auto" w:fill="auto"/>
            <w:noWrap/>
            <w:vAlign w:val="center"/>
            <w:hideMark/>
          </w:tcPr>
          <w:p w14:paraId="3D034F36"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-5,616</w:t>
            </w:r>
          </w:p>
        </w:tc>
        <w:tc>
          <w:tcPr>
            <w:tcW w:w="1276" w:type="dxa"/>
            <w:tcBorders>
              <w:top w:val="nil"/>
              <w:left w:val="nil"/>
              <w:bottom w:val="nil"/>
              <w:right w:val="nil"/>
            </w:tcBorders>
            <w:shd w:val="clear" w:color="auto" w:fill="auto"/>
            <w:noWrap/>
            <w:vAlign w:val="center"/>
            <w:hideMark/>
          </w:tcPr>
          <w:p w14:paraId="430299D1"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-5,972</w:t>
            </w:r>
          </w:p>
        </w:tc>
        <w:tc>
          <w:tcPr>
            <w:tcW w:w="1276" w:type="dxa"/>
            <w:tcBorders>
              <w:top w:val="nil"/>
              <w:left w:val="nil"/>
              <w:bottom w:val="nil"/>
              <w:right w:val="nil"/>
            </w:tcBorders>
            <w:shd w:val="clear" w:color="auto" w:fill="auto"/>
            <w:noWrap/>
            <w:vAlign w:val="center"/>
            <w:hideMark/>
          </w:tcPr>
          <w:p w14:paraId="55D3C08A"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-6,276</w:t>
            </w:r>
          </w:p>
        </w:tc>
        <w:tc>
          <w:tcPr>
            <w:tcW w:w="1276" w:type="dxa"/>
            <w:tcBorders>
              <w:top w:val="nil"/>
              <w:left w:val="nil"/>
              <w:bottom w:val="nil"/>
              <w:right w:val="dashed" w:sz="4" w:space="0" w:color="auto"/>
            </w:tcBorders>
            <w:shd w:val="clear" w:color="auto" w:fill="auto"/>
            <w:noWrap/>
            <w:vAlign w:val="center"/>
            <w:hideMark/>
          </w:tcPr>
          <w:p w14:paraId="378E5144"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-6,553</w:t>
            </w:r>
          </w:p>
        </w:tc>
        <w:tc>
          <w:tcPr>
            <w:tcW w:w="1134" w:type="dxa"/>
            <w:tcBorders>
              <w:top w:val="nil"/>
              <w:left w:val="dashed" w:sz="4" w:space="0" w:color="auto"/>
              <w:bottom w:val="nil"/>
              <w:right w:val="nil"/>
            </w:tcBorders>
            <w:shd w:val="clear" w:color="auto" w:fill="auto"/>
            <w:noWrap/>
            <w:vAlign w:val="center"/>
            <w:hideMark/>
          </w:tcPr>
          <w:p w14:paraId="69D05D17"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-8,243</w:t>
            </w:r>
          </w:p>
        </w:tc>
      </w:tr>
      <w:tr w:rsidR="00723E93" w:rsidRPr="007F6332" w14:paraId="1983C61A" w14:textId="77777777" w:rsidTr="00BC6A52">
        <w:trPr>
          <w:trHeight w:val="397"/>
        </w:trPr>
        <w:tc>
          <w:tcPr>
            <w:tcW w:w="2835" w:type="dxa"/>
            <w:tcBorders>
              <w:top w:val="nil"/>
              <w:left w:val="nil"/>
              <w:right w:val="nil"/>
            </w:tcBorders>
            <w:shd w:val="clear" w:color="auto" w:fill="A6A6A6" w:themeFill="background1" w:themeFillShade="A6"/>
            <w:noWrap/>
            <w:vAlign w:val="center"/>
            <w:hideMark/>
          </w:tcPr>
          <w:p w14:paraId="2B61049C"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Participants leaving</w:t>
            </w:r>
          </w:p>
        </w:tc>
        <w:tc>
          <w:tcPr>
            <w:tcW w:w="1276" w:type="dxa"/>
            <w:tcBorders>
              <w:top w:val="nil"/>
              <w:left w:val="nil"/>
              <w:right w:val="nil"/>
            </w:tcBorders>
            <w:shd w:val="clear" w:color="auto" w:fill="A6A6A6" w:themeFill="background1" w:themeFillShade="A6"/>
            <w:noWrap/>
            <w:vAlign w:val="center"/>
            <w:hideMark/>
          </w:tcPr>
          <w:p w14:paraId="43FA91BD"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-15,388</w:t>
            </w:r>
          </w:p>
        </w:tc>
        <w:tc>
          <w:tcPr>
            <w:tcW w:w="1276" w:type="dxa"/>
            <w:tcBorders>
              <w:top w:val="nil"/>
              <w:left w:val="nil"/>
              <w:right w:val="nil"/>
            </w:tcBorders>
            <w:shd w:val="clear" w:color="auto" w:fill="A6A6A6" w:themeFill="background1" w:themeFillShade="A6"/>
            <w:noWrap/>
            <w:vAlign w:val="center"/>
            <w:hideMark/>
          </w:tcPr>
          <w:p w14:paraId="7EB5DAEB"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-17,564</w:t>
            </w:r>
          </w:p>
        </w:tc>
        <w:tc>
          <w:tcPr>
            <w:tcW w:w="1276" w:type="dxa"/>
            <w:tcBorders>
              <w:top w:val="nil"/>
              <w:left w:val="nil"/>
              <w:right w:val="nil"/>
            </w:tcBorders>
            <w:shd w:val="clear" w:color="auto" w:fill="A6A6A6" w:themeFill="background1" w:themeFillShade="A6"/>
            <w:noWrap/>
            <w:vAlign w:val="center"/>
            <w:hideMark/>
          </w:tcPr>
          <w:p w14:paraId="219C72B8"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-21,463</w:t>
            </w:r>
          </w:p>
        </w:tc>
        <w:tc>
          <w:tcPr>
            <w:tcW w:w="1276" w:type="dxa"/>
            <w:tcBorders>
              <w:top w:val="nil"/>
              <w:left w:val="nil"/>
              <w:right w:val="dashed" w:sz="4" w:space="0" w:color="auto"/>
            </w:tcBorders>
            <w:shd w:val="clear" w:color="auto" w:fill="A6A6A6" w:themeFill="background1" w:themeFillShade="A6"/>
            <w:noWrap/>
            <w:vAlign w:val="center"/>
            <w:hideMark/>
          </w:tcPr>
          <w:p w14:paraId="09E9AE6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-20,409</w:t>
            </w:r>
          </w:p>
        </w:tc>
        <w:tc>
          <w:tcPr>
            <w:tcW w:w="1134" w:type="dxa"/>
            <w:tcBorders>
              <w:top w:val="nil"/>
              <w:left w:val="dashed" w:sz="4" w:space="0" w:color="auto"/>
              <w:right w:val="nil"/>
            </w:tcBorders>
            <w:shd w:val="clear" w:color="auto" w:fill="A6A6A6" w:themeFill="background1" w:themeFillShade="A6"/>
            <w:noWrap/>
            <w:vAlign w:val="center"/>
            <w:hideMark/>
          </w:tcPr>
          <w:p w14:paraId="64D34ED2"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-21,414</w:t>
            </w:r>
          </w:p>
        </w:tc>
      </w:tr>
      <w:tr w:rsidR="00723E93" w:rsidRPr="007F6332" w14:paraId="2CD3C9B0" w14:textId="77777777" w:rsidTr="00BC6A52">
        <w:trPr>
          <w:trHeight w:val="397"/>
        </w:trPr>
        <w:tc>
          <w:tcPr>
            <w:tcW w:w="2835" w:type="dxa"/>
            <w:tcBorders>
              <w:left w:val="nil"/>
            </w:tcBorders>
            <w:shd w:val="clear" w:color="000000" w:fill="B398B8"/>
            <w:noWrap/>
            <w:vAlign w:val="center"/>
            <w:hideMark/>
          </w:tcPr>
          <w:p w14:paraId="6F5397ED" w14:textId="77777777" w:rsidR="00723E93" w:rsidRPr="007F6332" w:rsidRDefault="00723E93" w:rsidP="006C2D7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Expected participant population at end of year</w:t>
            </w:r>
          </w:p>
        </w:tc>
        <w:tc>
          <w:tcPr>
            <w:tcW w:w="1276" w:type="dxa"/>
            <w:shd w:val="clear" w:color="000000" w:fill="B398B8"/>
            <w:noWrap/>
            <w:vAlign w:val="center"/>
            <w:hideMark/>
          </w:tcPr>
          <w:p w14:paraId="74F8600C"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668,907</w:t>
            </w:r>
          </w:p>
        </w:tc>
        <w:tc>
          <w:tcPr>
            <w:tcW w:w="1276" w:type="dxa"/>
            <w:shd w:val="clear" w:color="000000" w:fill="B398B8"/>
            <w:noWrap/>
            <w:vAlign w:val="center"/>
            <w:hideMark/>
          </w:tcPr>
          <w:p w14:paraId="77899D6C"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714,805</w:t>
            </w:r>
          </w:p>
        </w:tc>
        <w:tc>
          <w:tcPr>
            <w:tcW w:w="1276" w:type="dxa"/>
            <w:shd w:val="clear" w:color="000000" w:fill="B398B8"/>
            <w:noWrap/>
            <w:vAlign w:val="center"/>
            <w:hideMark/>
          </w:tcPr>
          <w:p w14:paraId="75693C2E"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754,022</w:t>
            </w:r>
          </w:p>
        </w:tc>
        <w:tc>
          <w:tcPr>
            <w:tcW w:w="1276" w:type="dxa"/>
            <w:tcBorders>
              <w:right w:val="dashed" w:sz="4" w:space="0" w:color="auto"/>
            </w:tcBorders>
            <w:shd w:val="clear" w:color="000000" w:fill="B398B8"/>
            <w:noWrap/>
            <w:vAlign w:val="center"/>
            <w:hideMark/>
          </w:tcPr>
          <w:p w14:paraId="6136ABF7"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792,200</w:t>
            </w:r>
          </w:p>
        </w:tc>
        <w:tc>
          <w:tcPr>
            <w:tcW w:w="1134" w:type="dxa"/>
            <w:tcBorders>
              <w:left w:val="dashed" w:sz="4" w:space="0" w:color="auto"/>
              <w:right w:val="nil"/>
            </w:tcBorders>
            <w:shd w:val="clear" w:color="000000" w:fill="B398B8"/>
            <w:noWrap/>
            <w:vAlign w:val="center"/>
            <w:hideMark/>
          </w:tcPr>
          <w:p w14:paraId="09701B4B" w14:textId="77777777" w:rsidR="00723E93" w:rsidRPr="007F6332" w:rsidRDefault="00723E93" w:rsidP="00C1755E">
            <w:pPr>
              <w:spacing w:after="0" w:line="240" w:lineRule="auto"/>
              <w:ind w:left="-108"/>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1,030,337</w:t>
            </w:r>
          </w:p>
        </w:tc>
      </w:tr>
      <w:tr w:rsidR="00723E93" w:rsidRPr="007F6332" w14:paraId="5C1DD55A" w14:textId="77777777" w:rsidTr="00BC6A52">
        <w:trPr>
          <w:trHeight w:val="397"/>
        </w:trPr>
        <w:tc>
          <w:tcPr>
            <w:tcW w:w="2835" w:type="dxa"/>
            <w:tcBorders>
              <w:top w:val="nil"/>
              <w:left w:val="nil"/>
              <w:bottom w:val="nil"/>
            </w:tcBorders>
            <w:shd w:val="clear" w:color="auto" w:fill="A6A6A6" w:themeFill="background1" w:themeFillShade="A6"/>
            <w:noWrap/>
            <w:vAlign w:val="center"/>
            <w:hideMark/>
          </w:tcPr>
          <w:p w14:paraId="53ED3CAD"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New entrants</w:t>
            </w:r>
          </w:p>
        </w:tc>
        <w:tc>
          <w:tcPr>
            <w:tcW w:w="1276" w:type="dxa"/>
            <w:tcBorders>
              <w:top w:val="nil"/>
              <w:bottom w:val="nil"/>
            </w:tcBorders>
            <w:shd w:val="clear" w:color="auto" w:fill="A6A6A6" w:themeFill="background1" w:themeFillShade="A6"/>
            <w:noWrap/>
            <w:vAlign w:val="center"/>
            <w:hideMark/>
          </w:tcPr>
          <w:p w14:paraId="4F3DAD96"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13.0%</w:t>
            </w:r>
          </w:p>
        </w:tc>
        <w:tc>
          <w:tcPr>
            <w:tcW w:w="1276" w:type="dxa"/>
            <w:tcBorders>
              <w:top w:val="nil"/>
              <w:bottom w:val="nil"/>
            </w:tcBorders>
            <w:shd w:val="clear" w:color="auto" w:fill="A6A6A6" w:themeFill="background1" w:themeFillShade="A6"/>
            <w:noWrap/>
            <w:vAlign w:val="center"/>
            <w:hideMark/>
          </w:tcPr>
          <w:p w14:paraId="0C392D2F"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10.4%</w:t>
            </w:r>
          </w:p>
        </w:tc>
        <w:tc>
          <w:tcPr>
            <w:tcW w:w="1276" w:type="dxa"/>
            <w:tcBorders>
              <w:top w:val="nil"/>
              <w:bottom w:val="nil"/>
            </w:tcBorders>
            <w:shd w:val="clear" w:color="auto" w:fill="A6A6A6" w:themeFill="background1" w:themeFillShade="A6"/>
            <w:noWrap/>
            <w:vAlign w:val="center"/>
            <w:hideMark/>
          </w:tcPr>
          <w:p w14:paraId="088727D0"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9.4%</w:t>
            </w:r>
          </w:p>
        </w:tc>
        <w:tc>
          <w:tcPr>
            <w:tcW w:w="1276" w:type="dxa"/>
            <w:tcBorders>
              <w:top w:val="nil"/>
              <w:bottom w:val="nil"/>
              <w:right w:val="dashed" w:sz="4" w:space="0" w:color="auto"/>
            </w:tcBorders>
            <w:shd w:val="clear" w:color="auto" w:fill="A6A6A6" w:themeFill="background1" w:themeFillShade="A6"/>
            <w:noWrap/>
            <w:vAlign w:val="center"/>
            <w:hideMark/>
          </w:tcPr>
          <w:p w14:paraId="440F11D5"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8.6%</w:t>
            </w:r>
          </w:p>
        </w:tc>
        <w:tc>
          <w:tcPr>
            <w:tcW w:w="1134" w:type="dxa"/>
            <w:tcBorders>
              <w:top w:val="nil"/>
              <w:left w:val="dashed" w:sz="4" w:space="0" w:color="auto"/>
              <w:bottom w:val="nil"/>
              <w:right w:val="nil"/>
            </w:tcBorders>
            <w:shd w:val="clear" w:color="auto" w:fill="A6A6A6" w:themeFill="background1" w:themeFillShade="A6"/>
            <w:noWrap/>
            <w:vAlign w:val="center"/>
            <w:hideMark/>
          </w:tcPr>
          <w:p w14:paraId="112BE5DC"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7.0%</w:t>
            </w:r>
          </w:p>
        </w:tc>
      </w:tr>
      <w:tr w:rsidR="00723E93" w:rsidRPr="007F6332" w14:paraId="1F46145F" w14:textId="77777777" w:rsidTr="00BC6A52">
        <w:trPr>
          <w:trHeight w:val="397"/>
        </w:trPr>
        <w:tc>
          <w:tcPr>
            <w:tcW w:w="2835" w:type="dxa"/>
            <w:tcBorders>
              <w:top w:val="nil"/>
              <w:left w:val="nil"/>
              <w:bottom w:val="nil"/>
            </w:tcBorders>
            <w:shd w:val="clear" w:color="auto" w:fill="auto"/>
            <w:noWrap/>
            <w:vAlign w:val="center"/>
            <w:hideMark/>
          </w:tcPr>
          <w:p w14:paraId="7F8ED2E1"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Mortality</w:t>
            </w:r>
          </w:p>
        </w:tc>
        <w:tc>
          <w:tcPr>
            <w:tcW w:w="1276" w:type="dxa"/>
            <w:tcBorders>
              <w:top w:val="nil"/>
              <w:bottom w:val="nil"/>
            </w:tcBorders>
            <w:shd w:val="clear" w:color="auto" w:fill="auto"/>
            <w:noWrap/>
            <w:vAlign w:val="center"/>
            <w:hideMark/>
          </w:tcPr>
          <w:p w14:paraId="253D053D"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-0.9%</w:t>
            </w:r>
          </w:p>
        </w:tc>
        <w:tc>
          <w:tcPr>
            <w:tcW w:w="1276" w:type="dxa"/>
            <w:tcBorders>
              <w:top w:val="nil"/>
              <w:bottom w:val="nil"/>
            </w:tcBorders>
            <w:shd w:val="clear" w:color="auto" w:fill="auto"/>
            <w:noWrap/>
            <w:vAlign w:val="center"/>
            <w:hideMark/>
          </w:tcPr>
          <w:p w14:paraId="30FEC69C"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-0.9%</w:t>
            </w:r>
          </w:p>
        </w:tc>
        <w:tc>
          <w:tcPr>
            <w:tcW w:w="1276" w:type="dxa"/>
            <w:tcBorders>
              <w:top w:val="nil"/>
              <w:bottom w:val="nil"/>
            </w:tcBorders>
            <w:shd w:val="clear" w:color="auto" w:fill="auto"/>
            <w:noWrap/>
            <w:vAlign w:val="center"/>
            <w:hideMark/>
          </w:tcPr>
          <w:p w14:paraId="39161328"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-0.9%</w:t>
            </w:r>
          </w:p>
        </w:tc>
        <w:tc>
          <w:tcPr>
            <w:tcW w:w="1276" w:type="dxa"/>
            <w:tcBorders>
              <w:top w:val="nil"/>
              <w:bottom w:val="nil"/>
              <w:right w:val="dashed" w:sz="4" w:space="0" w:color="auto"/>
            </w:tcBorders>
            <w:shd w:val="clear" w:color="auto" w:fill="auto"/>
            <w:noWrap/>
            <w:vAlign w:val="center"/>
            <w:hideMark/>
          </w:tcPr>
          <w:p w14:paraId="1EE9C01F"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-0.9%</w:t>
            </w:r>
          </w:p>
        </w:tc>
        <w:tc>
          <w:tcPr>
            <w:tcW w:w="1134" w:type="dxa"/>
            <w:tcBorders>
              <w:top w:val="nil"/>
              <w:left w:val="dashed" w:sz="4" w:space="0" w:color="auto"/>
              <w:bottom w:val="nil"/>
              <w:right w:val="nil"/>
            </w:tcBorders>
            <w:shd w:val="clear" w:color="auto" w:fill="auto"/>
            <w:noWrap/>
            <w:vAlign w:val="center"/>
            <w:hideMark/>
          </w:tcPr>
          <w:p w14:paraId="087C2FE5"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-0.8%</w:t>
            </w:r>
          </w:p>
        </w:tc>
      </w:tr>
      <w:tr w:rsidR="00723E93" w:rsidRPr="007F6332" w14:paraId="5DCC2AD1" w14:textId="77777777" w:rsidTr="00BC6A52">
        <w:trPr>
          <w:trHeight w:val="397"/>
        </w:trPr>
        <w:tc>
          <w:tcPr>
            <w:tcW w:w="2835" w:type="dxa"/>
            <w:tcBorders>
              <w:top w:val="nil"/>
              <w:left w:val="nil"/>
            </w:tcBorders>
            <w:shd w:val="clear" w:color="auto" w:fill="A6A6A6" w:themeFill="background1" w:themeFillShade="A6"/>
            <w:noWrap/>
            <w:vAlign w:val="center"/>
            <w:hideMark/>
          </w:tcPr>
          <w:p w14:paraId="5E88527B"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Participants leaving</w:t>
            </w:r>
          </w:p>
        </w:tc>
        <w:tc>
          <w:tcPr>
            <w:tcW w:w="1276" w:type="dxa"/>
            <w:tcBorders>
              <w:top w:val="nil"/>
            </w:tcBorders>
            <w:shd w:val="clear" w:color="auto" w:fill="A6A6A6" w:themeFill="background1" w:themeFillShade="A6"/>
            <w:noWrap/>
            <w:vAlign w:val="center"/>
            <w:hideMark/>
          </w:tcPr>
          <w:p w14:paraId="2ED12DF3"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-2.5%</w:t>
            </w:r>
          </w:p>
        </w:tc>
        <w:tc>
          <w:tcPr>
            <w:tcW w:w="1276" w:type="dxa"/>
            <w:tcBorders>
              <w:top w:val="nil"/>
            </w:tcBorders>
            <w:shd w:val="clear" w:color="auto" w:fill="A6A6A6" w:themeFill="background1" w:themeFillShade="A6"/>
            <w:noWrap/>
            <w:vAlign w:val="center"/>
            <w:hideMark/>
          </w:tcPr>
          <w:p w14:paraId="29DC8105"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-2.6%</w:t>
            </w:r>
          </w:p>
        </w:tc>
        <w:tc>
          <w:tcPr>
            <w:tcW w:w="1276" w:type="dxa"/>
            <w:tcBorders>
              <w:top w:val="nil"/>
            </w:tcBorders>
            <w:shd w:val="clear" w:color="auto" w:fill="A6A6A6" w:themeFill="background1" w:themeFillShade="A6"/>
            <w:noWrap/>
            <w:vAlign w:val="center"/>
            <w:hideMark/>
          </w:tcPr>
          <w:p w14:paraId="0B4E6A12"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-3.0%</w:t>
            </w:r>
          </w:p>
        </w:tc>
        <w:tc>
          <w:tcPr>
            <w:tcW w:w="1276" w:type="dxa"/>
            <w:tcBorders>
              <w:top w:val="nil"/>
              <w:right w:val="dashed" w:sz="4" w:space="0" w:color="auto"/>
            </w:tcBorders>
            <w:shd w:val="clear" w:color="auto" w:fill="A6A6A6" w:themeFill="background1" w:themeFillShade="A6"/>
            <w:noWrap/>
            <w:vAlign w:val="center"/>
            <w:hideMark/>
          </w:tcPr>
          <w:p w14:paraId="5A47F26E"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-2.7%</w:t>
            </w:r>
          </w:p>
        </w:tc>
        <w:tc>
          <w:tcPr>
            <w:tcW w:w="1134" w:type="dxa"/>
            <w:tcBorders>
              <w:top w:val="nil"/>
              <w:left w:val="dashed" w:sz="4" w:space="0" w:color="auto"/>
              <w:right w:val="nil"/>
            </w:tcBorders>
            <w:shd w:val="clear" w:color="auto" w:fill="A6A6A6" w:themeFill="background1" w:themeFillShade="A6"/>
            <w:noWrap/>
            <w:vAlign w:val="center"/>
            <w:hideMark/>
          </w:tcPr>
          <w:p w14:paraId="152C4127" w14:textId="77777777" w:rsidR="00723E93" w:rsidRPr="007F6332" w:rsidRDefault="00723E93" w:rsidP="006C2D75">
            <w:pPr>
              <w:spacing w:after="0" w:line="240" w:lineRule="auto"/>
              <w:jc w:val="right"/>
              <w:rPr>
                <w:rFonts w:eastAsia="Times New Roman" w:cs="Arial"/>
                <w:color w:val="000000"/>
                <w:szCs w:val="22"/>
                <w:lang w:val="en-AU" w:eastAsia="en-AU"/>
              </w:rPr>
            </w:pPr>
            <w:r w:rsidRPr="007F6332">
              <w:rPr>
                <w:rFonts w:eastAsia="Times New Roman" w:cs="Arial"/>
                <w:color w:val="000000"/>
                <w:szCs w:val="22"/>
                <w:lang w:val="en-AU" w:eastAsia="en-AU"/>
              </w:rPr>
              <w:t>-2.2%</w:t>
            </w:r>
          </w:p>
        </w:tc>
      </w:tr>
      <w:tr w:rsidR="00723E93" w:rsidRPr="007F6332" w14:paraId="59C59352" w14:textId="77777777" w:rsidTr="00BC6A52">
        <w:trPr>
          <w:trHeight w:val="397"/>
        </w:trPr>
        <w:tc>
          <w:tcPr>
            <w:tcW w:w="2835" w:type="dxa"/>
            <w:tcBorders>
              <w:left w:val="nil"/>
              <w:bottom w:val="single" w:sz="4" w:space="0" w:color="auto"/>
            </w:tcBorders>
            <w:shd w:val="clear" w:color="000000" w:fill="B398B8"/>
            <w:noWrap/>
            <w:vAlign w:val="center"/>
            <w:hideMark/>
          </w:tcPr>
          <w:p w14:paraId="7C936FDC" w14:textId="77777777" w:rsidR="00723E93" w:rsidRPr="007F6332" w:rsidRDefault="00723E93" w:rsidP="006C2D7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Expected growth in participant population</w:t>
            </w:r>
          </w:p>
        </w:tc>
        <w:tc>
          <w:tcPr>
            <w:tcW w:w="1276" w:type="dxa"/>
            <w:tcBorders>
              <w:bottom w:val="single" w:sz="4" w:space="0" w:color="auto"/>
            </w:tcBorders>
            <w:shd w:val="clear" w:color="000000" w:fill="B398B8"/>
            <w:noWrap/>
            <w:vAlign w:val="center"/>
            <w:hideMark/>
          </w:tcPr>
          <w:p w14:paraId="3F374641"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9.6%</w:t>
            </w:r>
          </w:p>
        </w:tc>
        <w:tc>
          <w:tcPr>
            <w:tcW w:w="1276" w:type="dxa"/>
            <w:tcBorders>
              <w:bottom w:val="single" w:sz="4" w:space="0" w:color="auto"/>
            </w:tcBorders>
            <w:shd w:val="clear" w:color="000000" w:fill="B398B8"/>
            <w:noWrap/>
            <w:vAlign w:val="center"/>
            <w:hideMark/>
          </w:tcPr>
          <w:p w14:paraId="468F04DA"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6.9%</w:t>
            </w:r>
          </w:p>
        </w:tc>
        <w:tc>
          <w:tcPr>
            <w:tcW w:w="1276" w:type="dxa"/>
            <w:tcBorders>
              <w:bottom w:val="single" w:sz="4" w:space="0" w:color="auto"/>
            </w:tcBorders>
            <w:shd w:val="clear" w:color="000000" w:fill="B398B8"/>
            <w:noWrap/>
            <w:vAlign w:val="center"/>
            <w:hideMark/>
          </w:tcPr>
          <w:p w14:paraId="77BA05D8"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5.5%</w:t>
            </w:r>
          </w:p>
        </w:tc>
        <w:tc>
          <w:tcPr>
            <w:tcW w:w="1276" w:type="dxa"/>
            <w:tcBorders>
              <w:bottom w:val="single" w:sz="4" w:space="0" w:color="auto"/>
              <w:right w:val="dashed" w:sz="4" w:space="0" w:color="auto"/>
            </w:tcBorders>
            <w:shd w:val="clear" w:color="000000" w:fill="B398B8"/>
            <w:noWrap/>
            <w:vAlign w:val="center"/>
            <w:hideMark/>
          </w:tcPr>
          <w:p w14:paraId="367F29D4"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5.1%</w:t>
            </w:r>
          </w:p>
        </w:tc>
        <w:tc>
          <w:tcPr>
            <w:tcW w:w="1134" w:type="dxa"/>
            <w:tcBorders>
              <w:left w:val="dashed" w:sz="4" w:space="0" w:color="auto"/>
              <w:bottom w:val="single" w:sz="4" w:space="0" w:color="auto"/>
              <w:right w:val="nil"/>
            </w:tcBorders>
            <w:shd w:val="clear" w:color="000000" w:fill="B398B8"/>
            <w:noWrap/>
            <w:vAlign w:val="center"/>
            <w:hideMark/>
          </w:tcPr>
          <w:p w14:paraId="47747552" w14:textId="77777777" w:rsidR="00723E93" w:rsidRPr="007F6332" w:rsidRDefault="00723E93" w:rsidP="006C2D75">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4.0%</w:t>
            </w:r>
          </w:p>
        </w:tc>
      </w:tr>
    </w:tbl>
    <w:p w14:paraId="0BB1840A" w14:textId="23B874A9" w:rsidR="00723E93" w:rsidRPr="007F6332" w:rsidRDefault="00723E93" w:rsidP="00723E93">
      <w:pPr>
        <w:spacing w:before="240"/>
        <w:rPr>
          <w:rFonts w:cs="Arial"/>
        </w:rPr>
      </w:pPr>
      <w:r w:rsidRPr="007F6332">
        <w:rPr>
          <w:rFonts w:cs="Arial"/>
        </w:rPr>
        <w:t xml:space="preserve">The resulting participant projection by age group is shown in </w:t>
      </w:r>
      <w:r w:rsidR="0045717D" w:rsidRPr="007F6332">
        <w:rPr>
          <w:rFonts w:cs="Arial"/>
        </w:rPr>
        <w:t>Table 5.17.</w:t>
      </w:r>
    </w:p>
    <w:p w14:paraId="34231F8B" w14:textId="66E5AA4E" w:rsidR="00723E93" w:rsidRPr="007F6332" w:rsidRDefault="00723E93" w:rsidP="00D07ACF">
      <w:pPr>
        <w:pStyle w:val="FiguresandTablesHeading5"/>
      </w:pPr>
      <w:bookmarkStart w:id="163" w:name="_Ref144845214"/>
      <w:r w:rsidRPr="007F6332">
        <w:t xml:space="preserve">Table </w:t>
      </w:r>
      <w:bookmarkEnd w:id="163"/>
      <w:r w:rsidR="0045717D" w:rsidRPr="007F6332">
        <w:t>5.17:</w:t>
      </w:r>
      <w:r w:rsidRPr="007F6332">
        <w:t xml:space="preserve"> Projected participant numbers by age group</w:t>
      </w:r>
      <w:r w:rsidR="00AB25E8" w:rsidRPr="007F6332">
        <w:t>,</w:t>
      </w:r>
      <w:r w:rsidRPr="007F6332">
        <w:t xml:space="preserve"> at 30 June</w:t>
      </w:r>
    </w:p>
    <w:tbl>
      <w:tblPr>
        <w:tblW w:w="5009" w:type="pct"/>
        <w:tblLayout w:type="fixed"/>
        <w:tblLook w:val="04A0" w:firstRow="1" w:lastRow="0" w:firstColumn="1" w:lastColumn="0" w:noHBand="0" w:noVBand="1"/>
      </w:tblPr>
      <w:tblGrid>
        <w:gridCol w:w="2269"/>
        <w:gridCol w:w="1134"/>
        <w:gridCol w:w="1133"/>
        <w:gridCol w:w="1133"/>
        <w:gridCol w:w="1131"/>
        <w:gridCol w:w="1131"/>
        <w:gridCol w:w="1135"/>
      </w:tblGrid>
      <w:tr w:rsidR="00EB6E70" w:rsidRPr="007F6332" w14:paraId="47DC2AD2" w14:textId="77777777" w:rsidTr="00BC6A52">
        <w:trPr>
          <w:trHeight w:val="517"/>
        </w:trPr>
        <w:tc>
          <w:tcPr>
            <w:tcW w:w="1251" w:type="pct"/>
            <w:tcBorders>
              <w:top w:val="nil"/>
              <w:left w:val="nil"/>
              <w:bottom w:val="nil"/>
              <w:right w:val="nil"/>
            </w:tcBorders>
            <w:shd w:val="clear" w:color="000000" w:fill="6B2F76"/>
            <w:noWrap/>
            <w:vAlign w:val="center"/>
            <w:hideMark/>
          </w:tcPr>
          <w:p w14:paraId="427DDBE8" w14:textId="77777777" w:rsidR="00723E93" w:rsidRPr="007F6332" w:rsidRDefault="00723E93" w:rsidP="006C2D75">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 </w:t>
            </w:r>
          </w:p>
        </w:tc>
        <w:tc>
          <w:tcPr>
            <w:tcW w:w="625" w:type="pct"/>
            <w:tcBorders>
              <w:top w:val="nil"/>
              <w:left w:val="nil"/>
              <w:bottom w:val="nil"/>
              <w:right w:val="nil"/>
            </w:tcBorders>
            <w:shd w:val="clear" w:color="000000" w:fill="6B2976"/>
            <w:noWrap/>
            <w:vAlign w:val="center"/>
            <w:hideMark/>
          </w:tcPr>
          <w:p w14:paraId="716A26E6" w14:textId="50C4CE16"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w:t>
            </w:r>
          </w:p>
        </w:tc>
        <w:tc>
          <w:tcPr>
            <w:tcW w:w="625" w:type="pct"/>
            <w:tcBorders>
              <w:top w:val="nil"/>
              <w:left w:val="nil"/>
              <w:bottom w:val="nil"/>
              <w:right w:val="nil"/>
            </w:tcBorders>
            <w:shd w:val="clear" w:color="000000" w:fill="6B2976"/>
            <w:noWrap/>
            <w:vAlign w:val="center"/>
            <w:hideMark/>
          </w:tcPr>
          <w:p w14:paraId="10633AAC" w14:textId="2922FD25"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w:t>
            </w:r>
          </w:p>
        </w:tc>
        <w:tc>
          <w:tcPr>
            <w:tcW w:w="625" w:type="pct"/>
            <w:tcBorders>
              <w:top w:val="nil"/>
              <w:left w:val="nil"/>
              <w:bottom w:val="nil"/>
              <w:right w:val="nil"/>
            </w:tcBorders>
            <w:shd w:val="clear" w:color="000000" w:fill="6B2976"/>
            <w:noWrap/>
            <w:vAlign w:val="center"/>
            <w:hideMark/>
          </w:tcPr>
          <w:p w14:paraId="49CE885D" w14:textId="3E5639D3"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w:t>
            </w:r>
          </w:p>
        </w:tc>
        <w:tc>
          <w:tcPr>
            <w:tcW w:w="624" w:type="pct"/>
            <w:tcBorders>
              <w:top w:val="nil"/>
              <w:left w:val="nil"/>
              <w:bottom w:val="nil"/>
              <w:right w:val="nil"/>
            </w:tcBorders>
            <w:shd w:val="clear" w:color="000000" w:fill="6B2976"/>
            <w:noWrap/>
            <w:vAlign w:val="center"/>
            <w:hideMark/>
          </w:tcPr>
          <w:p w14:paraId="13523440" w14:textId="0CF53523"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w:t>
            </w:r>
          </w:p>
        </w:tc>
        <w:tc>
          <w:tcPr>
            <w:tcW w:w="624" w:type="pct"/>
            <w:tcBorders>
              <w:top w:val="nil"/>
              <w:left w:val="nil"/>
              <w:bottom w:val="nil"/>
              <w:right w:val="dashed" w:sz="4" w:space="0" w:color="auto"/>
            </w:tcBorders>
            <w:shd w:val="clear" w:color="000000" w:fill="6B2976"/>
            <w:noWrap/>
            <w:vAlign w:val="center"/>
            <w:hideMark/>
          </w:tcPr>
          <w:p w14:paraId="53AB3445" w14:textId="36043F41"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2027</w:t>
            </w:r>
          </w:p>
        </w:tc>
        <w:tc>
          <w:tcPr>
            <w:tcW w:w="626" w:type="pct"/>
            <w:tcBorders>
              <w:top w:val="nil"/>
              <w:left w:val="dashed" w:sz="4" w:space="0" w:color="auto"/>
              <w:bottom w:val="nil"/>
              <w:right w:val="nil"/>
            </w:tcBorders>
            <w:shd w:val="clear" w:color="000000" w:fill="6B2976"/>
            <w:noWrap/>
            <w:vAlign w:val="center"/>
            <w:hideMark/>
          </w:tcPr>
          <w:p w14:paraId="6A011DAB" w14:textId="5B99A646" w:rsidR="00723E93" w:rsidRPr="007F6332" w:rsidRDefault="00723E93" w:rsidP="006C2D75">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2033</w:t>
            </w:r>
          </w:p>
        </w:tc>
      </w:tr>
      <w:tr w:rsidR="00EB6E70" w:rsidRPr="007F6332" w14:paraId="39EFF4F4" w14:textId="77777777" w:rsidTr="00BC6A52">
        <w:trPr>
          <w:trHeight w:val="397"/>
        </w:trPr>
        <w:tc>
          <w:tcPr>
            <w:tcW w:w="1251" w:type="pct"/>
            <w:tcBorders>
              <w:top w:val="single" w:sz="4" w:space="0" w:color="auto"/>
              <w:left w:val="nil"/>
              <w:bottom w:val="nil"/>
              <w:right w:val="nil"/>
            </w:tcBorders>
            <w:shd w:val="clear" w:color="auto" w:fill="A6A6A6" w:themeFill="background1" w:themeFillShade="A6"/>
            <w:noWrap/>
            <w:vAlign w:val="center"/>
            <w:hideMark/>
          </w:tcPr>
          <w:p w14:paraId="6463A43C"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Children (0 to 14)</w:t>
            </w:r>
          </w:p>
        </w:tc>
        <w:tc>
          <w:tcPr>
            <w:tcW w:w="625" w:type="pct"/>
            <w:tcBorders>
              <w:top w:val="single" w:sz="4" w:space="0" w:color="auto"/>
              <w:left w:val="nil"/>
              <w:bottom w:val="nil"/>
              <w:right w:val="nil"/>
            </w:tcBorders>
            <w:shd w:val="clear" w:color="auto" w:fill="A6A6A6" w:themeFill="background1" w:themeFillShade="A6"/>
            <w:noWrap/>
            <w:vAlign w:val="center"/>
            <w:hideMark/>
          </w:tcPr>
          <w:p w14:paraId="5DA08BDB"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260,674</w:t>
            </w:r>
          </w:p>
        </w:tc>
        <w:tc>
          <w:tcPr>
            <w:tcW w:w="625" w:type="pct"/>
            <w:tcBorders>
              <w:top w:val="single" w:sz="4" w:space="0" w:color="auto"/>
              <w:left w:val="nil"/>
              <w:bottom w:val="nil"/>
              <w:right w:val="nil"/>
            </w:tcBorders>
            <w:shd w:val="clear" w:color="auto" w:fill="A6A6A6" w:themeFill="background1" w:themeFillShade="A6"/>
            <w:noWrap/>
            <w:vAlign w:val="center"/>
            <w:hideMark/>
          </w:tcPr>
          <w:p w14:paraId="73222646"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284,202</w:t>
            </w:r>
          </w:p>
        </w:tc>
        <w:tc>
          <w:tcPr>
            <w:tcW w:w="625" w:type="pct"/>
            <w:tcBorders>
              <w:top w:val="single" w:sz="4" w:space="0" w:color="auto"/>
              <w:left w:val="nil"/>
              <w:bottom w:val="nil"/>
              <w:right w:val="nil"/>
            </w:tcBorders>
            <w:shd w:val="clear" w:color="auto" w:fill="A6A6A6" w:themeFill="background1" w:themeFillShade="A6"/>
            <w:noWrap/>
            <w:vAlign w:val="center"/>
            <w:hideMark/>
          </w:tcPr>
          <w:p w14:paraId="002343D8"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296,741</w:t>
            </w:r>
          </w:p>
        </w:tc>
        <w:tc>
          <w:tcPr>
            <w:tcW w:w="624" w:type="pct"/>
            <w:tcBorders>
              <w:top w:val="single" w:sz="4" w:space="0" w:color="auto"/>
              <w:left w:val="nil"/>
              <w:bottom w:val="nil"/>
              <w:right w:val="nil"/>
            </w:tcBorders>
            <w:shd w:val="clear" w:color="auto" w:fill="A6A6A6" w:themeFill="background1" w:themeFillShade="A6"/>
            <w:noWrap/>
            <w:vAlign w:val="center"/>
            <w:hideMark/>
          </w:tcPr>
          <w:p w14:paraId="63EE650C"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302,671</w:t>
            </w:r>
          </w:p>
        </w:tc>
        <w:tc>
          <w:tcPr>
            <w:tcW w:w="624" w:type="pct"/>
            <w:tcBorders>
              <w:top w:val="single" w:sz="4" w:space="0" w:color="auto"/>
              <w:left w:val="nil"/>
              <w:bottom w:val="nil"/>
              <w:right w:val="dashed" w:sz="4" w:space="0" w:color="auto"/>
            </w:tcBorders>
            <w:shd w:val="clear" w:color="auto" w:fill="A6A6A6" w:themeFill="background1" w:themeFillShade="A6"/>
            <w:noWrap/>
            <w:vAlign w:val="center"/>
            <w:hideMark/>
          </w:tcPr>
          <w:p w14:paraId="4BA76450" w14:textId="77777777" w:rsidR="00723E93" w:rsidRPr="007F6332" w:rsidRDefault="00723E93" w:rsidP="00C1755E">
            <w:pPr>
              <w:spacing w:after="0" w:line="240" w:lineRule="auto"/>
              <w:ind w:left="-102"/>
              <w:jc w:val="right"/>
              <w:rPr>
                <w:rFonts w:eastAsia="Times New Roman" w:cs="Arial"/>
                <w:color w:val="000000"/>
                <w:szCs w:val="22"/>
                <w:lang w:eastAsia="en-AU"/>
              </w:rPr>
            </w:pPr>
            <w:r w:rsidRPr="007F6332">
              <w:rPr>
                <w:rFonts w:eastAsia="Times New Roman" w:cs="Arial"/>
                <w:color w:val="000000"/>
                <w:szCs w:val="22"/>
                <w:lang w:eastAsia="en-AU"/>
              </w:rPr>
              <w:t>306,657</w:t>
            </w:r>
          </w:p>
        </w:tc>
        <w:tc>
          <w:tcPr>
            <w:tcW w:w="626" w:type="pct"/>
            <w:tcBorders>
              <w:top w:val="single" w:sz="4" w:space="0" w:color="auto"/>
              <w:left w:val="dashed" w:sz="4" w:space="0" w:color="auto"/>
              <w:bottom w:val="nil"/>
              <w:right w:val="nil"/>
            </w:tcBorders>
            <w:shd w:val="clear" w:color="auto" w:fill="A6A6A6" w:themeFill="background1" w:themeFillShade="A6"/>
            <w:noWrap/>
            <w:vAlign w:val="center"/>
            <w:hideMark/>
          </w:tcPr>
          <w:p w14:paraId="6FC028F3"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325,288</w:t>
            </w:r>
          </w:p>
        </w:tc>
      </w:tr>
      <w:tr w:rsidR="00EB6E70" w:rsidRPr="007F6332" w14:paraId="242EEA56" w14:textId="77777777" w:rsidTr="00BC6A52">
        <w:trPr>
          <w:trHeight w:val="397"/>
        </w:trPr>
        <w:tc>
          <w:tcPr>
            <w:tcW w:w="1251" w:type="pct"/>
            <w:tcBorders>
              <w:top w:val="nil"/>
              <w:left w:val="nil"/>
              <w:bottom w:val="nil"/>
              <w:right w:val="nil"/>
            </w:tcBorders>
            <w:shd w:val="clear" w:color="auto" w:fill="FFFFFF" w:themeFill="background1"/>
            <w:noWrap/>
            <w:vAlign w:val="center"/>
            <w:hideMark/>
          </w:tcPr>
          <w:p w14:paraId="45950616"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Young adults (15 to 24)</w:t>
            </w:r>
          </w:p>
        </w:tc>
        <w:tc>
          <w:tcPr>
            <w:tcW w:w="625" w:type="pct"/>
            <w:tcBorders>
              <w:top w:val="nil"/>
              <w:left w:val="nil"/>
              <w:bottom w:val="nil"/>
              <w:right w:val="nil"/>
            </w:tcBorders>
            <w:shd w:val="clear" w:color="auto" w:fill="FFFFFF" w:themeFill="background1"/>
            <w:noWrap/>
            <w:vAlign w:val="center"/>
            <w:hideMark/>
          </w:tcPr>
          <w:p w14:paraId="011764D8"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102,648</w:t>
            </w:r>
          </w:p>
        </w:tc>
        <w:tc>
          <w:tcPr>
            <w:tcW w:w="625" w:type="pct"/>
            <w:tcBorders>
              <w:top w:val="nil"/>
              <w:left w:val="nil"/>
              <w:bottom w:val="nil"/>
              <w:right w:val="nil"/>
            </w:tcBorders>
            <w:shd w:val="clear" w:color="auto" w:fill="FFFFFF" w:themeFill="background1"/>
            <w:noWrap/>
            <w:vAlign w:val="center"/>
            <w:hideMark/>
          </w:tcPr>
          <w:p w14:paraId="798466B1"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118,650</w:t>
            </w:r>
          </w:p>
        </w:tc>
        <w:tc>
          <w:tcPr>
            <w:tcW w:w="625" w:type="pct"/>
            <w:tcBorders>
              <w:top w:val="nil"/>
              <w:left w:val="nil"/>
              <w:bottom w:val="nil"/>
              <w:right w:val="nil"/>
            </w:tcBorders>
            <w:shd w:val="clear" w:color="auto" w:fill="FFFFFF" w:themeFill="background1"/>
            <w:noWrap/>
            <w:vAlign w:val="center"/>
            <w:hideMark/>
          </w:tcPr>
          <w:p w14:paraId="6764854B"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135,269</w:t>
            </w:r>
          </w:p>
        </w:tc>
        <w:tc>
          <w:tcPr>
            <w:tcW w:w="624" w:type="pct"/>
            <w:tcBorders>
              <w:top w:val="nil"/>
              <w:left w:val="nil"/>
              <w:bottom w:val="nil"/>
              <w:right w:val="nil"/>
            </w:tcBorders>
            <w:shd w:val="clear" w:color="auto" w:fill="FFFFFF" w:themeFill="background1"/>
            <w:noWrap/>
            <w:vAlign w:val="center"/>
            <w:hideMark/>
          </w:tcPr>
          <w:p w14:paraId="165A7055"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153,455</w:t>
            </w:r>
          </w:p>
        </w:tc>
        <w:tc>
          <w:tcPr>
            <w:tcW w:w="624" w:type="pct"/>
            <w:tcBorders>
              <w:top w:val="nil"/>
              <w:left w:val="nil"/>
              <w:bottom w:val="nil"/>
              <w:right w:val="dashed" w:sz="4" w:space="0" w:color="auto"/>
            </w:tcBorders>
            <w:shd w:val="clear" w:color="auto" w:fill="FFFFFF" w:themeFill="background1"/>
            <w:noWrap/>
            <w:vAlign w:val="center"/>
            <w:hideMark/>
          </w:tcPr>
          <w:p w14:paraId="26941771" w14:textId="77777777" w:rsidR="00723E93" w:rsidRPr="007F6332" w:rsidRDefault="00723E93" w:rsidP="00EB6E70">
            <w:pPr>
              <w:spacing w:after="0" w:line="240" w:lineRule="auto"/>
              <w:ind w:left="-102"/>
              <w:jc w:val="right"/>
              <w:rPr>
                <w:rFonts w:eastAsia="Times New Roman" w:cs="Arial"/>
                <w:color w:val="000000"/>
                <w:szCs w:val="22"/>
                <w:lang w:eastAsia="en-AU"/>
              </w:rPr>
            </w:pPr>
            <w:r w:rsidRPr="007F6332">
              <w:rPr>
                <w:rFonts w:eastAsia="Times New Roman" w:cs="Arial"/>
                <w:color w:val="000000"/>
                <w:szCs w:val="22"/>
                <w:lang w:eastAsia="en-AU"/>
              </w:rPr>
              <w:t>173,221</w:t>
            </w:r>
          </w:p>
        </w:tc>
        <w:tc>
          <w:tcPr>
            <w:tcW w:w="626" w:type="pct"/>
            <w:tcBorders>
              <w:top w:val="nil"/>
              <w:left w:val="dashed" w:sz="4" w:space="0" w:color="auto"/>
              <w:bottom w:val="nil"/>
              <w:right w:val="nil"/>
            </w:tcBorders>
            <w:shd w:val="clear" w:color="auto" w:fill="FFFFFF" w:themeFill="background1"/>
            <w:noWrap/>
            <w:vAlign w:val="center"/>
            <w:hideMark/>
          </w:tcPr>
          <w:p w14:paraId="1A54041F"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282,678</w:t>
            </w:r>
          </w:p>
        </w:tc>
      </w:tr>
      <w:tr w:rsidR="00EB6E70" w:rsidRPr="007F6332" w14:paraId="5444916E" w14:textId="77777777" w:rsidTr="00BC6A52">
        <w:trPr>
          <w:trHeight w:val="397"/>
        </w:trPr>
        <w:tc>
          <w:tcPr>
            <w:tcW w:w="1251" w:type="pct"/>
            <w:tcBorders>
              <w:top w:val="nil"/>
              <w:left w:val="nil"/>
              <w:bottom w:val="nil"/>
              <w:right w:val="nil"/>
            </w:tcBorders>
            <w:shd w:val="clear" w:color="auto" w:fill="A6A6A6" w:themeFill="background1" w:themeFillShade="A6"/>
            <w:noWrap/>
            <w:vAlign w:val="center"/>
            <w:hideMark/>
          </w:tcPr>
          <w:p w14:paraId="36E0AD40"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Adults (25 to 64)</w:t>
            </w:r>
          </w:p>
        </w:tc>
        <w:tc>
          <w:tcPr>
            <w:tcW w:w="625" w:type="pct"/>
            <w:tcBorders>
              <w:top w:val="nil"/>
              <w:left w:val="nil"/>
              <w:bottom w:val="nil"/>
              <w:right w:val="nil"/>
            </w:tcBorders>
            <w:shd w:val="clear" w:color="auto" w:fill="A6A6A6" w:themeFill="background1" w:themeFillShade="A6"/>
            <w:noWrap/>
            <w:vAlign w:val="center"/>
            <w:hideMark/>
          </w:tcPr>
          <w:p w14:paraId="64633914"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219,696</w:t>
            </w:r>
          </w:p>
        </w:tc>
        <w:tc>
          <w:tcPr>
            <w:tcW w:w="625" w:type="pct"/>
            <w:tcBorders>
              <w:top w:val="nil"/>
              <w:left w:val="nil"/>
              <w:bottom w:val="nil"/>
              <w:right w:val="nil"/>
            </w:tcBorders>
            <w:shd w:val="clear" w:color="auto" w:fill="A6A6A6" w:themeFill="background1" w:themeFillShade="A6"/>
            <w:noWrap/>
            <w:vAlign w:val="center"/>
            <w:hideMark/>
          </w:tcPr>
          <w:p w14:paraId="4D91A362"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233,286</w:t>
            </w:r>
          </w:p>
        </w:tc>
        <w:tc>
          <w:tcPr>
            <w:tcW w:w="625" w:type="pct"/>
            <w:tcBorders>
              <w:top w:val="nil"/>
              <w:left w:val="nil"/>
              <w:bottom w:val="nil"/>
              <w:right w:val="nil"/>
            </w:tcBorders>
            <w:shd w:val="clear" w:color="auto" w:fill="A6A6A6" w:themeFill="background1" w:themeFillShade="A6"/>
            <w:noWrap/>
            <w:vAlign w:val="center"/>
            <w:hideMark/>
          </w:tcPr>
          <w:p w14:paraId="6735CEC0"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244,938</w:t>
            </w:r>
          </w:p>
        </w:tc>
        <w:tc>
          <w:tcPr>
            <w:tcW w:w="624" w:type="pct"/>
            <w:tcBorders>
              <w:top w:val="nil"/>
              <w:left w:val="nil"/>
              <w:bottom w:val="nil"/>
              <w:right w:val="nil"/>
            </w:tcBorders>
            <w:shd w:val="clear" w:color="auto" w:fill="A6A6A6" w:themeFill="background1" w:themeFillShade="A6"/>
            <w:noWrap/>
            <w:vAlign w:val="center"/>
            <w:hideMark/>
          </w:tcPr>
          <w:p w14:paraId="16498806"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254,856</w:t>
            </w:r>
          </w:p>
        </w:tc>
        <w:tc>
          <w:tcPr>
            <w:tcW w:w="624" w:type="pct"/>
            <w:tcBorders>
              <w:top w:val="nil"/>
              <w:left w:val="nil"/>
              <w:bottom w:val="nil"/>
              <w:right w:val="dashed" w:sz="4" w:space="0" w:color="auto"/>
            </w:tcBorders>
            <w:shd w:val="clear" w:color="auto" w:fill="A6A6A6" w:themeFill="background1" w:themeFillShade="A6"/>
            <w:noWrap/>
            <w:vAlign w:val="center"/>
            <w:hideMark/>
          </w:tcPr>
          <w:p w14:paraId="1DF413B7" w14:textId="77777777" w:rsidR="00723E93" w:rsidRPr="007F6332" w:rsidRDefault="00723E93" w:rsidP="00EB6E70">
            <w:pPr>
              <w:spacing w:after="0" w:line="240" w:lineRule="auto"/>
              <w:ind w:left="-102"/>
              <w:jc w:val="right"/>
              <w:rPr>
                <w:rFonts w:eastAsia="Times New Roman" w:cs="Arial"/>
                <w:color w:val="000000"/>
                <w:szCs w:val="22"/>
                <w:lang w:eastAsia="en-AU"/>
              </w:rPr>
            </w:pPr>
            <w:r w:rsidRPr="007F6332">
              <w:rPr>
                <w:rFonts w:eastAsia="Times New Roman" w:cs="Arial"/>
                <w:color w:val="000000"/>
                <w:szCs w:val="22"/>
                <w:lang w:eastAsia="en-AU"/>
              </w:rPr>
              <w:t>264,162</w:t>
            </w:r>
          </w:p>
        </w:tc>
        <w:tc>
          <w:tcPr>
            <w:tcW w:w="626" w:type="pct"/>
            <w:tcBorders>
              <w:top w:val="nil"/>
              <w:left w:val="dashed" w:sz="4" w:space="0" w:color="auto"/>
              <w:bottom w:val="nil"/>
              <w:right w:val="nil"/>
            </w:tcBorders>
            <w:shd w:val="clear" w:color="auto" w:fill="A6A6A6" w:themeFill="background1" w:themeFillShade="A6"/>
            <w:noWrap/>
            <w:vAlign w:val="center"/>
            <w:hideMark/>
          </w:tcPr>
          <w:p w14:paraId="37A51C89"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350,010</w:t>
            </w:r>
          </w:p>
        </w:tc>
      </w:tr>
      <w:tr w:rsidR="00EB6E70" w:rsidRPr="007F6332" w14:paraId="2CA7B09D" w14:textId="77777777" w:rsidTr="00BC6A52">
        <w:trPr>
          <w:trHeight w:val="397"/>
        </w:trPr>
        <w:tc>
          <w:tcPr>
            <w:tcW w:w="1251" w:type="pct"/>
            <w:tcBorders>
              <w:top w:val="nil"/>
              <w:left w:val="nil"/>
              <w:right w:val="nil"/>
            </w:tcBorders>
            <w:shd w:val="clear" w:color="auto" w:fill="FFFFFF" w:themeFill="background1"/>
            <w:noWrap/>
            <w:vAlign w:val="center"/>
            <w:hideMark/>
          </w:tcPr>
          <w:p w14:paraId="658C04BF"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Older adults (65+)</w:t>
            </w:r>
          </w:p>
        </w:tc>
        <w:tc>
          <w:tcPr>
            <w:tcW w:w="625" w:type="pct"/>
            <w:tcBorders>
              <w:top w:val="nil"/>
              <w:left w:val="nil"/>
              <w:right w:val="nil"/>
            </w:tcBorders>
            <w:shd w:val="clear" w:color="auto" w:fill="FFFFFF" w:themeFill="background1"/>
            <w:noWrap/>
            <w:vAlign w:val="center"/>
            <w:hideMark/>
          </w:tcPr>
          <w:p w14:paraId="479F00C8"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27,484</w:t>
            </w:r>
          </w:p>
        </w:tc>
        <w:tc>
          <w:tcPr>
            <w:tcW w:w="625" w:type="pct"/>
            <w:tcBorders>
              <w:top w:val="nil"/>
              <w:left w:val="nil"/>
              <w:right w:val="nil"/>
            </w:tcBorders>
            <w:shd w:val="clear" w:color="auto" w:fill="FFFFFF" w:themeFill="background1"/>
            <w:noWrap/>
            <w:vAlign w:val="center"/>
            <w:hideMark/>
          </w:tcPr>
          <w:p w14:paraId="39EDD9FD"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32,768</w:t>
            </w:r>
          </w:p>
        </w:tc>
        <w:tc>
          <w:tcPr>
            <w:tcW w:w="625" w:type="pct"/>
            <w:tcBorders>
              <w:top w:val="nil"/>
              <w:left w:val="nil"/>
              <w:right w:val="nil"/>
            </w:tcBorders>
            <w:shd w:val="clear" w:color="auto" w:fill="FFFFFF" w:themeFill="background1"/>
            <w:noWrap/>
            <w:vAlign w:val="center"/>
            <w:hideMark/>
          </w:tcPr>
          <w:p w14:paraId="74D096E0"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37,858</w:t>
            </w:r>
          </w:p>
        </w:tc>
        <w:tc>
          <w:tcPr>
            <w:tcW w:w="624" w:type="pct"/>
            <w:tcBorders>
              <w:top w:val="nil"/>
              <w:left w:val="nil"/>
              <w:right w:val="nil"/>
            </w:tcBorders>
            <w:shd w:val="clear" w:color="auto" w:fill="FFFFFF" w:themeFill="background1"/>
            <w:noWrap/>
            <w:vAlign w:val="center"/>
            <w:hideMark/>
          </w:tcPr>
          <w:p w14:paraId="0138F2A9"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43,040</w:t>
            </w:r>
          </w:p>
        </w:tc>
        <w:tc>
          <w:tcPr>
            <w:tcW w:w="624" w:type="pct"/>
            <w:tcBorders>
              <w:top w:val="nil"/>
              <w:left w:val="nil"/>
              <w:right w:val="dashed" w:sz="4" w:space="0" w:color="auto"/>
            </w:tcBorders>
            <w:shd w:val="clear" w:color="auto" w:fill="FFFFFF" w:themeFill="background1"/>
            <w:noWrap/>
            <w:vAlign w:val="center"/>
            <w:hideMark/>
          </w:tcPr>
          <w:p w14:paraId="00C1E470"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48,159</w:t>
            </w:r>
          </w:p>
        </w:tc>
        <w:tc>
          <w:tcPr>
            <w:tcW w:w="626" w:type="pct"/>
            <w:tcBorders>
              <w:top w:val="nil"/>
              <w:left w:val="dashed" w:sz="4" w:space="0" w:color="auto"/>
              <w:right w:val="nil"/>
            </w:tcBorders>
            <w:shd w:val="clear" w:color="auto" w:fill="FFFFFF" w:themeFill="background1"/>
            <w:noWrap/>
            <w:vAlign w:val="center"/>
            <w:hideMark/>
          </w:tcPr>
          <w:p w14:paraId="29654228"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72,361</w:t>
            </w:r>
          </w:p>
        </w:tc>
      </w:tr>
      <w:tr w:rsidR="00EB6E70" w:rsidRPr="007F6332" w14:paraId="39A63546" w14:textId="77777777" w:rsidTr="00BC6A52">
        <w:trPr>
          <w:trHeight w:val="397"/>
        </w:trPr>
        <w:tc>
          <w:tcPr>
            <w:tcW w:w="1251" w:type="pct"/>
            <w:tcBorders>
              <w:left w:val="nil"/>
            </w:tcBorders>
            <w:shd w:val="clear" w:color="000000" w:fill="B398B8"/>
            <w:noWrap/>
            <w:vAlign w:val="center"/>
            <w:hideMark/>
          </w:tcPr>
          <w:p w14:paraId="382F4B71" w14:textId="77777777" w:rsidR="00723E93" w:rsidRPr="007F6332" w:rsidRDefault="00723E93" w:rsidP="006C2D75">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625" w:type="pct"/>
            <w:shd w:val="clear" w:color="000000" w:fill="B398B8"/>
            <w:noWrap/>
            <w:vAlign w:val="center"/>
            <w:hideMark/>
          </w:tcPr>
          <w:p w14:paraId="096E0C6D"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610,502</w:t>
            </w:r>
          </w:p>
        </w:tc>
        <w:tc>
          <w:tcPr>
            <w:tcW w:w="625" w:type="pct"/>
            <w:shd w:val="clear" w:color="000000" w:fill="B398B8"/>
            <w:noWrap/>
            <w:vAlign w:val="center"/>
            <w:hideMark/>
          </w:tcPr>
          <w:p w14:paraId="5DDF6FA3"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668,907</w:t>
            </w:r>
          </w:p>
        </w:tc>
        <w:tc>
          <w:tcPr>
            <w:tcW w:w="625" w:type="pct"/>
            <w:shd w:val="clear" w:color="000000" w:fill="B398B8"/>
            <w:noWrap/>
            <w:vAlign w:val="center"/>
            <w:hideMark/>
          </w:tcPr>
          <w:p w14:paraId="5FCAA956"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714,805</w:t>
            </w:r>
          </w:p>
        </w:tc>
        <w:tc>
          <w:tcPr>
            <w:tcW w:w="624" w:type="pct"/>
            <w:shd w:val="clear" w:color="000000" w:fill="B398B8"/>
            <w:noWrap/>
            <w:vAlign w:val="center"/>
            <w:hideMark/>
          </w:tcPr>
          <w:p w14:paraId="7CCF425F"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754,022</w:t>
            </w:r>
          </w:p>
        </w:tc>
        <w:tc>
          <w:tcPr>
            <w:tcW w:w="624" w:type="pct"/>
            <w:tcBorders>
              <w:right w:val="dashed" w:sz="4" w:space="0" w:color="auto"/>
            </w:tcBorders>
            <w:shd w:val="clear" w:color="000000" w:fill="B398B8"/>
            <w:noWrap/>
            <w:vAlign w:val="center"/>
            <w:hideMark/>
          </w:tcPr>
          <w:p w14:paraId="36323990" w14:textId="77777777" w:rsidR="00723E93" w:rsidRPr="007F6332" w:rsidRDefault="00723E93" w:rsidP="00EB6E70">
            <w:pPr>
              <w:spacing w:after="0" w:line="240" w:lineRule="auto"/>
              <w:ind w:left="-102"/>
              <w:jc w:val="right"/>
              <w:rPr>
                <w:rFonts w:eastAsia="Times New Roman" w:cs="Arial"/>
                <w:b/>
                <w:bCs/>
                <w:color w:val="000000"/>
                <w:szCs w:val="22"/>
                <w:lang w:eastAsia="en-AU"/>
              </w:rPr>
            </w:pPr>
            <w:r w:rsidRPr="007F6332">
              <w:rPr>
                <w:rFonts w:eastAsia="Times New Roman" w:cs="Arial"/>
                <w:b/>
                <w:bCs/>
                <w:color w:val="000000"/>
                <w:szCs w:val="22"/>
                <w:lang w:eastAsia="en-AU"/>
              </w:rPr>
              <w:t>792,200</w:t>
            </w:r>
          </w:p>
        </w:tc>
        <w:tc>
          <w:tcPr>
            <w:tcW w:w="626" w:type="pct"/>
            <w:tcBorders>
              <w:left w:val="dashed" w:sz="4" w:space="0" w:color="auto"/>
              <w:right w:val="nil"/>
            </w:tcBorders>
            <w:shd w:val="clear" w:color="000000" w:fill="B398B8"/>
            <w:noWrap/>
            <w:vAlign w:val="center"/>
            <w:hideMark/>
          </w:tcPr>
          <w:p w14:paraId="3FD71750" w14:textId="77777777" w:rsidR="00723E93" w:rsidRPr="007F6332" w:rsidRDefault="00723E93" w:rsidP="00EB6E70">
            <w:pPr>
              <w:spacing w:after="0" w:line="240" w:lineRule="auto"/>
              <w:ind w:left="-108"/>
              <w:jc w:val="right"/>
              <w:rPr>
                <w:rFonts w:eastAsia="Times New Roman" w:cs="Arial"/>
                <w:b/>
                <w:bCs/>
                <w:color w:val="000000"/>
                <w:szCs w:val="22"/>
                <w:lang w:eastAsia="en-AU"/>
              </w:rPr>
            </w:pPr>
            <w:r w:rsidRPr="007F6332">
              <w:rPr>
                <w:rFonts w:eastAsia="Times New Roman" w:cs="Arial"/>
                <w:b/>
                <w:bCs/>
                <w:color w:val="000000"/>
                <w:szCs w:val="22"/>
                <w:lang w:eastAsia="en-AU"/>
              </w:rPr>
              <w:t>1,030,337</w:t>
            </w:r>
          </w:p>
        </w:tc>
      </w:tr>
      <w:tr w:rsidR="00EB6E70" w:rsidRPr="007F6332" w14:paraId="0AEF4AFA" w14:textId="77777777" w:rsidTr="00BC6A52">
        <w:trPr>
          <w:trHeight w:val="397"/>
        </w:trPr>
        <w:tc>
          <w:tcPr>
            <w:tcW w:w="1251" w:type="pct"/>
            <w:tcBorders>
              <w:top w:val="nil"/>
              <w:left w:val="nil"/>
              <w:bottom w:val="nil"/>
            </w:tcBorders>
            <w:shd w:val="clear" w:color="auto" w:fill="A6A6A6" w:themeFill="background1" w:themeFillShade="A6"/>
            <w:noWrap/>
            <w:vAlign w:val="center"/>
            <w:hideMark/>
          </w:tcPr>
          <w:p w14:paraId="385696C5"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Children (0 to 14)</w:t>
            </w:r>
          </w:p>
        </w:tc>
        <w:tc>
          <w:tcPr>
            <w:tcW w:w="625" w:type="pct"/>
            <w:tcBorders>
              <w:top w:val="nil"/>
              <w:bottom w:val="nil"/>
            </w:tcBorders>
            <w:shd w:val="clear" w:color="auto" w:fill="A6A6A6" w:themeFill="background1" w:themeFillShade="A6"/>
            <w:noWrap/>
            <w:vAlign w:val="center"/>
            <w:hideMark/>
          </w:tcPr>
          <w:p w14:paraId="6CE2E353"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42.7%</w:t>
            </w:r>
          </w:p>
        </w:tc>
        <w:tc>
          <w:tcPr>
            <w:tcW w:w="625" w:type="pct"/>
            <w:tcBorders>
              <w:top w:val="nil"/>
              <w:bottom w:val="nil"/>
            </w:tcBorders>
            <w:shd w:val="clear" w:color="auto" w:fill="A6A6A6" w:themeFill="background1" w:themeFillShade="A6"/>
            <w:noWrap/>
            <w:vAlign w:val="center"/>
            <w:hideMark/>
          </w:tcPr>
          <w:p w14:paraId="5737C63C"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42.5%</w:t>
            </w:r>
          </w:p>
        </w:tc>
        <w:tc>
          <w:tcPr>
            <w:tcW w:w="625" w:type="pct"/>
            <w:tcBorders>
              <w:top w:val="nil"/>
              <w:bottom w:val="nil"/>
            </w:tcBorders>
            <w:shd w:val="clear" w:color="auto" w:fill="A6A6A6" w:themeFill="background1" w:themeFillShade="A6"/>
            <w:noWrap/>
            <w:vAlign w:val="center"/>
            <w:hideMark/>
          </w:tcPr>
          <w:p w14:paraId="11BCD8F8"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41.5%</w:t>
            </w:r>
          </w:p>
        </w:tc>
        <w:tc>
          <w:tcPr>
            <w:tcW w:w="624" w:type="pct"/>
            <w:tcBorders>
              <w:top w:val="nil"/>
              <w:bottom w:val="nil"/>
            </w:tcBorders>
            <w:shd w:val="clear" w:color="auto" w:fill="A6A6A6" w:themeFill="background1" w:themeFillShade="A6"/>
            <w:noWrap/>
            <w:vAlign w:val="center"/>
            <w:hideMark/>
          </w:tcPr>
          <w:p w14:paraId="14DC6E86"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40.1%</w:t>
            </w:r>
          </w:p>
        </w:tc>
        <w:tc>
          <w:tcPr>
            <w:tcW w:w="624" w:type="pct"/>
            <w:tcBorders>
              <w:top w:val="nil"/>
              <w:bottom w:val="nil"/>
              <w:right w:val="dashed" w:sz="4" w:space="0" w:color="auto"/>
            </w:tcBorders>
            <w:shd w:val="clear" w:color="auto" w:fill="A6A6A6" w:themeFill="background1" w:themeFillShade="A6"/>
            <w:noWrap/>
            <w:vAlign w:val="center"/>
            <w:hideMark/>
          </w:tcPr>
          <w:p w14:paraId="6788C8A5"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38.7%</w:t>
            </w:r>
          </w:p>
        </w:tc>
        <w:tc>
          <w:tcPr>
            <w:tcW w:w="626" w:type="pct"/>
            <w:tcBorders>
              <w:top w:val="nil"/>
              <w:left w:val="dashed" w:sz="4" w:space="0" w:color="auto"/>
              <w:bottom w:val="nil"/>
              <w:right w:val="nil"/>
            </w:tcBorders>
            <w:shd w:val="clear" w:color="auto" w:fill="A6A6A6" w:themeFill="background1" w:themeFillShade="A6"/>
            <w:noWrap/>
            <w:vAlign w:val="center"/>
            <w:hideMark/>
          </w:tcPr>
          <w:p w14:paraId="0586441A"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31.6%</w:t>
            </w:r>
          </w:p>
        </w:tc>
      </w:tr>
      <w:tr w:rsidR="00EB6E70" w:rsidRPr="007F6332" w14:paraId="100DEE1B" w14:textId="77777777" w:rsidTr="00BC6A52">
        <w:trPr>
          <w:trHeight w:val="397"/>
        </w:trPr>
        <w:tc>
          <w:tcPr>
            <w:tcW w:w="1251" w:type="pct"/>
            <w:tcBorders>
              <w:top w:val="nil"/>
              <w:left w:val="nil"/>
              <w:bottom w:val="nil"/>
            </w:tcBorders>
            <w:shd w:val="clear" w:color="auto" w:fill="auto"/>
            <w:noWrap/>
            <w:vAlign w:val="center"/>
            <w:hideMark/>
          </w:tcPr>
          <w:p w14:paraId="191C0EC5"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Young adults (15 to 24)</w:t>
            </w:r>
          </w:p>
        </w:tc>
        <w:tc>
          <w:tcPr>
            <w:tcW w:w="625" w:type="pct"/>
            <w:tcBorders>
              <w:top w:val="nil"/>
              <w:bottom w:val="nil"/>
            </w:tcBorders>
            <w:shd w:val="clear" w:color="auto" w:fill="auto"/>
            <w:noWrap/>
            <w:vAlign w:val="center"/>
            <w:hideMark/>
          </w:tcPr>
          <w:p w14:paraId="646F6D03"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16.8%</w:t>
            </w:r>
          </w:p>
        </w:tc>
        <w:tc>
          <w:tcPr>
            <w:tcW w:w="625" w:type="pct"/>
            <w:tcBorders>
              <w:top w:val="nil"/>
              <w:bottom w:val="nil"/>
            </w:tcBorders>
            <w:shd w:val="clear" w:color="auto" w:fill="auto"/>
            <w:noWrap/>
            <w:vAlign w:val="center"/>
            <w:hideMark/>
          </w:tcPr>
          <w:p w14:paraId="21B5F6F1"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17.7%</w:t>
            </w:r>
          </w:p>
        </w:tc>
        <w:tc>
          <w:tcPr>
            <w:tcW w:w="625" w:type="pct"/>
            <w:tcBorders>
              <w:top w:val="nil"/>
              <w:bottom w:val="nil"/>
            </w:tcBorders>
            <w:shd w:val="clear" w:color="auto" w:fill="auto"/>
            <w:noWrap/>
            <w:vAlign w:val="center"/>
            <w:hideMark/>
          </w:tcPr>
          <w:p w14:paraId="5CCF2FC6"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18.9%</w:t>
            </w:r>
          </w:p>
        </w:tc>
        <w:tc>
          <w:tcPr>
            <w:tcW w:w="624" w:type="pct"/>
            <w:tcBorders>
              <w:top w:val="nil"/>
              <w:bottom w:val="nil"/>
            </w:tcBorders>
            <w:shd w:val="clear" w:color="auto" w:fill="auto"/>
            <w:noWrap/>
            <w:vAlign w:val="center"/>
            <w:hideMark/>
          </w:tcPr>
          <w:p w14:paraId="1368AFED"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20.4%</w:t>
            </w:r>
          </w:p>
        </w:tc>
        <w:tc>
          <w:tcPr>
            <w:tcW w:w="624" w:type="pct"/>
            <w:tcBorders>
              <w:top w:val="nil"/>
              <w:bottom w:val="nil"/>
              <w:right w:val="dashed" w:sz="4" w:space="0" w:color="auto"/>
            </w:tcBorders>
            <w:shd w:val="clear" w:color="auto" w:fill="auto"/>
            <w:noWrap/>
            <w:vAlign w:val="center"/>
            <w:hideMark/>
          </w:tcPr>
          <w:p w14:paraId="3231C747"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21.9%</w:t>
            </w:r>
          </w:p>
        </w:tc>
        <w:tc>
          <w:tcPr>
            <w:tcW w:w="626" w:type="pct"/>
            <w:tcBorders>
              <w:top w:val="nil"/>
              <w:left w:val="dashed" w:sz="4" w:space="0" w:color="auto"/>
              <w:bottom w:val="nil"/>
              <w:right w:val="nil"/>
            </w:tcBorders>
            <w:shd w:val="clear" w:color="auto" w:fill="auto"/>
            <w:noWrap/>
            <w:vAlign w:val="center"/>
            <w:hideMark/>
          </w:tcPr>
          <w:p w14:paraId="3AB6C0C4"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27.4%</w:t>
            </w:r>
          </w:p>
        </w:tc>
      </w:tr>
      <w:tr w:rsidR="00EB6E70" w:rsidRPr="007F6332" w14:paraId="5286F5CC" w14:textId="77777777" w:rsidTr="00BC6A52">
        <w:trPr>
          <w:trHeight w:val="397"/>
        </w:trPr>
        <w:tc>
          <w:tcPr>
            <w:tcW w:w="1251" w:type="pct"/>
            <w:tcBorders>
              <w:top w:val="nil"/>
              <w:left w:val="nil"/>
              <w:bottom w:val="nil"/>
            </w:tcBorders>
            <w:shd w:val="clear" w:color="auto" w:fill="A6A6A6" w:themeFill="background1" w:themeFillShade="A6"/>
            <w:noWrap/>
            <w:vAlign w:val="center"/>
            <w:hideMark/>
          </w:tcPr>
          <w:p w14:paraId="01743F8E"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Adults (25 to 64)</w:t>
            </w:r>
          </w:p>
        </w:tc>
        <w:tc>
          <w:tcPr>
            <w:tcW w:w="625" w:type="pct"/>
            <w:tcBorders>
              <w:top w:val="nil"/>
              <w:bottom w:val="nil"/>
            </w:tcBorders>
            <w:shd w:val="clear" w:color="auto" w:fill="A6A6A6" w:themeFill="background1" w:themeFillShade="A6"/>
            <w:noWrap/>
            <w:vAlign w:val="center"/>
            <w:hideMark/>
          </w:tcPr>
          <w:p w14:paraId="63B6D179"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36.0%</w:t>
            </w:r>
          </w:p>
        </w:tc>
        <w:tc>
          <w:tcPr>
            <w:tcW w:w="625" w:type="pct"/>
            <w:tcBorders>
              <w:top w:val="nil"/>
              <w:bottom w:val="nil"/>
            </w:tcBorders>
            <w:shd w:val="clear" w:color="auto" w:fill="A6A6A6" w:themeFill="background1" w:themeFillShade="A6"/>
            <w:noWrap/>
            <w:vAlign w:val="center"/>
            <w:hideMark/>
          </w:tcPr>
          <w:p w14:paraId="778EF336"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34.9%</w:t>
            </w:r>
          </w:p>
        </w:tc>
        <w:tc>
          <w:tcPr>
            <w:tcW w:w="625" w:type="pct"/>
            <w:tcBorders>
              <w:top w:val="nil"/>
              <w:bottom w:val="nil"/>
            </w:tcBorders>
            <w:shd w:val="clear" w:color="auto" w:fill="A6A6A6" w:themeFill="background1" w:themeFillShade="A6"/>
            <w:noWrap/>
            <w:vAlign w:val="center"/>
            <w:hideMark/>
          </w:tcPr>
          <w:p w14:paraId="42154545"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34.3%</w:t>
            </w:r>
          </w:p>
        </w:tc>
        <w:tc>
          <w:tcPr>
            <w:tcW w:w="624" w:type="pct"/>
            <w:tcBorders>
              <w:top w:val="nil"/>
              <w:bottom w:val="nil"/>
            </w:tcBorders>
            <w:shd w:val="clear" w:color="auto" w:fill="A6A6A6" w:themeFill="background1" w:themeFillShade="A6"/>
            <w:noWrap/>
            <w:vAlign w:val="center"/>
            <w:hideMark/>
          </w:tcPr>
          <w:p w14:paraId="450F3C36"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33.8%</w:t>
            </w:r>
          </w:p>
        </w:tc>
        <w:tc>
          <w:tcPr>
            <w:tcW w:w="624" w:type="pct"/>
            <w:tcBorders>
              <w:top w:val="nil"/>
              <w:bottom w:val="nil"/>
              <w:right w:val="dashed" w:sz="4" w:space="0" w:color="auto"/>
            </w:tcBorders>
            <w:shd w:val="clear" w:color="auto" w:fill="A6A6A6" w:themeFill="background1" w:themeFillShade="A6"/>
            <w:noWrap/>
            <w:vAlign w:val="center"/>
            <w:hideMark/>
          </w:tcPr>
          <w:p w14:paraId="7485BCC7"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33.3%</w:t>
            </w:r>
          </w:p>
        </w:tc>
        <w:tc>
          <w:tcPr>
            <w:tcW w:w="626" w:type="pct"/>
            <w:tcBorders>
              <w:top w:val="nil"/>
              <w:left w:val="dashed" w:sz="4" w:space="0" w:color="auto"/>
              <w:bottom w:val="nil"/>
              <w:right w:val="nil"/>
            </w:tcBorders>
            <w:shd w:val="clear" w:color="auto" w:fill="A6A6A6" w:themeFill="background1" w:themeFillShade="A6"/>
            <w:noWrap/>
            <w:vAlign w:val="center"/>
            <w:hideMark/>
          </w:tcPr>
          <w:p w14:paraId="49A82457"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34.0%</w:t>
            </w:r>
          </w:p>
        </w:tc>
      </w:tr>
      <w:tr w:rsidR="00EB6E70" w:rsidRPr="007F6332" w14:paraId="725AD391" w14:textId="77777777" w:rsidTr="00BC6A52">
        <w:trPr>
          <w:trHeight w:val="397"/>
        </w:trPr>
        <w:tc>
          <w:tcPr>
            <w:tcW w:w="1251" w:type="pct"/>
            <w:tcBorders>
              <w:top w:val="nil"/>
              <w:left w:val="nil"/>
            </w:tcBorders>
            <w:shd w:val="clear" w:color="auto" w:fill="auto"/>
            <w:noWrap/>
            <w:vAlign w:val="center"/>
            <w:hideMark/>
          </w:tcPr>
          <w:p w14:paraId="1E9064EF"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Older adults (65+)</w:t>
            </w:r>
          </w:p>
        </w:tc>
        <w:tc>
          <w:tcPr>
            <w:tcW w:w="625" w:type="pct"/>
            <w:tcBorders>
              <w:top w:val="nil"/>
            </w:tcBorders>
            <w:shd w:val="clear" w:color="auto" w:fill="auto"/>
            <w:noWrap/>
            <w:vAlign w:val="center"/>
            <w:hideMark/>
          </w:tcPr>
          <w:p w14:paraId="247CE5CA"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4.5%</w:t>
            </w:r>
          </w:p>
        </w:tc>
        <w:tc>
          <w:tcPr>
            <w:tcW w:w="625" w:type="pct"/>
            <w:tcBorders>
              <w:top w:val="nil"/>
            </w:tcBorders>
            <w:shd w:val="clear" w:color="auto" w:fill="auto"/>
            <w:noWrap/>
            <w:vAlign w:val="center"/>
            <w:hideMark/>
          </w:tcPr>
          <w:p w14:paraId="66883C5D"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4.9%</w:t>
            </w:r>
          </w:p>
        </w:tc>
        <w:tc>
          <w:tcPr>
            <w:tcW w:w="625" w:type="pct"/>
            <w:tcBorders>
              <w:top w:val="nil"/>
            </w:tcBorders>
            <w:shd w:val="clear" w:color="auto" w:fill="auto"/>
            <w:noWrap/>
            <w:vAlign w:val="center"/>
            <w:hideMark/>
          </w:tcPr>
          <w:p w14:paraId="1380AEA7"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w:t>
            </w:r>
          </w:p>
        </w:tc>
        <w:tc>
          <w:tcPr>
            <w:tcW w:w="624" w:type="pct"/>
            <w:tcBorders>
              <w:top w:val="nil"/>
            </w:tcBorders>
            <w:shd w:val="clear" w:color="auto" w:fill="auto"/>
            <w:noWrap/>
            <w:vAlign w:val="center"/>
            <w:hideMark/>
          </w:tcPr>
          <w:p w14:paraId="4AB9019A"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5.7%</w:t>
            </w:r>
          </w:p>
        </w:tc>
        <w:tc>
          <w:tcPr>
            <w:tcW w:w="624" w:type="pct"/>
            <w:tcBorders>
              <w:top w:val="nil"/>
              <w:right w:val="dashed" w:sz="4" w:space="0" w:color="auto"/>
            </w:tcBorders>
            <w:shd w:val="clear" w:color="auto" w:fill="auto"/>
            <w:noWrap/>
            <w:vAlign w:val="center"/>
            <w:hideMark/>
          </w:tcPr>
          <w:p w14:paraId="367F4EFB"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6.1%</w:t>
            </w:r>
          </w:p>
        </w:tc>
        <w:tc>
          <w:tcPr>
            <w:tcW w:w="626" w:type="pct"/>
            <w:tcBorders>
              <w:top w:val="nil"/>
              <w:left w:val="dashed" w:sz="4" w:space="0" w:color="auto"/>
              <w:right w:val="nil"/>
            </w:tcBorders>
            <w:shd w:val="clear" w:color="auto" w:fill="auto"/>
            <w:noWrap/>
            <w:vAlign w:val="center"/>
            <w:hideMark/>
          </w:tcPr>
          <w:p w14:paraId="4D05CB73" w14:textId="77777777" w:rsidR="00723E93" w:rsidRPr="007F6332" w:rsidRDefault="00723E93" w:rsidP="006C2D75">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7.0%</w:t>
            </w:r>
          </w:p>
        </w:tc>
      </w:tr>
      <w:tr w:rsidR="00EB6E70" w:rsidRPr="007F6332" w14:paraId="6938A5A1" w14:textId="77777777" w:rsidTr="00BC6A52">
        <w:trPr>
          <w:trHeight w:val="397"/>
        </w:trPr>
        <w:tc>
          <w:tcPr>
            <w:tcW w:w="1251" w:type="pct"/>
            <w:tcBorders>
              <w:left w:val="nil"/>
              <w:bottom w:val="single" w:sz="4" w:space="0" w:color="auto"/>
            </w:tcBorders>
            <w:shd w:val="clear" w:color="000000" w:fill="B398B8"/>
            <w:noWrap/>
            <w:vAlign w:val="center"/>
            <w:hideMark/>
          </w:tcPr>
          <w:p w14:paraId="217344E2" w14:textId="77777777" w:rsidR="00723E93" w:rsidRPr="007F6332" w:rsidRDefault="00723E93" w:rsidP="006C2D75">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625" w:type="pct"/>
            <w:tcBorders>
              <w:bottom w:val="single" w:sz="4" w:space="0" w:color="auto"/>
            </w:tcBorders>
            <w:shd w:val="clear" w:color="000000" w:fill="B398B8"/>
            <w:noWrap/>
            <w:vAlign w:val="center"/>
            <w:hideMark/>
          </w:tcPr>
          <w:p w14:paraId="5E265875"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100.0%</w:t>
            </w:r>
          </w:p>
        </w:tc>
        <w:tc>
          <w:tcPr>
            <w:tcW w:w="625" w:type="pct"/>
            <w:tcBorders>
              <w:bottom w:val="single" w:sz="4" w:space="0" w:color="auto"/>
            </w:tcBorders>
            <w:shd w:val="clear" w:color="000000" w:fill="B398B8"/>
            <w:noWrap/>
            <w:vAlign w:val="center"/>
            <w:hideMark/>
          </w:tcPr>
          <w:p w14:paraId="001C6FDA"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100.0%</w:t>
            </w:r>
          </w:p>
        </w:tc>
        <w:tc>
          <w:tcPr>
            <w:tcW w:w="625" w:type="pct"/>
            <w:tcBorders>
              <w:bottom w:val="single" w:sz="4" w:space="0" w:color="auto"/>
            </w:tcBorders>
            <w:shd w:val="clear" w:color="000000" w:fill="B398B8"/>
            <w:noWrap/>
            <w:vAlign w:val="center"/>
            <w:hideMark/>
          </w:tcPr>
          <w:p w14:paraId="5DFBAE86"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100.0%</w:t>
            </w:r>
          </w:p>
        </w:tc>
        <w:tc>
          <w:tcPr>
            <w:tcW w:w="624" w:type="pct"/>
            <w:tcBorders>
              <w:bottom w:val="single" w:sz="4" w:space="0" w:color="auto"/>
            </w:tcBorders>
            <w:shd w:val="clear" w:color="000000" w:fill="B398B8"/>
            <w:noWrap/>
            <w:vAlign w:val="center"/>
            <w:hideMark/>
          </w:tcPr>
          <w:p w14:paraId="1B632A98"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100.0%</w:t>
            </w:r>
          </w:p>
        </w:tc>
        <w:tc>
          <w:tcPr>
            <w:tcW w:w="624" w:type="pct"/>
            <w:tcBorders>
              <w:bottom w:val="single" w:sz="4" w:space="0" w:color="auto"/>
              <w:right w:val="dashed" w:sz="4" w:space="0" w:color="auto"/>
            </w:tcBorders>
            <w:shd w:val="clear" w:color="000000" w:fill="B398B8"/>
            <w:noWrap/>
            <w:vAlign w:val="center"/>
            <w:hideMark/>
          </w:tcPr>
          <w:p w14:paraId="4665B7E6"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100.0%</w:t>
            </w:r>
          </w:p>
        </w:tc>
        <w:tc>
          <w:tcPr>
            <w:tcW w:w="626" w:type="pct"/>
            <w:tcBorders>
              <w:left w:val="dashed" w:sz="4" w:space="0" w:color="auto"/>
              <w:bottom w:val="single" w:sz="4" w:space="0" w:color="auto"/>
              <w:right w:val="nil"/>
            </w:tcBorders>
            <w:shd w:val="clear" w:color="000000" w:fill="B398B8"/>
            <w:noWrap/>
            <w:vAlign w:val="center"/>
            <w:hideMark/>
          </w:tcPr>
          <w:p w14:paraId="474CD29D" w14:textId="77777777" w:rsidR="00723E93" w:rsidRPr="007F6332" w:rsidRDefault="00723E93" w:rsidP="006C2D75">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100.0%</w:t>
            </w:r>
          </w:p>
        </w:tc>
      </w:tr>
    </w:tbl>
    <w:p w14:paraId="5E6BCFD4" w14:textId="77777777" w:rsidR="00283933" w:rsidRPr="007F6332" w:rsidRDefault="00723E93" w:rsidP="00283933">
      <w:pPr>
        <w:spacing w:before="240" w:after="0"/>
        <w:rPr>
          <w:rStyle w:val="Heading7Char"/>
          <w:rFonts w:cs="Arial"/>
        </w:rPr>
      </w:pPr>
      <w:r w:rsidRPr="007F6332">
        <w:rPr>
          <w:rFonts w:cs="Arial"/>
          <w:lang w:val="en-AU"/>
        </w:rPr>
        <w:t xml:space="preserve">Young adults represent a growing proportion of the Scheme’s participant numbers as the children entering the Scheme in earlier projection years transition into older age bands. </w:t>
      </w:r>
      <w:r w:rsidR="00950565" w:rsidRPr="007F6332">
        <w:rPr>
          <w:rStyle w:val="Heading7Char"/>
          <w:rFonts w:cs="Arial"/>
          <w:b w:val="0"/>
          <w:bCs/>
        </w:rPr>
        <w:t>Table 5.1</w:t>
      </w:r>
      <w:r w:rsidR="0045717D" w:rsidRPr="007F6332">
        <w:rPr>
          <w:rStyle w:val="Heading7Char"/>
          <w:rFonts w:cs="Arial"/>
          <w:b w:val="0"/>
          <w:bCs/>
        </w:rPr>
        <w:t>8</w:t>
      </w:r>
      <w:r w:rsidR="00950565" w:rsidRPr="007F6332">
        <w:rPr>
          <w:rStyle w:val="Heading7Char"/>
          <w:rFonts w:cs="Arial"/>
          <w:b w:val="0"/>
          <w:bCs/>
        </w:rPr>
        <w:t xml:space="preserve"> </w:t>
      </w:r>
      <w:r w:rsidRPr="007F6332">
        <w:rPr>
          <w:rStyle w:val="Heading7Char"/>
          <w:rFonts w:cs="Arial"/>
          <w:b w:val="0"/>
          <w:bCs/>
        </w:rPr>
        <w:t>illustrates the projection split by disability group</w:t>
      </w:r>
      <w:r w:rsidR="00A716CF" w:rsidRPr="007F6332">
        <w:rPr>
          <w:rStyle w:val="Heading7Char"/>
          <w:rFonts w:cs="Arial"/>
        </w:rPr>
        <w:t>.</w:t>
      </w:r>
      <w:bookmarkStart w:id="164" w:name="_Ref144845224"/>
    </w:p>
    <w:p w14:paraId="5F948685" w14:textId="77777777" w:rsidR="00BC6A52" w:rsidRPr="007F6332" w:rsidRDefault="00BC6A52" w:rsidP="00283933">
      <w:pPr>
        <w:spacing w:before="240" w:after="0"/>
        <w:rPr>
          <w:rStyle w:val="Heading7Char"/>
          <w:rFonts w:cs="Arial"/>
        </w:rPr>
        <w:sectPr w:rsidR="00BC6A52" w:rsidRPr="007F6332" w:rsidSect="00CE7E91">
          <w:pgSz w:w="11906" w:h="16838"/>
          <w:pgMar w:top="1440" w:right="1416" w:bottom="1440" w:left="1440" w:header="708" w:footer="850" w:gutter="0"/>
          <w:cols w:space="708"/>
          <w:titlePg/>
          <w:docGrid w:linePitch="360"/>
        </w:sectPr>
      </w:pPr>
    </w:p>
    <w:p w14:paraId="1989A3C9" w14:textId="1095D07C" w:rsidR="00723E93" w:rsidRPr="007F6332" w:rsidRDefault="00723E93" w:rsidP="00D07ACF">
      <w:pPr>
        <w:pStyle w:val="FiguresandTablesHeading5"/>
      </w:pPr>
      <w:r w:rsidRPr="007F6332">
        <w:lastRenderedPageBreak/>
        <w:t xml:space="preserve">Table </w:t>
      </w:r>
      <w:bookmarkEnd w:id="164"/>
      <w:r w:rsidR="0045717D" w:rsidRPr="007F6332">
        <w:t>5.18</w:t>
      </w:r>
      <w:r w:rsidRPr="007F6332">
        <w:t xml:space="preserve"> </w:t>
      </w:r>
      <w:r w:rsidR="0028226B" w:rsidRPr="007F6332">
        <w:t>Projected participant numbers by disability group</w:t>
      </w:r>
      <w:r w:rsidR="00AB25E8" w:rsidRPr="007F6332">
        <w:t>, at</w:t>
      </w:r>
      <w:r w:rsidR="00CC0DAB" w:rsidRPr="007F6332">
        <w:t xml:space="preserve"> 30 June</w:t>
      </w:r>
    </w:p>
    <w:tbl>
      <w:tblPr>
        <w:tblW w:w="9356" w:type="dxa"/>
        <w:tblLayout w:type="fixed"/>
        <w:tblLook w:val="04A0" w:firstRow="1" w:lastRow="0" w:firstColumn="1" w:lastColumn="0" w:noHBand="0" w:noVBand="1"/>
      </w:tblPr>
      <w:tblGrid>
        <w:gridCol w:w="2341"/>
        <w:gridCol w:w="1169"/>
        <w:gridCol w:w="1169"/>
        <w:gridCol w:w="1169"/>
        <w:gridCol w:w="1169"/>
        <w:gridCol w:w="1169"/>
        <w:gridCol w:w="1170"/>
      </w:tblGrid>
      <w:tr w:rsidR="00723E93" w:rsidRPr="007F6332" w14:paraId="1FF5C35E" w14:textId="77777777" w:rsidTr="00C1755E">
        <w:trPr>
          <w:trHeight w:val="415"/>
        </w:trPr>
        <w:tc>
          <w:tcPr>
            <w:tcW w:w="2341" w:type="dxa"/>
            <w:tcBorders>
              <w:top w:val="nil"/>
              <w:left w:val="nil"/>
              <w:bottom w:val="nil"/>
              <w:right w:val="nil"/>
            </w:tcBorders>
            <w:shd w:val="clear" w:color="000000" w:fill="6B2F76"/>
            <w:vAlign w:val="center"/>
            <w:hideMark/>
          </w:tcPr>
          <w:p w14:paraId="505D0BE4" w14:textId="77777777" w:rsidR="00723E93" w:rsidRPr="007F6332" w:rsidRDefault="00723E93"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 </w:t>
            </w:r>
          </w:p>
        </w:tc>
        <w:tc>
          <w:tcPr>
            <w:tcW w:w="1169" w:type="dxa"/>
            <w:tcBorders>
              <w:top w:val="nil"/>
              <w:left w:val="nil"/>
              <w:bottom w:val="nil"/>
              <w:right w:val="nil"/>
            </w:tcBorders>
            <w:shd w:val="clear" w:color="000000" w:fill="6B2976"/>
            <w:noWrap/>
            <w:vAlign w:val="center"/>
            <w:hideMark/>
          </w:tcPr>
          <w:p w14:paraId="1C9E1AAC" w14:textId="732C6726"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eastAsia="en-AU"/>
              </w:rPr>
              <w:t>2023</w:t>
            </w:r>
          </w:p>
        </w:tc>
        <w:tc>
          <w:tcPr>
            <w:tcW w:w="1169" w:type="dxa"/>
            <w:tcBorders>
              <w:top w:val="nil"/>
              <w:left w:val="nil"/>
              <w:bottom w:val="nil"/>
              <w:right w:val="nil"/>
            </w:tcBorders>
            <w:shd w:val="clear" w:color="000000" w:fill="6B2976"/>
            <w:noWrap/>
            <w:vAlign w:val="center"/>
            <w:hideMark/>
          </w:tcPr>
          <w:p w14:paraId="78720116" w14:textId="097E03E9"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eastAsia="en-AU"/>
              </w:rPr>
              <w:t>2024</w:t>
            </w:r>
          </w:p>
        </w:tc>
        <w:tc>
          <w:tcPr>
            <w:tcW w:w="1169" w:type="dxa"/>
            <w:tcBorders>
              <w:top w:val="nil"/>
              <w:left w:val="nil"/>
              <w:bottom w:val="nil"/>
              <w:right w:val="nil"/>
            </w:tcBorders>
            <w:shd w:val="clear" w:color="000000" w:fill="6B2976"/>
            <w:noWrap/>
            <w:vAlign w:val="center"/>
            <w:hideMark/>
          </w:tcPr>
          <w:p w14:paraId="48A0A992" w14:textId="4268B2B9"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eastAsia="en-AU"/>
              </w:rPr>
              <w:t>2025</w:t>
            </w:r>
          </w:p>
        </w:tc>
        <w:tc>
          <w:tcPr>
            <w:tcW w:w="1169" w:type="dxa"/>
            <w:tcBorders>
              <w:top w:val="nil"/>
              <w:left w:val="nil"/>
              <w:bottom w:val="nil"/>
              <w:right w:val="nil"/>
            </w:tcBorders>
            <w:shd w:val="clear" w:color="000000" w:fill="6B2976"/>
            <w:noWrap/>
            <w:vAlign w:val="center"/>
            <w:hideMark/>
          </w:tcPr>
          <w:p w14:paraId="56961430" w14:textId="459D3C12"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eastAsia="en-AU"/>
              </w:rPr>
              <w:t>2026</w:t>
            </w:r>
          </w:p>
        </w:tc>
        <w:tc>
          <w:tcPr>
            <w:tcW w:w="1169" w:type="dxa"/>
            <w:tcBorders>
              <w:top w:val="nil"/>
              <w:left w:val="nil"/>
              <w:bottom w:val="nil"/>
              <w:right w:val="dashed" w:sz="4" w:space="0" w:color="auto"/>
            </w:tcBorders>
            <w:shd w:val="clear" w:color="000000" w:fill="6B2976"/>
            <w:noWrap/>
            <w:vAlign w:val="center"/>
            <w:hideMark/>
          </w:tcPr>
          <w:p w14:paraId="56916095" w14:textId="3C1668B7"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eastAsia="en-AU"/>
              </w:rPr>
              <w:t>2027</w:t>
            </w:r>
          </w:p>
        </w:tc>
        <w:tc>
          <w:tcPr>
            <w:tcW w:w="1170" w:type="dxa"/>
            <w:tcBorders>
              <w:top w:val="nil"/>
              <w:left w:val="dashed" w:sz="4" w:space="0" w:color="auto"/>
              <w:bottom w:val="nil"/>
              <w:right w:val="nil"/>
            </w:tcBorders>
            <w:shd w:val="clear" w:color="000000" w:fill="6B2976"/>
            <w:noWrap/>
            <w:vAlign w:val="center"/>
            <w:hideMark/>
          </w:tcPr>
          <w:p w14:paraId="22332A98" w14:textId="42BBF6B8" w:rsidR="00723E93" w:rsidRPr="007F6332" w:rsidRDefault="00723E93" w:rsidP="006C2D75">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eastAsia="en-AU"/>
              </w:rPr>
              <w:t>2033</w:t>
            </w:r>
          </w:p>
        </w:tc>
      </w:tr>
      <w:tr w:rsidR="00E43D8B" w:rsidRPr="007F6332" w14:paraId="08E7ABF4" w14:textId="77777777" w:rsidTr="00C1755E">
        <w:trPr>
          <w:trHeight w:val="340"/>
        </w:trPr>
        <w:tc>
          <w:tcPr>
            <w:tcW w:w="2341" w:type="dxa"/>
            <w:tcBorders>
              <w:top w:val="single" w:sz="4" w:space="0" w:color="auto"/>
              <w:left w:val="nil"/>
              <w:bottom w:val="nil"/>
              <w:right w:val="nil"/>
            </w:tcBorders>
            <w:shd w:val="clear" w:color="auto" w:fill="auto"/>
            <w:noWrap/>
            <w:vAlign w:val="center"/>
            <w:hideMark/>
          </w:tcPr>
          <w:p w14:paraId="32549ED4" w14:textId="6122B978"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Autism</w:t>
            </w:r>
          </w:p>
        </w:tc>
        <w:tc>
          <w:tcPr>
            <w:tcW w:w="1169" w:type="dxa"/>
            <w:tcBorders>
              <w:top w:val="single" w:sz="4" w:space="0" w:color="auto"/>
              <w:left w:val="nil"/>
              <w:bottom w:val="nil"/>
              <w:right w:val="nil"/>
            </w:tcBorders>
            <w:shd w:val="clear" w:color="auto" w:fill="auto"/>
            <w:noWrap/>
            <w:vAlign w:val="center"/>
            <w:hideMark/>
          </w:tcPr>
          <w:p w14:paraId="735DEEE6" w14:textId="0C3209D6"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214,880</w:t>
            </w:r>
          </w:p>
        </w:tc>
        <w:tc>
          <w:tcPr>
            <w:tcW w:w="1169" w:type="dxa"/>
            <w:tcBorders>
              <w:top w:val="single" w:sz="4" w:space="0" w:color="auto"/>
              <w:left w:val="nil"/>
              <w:bottom w:val="nil"/>
              <w:right w:val="nil"/>
            </w:tcBorders>
            <w:shd w:val="clear" w:color="auto" w:fill="auto"/>
            <w:noWrap/>
            <w:vAlign w:val="center"/>
            <w:hideMark/>
          </w:tcPr>
          <w:p w14:paraId="75A2DD1F" w14:textId="76B01707"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250,605</w:t>
            </w:r>
          </w:p>
        </w:tc>
        <w:tc>
          <w:tcPr>
            <w:tcW w:w="1169" w:type="dxa"/>
            <w:tcBorders>
              <w:top w:val="single" w:sz="4" w:space="0" w:color="auto"/>
              <w:left w:val="nil"/>
              <w:bottom w:val="nil"/>
              <w:right w:val="nil"/>
            </w:tcBorders>
            <w:shd w:val="clear" w:color="auto" w:fill="auto"/>
            <w:noWrap/>
            <w:vAlign w:val="center"/>
            <w:hideMark/>
          </w:tcPr>
          <w:p w14:paraId="0409D9F0" w14:textId="5C7061E6"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284,586</w:t>
            </w:r>
          </w:p>
        </w:tc>
        <w:tc>
          <w:tcPr>
            <w:tcW w:w="1169" w:type="dxa"/>
            <w:tcBorders>
              <w:top w:val="single" w:sz="4" w:space="0" w:color="auto"/>
              <w:left w:val="nil"/>
              <w:bottom w:val="nil"/>
              <w:right w:val="nil"/>
            </w:tcBorders>
            <w:shd w:val="clear" w:color="auto" w:fill="auto"/>
            <w:noWrap/>
            <w:vAlign w:val="center"/>
            <w:hideMark/>
          </w:tcPr>
          <w:p w14:paraId="08FA806B" w14:textId="5E68A638"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316,616</w:t>
            </w:r>
          </w:p>
        </w:tc>
        <w:tc>
          <w:tcPr>
            <w:tcW w:w="1169" w:type="dxa"/>
            <w:tcBorders>
              <w:top w:val="single" w:sz="4" w:space="0" w:color="auto"/>
              <w:left w:val="nil"/>
              <w:bottom w:val="nil"/>
              <w:right w:val="dashed" w:sz="4" w:space="0" w:color="auto"/>
            </w:tcBorders>
            <w:shd w:val="clear" w:color="auto" w:fill="auto"/>
            <w:noWrap/>
            <w:vAlign w:val="center"/>
            <w:hideMark/>
          </w:tcPr>
          <w:p w14:paraId="0D1D2D24" w14:textId="6FBDA13C"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346,779</w:t>
            </w:r>
          </w:p>
        </w:tc>
        <w:tc>
          <w:tcPr>
            <w:tcW w:w="1170" w:type="dxa"/>
            <w:tcBorders>
              <w:top w:val="single" w:sz="4" w:space="0" w:color="auto"/>
              <w:left w:val="dashed" w:sz="4" w:space="0" w:color="auto"/>
              <w:bottom w:val="nil"/>
              <w:right w:val="nil"/>
            </w:tcBorders>
            <w:shd w:val="clear" w:color="auto" w:fill="auto"/>
            <w:noWrap/>
            <w:vAlign w:val="center"/>
            <w:hideMark/>
          </w:tcPr>
          <w:p w14:paraId="33596E42" w14:textId="58DF7468"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523,651</w:t>
            </w:r>
          </w:p>
        </w:tc>
      </w:tr>
      <w:tr w:rsidR="00E43D8B" w:rsidRPr="007F6332" w14:paraId="5C09F218" w14:textId="77777777" w:rsidTr="00C1755E">
        <w:trPr>
          <w:trHeight w:val="340"/>
        </w:trPr>
        <w:tc>
          <w:tcPr>
            <w:tcW w:w="2341" w:type="dxa"/>
            <w:tcBorders>
              <w:top w:val="nil"/>
              <w:left w:val="nil"/>
              <w:bottom w:val="nil"/>
              <w:right w:val="nil"/>
            </w:tcBorders>
            <w:shd w:val="clear" w:color="auto" w:fill="A6A6A6" w:themeFill="background1" w:themeFillShade="A6"/>
            <w:noWrap/>
            <w:vAlign w:val="center"/>
            <w:hideMark/>
          </w:tcPr>
          <w:p w14:paraId="3ABC582D" w14:textId="0F818C21"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Developmental Delay</w:t>
            </w:r>
          </w:p>
        </w:tc>
        <w:tc>
          <w:tcPr>
            <w:tcW w:w="1169" w:type="dxa"/>
            <w:tcBorders>
              <w:top w:val="nil"/>
              <w:left w:val="nil"/>
              <w:bottom w:val="nil"/>
              <w:right w:val="nil"/>
            </w:tcBorders>
            <w:shd w:val="clear" w:color="auto" w:fill="A6A6A6" w:themeFill="background1" w:themeFillShade="A6"/>
            <w:noWrap/>
            <w:vAlign w:val="center"/>
            <w:hideMark/>
          </w:tcPr>
          <w:p w14:paraId="668F9A73" w14:textId="77E9995D"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82,484</w:t>
            </w:r>
          </w:p>
        </w:tc>
        <w:tc>
          <w:tcPr>
            <w:tcW w:w="1169" w:type="dxa"/>
            <w:tcBorders>
              <w:top w:val="nil"/>
              <w:left w:val="nil"/>
              <w:bottom w:val="nil"/>
              <w:right w:val="nil"/>
            </w:tcBorders>
            <w:shd w:val="clear" w:color="auto" w:fill="A6A6A6" w:themeFill="background1" w:themeFillShade="A6"/>
            <w:noWrap/>
            <w:vAlign w:val="center"/>
            <w:hideMark/>
          </w:tcPr>
          <w:p w14:paraId="2E252165" w14:textId="57AD7AA5"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89,589</w:t>
            </w:r>
          </w:p>
        </w:tc>
        <w:tc>
          <w:tcPr>
            <w:tcW w:w="1169" w:type="dxa"/>
            <w:tcBorders>
              <w:top w:val="nil"/>
              <w:left w:val="nil"/>
              <w:bottom w:val="nil"/>
              <w:right w:val="nil"/>
            </w:tcBorders>
            <w:shd w:val="clear" w:color="auto" w:fill="A6A6A6" w:themeFill="background1" w:themeFillShade="A6"/>
            <w:noWrap/>
            <w:vAlign w:val="center"/>
            <w:hideMark/>
          </w:tcPr>
          <w:p w14:paraId="617EDD95" w14:textId="35470181"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88,006</w:t>
            </w:r>
          </w:p>
        </w:tc>
        <w:tc>
          <w:tcPr>
            <w:tcW w:w="1169" w:type="dxa"/>
            <w:tcBorders>
              <w:top w:val="nil"/>
              <w:left w:val="nil"/>
              <w:bottom w:val="nil"/>
              <w:right w:val="nil"/>
            </w:tcBorders>
            <w:shd w:val="clear" w:color="auto" w:fill="A6A6A6" w:themeFill="background1" w:themeFillShade="A6"/>
            <w:noWrap/>
            <w:vAlign w:val="center"/>
            <w:hideMark/>
          </w:tcPr>
          <w:p w14:paraId="5B077851" w14:textId="00118B7B"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83,235</w:t>
            </w:r>
          </w:p>
        </w:tc>
        <w:tc>
          <w:tcPr>
            <w:tcW w:w="1169" w:type="dxa"/>
            <w:tcBorders>
              <w:top w:val="nil"/>
              <w:left w:val="nil"/>
              <w:bottom w:val="nil"/>
              <w:right w:val="dashed" w:sz="4" w:space="0" w:color="auto"/>
            </w:tcBorders>
            <w:shd w:val="clear" w:color="auto" w:fill="A6A6A6" w:themeFill="background1" w:themeFillShade="A6"/>
            <w:noWrap/>
            <w:vAlign w:val="center"/>
            <w:hideMark/>
          </w:tcPr>
          <w:p w14:paraId="489F9770" w14:textId="3C20AA73"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80,490</w:t>
            </w:r>
          </w:p>
        </w:tc>
        <w:tc>
          <w:tcPr>
            <w:tcW w:w="1170" w:type="dxa"/>
            <w:tcBorders>
              <w:top w:val="nil"/>
              <w:left w:val="dashed" w:sz="4" w:space="0" w:color="auto"/>
              <w:bottom w:val="nil"/>
              <w:right w:val="nil"/>
            </w:tcBorders>
            <w:shd w:val="clear" w:color="auto" w:fill="A6A6A6" w:themeFill="background1" w:themeFillShade="A6"/>
            <w:noWrap/>
            <w:vAlign w:val="center"/>
            <w:hideMark/>
          </w:tcPr>
          <w:p w14:paraId="2D817FA0" w14:textId="4C37E388"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81,994</w:t>
            </w:r>
          </w:p>
        </w:tc>
      </w:tr>
      <w:tr w:rsidR="00E43D8B" w:rsidRPr="007F6332" w14:paraId="4DF824E8" w14:textId="77777777" w:rsidTr="00C1755E">
        <w:trPr>
          <w:trHeight w:val="340"/>
        </w:trPr>
        <w:tc>
          <w:tcPr>
            <w:tcW w:w="2341" w:type="dxa"/>
            <w:tcBorders>
              <w:top w:val="nil"/>
              <w:left w:val="nil"/>
              <w:bottom w:val="nil"/>
              <w:right w:val="nil"/>
            </w:tcBorders>
            <w:shd w:val="clear" w:color="auto" w:fill="auto"/>
            <w:noWrap/>
            <w:vAlign w:val="center"/>
            <w:hideMark/>
          </w:tcPr>
          <w:p w14:paraId="04995BD0" w14:textId="1720B326"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Intellectual Disability</w:t>
            </w:r>
          </w:p>
        </w:tc>
        <w:tc>
          <w:tcPr>
            <w:tcW w:w="1169" w:type="dxa"/>
            <w:tcBorders>
              <w:top w:val="nil"/>
              <w:left w:val="nil"/>
              <w:bottom w:val="nil"/>
              <w:right w:val="nil"/>
            </w:tcBorders>
            <w:shd w:val="clear" w:color="auto" w:fill="auto"/>
            <w:noWrap/>
            <w:vAlign w:val="center"/>
            <w:hideMark/>
          </w:tcPr>
          <w:p w14:paraId="0A63ECEB" w14:textId="5C856B01"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100,692</w:t>
            </w:r>
          </w:p>
        </w:tc>
        <w:tc>
          <w:tcPr>
            <w:tcW w:w="1169" w:type="dxa"/>
            <w:tcBorders>
              <w:top w:val="nil"/>
              <w:left w:val="nil"/>
              <w:bottom w:val="nil"/>
              <w:right w:val="nil"/>
            </w:tcBorders>
            <w:shd w:val="clear" w:color="auto" w:fill="auto"/>
            <w:noWrap/>
            <w:vAlign w:val="center"/>
            <w:hideMark/>
          </w:tcPr>
          <w:p w14:paraId="3684A93F" w14:textId="0566FA08"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105,360</w:t>
            </w:r>
          </w:p>
        </w:tc>
        <w:tc>
          <w:tcPr>
            <w:tcW w:w="1169" w:type="dxa"/>
            <w:tcBorders>
              <w:top w:val="nil"/>
              <w:left w:val="nil"/>
              <w:bottom w:val="nil"/>
              <w:right w:val="nil"/>
            </w:tcBorders>
            <w:shd w:val="clear" w:color="auto" w:fill="auto"/>
            <w:noWrap/>
            <w:vAlign w:val="center"/>
            <w:hideMark/>
          </w:tcPr>
          <w:p w14:paraId="1A5DA05E" w14:textId="5A92B143"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109,929</w:t>
            </w:r>
          </w:p>
        </w:tc>
        <w:tc>
          <w:tcPr>
            <w:tcW w:w="1169" w:type="dxa"/>
            <w:tcBorders>
              <w:top w:val="nil"/>
              <w:left w:val="nil"/>
              <w:bottom w:val="nil"/>
              <w:right w:val="nil"/>
            </w:tcBorders>
            <w:shd w:val="clear" w:color="auto" w:fill="auto"/>
            <w:noWrap/>
            <w:vAlign w:val="center"/>
            <w:hideMark/>
          </w:tcPr>
          <w:p w14:paraId="14DDFEC2" w14:textId="48A7458F"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114,317</w:t>
            </w:r>
          </w:p>
        </w:tc>
        <w:tc>
          <w:tcPr>
            <w:tcW w:w="1169" w:type="dxa"/>
            <w:tcBorders>
              <w:top w:val="nil"/>
              <w:left w:val="nil"/>
              <w:bottom w:val="nil"/>
              <w:right w:val="dashed" w:sz="4" w:space="0" w:color="auto"/>
            </w:tcBorders>
            <w:shd w:val="clear" w:color="auto" w:fill="auto"/>
            <w:noWrap/>
            <w:vAlign w:val="center"/>
            <w:hideMark/>
          </w:tcPr>
          <w:p w14:paraId="23830C54" w14:textId="54246035"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118,469</w:t>
            </w:r>
          </w:p>
        </w:tc>
        <w:tc>
          <w:tcPr>
            <w:tcW w:w="1170" w:type="dxa"/>
            <w:tcBorders>
              <w:top w:val="nil"/>
              <w:left w:val="dashed" w:sz="4" w:space="0" w:color="auto"/>
              <w:bottom w:val="nil"/>
              <w:right w:val="nil"/>
            </w:tcBorders>
            <w:shd w:val="clear" w:color="auto" w:fill="auto"/>
            <w:noWrap/>
            <w:vAlign w:val="center"/>
            <w:hideMark/>
          </w:tcPr>
          <w:p w14:paraId="757CC0AA" w14:textId="128BA241"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142,128</w:t>
            </w:r>
          </w:p>
        </w:tc>
      </w:tr>
      <w:tr w:rsidR="00E43D8B" w:rsidRPr="007F6332" w14:paraId="30BBE4CB" w14:textId="77777777" w:rsidTr="00C1755E">
        <w:trPr>
          <w:trHeight w:val="340"/>
        </w:trPr>
        <w:tc>
          <w:tcPr>
            <w:tcW w:w="2341" w:type="dxa"/>
            <w:tcBorders>
              <w:top w:val="nil"/>
              <w:left w:val="nil"/>
              <w:bottom w:val="nil"/>
              <w:right w:val="nil"/>
            </w:tcBorders>
            <w:shd w:val="clear" w:color="auto" w:fill="A6A6A6" w:themeFill="background1" w:themeFillShade="A6"/>
            <w:noWrap/>
            <w:vAlign w:val="center"/>
            <w:hideMark/>
          </w:tcPr>
          <w:p w14:paraId="43ACA888" w14:textId="11DC58A7"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Psychosocial Disability</w:t>
            </w:r>
          </w:p>
        </w:tc>
        <w:tc>
          <w:tcPr>
            <w:tcW w:w="1169" w:type="dxa"/>
            <w:tcBorders>
              <w:top w:val="nil"/>
              <w:left w:val="nil"/>
              <w:bottom w:val="nil"/>
              <w:right w:val="nil"/>
            </w:tcBorders>
            <w:shd w:val="clear" w:color="auto" w:fill="A6A6A6" w:themeFill="background1" w:themeFillShade="A6"/>
            <w:noWrap/>
            <w:vAlign w:val="center"/>
            <w:hideMark/>
          </w:tcPr>
          <w:p w14:paraId="51CA317D" w14:textId="4D41CB9E"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62,011</w:t>
            </w:r>
          </w:p>
        </w:tc>
        <w:tc>
          <w:tcPr>
            <w:tcW w:w="1169" w:type="dxa"/>
            <w:tcBorders>
              <w:top w:val="nil"/>
              <w:left w:val="nil"/>
              <w:bottom w:val="nil"/>
              <w:right w:val="nil"/>
            </w:tcBorders>
            <w:shd w:val="clear" w:color="auto" w:fill="A6A6A6" w:themeFill="background1" w:themeFillShade="A6"/>
            <w:noWrap/>
            <w:vAlign w:val="center"/>
            <w:hideMark/>
          </w:tcPr>
          <w:p w14:paraId="54D95835" w14:textId="702D5B24"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65,910</w:t>
            </w:r>
          </w:p>
        </w:tc>
        <w:tc>
          <w:tcPr>
            <w:tcW w:w="1169" w:type="dxa"/>
            <w:tcBorders>
              <w:top w:val="nil"/>
              <w:left w:val="nil"/>
              <w:bottom w:val="nil"/>
              <w:right w:val="nil"/>
            </w:tcBorders>
            <w:shd w:val="clear" w:color="auto" w:fill="A6A6A6" w:themeFill="background1" w:themeFillShade="A6"/>
            <w:noWrap/>
            <w:vAlign w:val="center"/>
            <w:hideMark/>
          </w:tcPr>
          <w:p w14:paraId="3119D441" w14:textId="170E5FC1"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69,064</w:t>
            </w:r>
          </w:p>
        </w:tc>
        <w:tc>
          <w:tcPr>
            <w:tcW w:w="1169" w:type="dxa"/>
            <w:tcBorders>
              <w:top w:val="nil"/>
              <w:left w:val="nil"/>
              <w:bottom w:val="nil"/>
              <w:right w:val="nil"/>
            </w:tcBorders>
            <w:shd w:val="clear" w:color="auto" w:fill="A6A6A6" w:themeFill="background1" w:themeFillShade="A6"/>
            <w:noWrap/>
            <w:vAlign w:val="center"/>
            <w:hideMark/>
          </w:tcPr>
          <w:p w14:paraId="46F083C6" w14:textId="1D7C2357"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71,771</w:t>
            </w:r>
          </w:p>
        </w:tc>
        <w:tc>
          <w:tcPr>
            <w:tcW w:w="1169" w:type="dxa"/>
            <w:tcBorders>
              <w:top w:val="nil"/>
              <w:left w:val="nil"/>
              <w:bottom w:val="nil"/>
              <w:right w:val="dashed" w:sz="4" w:space="0" w:color="auto"/>
            </w:tcBorders>
            <w:shd w:val="clear" w:color="auto" w:fill="A6A6A6" w:themeFill="background1" w:themeFillShade="A6"/>
            <w:noWrap/>
            <w:vAlign w:val="center"/>
            <w:hideMark/>
          </w:tcPr>
          <w:p w14:paraId="13FC2BAF" w14:textId="3E648B3C"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74,106</w:t>
            </w:r>
          </w:p>
        </w:tc>
        <w:tc>
          <w:tcPr>
            <w:tcW w:w="1170" w:type="dxa"/>
            <w:tcBorders>
              <w:top w:val="nil"/>
              <w:left w:val="dashed" w:sz="4" w:space="0" w:color="auto"/>
              <w:bottom w:val="nil"/>
              <w:right w:val="nil"/>
            </w:tcBorders>
            <w:shd w:val="clear" w:color="auto" w:fill="A6A6A6" w:themeFill="background1" w:themeFillShade="A6"/>
            <w:noWrap/>
            <w:vAlign w:val="center"/>
            <w:hideMark/>
          </w:tcPr>
          <w:p w14:paraId="4C248981" w14:textId="323E5357"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86,712</w:t>
            </w:r>
          </w:p>
        </w:tc>
      </w:tr>
      <w:tr w:rsidR="00E43D8B" w:rsidRPr="007F6332" w14:paraId="45DD1E61" w14:textId="77777777" w:rsidTr="00C1755E">
        <w:trPr>
          <w:trHeight w:val="340"/>
        </w:trPr>
        <w:tc>
          <w:tcPr>
            <w:tcW w:w="2341" w:type="dxa"/>
            <w:tcBorders>
              <w:top w:val="nil"/>
              <w:left w:val="nil"/>
              <w:bottom w:val="nil"/>
              <w:right w:val="nil"/>
            </w:tcBorders>
            <w:shd w:val="clear" w:color="auto" w:fill="auto"/>
            <w:noWrap/>
            <w:vAlign w:val="center"/>
            <w:hideMark/>
          </w:tcPr>
          <w:p w14:paraId="33450BCD" w14:textId="1C100294"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Other</w:t>
            </w:r>
          </w:p>
        </w:tc>
        <w:tc>
          <w:tcPr>
            <w:tcW w:w="1169" w:type="dxa"/>
            <w:tcBorders>
              <w:top w:val="nil"/>
              <w:left w:val="nil"/>
              <w:bottom w:val="nil"/>
              <w:right w:val="nil"/>
            </w:tcBorders>
            <w:shd w:val="clear" w:color="auto" w:fill="auto"/>
            <w:noWrap/>
            <w:vAlign w:val="center"/>
            <w:hideMark/>
          </w:tcPr>
          <w:p w14:paraId="7AE278F5" w14:textId="2D3FB6AB"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150,435</w:t>
            </w:r>
          </w:p>
        </w:tc>
        <w:tc>
          <w:tcPr>
            <w:tcW w:w="1169" w:type="dxa"/>
            <w:tcBorders>
              <w:top w:val="nil"/>
              <w:left w:val="nil"/>
              <w:bottom w:val="nil"/>
              <w:right w:val="nil"/>
            </w:tcBorders>
            <w:shd w:val="clear" w:color="auto" w:fill="auto"/>
            <w:noWrap/>
            <w:vAlign w:val="center"/>
            <w:hideMark/>
          </w:tcPr>
          <w:p w14:paraId="5D4745C4" w14:textId="004F7BDE"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157,443</w:t>
            </w:r>
          </w:p>
        </w:tc>
        <w:tc>
          <w:tcPr>
            <w:tcW w:w="1169" w:type="dxa"/>
            <w:tcBorders>
              <w:top w:val="nil"/>
              <w:left w:val="nil"/>
              <w:bottom w:val="nil"/>
              <w:right w:val="nil"/>
            </w:tcBorders>
            <w:shd w:val="clear" w:color="auto" w:fill="auto"/>
            <w:noWrap/>
            <w:vAlign w:val="center"/>
            <w:hideMark/>
          </w:tcPr>
          <w:p w14:paraId="124C464D" w14:textId="044F9A8A"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163,221</w:t>
            </w:r>
          </w:p>
        </w:tc>
        <w:tc>
          <w:tcPr>
            <w:tcW w:w="1169" w:type="dxa"/>
            <w:tcBorders>
              <w:top w:val="nil"/>
              <w:left w:val="nil"/>
              <w:bottom w:val="nil"/>
              <w:right w:val="nil"/>
            </w:tcBorders>
            <w:shd w:val="clear" w:color="auto" w:fill="auto"/>
            <w:noWrap/>
            <w:vAlign w:val="center"/>
            <w:hideMark/>
          </w:tcPr>
          <w:p w14:paraId="1331A023" w14:textId="7CE85E06"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168,084</w:t>
            </w:r>
          </w:p>
        </w:tc>
        <w:tc>
          <w:tcPr>
            <w:tcW w:w="1169" w:type="dxa"/>
            <w:tcBorders>
              <w:top w:val="nil"/>
              <w:left w:val="nil"/>
              <w:bottom w:val="nil"/>
              <w:right w:val="dashed" w:sz="4" w:space="0" w:color="auto"/>
            </w:tcBorders>
            <w:shd w:val="clear" w:color="auto" w:fill="auto"/>
            <w:noWrap/>
            <w:vAlign w:val="center"/>
            <w:hideMark/>
          </w:tcPr>
          <w:p w14:paraId="71D91FFA" w14:textId="796BF5BD"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172,355</w:t>
            </w:r>
          </w:p>
        </w:tc>
        <w:tc>
          <w:tcPr>
            <w:tcW w:w="1170" w:type="dxa"/>
            <w:tcBorders>
              <w:top w:val="nil"/>
              <w:left w:val="dashed" w:sz="4" w:space="0" w:color="auto"/>
              <w:bottom w:val="nil"/>
              <w:right w:val="nil"/>
            </w:tcBorders>
            <w:shd w:val="clear" w:color="auto" w:fill="auto"/>
            <w:noWrap/>
            <w:vAlign w:val="center"/>
            <w:hideMark/>
          </w:tcPr>
          <w:p w14:paraId="31AC9BAE" w14:textId="3DBF3A63"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195,852</w:t>
            </w:r>
          </w:p>
        </w:tc>
      </w:tr>
      <w:tr w:rsidR="00E43D8B" w:rsidRPr="007F6332" w14:paraId="620334E2" w14:textId="77777777" w:rsidTr="00C1755E">
        <w:trPr>
          <w:trHeight w:val="340"/>
        </w:trPr>
        <w:tc>
          <w:tcPr>
            <w:tcW w:w="2341" w:type="dxa"/>
            <w:tcBorders>
              <w:left w:val="nil"/>
            </w:tcBorders>
            <w:shd w:val="clear" w:color="000000" w:fill="B398B8"/>
            <w:noWrap/>
            <w:vAlign w:val="center"/>
            <w:hideMark/>
          </w:tcPr>
          <w:p w14:paraId="321B12C3" w14:textId="6C2FC300" w:rsidR="00E43D8B" w:rsidRPr="007F6332" w:rsidRDefault="00E43D8B" w:rsidP="00E43D8B">
            <w:pPr>
              <w:spacing w:after="0" w:line="240" w:lineRule="auto"/>
              <w:rPr>
                <w:rFonts w:eastAsia="Times New Roman" w:cs="Arial"/>
                <w:b/>
                <w:bCs/>
                <w:color w:val="000000"/>
                <w:szCs w:val="22"/>
                <w:lang w:val="en-AU" w:eastAsia="en-AU"/>
              </w:rPr>
            </w:pPr>
            <w:r w:rsidRPr="007F6332">
              <w:rPr>
                <w:rFonts w:cs="Arial"/>
                <w:b/>
                <w:bCs/>
                <w:color w:val="000000"/>
                <w:szCs w:val="22"/>
              </w:rPr>
              <w:t>Total</w:t>
            </w:r>
          </w:p>
        </w:tc>
        <w:tc>
          <w:tcPr>
            <w:tcW w:w="1169" w:type="dxa"/>
            <w:shd w:val="clear" w:color="000000" w:fill="B398B8"/>
            <w:noWrap/>
            <w:vAlign w:val="center"/>
            <w:hideMark/>
          </w:tcPr>
          <w:p w14:paraId="53AB94BC" w14:textId="7F58CB6F"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610,502</w:t>
            </w:r>
          </w:p>
        </w:tc>
        <w:tc>
          <w:tcPr>
            <w:tcW w:w="1169" w:type="dxa"/>
            <w:shd w:val="clear" w:color="000000" w:fill="B398B8"/>
            <w:noWrap/>
            <w:vAlign w:val="center"/>
            <w:hideMark/>
          </w:tcPr>
          <w:p w14:paraId="7875DE97" w14:textId="0C816C05"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668,907</w:t>
            </w:r>
          </w:p>
        </w:tc>
        <w:tc>
          <w:tcPr>
            <w:tcW w:w="1169" w:type="dxa"/>
            <w:shd w:val="clear" w:color="000000" w:fill="B398B8"/>
            <w:noWrap/>
            <w:vAlign w:val="center"/>
            <w:hideMark/>
          </w:tcPr>
          <w:p w14:paraId="5CE92F14" w14:textId="5C19B7AF"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714,805</w:t>
            </w:r>
          </w:p>
        </w:tc>
        <w:tc>
          <w:tcPr>
            <w:tcW w:w="1169" w:type="dxa"/>
            <w:shd w:val="clear" w:color="000000" w:fill="B398B8"/>
            <w:noWrap/>
            <w:vAlign w:val="center"/>
            <w:hideMark/>
          </w:tcPr>
          <w:p w14:paraId="78C00594" w14:textId="61A8936F"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754,022</w:t>
            </w:r>
          </w:p>
        </w:tc>
        <w:tc>
          <w:tcPr>
            <w:tcW w:w="1169" w:type="dxa"/>
            <w:tcBorders>
              <w:right w:val="dashed" w:sz="4" w:space="0" w:color="auto"/>
            </w:tcBorders>
            <w:shd w:val="clear" w:color="000000" w:fill="B398B8"/>
            <w:noWrap/>
            <w:vAlign w:val="center"/>
            <w:hideMark/>
          </w:tcPr>
          <w:p w14:paraId="79A2ED82" w14:textId="1B2CE184"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792,200</w:t>
            </w:r>
          </w:p>
        </w:tc>
        <w:tc>
          <w:tcPr>
            <w:tcW w:w="1170" w:type="dxa"/>
            <w:tcBorders>
              <w:left w:val="dashed" w:sz="4" w:space="0" w:color="auto"/>
              <w:right w:val="nil"/>
            </w:tcBorders>
            <w:shd w:val="clear" w:color="000000" w:fill="B398B8"/>
            <w:noWrap/>
            <w:vAlign w:val="center"/>
            <w:hideMark/>
          </w:tcPr>
          <w:p w14:paraId="7A7E800C" w14:textId="23D456C7" w:rsidR="00E43D8B" w:rsidRPr="007F6332" w:rsidRDefault="00E43D8B" w:rsidP="00E43D8B">
            <w:pPr>
              <w:spacing w:after="0" w:line="240" w:lineRule="auto"/>
              <w:ind w:right="-109"/>
              <w:jc w:val="right"/>
              <w:rPr>
                <w:rFonts w:eastAsia="Times New Roman" w:cs="Arial"/>
                <w:b/>
                <w:bCs/>
                <w:color w:val="000000"/>
                <w:szCs w:val="22"/>
                <w:lang w:val="en-AU" w:eastAsia="en-AU"/>
              </w:rPr>
            </w:pPr>
            <w:r w:rsidRPr="007F6332">
              <w:rPr>
                <w:rFonts w:cs="Arial"/>
                <w:b/>
                <w:bCs/>
                <w:color w:val="000000"/>
                <w:szCs w:val="22"/>
              </w:rPr>
              <w:t>1,030,337</w:t>
            </w:r>
          </w:p>
        </w:tc>
      </w:tr>
      <w:tr w:rsidR="00E43D8B" w:rsidRPr="007F6332" w14:paraId="212B6FCC" w14:textId="77777777" w:rsidTr="00C1755E">
        <w:trPr>
          <w:trHeight w:val="340"/>
        </w:trPr>
        <w:tc>
          <w:tcPr>
            <w:tcW w:w="2341" w:type="dxa"/>
            <w:tcBorders>
              <w:top w:val="nil"/>
              <w:left w:val="nil"/>
              <w:bottom w:val="nil"/>
            </w:tcBorders>
            <w:shd w:val="clear" w:color="auto" w:fill="A6A6A6" w:themeFill="background1" w:themeFillShade="A6"/>
            <w:noWrap/>
            <w:vAlign w:val="center"/>
            <w:hideMark/>
          </w:tcPr>
          <w:p w14:paraId="3010AAED" w14:textId="2411D142"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Autism</w:t>
            </w:r>
          </w:p>
        </w:tc>
        <w:tc>
          <w:tcPr>
            <w:tcW w:w="1169" w:type="dxa"/>
            <w:tcBorders>
              <w:top w:val="nil"/>
              <w:bottom w:val="nil"/>
            </w:tcBorders>
            <w:shd w:val="clear" w:color="auto" w:fill="A6A6A6" w:themeFill="background1" w:themeFillShade="A6"/>
            <w:noWrap/>
            <w:vAlign w:val="center"/>
            <w:hideMark/>
          </w:tcPr>
          <w:p w14:paraId="0A7A245C" w14:textId="5A9596F5"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35.2%</w:t>
            </w:r>
          </w:p>
        </w:tc>
        <w:tc>
          <w:tcPr>
            <w:tcW w:w="1169" w:type="dxa"/>
            <w:tcBorders>
              <w:top w:val="nil"/>
              <w:bottom w:val="nil"/>
            </w:tcBorders>
            <w:shd w:val="clear" w:color="auto" w:fill="A6A6A6" w:themeFill="background1" w:themeFillShade="A6"/>
            <w:noWrap/>
            <w:vAlign w:val="center"/>
            <w:hideMark/>
          </w:tcPr>
          <w:p w14:paraId="0AD1A43C" w14:textId="37CD27DF"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37.5%</w:t>
            </w:r>
          </w:p>
        </w:tc>
        <w:tc>
          <w:tcPr>
            <w:tcW w:w="1169" w:type="dxa"/>
            <w:tcBorders>
              <w:top w:val="nil"/>
              <w:bottom w:val="nil"/>
            </w:tcBorders>
            <w:shd w:val="clear" w:color="auto" w:fill="A6A6A6" w:themeFill="background1" w:themeFillShade="A6"/>
            <w:noWrap/>
            <w:vAlign w:val="center"/>
            <w:hideMark/>
          </w:tcPr>
          <w:p w14:paraId="279637DD" w14:textId="547F5AF2"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39.8%</w:t>
            </w:r>
          </w:p>
        </w:tc>
        <w:tc>
          <w:tcPr>
            <w:tcW w:w="1169" w:type="dxa"/>
            <w:tcBorders>
              <w:top w:val="nil"/>
              <w:bottom w:val="nil"/>
            </w:tcBorders>
            <w:shd w:val="clear" w:color="auto" w:fill="A6A6A6" w:themeFill="background1" w:themeFillShade="A6"/>
            <w:noWrap/>
            <w:vAlign w:val="center"/>
            <w:hideMark/>
          </w:tcPr>
          <w:p w14:paraId="48E9D740" w14:textId="34D0D3F3"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42.0%</w:t>
            </w:r>
          </w:p>
        </w:tc>
        <w:tc>
          <w:tcPr>
            <w:tcW w:w="1169" w:type="dxa"/>
            <w:tcBorders>
              <w:top w:val="nil"/>
              <w:bottom w:val="nil"/>
              <w:right w:val="dashed" w:sz="4" w:space="0" w:color="auto"/>
            </w:tcBorders>
            <w:shd w:val="clear" w:color="auto" w:fill="A6A6A6" w:themeFill="background1" w:themeFillShade="A6"/>
            <w:noWrap/>
            <w:vAlign w:val="center"/>
            <w:hideMark/>
          </w:tcPr>
          <w:p w14:paraId="4DF39468" w14:textId="4A5FE98B"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43.8%</w:t>
            </w:r>
          </w:p>
        </w:tc>
        <w:tc>
          <w:tcPr>
            <w:tcW w:w="1170" w:type="dxa"/>
            <w:tcBorders>
              <w:top w:val="nil"/>
              <w:left w:val="dashed" w:sz="4" w:space="0" w:color="auto"/>
              <w:bottom w:val="nil"/>
              <w:right w:val="nil"/>
            </w:tcBorders>
            <w:shd w:val="clear" w:color="auto" w:fill="A6A6A6" w:themeFill="background1" w:themeFillShade="A6"/>
            <w:noWrap/>
            <w:vAlign w:val="center"/>
            <w:hideMark/>
          </w:tcPr>
          <w:p w14:paraId="149131AD" w14:textId="5C8F5249"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50.8%</w:t>
            </w:r>
          </w:p>
        </w:tc>
      </w:tr>
      <w:tr w:rsidR="00E43D8B" w:rsidRPr="007F6332" w14:paraId="216D2D07" w14:textId="77777777" w:rsidTr="00C1755E">
        <w:trPr>
          <w:trHeight w:val="340"/>
        </w:trPr>
        <w:tc>
          <w:tcPr>
            <w:tcW w:w="2341" w:type="dxa"/>
            <w:tcBorders>
              <w:top w:val="nil"/>
              <w:left w:val="nil"/>
              <w:bottom w:val="nil"/>
            </w:tcBorders>
            <w:shd w:val="clear" w:color="auto" w:fill="auto"/>
            <w:noWrap/>
            <w:vAlign w:val="center"/>
            <w:hideMark/>
          </w:tcPr>
          <w:p w14:paraId="1A6CB68F" w14:textId="01549DBB"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Developmental Delay</w:t>
            </w:r>
          </w:p>
        </w:tc>
        <w:tc>
          <w:tcPr>
            <w:tcW w:w="1169" w:type="dxa"/>
            <w:tcBorders>
              <w:top w:val="nil"/>
              <w:bottom w:val="nil"/>
            </w:tcBorders>
            <w:shd w:val="clear" w:color="auto" w:fill="auto"/>
            <w:noWrap/>
            <w:vAlign w:val="center"/>
            <w:hideMark/>
          </w:tcPr>
          <w:p w14:paraId="57A4506F" w14:textId="2633AEEE"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13.5%</w:t>
            </w:r>
          </w:p>
        </w:tc>
        <w:tc>
          <w:tcPr>
            <w:tcW w:w="1169" w:type="dxa"/>
            <w:tcBorders>
              <w:top w:val="nil"/>
              <w:bottom w:val="nil"/>
            </w:tcBorders>
            <w:shd w:val="clear" w:color="auto" w:fill="auto"/>
            <w:noWrap/>
            <w:vAlign w:val="center"/>
            <w:hideMark/>
          </w:tcPr>
          <w:p w14:paraId="55AE8CE9" w14:textId="27CAA972"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13.4%</w:t>
            </w:r>
          </w:p>
        </w:tc>
        <w:tc>
          <w:tcPr>
            <w:tcW w:w="1169" w:type="dxa"/>
            <w:tcBorders>
              <w:top w:val="nil"/>
              <w:bottom w:val="nil"/>
            </w:tcBorders>
            <w:shd w:val="clear" w:color="auto" w:fill="auto"/>
            <w:noWrap/>
            <w:vAlign w:val="center"/>
            <w:hideMark/>
          </w:tcPr>
          <w:p w14:paraId="2460B7A3" w14:textId="24D3363F"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12.3%</w:t>
            </w:r>
          </w:p>
        </w:tc>
        <w:tc>
          <w:tcPr>
            <w:tcW w:w="1169" w:type="dxa"/>
            <w:tcBorders>
              <w:top w:val="nil"/>
              <w:bottom w:val="nil"/>
            </w:tcBorders>
            <w:shd w:val="clear" w:color="auto" w:fill="auto"/>
            <w:noWrap/>
            <w:vAlign w:val="center"/>
            <w:hideMark/>
          </w:tcPr>
          <w:p w14:paraId="2D71BEC2" w14:textId="55D4D714"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11.0%</w:t>
            </w:r>
          </w:p>
        </w:tc>
        <w:tc>
          <w:tcPr>
            <w:tcW w:w="1169" w:type="dxa"/>
            <w:tcBorders>
              <w:top w:val="nil"/>
              <w:bottom w:val="nil"/>
              <w:right w:val="dashed" w:sz="4" w:space="0" w:color="auto"/>
            </w:tcBorders>
            <w:shd w:val="clear" w:color="auto" w:fill="auto"/>
            <w:noWrap/>
            <w:vAlign w:val="center"/>
            <w:hideMark/>
          </w:tcPr>
          <w:p w14:paraId="7FAFEA72" w14:textId="614C07B2"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10.2%</w:t>
            </w:r>
          </w:p>
        </w:tc>
        <w:tc>
          <w:tcPr>
            <w:tcW w:w="1170" w:type="dxa"/>
            <w:tcBorders>
              <w:top w:val="nil"/>
              <w:left w:val="dashed" w:sz="4" w:space="0" w:color="auto"/>
              <w:bottom w:val="nil"/>
              <w:right w:val="nil"/>
            </w:tcBorders>
            <w:shd w:val="clear" w:color="auto" w:fill="auto"/>
            <w:noWrap/>
            <w:vAlign w:val="center"/>
            <w:hideMark/>
          </w:tcPr>
          <w:p w14:paraId="1AC20CAE" w14:textId="3CD02FB3"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8.0%</w:t>
            </w:r>
          </w:p>
        </w:tc>
      </w:tr>
      <w:tr w:rsidR="00E43D8B" w:rsidRPr="007F6332" w14:paraId="529C381E" w14:textId="77777777" w:rsidTr="00C1755E">
        <w:trPr>
          <w:trHeight w:val="340"/>
        </w:trPr>
        <w:tc>
          <w:tcPr>
            <w:tcW w:w="2341" w:type="dxa"/>
            <w:tcBorders>
              <w:top w:val="nil"/>
              <w:left w:val="nil"/>
              <w:bottom w:val="nil"/>
            </w:tcBorders>
            <w:shd w:val="clear" w:color="auto" w:fill="A6A6A6" w:themeFill="background1" w:themeFillShade="A6"/>
            <w:noWrap/>
            <w:vAlign w:val="center"/>
            <w:hideMark/>
          </w:tcPr>
          <w:p w14:paraId="746539C2" w14:textId="19C2BF6B"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Intellectual Disability</w:t>
            </w:r>
          </w:p>
        </w:tc>
        <w:tc>
          <w:tcPr>
            <w:tcW w:w="1169" w:type="dxa"/>
            <w:tcBorders>
              <w:top w:val="nil"/>
              <w:bottom w:val="nil"/>
            </w:tcBorders>
            <w:shd w:val="clear" w:color="auto" w:fill="A6A6A6" w:themeFill="background1" w:themeFillShade="A6"/>
            <w:noWrap/>
            <w:vAlign w:val="center"/>
            <w:hideMark/>
          </w:tcPr>
          <w:p w14:paraId="6A65CDF8" w14:textId="5F363A18"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16.5%</w:t>
            </w:r>
          </w:p>
        </w:tc>
        <w:tc>
          <w:tcPr>
            <w:tcW w:w="1169" w:type="dxa"/>
            <w:tcBorders>
              <w:top w:val="nil"/>
              <w:bottom w:val="nil"/>
            </w:tcBorders>
            <w:shd w:val="clear" w:color="auto" w:fill="A6A6A6" w:themeFill="background1" w:themeFillShade="A6"/>
            <w:noWrap/>
            <w:vAlign w:val="center"/>
            <w:hideMark/>
          </w:tcPr>
          <w:p w14:paraId="5E9BA518" w14:textId="3E5F9CD6"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15.8%</w:t>
            </w:r>
          </w:p>
        </w:tc>
        <w:tc>
          <w:tcPr>
            <w:tcW w:w="1169" w:type="dxa"/>
            <w:tcBorders>
              <w:top w:val="nil"/>
              <w:bottom w:val="nil"/>
            </w:tcBorders>
            <w:shd w:val="clear" w:color="auto" w:fill="A6A6A6" w:themeFill="background1" w:themeFillShade="A6"/>
            <w:noWrap/>
            <w:vAlign w:val="center"/>
            <w:hideMark/>
          </w:tcPr>
          <w:p w14:paraId="1419692E" w14:textId="751089B7"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15.4%</w:t>
            </w:r>
          </w:p>
        </w:tc>
        <w:tc>
          <w:tcPr>
            <w:tcW w:w="1169" w:type="dxa"/>
            <w:tcBorders>
              <w:top w:val="nil"/>
              <w:bottom w:val="nil"/>
            </w:tcBorders>
            <w:shd w:val="clear" w:color="auto" w:fill="A6A6A6" w:themeFill="background1" w:themeFillShade="A6"/>
            <w:noWrap/>
            <w:vAlign w:val="center"/>
            <w:hideMark/>
          </w:tcPr>
          <w:p w14:paraId="2DE4CCEC" w14:textId="168038BB"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15.2%</w:t>
            </w:r>
          </w:p>
        </w:tc>
        <w:tc>
          <w:tcPr>
            <w:tcW w:w="1169" w:type="dxa"/>
            <w:tcBorders>
              <w:top w:val="nil"/>
              <w:bottom w:val="nil"/>
              <w:right w:val="dashed" w:sz="4" w:space="0" w:color="auto"/>
            </w:tcBorders>
            <w:shd w:val="clear" w:color="auto" w:fill="A6A6A6" w:themeFill="background1" w:themeFillShade="A6"/>
            <w:noWrap/>
            <w:vAlign w:val="center"/>
            <w:hideMark/>
          </w:tcPr>
          <w:p w14:paraId="3D9650F4" w14:textId="500D0C2A"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15.0%</w:t>
            </w:r>
          </w:p>
        </w:tc>
        <w:tc>
          <w:tcPr>
            <w:tcW w:w="1170" w:type="dxa"/>
            <w:tcBorders>
              <w:top w:val="nil"/>
              <w:left w:val="dashed" w:sz="4" w:space="0" w:color="auto"/>
              <w:bottom w:val="nil"/>
              <w:right w:val="nil"/>
            </w:tcBorders>
            <w:shd w:val="clear" w:color="auto" w:fill="A6A6A6" w:themeFill="background1" w:themeFillShade="A6"/>
            <w:noWrap/>
            <w:vAlign w:val="center"/>
            <w:hideMark/>
          </w:tcPr>
          <w:p w14:paraId="4AAC649A" w14:textId="1F9883DF"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13.8%</w:t>
            </w:r>
          </w:p>
        </w:tc>
      </w:tr>
      <w:tr w:rsidR="00E43D8B" w:rsidRPr="007F6332" w14:paraId="6DF4C3CA" w14:textId="77777777" w:rsidTr="00C1755E">
        <w:trPr>
          <w:trHeight w:val="340"/>
        </w:trPr>
        <w:tc>
          <w:tcPr>
            <w:tcW w:w="2341" w:type="dxa"/>
            <w:tcBorders>
              <w:top w:val="nil"/>
              <w:left w:val="nil"/>
              <w:bottom w:val="nil"/>
            </w:tcBorders>
            <w:shd w:val="clear" w:color="auto" w:fill="auto"/>
            <w:noWrap/>
            <w:vAlign w:val="center"/>
            <w:hideMark/>
          </w:tcPr>
          <w:p w14:paraId="4E21BE60" w14:textId="3907C8F8"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Psychosocial Disability</w:t>
            </w:r>
          </w:p>
        </w:tc>
        <w:tc>
          <w:tcPr>
            <w:tcW w:w="1169" w:type="dxa"/>
            <w:tcBorders>
              <w:top w:val="nil"/>
              <w:bottom w:val="nil"/>
            </w:tcBorders>
            <w:shd w:val="clear" w:color="auto" w:fill="auto"/>
            <w:noWrap/>
            <w:vAlign w:val="center"/>
            <w:hideMark/>
          </w:tcPr>
          <w:p w14:paraId="7F913CCB" w14:textId="7AB5AC74"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10.2%</w:t>
            </w:r>
          </w:p>
        </w:tc>
        <w:tc>
          <w:tcPr>
            <w:tcW w:w="1169" w:type="dxa"/>
            <w:tcBorders>
              <w:top w:val="nil"/>
              <w:bottom w:val="nil"/>
            </w:tcBorders>
            <w:shd w:val="clear" w:color="auto" w:fill="auto"/>
            <w:noWrap/>
            <w:vAlign w:val="center"/>
            <w:hideMark/>
          </w:tcPr>
          <w:p w14:paraId="01D62260" w14:textId="26A5E098"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9.9%</w:t>
            </w:r>
          </w:p>
        </w:tc>
        <w:tc>
          <w:tcPr>
            <w:tcW w:w="1169" w:type="dxa"/>
            <w:tcBorders>
              <w:top w:val="nil"/>
              <w:bottom w:val="nil"/>
            </w:tcBorders>
            <w:shd w:val="clear" w:color="auto" w:fill="auto"/>
            <w:noWrap/>
            <w:vAlign w:val="center"/>
            <w:hideMark/>
          </w:tcPr>
          <w:p w14:paraId="0EF15C46" w14:textId="44A5E3D6"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9.7%</w:t>
            </w:r>
          </w:p>
        </w:tc>
        <w:tc>
          <w:tcPr>
            <w:tcW w:w="1169" w:type="dxa"/>
            <w:tcBorders>
              <w:top w:val="nil"/>
              <w:bottom w:val="nil"/>
            </w:tcBorders>
            <w:shd w:val="clear" w:color="auto" w:fill="auto"/>
            <w:noWrap/>
            <w:vAlign w:val="center"/>
            <w:hideMark/>
          </w:tcPr>
          <w:p w14:paraId="5C6DA107" w14:textId="2B22608F"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9.5%</w:t>
            </w:r>
          </w:p>
        </w:tc>
        <w:tc>
          <w:tcPr>
            <w:tcW w:w="1169" w:type="dxa"/>
            <w:tcBorders>
              <w:top w:val="nil"/>
              <w:bottom w:val="nil"/>
              <w:right w:val="dashed" w:sz="4" w:space="0" w:color="auto"/>
            </w:tcBorders>
            <w:shd w:val="clear" w:color="auto" w:fill="auto"/>
            <w:noWrap/>
            <w:vAlign w:val="center"/>
            <w:hideMark/>
          </w:tcPr>
          <w:p w14:paraId="74C771D7" w14:textId="60DF234A"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9.4%</w:t>
            </w:r>
          </w:p>
        </w:tc>
        <w:tc>
          <w:tcPr>
            <w:tcW w:w="1170" w:type="dxa"/>
            <w:tcBorders>
              <w:top w:val="nil"/>
              <w:left w:val="dashed" w:sz="4" w:space="0" w:color="auto"/>
              <w:bottom w:val="nil"/>
              <w:right w:val="nil"/>
            </w:tcBorders>
            <w:shd w:val="clear" w:color="auto" w:fill="auto"/>
            <w:noWrap/>
            <w:vAlign w:val="center"/>
            <w:hideMark/>
          </w:tcPr>
          <w:p w14:paraId="22673F51" w14:textId="6B59C9D0"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8.4%</w:t>
            </w:r>
          </w:p>
        </w:tc>
      </w:tr>
      <w:tr w:rsidR="00E43D8B" w:rsidRPr="007F6332" w14:paraId="3101FD28" w14:textId="77777777" w:rsidTr="00C1755E">
        <w:trPr>
          <w:trHeight w:val="340"/>
        </w:trPr>
        <w:tc>
          <w:tcPr>
            <w:tcW w:w="2341" w:type="dxa"/>
            <w:tcBorders>
              <w:top w:val="nil"/>
              <w:left w:val="nil"/>
              <w:bottom w:val="nil"/>
            </w:tcBorders>
            <w:shd w:val="clear" w:color="auto" w:fill="A6A6A6" w:themeFill="background1" w:themeFillShade="A6"/>
            <w:noWrap/>
            <w:vAlign w:val="center"/>
            <w:hideMark/>
          </w:tcPr>
          <w:p w14:paraId="62081384" w14:textId="6EA01B08" w:rsidR="00E43D8B" w:rsidRPr="007F6332" w:rsidRDefault="00E43D8B" w:rsidP="00E43D8B">
            <w:pPr>
              <w:spacing w:after="0" w:line="240" w:lineRule="auto"/>
              <w:rPr>
                <w:rFonts w:eastAsia="Times New Roman" w:cs="Arial"/>
                <w:color w:val="000000"/>
                <w:szCs w:val="22"/>
                <w:lang w:val="en-AU" w:eastAsia="en-AU"/>
              </w:rPr>
            </w:pPr>
            <w:r w:rsidRPr="007F6332">
              <w:rPr>
                <w:rFonts w:cs="Arial"/>
                <w:color w:val="000000"/>
                <w:szCs w:val="22"/>
              </w:rPr>
              <w:t>Other</w:t>
            </w:r>
          </w:p>
        </w:tc>
        <w:tc>
          <w:tcPr>
            <w:tcW w:w="1169" w:type="dxa"/>
            <w:tcBorders>
              <w:top w:val="nil"/>
              <w:bottom w:val="nil"/>
            </w:tcBorders>
            <w:shd w:val="clear" w:color="auto" w:fill="A6A6A6" w:themeFill="background1" w:themeFillShade="A6"/>
            <w:noWrap/>
            <w:vAlign w:val="center"/>
            <w:hideMark/>
          </w:tcPr>
          <w:p w14:paraId="6AE1A7F6" w14:textId="0F3A0675"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24.6%</w:t>
            </w:r>
          </w:p>
        </w:tc>
        <w:tc>
          <w:tcPr>
            <w:tcW w:w="1169" w:type="dxa"/>
            <w:tcBorders>
              <w:top w:val="nil"/>
              <w:bottom w:val="nil"/>
            </w:tcBorders>
            <w:shd w:val="clear" w:color="auto" w:fill="A6A6A6" w:themeFill="background1" w:themeFillShade="A6"/>
            <w:noWrap/>
            <w:vAlign w:val="center"/>
            <w:hideMark/>
          </w:tcPr>
          <w:p w14:paraId="6DF56F9E" w14:textId="4016766B"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23.5%</w:t>
            </w:r>
          </w:p>
        </w:tc>
        <w:tc>
          <w:tcPr>
            <w:tcW w:w="1169" w:type="dxa"/>
            <w:tcBorders>
              <w:top w:val="nil"/>
              <w:bottom w:val="nil"/>
            </w:tcBorders>
            <w:shd w:val="clear" w:color="auto" w:fill="A6A6A6" w:themeFill="background1" w:themeFillShade="A6"/>
            <w:noWrap/>
            <w:vAlign w:val="center"/>
            <w:hideMark/>
          </w:tcPr>
          <w:p w14:paraId="7BC7E5EC" w14:textId="38C9BE63"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22.8%</w:t>
            </w:r>
          </w:p>
        </w:tc>
        <w:tc>
          <w:tcPr>
            <w:tcW w:w="1169" w:type="dxa"/>
            <w:tcBorders>
              <w:top w:val="nil"/>
              <w:bottom w:val="nil"/>
            </w:tcBorders>
            <w:shd w:val="clear" w:color="auto" w:fill="A6A6A6" w:themeFill="background1" w:themeFillShade="A6"/>
            <w:noWrap/>
            <w:vAlign w:val="center"/>
            <w:hideMark/>
          </w:tcPr>
          <w:p w14:paraId="3ECC93BC" w14:textId="2E99BBCD"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22.3%</w:t>
            </w:r>
          </w:p>
        </w:tc>
        <w:tc>
          <w:tcPr>
            <w:tcW w:w="1169" w:type="dxa"/>
            <w:tcBorders>
              <w:top w:val="nil"/>
              <w:bottom w:val="nil"/>
              <w:right w:val="dashed" w:sz="4" w:space="0" w:color="auto"/>
            </w:tcBorders>
            <w:shd w:val="clear" w:color="auto" w:fill="A6A6A6" w:themeFill="background1" w:themeFillShade="A6"/>
            <w:noWrap/>
            <w:vAlign w:val="center"/>
            <w:hideMark/>
          </w:tcPr>
          <w:p w14:paraId="494C56A8" w14:textId="5AC66729"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21.8%</w:t>
            </w:r>
          </w:p>
        </w:tc>
        <w:tc>
          <w:tcPr>
            <w:tcW w:w="1170" w:type="dxa"/>
            <w:tcBorders>
              <w:top w:val="nil"/>
              <w:left w:val="dashed" w:sz="4" w:space="0" w:color="auto"/>
              <w:bottom w:val="nil"/>
              <w:right w:val="nil"/>
            </w:tcBorders>
            <w:shd w:val="clear" w:color="auto" w:fill="A6A6A6" w:themeFill="background1" w:themeFillShade="A6"/>
            <w:noWrap/>
            <w:vAlign w:val="center"/>
            <w:hideMark/>
          </w:tcPr>
          <w:p w14:paraId="10A55030" w14:textId="087078DF" w:rsidR="00E43D8B" w:rsidRPr="007F6332" w:rsidRDefault="00E43D8B" w:rsidP="00E43D8B">
            <w:pPr>
              <w:spacing w:after="0" w:line="240" w:lineRule="auto"/>
              <w:jc w:val="right"/>
              <w:rPr>
                <w:rFonts w:eastAsia="Times New Roman" w:cs="Arial"/>
                <w:color w:val="000000"/>
                <w:szCs w:val="22"/>
                <w:lang w:val="en-AU" w:eastAsia="en-AU"/>
              </w:rPr>
            </w:pPr>
            <w:r w:rsidRPr="007F6332">
              <w:rPr>
                <w:rFonts w:cs="Arial"/>
                <w:color w:val="000000"/>
                <w:szCs w:val="22"/>
              </w:rPr>
              <w:t>19.0%</w:t>
            </w:r>
          </w:p>
        </w:tc>
      </w:tr>
      <w:tr w:rsidR="00E43D8B" w:rsidRPr="007F6332" w14:paraId="69BB03C7" w14:textId="77777777" w:rsidTr="00C1755E">
        <w:trPr>
          <w:trHeight w:val="340"/>
        </w:trPr>
        <w:tc>
          <w:tcPr>
            <w:tcW w:w="2341" w:type="dxa"/>
            <w:tcBorders>
              <w:left w:val="nil"/>
              <w:bottom w:val="single" w:sz="4" w:space="0" w:color="auto"/>
            </w:tcBorders>
            <w:shd w:val="clear" w:color="000000" w:fill="B398B8"/>
            <w:noWrap/>
            <w:vAlign w:val="center"/>
            <w:hideMark/>
          </w:tcPr>
          <w:p w14:paraId="0E4A488C" w14:textId="5DD9C8D8" w:rsidR="00E43D8B" w:rsidRPr="007F6332" w:rsidRDefault="00E43D8B" w:rsidP="00E43D8B">
            <w:pPr>
              <w:spacing w:after="0" w:line="240" w:lineRule="auto"/>
              <w:rPr>
                <w:rFonts w:eastAsia="Times New Roman" w:cs="Arial"/>
                <w:b/>
                <w:bCs/>
                <w:color w:val="000000"/>
                <w:szCs w:val="22"/>
                <w:lang w:val="en-AU" w:eastAsia="en-AU"/>
              </w:rPr>
            </w:pPr>
            <w:r w:rsidRPr="007F6332">
              <w:rPr>
                <w:rFonts w:cs="Arial"/>
                <w:b/>
                <w:bCs/>
                <w:color w:val="000000"/>
                <w:szCs w:val="22"/>
              </w:rPr>
              <w:t>Total</w:t>
            </w:r>
          </w:p>
        </w:tc>
        <w:tc>
          <w:tcPr>
            <w:tcW w:w="1169" w:type="dxa"/>
            <w:tcBorders>
              <w:bottom w:val="single" w:sz="4" w:space="0" w:color="auto"/>
            </w:tcBorders>
            <w:shd w:val="clear" w:color="000000" w:fill="B398B8"/>
            <w:noWrap/>
            <w:vAlign w:val="center"/>
            <w:hideMark/>
          </w:tcPr>
          <w:p w14:paraId="52CDD7E8" w14:textId="06FAEB67"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100.0%</w:t>
            </w:r>
          </w:p>
        </w:tc>
        <w:tc>
          <w:tcPr>
            <w:tcW w:w="1169" w:type="dxa"/>
            <w:tcBorders>
              <w:bottom w:val="single" w:sz="4" w:space="0" w:color="auto"/>
            </w:tcBorders>
            <w:shd w:val="clear" w:color="000000" w:fill="B398B8"/>
            <w:noWrap/>
            <w:vAlign w:val="center"/>
            <w:hideMark/>
          </w:tcPr>
          <w:p w14:paraId="3DE0D033" w14:textId="6325753B"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100.0%</w:t>
            </w:r>
          </w:p>
        </w:tc>
        <w:tc>
          <w:tcPr>
            <w:tcW w:w="1169" w:type="dxa"/>
            <w:tcBorders>
              <w:bottom w:val="single" w:sz="4" w:space="0" w:color="auto"/>
            </w:tcBorders>
            <w:shd w:val="clear" w:color="000000" w:fill="B398B8"/>
            <w:noWrap/>
            <w:vAlign w:val="center"/>
            <w:hideMark/>
          </w:tcPr>
          <w:p w14:paraId="74A00419" w14:textId="2F0F35B8"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100.0%</w:t>
            </w:r>
          </w:p>
        </w:tc>
        <w:tc>
          <w:tcPr>
            <w:tcW w:w="1169" w:type="dxa"/>
            <w:tcBorders>
              <w:bottom w:val="single" w:sz="4" w:space="0" w:color="auto"/>
            </w:tcBorders>
            <w:shd w:val="clear" w:color="000000" w:fill="B398B8"/>
            <w:noWrap/>
            <w:vAlign w:val="center"/>
            <w:hideMark/>
          </w:tcPr>
          <w:p w14:paraId="39CA2F8A" w14:textId="758CB326"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100.0%</w:t>
            </w:r>
          </w:p>
        </w:tc>
        <w:tc>
          <w:tcPr>
            <w:tcW w:w="1169" w:type="dxa"/>
            <w:tcBorders>
              <w:bottom w:val="single" w:sz="4" w:space="0" w:color="auto"/>
              <w:right w:val="dashed" w:sz="4" w:space="0" w:color="auto"/>
            </w:tcBorders>
            <w:shd w:val="clear" w:color="000000" w:fill="B398B8"/>
            <w:noWrap/>
            <w:vAlign w:val="center"/>
            <w:hideMark/>
          </w:tcPr>
          <w:p w14:paraId="1C8E8FBC" w14:textId="31C1BACE"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100.0%</w:t>
            </w:r>
          </w:p>
        </w:tc>
        <w:tc>
          <w:tcPr>
            <w:tcW w:w="1170" w:type="dxa"/>
            <w:tcBorders>
              <w:left w:val="dashed" w:sz="4" w:space="0" w:color="auto"/>
              <w:bottom w:val="single" w:sz="4" w:space="0" w:color="auto"/>
              <w:right w:val="nil"/>
            </w:tcBorders>
            <w:shd w:val="clear" w:color="000000" w:fill="B398B8"/>
            <w:noWrap/>
            <w:vAlign w:val="center"/>
            <w:hideMark/>
          </w:tcPr>
          <w:p w14:paraId="242CE788" w14:textId="7028505E" w:rsidR="00E43D8B" w:rsidRPr="007F6332" w:rsidRDefault="00E43D8B" w:rsidP="00E43D8B">
            <w:pPr>
              <w:spacing w:after="0" w:line="240" w:lineRule="auto"/>
              <w:jc w:val="right"/>
              <w:rPr>
                <w:rFonts w:eastAsia="Times New Roman" w:cs="Arial"/>
                <w:b/>
                <w:bCs/>
                <w:color w:val="000000"/>
                <w:szCs w:val="22"/>
                <w:lang w:val="en-AU" w:eastAsia="en-AU"/>
              </w:rPr>
            </w:pPr>
            <w:r w:rsidRPr="007F6332">
              <w:rPr>
                <w:rFonts w:cs="Arial"/>
                <w:b/>
                <w:bCs/>
                <w:color w:val="000000"/>
                <w:szCs w:val="22"/>
              </w:rPr>
              <w:t>100.0%</w:t>
            </w:r>
          </w:p>
        </w:tc>
      </w:tr>
    </w:tbl>
    <w:p w14:paraId="468CCC0C" w14:textId="77777777" w:rsidR="00723E93" w:rsidRPr="007F6332" w:rsidRDefault="00723E93" w:rsidP="00723E93">
      <w:pPr>
        <w:spacing w:before="120"/>
        <w:rPr>
          <w:rFonts w:cs="Arial"/>
        </w:rPr>
      </w:pPr>
      <w:r w:rsidRPr="007F6332">
        <w:rPr>
          <w:rFonts w:cs="Arial"/>
        </w:rPr>
        <w:t>Participants with autism continues to be the largest cohort of net increase for future projections. Over time, the proportion of participants with autism is expected to continue to increase, as participants with developmental delay are subsequently diagnosed with autism or intellectual disability.</w:t>
      </w:r>
    </w:p>
    <w:p w14:paraId="227CD1A3" w14:textId="77777777" w:rsidR="00723E93" w:rsidRPr="007F6332" w:rsidRDefault="00723E93" w:rsidP="001D062D">
      <w:pPr>
        <w:pStyle w:val="Heading3"/>
        <w:ind w:left="709" w:hanging="709"/>
        <w:rPr>
          <w:rFonts w:cs="Arial"/>
        </w:rPr>
      </w:pPr>
      <w:bookmarkStart w:id="165" w:name="_Ref144843725"/>
      <w:bookmarkStart w:id="166" w:name="_Toc146286161"/>
      <w:bookmarkStart w:id="167" w:name="_Toc146286497"/>
      <w:bookmarkStart w:id="168" w:name="_Toc152614987"/>
      <w:r w:rsidRPr="007F6332">
        <w:rPr>
          <w:rFonts w:cs="Arial"/>
        </w:rPr>
        <w:t>Participants with SIL supports</w:t>
      </w:r>
      <w:bookmarkEnd w:id="165"/>
      <w:bookmarkEnd w:id="166"/>
      <w:bookmarkEnd w:id="167"/>
      <w:bookmarkEnd w:id="168"/>
    </w:p>
    <w:p w14:paraId="2983158F" w14:textId="06A77AE4" w:rsidR="00723E93" w:rsidRPr="007F6332" w:rsidRDefault="00723E93" w:rsidP="00723E93">
      <w:pPr>
        <w:keepNext/>
        <w:keepLines/>
        <w:rPr>
          <w:rFonts w:eastAsiaTheme="minorHAnsi" w:cs="Arial"/>
          <w:szCs w:val="18"/>
          <w:lang w:val="en-AU" w:eastAsia="en-US"/>
        </w:rPr>
      </w:pPr>
      <w:r w:rsidRPr="007F6332">
        <w:rPr>
          <w:rFonts w:eastAsiaTheme="minorHAnsi" w:cs="Arial"/>
          <w:szCs w:val="18"/>
          <w:lang w:val="en-AU" w:eastAsia="en-US"/>
        </w:rPr>
        <w:t>The modelling of participants with SIL has been enhanced to capture the movements of participants into SIL. Previously, participant</w:t>
      </w:r>
      <w:r w:rsidR="00DC02B5" w:rsidRPr="007F6332">
        <w:rPr>
          <w:rFonts w:eastAsiaTheme="minorHAnsi" w:cs="Arial"/>
          <w:szCs w:val="18"/>
          <w:lang w:val="en-AU" w:eastAsia="en-US"/>
        </w:rPr>
        <w:t>s with</w:t>
      </w:r>
      <w:r w:rsidR="00EC2197" w:rsidRPr="007F6332">
        <w:rPr>
          <w:rFonts w:eastAsiaTheme="minorHAnsi" w:cs="Arial"/>
          <w:szCs w:val="18"/>
          <w:lang w:val="en-AU" w:eastAsia="en-US"/>
        </w:rPr>
        <w:t xml:space="preserve"> </w:t>
      </w:r>
      <w:r w:rsidRPr="007F6332">
        <w:rPr>
          <w:rFonts w:eastAsiaTheme="minorHAnsi" w:cs="Arial"/>
          <w:szCs w:val="18"/>
          <w:lang w:val="en-AU" w:eastAsia="en-US"/>
        </w:rPr>
        <w:t xml:space="preserve">SIL were modelled as an assumed proportion of the total number of participants (inclusive of participants with and without SIL). In the </w:t>
      </w:r>
      <w:r w:rsidR="00BC7BD4" w:rsidRPr="007F6332">
        <w:rPr>
          <w:rFonts w:eastAsiaTheme="minorHAnsi" w:cs="Arial"/>
          <w:szCs w:val="18"/>
          <w:lang w:val="en-AU" w:eastAsia="en-US"/>
        </w:rPr>
        <w:t>June 2023 projections</w:t>
      </w:r>
      <w:r w:rsidRPr="007F6332">
        <w:rPr>
          <w:rFonts w:eastAsiaTheme="minorHAnsi" w:cs="Arial"/>
          <w:szCs w:val="18"/>
          <w:lang w:val="en-AU" w:eastAsia="en-US"/>
        </w:rPr>
        <w:t>, the number of participants in SIL are projected using an assumed rate of participants transitioning to newly accessing SIL supports. The revised approach also allows for a different mix of participants within a given primary disability group in comparison to those not accessing SIL.</w:t>
      </w:r>
    </w:p>
    <w:p w14:paraId="24DEE365" w14:textId="77777777" w:rsidR="00723E93" w:rsidRPr="007F6332" w:rsidRDefault="00723E93" w:rsidP="001D062D">
      <w:pPr>
        <w:pStyle w:val="Heading4"/>
        <w:ind w:left="851" w:hanging="851"/>
        <w:rPr>
          <w:rFonts w:cs="Arial"/>
        </w:rPr>
      </w:pPr>
      <w:r w:rsidRPr="007F6332">
        <w:rPr>
          <w:rFonts w:cs="Arial"/>
        </w:rPr>
        <w:t>Assumptions are derived based on recent experience combined with long term expectations.</w:t>
      </w:r>
    </w:p>
    <w:p w14:paraId="3A1BC3A3" w14:textId="77777777" w:rsidR="00BC7BD4" w:rsidRPr="007F6332" w:rsidRDefault="00BC7BD4" w:rsidP="00BC7BD4">
      <w:pPr>
        <w:rPr>
          <w:rFonts w:cs="Arial"/>
        </w:rPr>
      </w:pPr>
      <w:r w:rsidRPr="007F6332">
        <w:rPr>
          <w:rFonts w:cs="Arial"/>
        </w:rPr>
        <w:t xml:space="preserve">The assumed rates of participants transitioning to SIL have been determined reflecting the profile of participants expected to access SIL supports for the first time within a projection year. Separate transition rates have been selected based on primary disability group and level of function as well as age group, denoting the different key life stages. For example, late teens (ages 15 to 18) transitioning into adulthood and living independently, late adulthood (ages 45 to 64) when informal supports may no longer be available. </w:t>
      </w:r>
    </w:p>
    <w:p w14:paraId="562D0E78" w14:textId="0B50D9E7" w:rsidR="00BC7BD4" w:rsidRPr="007F6332" w:rsidRDefault="00BC7BD4" w:rsidP="00BC7BD4">
      <w:pPr>
        <w:rPr>
          <w:rFonts w:cs="Arial"/>
        </w:rPr>
      </w:pPr>
      <w:r w:rsidRPr="007F6332">
        <w:rPr>
          <w:rFonts w:cs="Arial"/>
        </w:rPr>
        <w:lastRenderedPageBreak/>
        <w:t>Additionally, the projections assume participants with SIL to continue to remain in SIL arrangements once they have entered SIL</w:t>
      </w:r>
      <w:r w:rsidRPr="007F6332">
        <w:rPr>
          <w:rStyle w:val="FootnoteReference"/>
          <w:rFonts w:cs="Arial"/>
        </w:rPr>
        <w:footnoteReference w:id="95"/>
      </w:r>
      <w:r w:rsidRPr="007F6332">
        <w:rPr>
          <w:rFonts w:cs="Arial"/>
        </w:rPr>
        <w:t xml:space="preserve">. While experience shows that some participants do cease accessing supports, this is often offset by participants re-entering SIL with average plan budgets that are comparable to those who have left SIL. </w:t>
      </w:r>
    </w:p>
    <w:p w14:paraId="1990EBA9" w14:textId="62223F70" w:rsidR="00BC7BD4" w:rsidRPr="007F6332" w:rsidRDefault="00BC7BD4" w:rsidP="00BC7BD4">
      <w:pPr>
        <w:rPr>
          <w:rFonts w:cs="Arial"/>
        </w:rPr>
      </w:pPr>
      <w:r w:rsidRPr="007F6332">
        <w:rPr>
          <w:rFonts w:cs="Arial"/>
        </w:rPr>
        <w:t xml:space="preserve">The overall numbers of participants transitioning into SIL are projected based on modelled transition rates, taking into consideration recent Scheme experience related to new entrants into SIL, Home and Living eligibility decisions for SIL, operational changes related to accessing SIL supports, and discussions with Home and Living specialists in the Agency. The expected impact of </w:t>
      </w:r>
      <w:r w:rsidR="002D6881" w:rsidRPr="007F6332">
        <w:rPr>
          <w:rFonts w:cs="Arial"/>
        </w:rPr>
        <w:t>Budget initiatives</w:t>
      </w:r>
      <w:r w:rsidRPr="007F6332">
        <w:rPr>
          <w:rFonts w:cs="Arial"/>
        </w:rPr>
        <w:t xml:space="preserve"> announced in May 2023 have also been considered, which includes initiatives to improve consistency across decision-making related to SIL with more up-to-date guidelines. </w:t>
      </w:r>
    </w:p>
    <w:p w14:paraId="7AFD0F0A" w14:textId="56E897E2" w:rsidR="00723E93" w:rsidRPr="007F6332" w:rsidRDefault="00723E93" w:rsidP="00723E93">
      <w:pPr>
        <w:rPr>
          <w:rFonts w:cs="Arial"/>
        </w:rPr>
      </w:pPr>
      <w:bookmarkStart w:id="169" w:name="_Hlk150368084"/>
      <w:r w:rsidRPr="007F6332">
        <w:rPr>
          <w:rFonts w:cs="Arial"/>
        </w:rPr>
        <w:t>Further details on</w:t>
      </w:r>
      <w:r w:rsidR="00DC02B5" w:rsidRPr="007F6332">
        <w:rPr>
          <w:rFonts w:cs="Arial"/>
        </w:rPr>
        <w:t xml:space="preserve"> the approach to setting SIL transition rate</w:t>
      </w:r>
      <w:r w:rsidRPr="007F6332">
        <w:rPr>
          <w:rFonts w:cs="Arial"/>
        </w:rPr>
        <w:t xml:space="preserve"> assumptions can be found in Appendix </w:t>
      </w:r>
      <w:r w:rsidR="004A7010" w:rsidRPr="007F6332">
        <w:rPr>
          <w:rFonts w:cs="Arial"/>
        </w:rPr>
        <w:t>I</w:t>
      </w:r>
      <w:bookmarkEnd w:id="169"/>
      <w:r w:rsidR="004A7010" w:rsidRPr="007F6332">
        <w:rPr>
          <w:rFonts w:cs="Arial"/>
        </w:rPr>
        <w:t>.</w:t>
      </w:r>
    </w:p>
    <w:p w14:paraId="5936FEBF" w14:textId="77777777" w:rsidR="00723E93" w:rsidRPr="007F6332" w:rsidRDefault="00723E93" w:rsidP="001D062D">
      <w:pPr>
        <w:pStyle w:val="Heading4"/>
        <w:ind w:left="851" w:hanging="851"/>
        <w:rPr>
          <w:rFonts w:cs="Arial"/>
        </w:rPr>
      </w:pPr>
      <w:r w:rsidRPr="007F6332">
        <w:rPr>
          <w:rFonts w:cs="Arial"/>
        </w:rPr>
        <w:t>The net increase of participants with SIL is projected to reduce over the next four years and increase steadily following overall Scheme growth.</w:t>
      </w:r>
    </w:p>
    <w:p w14:paraId="2DD7D901" w14:textId="2CCA2289" w:rsidR="00723E93" w:rsidRPr="007F6332" w:rsidRDefault="00950565" w:rsidP="00723E93">
      <w:pPr>
        <w:rPr>
          <w:rFonts w:cs="Arial"/>
        </w:rPr>
      </w:pPr>
      <w:r w:rsidRPr="007F6332">
        <w:rPr>
          <w:rFonts w:cs="Arial"/>
        </w:rPr>
        <w:t>Table 5.1</w:t>
      </w:r>
      <w:r w:rsidR="0045717D" w:rsidRPr="007F6332">
        <w:rPr>
          <w:rFonts w:cs="Arial"/>
        </w:rPr>
        <w:t>9</w:t>
      </w:r>
      <w:r w:rsidRPr="007F6332">
        <w:rPr>
          <w:rFonts w:cs="Arial"/>
        </w:rPr>
        <w:t xml:space="preserve"> </w:t>
      </w:r>
      <w:r w:rsidR="00723E93" w:rsidRPr="007F6332">
        <w:rPr>
          <w:rFonts w:cs="Arial"/>
        </w:rPr>
        <w:t>presents the split of projected participants with SIL and without SIL.</w:t>
      </w:r>
    </w:p>
    <w:p w14:paraId="4CACB941" w14:textId="07D19E17" w:rsidR="00723E93" w:rsidRPr="007F6332" w:rsidRDefault="00723E93" w:rsidP="00446FB4">
      <w:pPr>
        <w:pStyle w:val="FiguresandTablesHeading5"/>
      </w:pPr>
      <w:bookmarkStart w:id="170" w:name="_Ref144846214"/>
      <w:r w:rsidRPr="007F6332">
        <w:t xml:space="preserve">Table </w:t>
      </w:r>
      <w:bookmarkEnd w:id="170"/>
      <w:r w:rsidR="0045717D" w:rsidRPr="007F6332">
        <w:t>5.19</w:t>
      </w:r>
      <w:r w:rsidRPr="007F6332">
        <w:t xml:space="preserve"> Projected participant numbers with SIL and without SIL</w:t>
      </w:r>
      <w:r w:rsidR="00AB25E8" w:rsidRPr="007F6332">
        <w:t>, at</w:t>
      </w:r>
      <w:r w:rsidR="00CC0DAB" w:rsidRPr="007F6332">
        <w:t xml:space="preserve"> 30 June</w:t>
      </w:r>
    </w:p>
    <w:tbl>
      <w:tblPr>
        <w:tblW w:w="9022" w:type="dxa"/>
        <w:tblLayout w:type="fixed"/>
        <w:tblLook w:val="04A0" w:firstRow="1" w:lastRow="0" w:firstColumn="1" w:lastColumn="0" w:noHBand="0" w:noVBand="1"/>
      </w:tblPr>
      <w:tblGrid>
        <w:gridCol w:w="2552"/>
        <w:gridCol w:w="1049"/>
        <w:gridCol w:w="1049"/>
        <w:gridCol w:w="1049"/>
        <w:gridCol w:w="1049"/>
        <w:gridCol w:w="1049"/>
        <w:gridCol w:w="1225"/>
      </w:tblGrid>
      <w:tr w:rsidR="00EB6E70" w:rsidRPr="007F6332" w14:paraId="6659E79C" w14:textId="77777777" w:rsidTr="00C1755E">
        <w:trPr>
          <w:trHeight w:val="527"/>
        </w:trPr>
        <w:tc>
          <w:tcPr>
            <w:tcW w:w="2552" w:type="dxa"/>
            <w:tcBorders>
              <w:top w:val="nil"/>
              <w:left w:val="nil"/>
              <w:bottom w:val="nil"/>
              <w:right w:val="nil"/>
            </w:tcBorders>
            <w:shd w:val="clear" w:color="000000" w:fill="6B2976"/>
            <w:noWrap/>
            <w:vAlign w:val="center"/>
            <w:hideMark/>
          </w:tcPr>
          <w:p w14:paraId="194BCDCE" w14:textId="77777777" w:rsidR="00723E93" w:rsidRPr="007F6332" w:rsidRDefault="00723E93" w:rsidP="006C2D75">
            <w:pPr>
              <w:spacing w:after="0" w:line="240" w:lineRule="auto"/>
              <w:rPr>
                <w:rFonts w:eastAsia="Times New Roman" w:cs="Arial"/>
                <w:b/>
                <w:bCs/>
                <w:color w:val="FFFFFF"/>
                <w:lang w:eastAsia="en-AU"/>
              </w:rPr>
            </w:pPr>
            <w:r w:rsidRPr="007F6332">
              <w:rPr>
                <w:rFonts w:eastAsia="Times New Roman" w:cs="Arial"/>
                <w:b/>
                <w:bCs/>
                <w:color w:val="FFFFFF"/>
                <w:lang w:eastAsia="en-AU"/>
              </w:rPr>
              <w:t> </w:t>
            </w:r>
          </w:p>
        </w:tc>
        <w:tc>
          <w:tcPr>
            <w:tcW w:w="1049" w:type="dxa"/>
            <w:tcBorders>
              <w:top w:val="nil"/>
              <w:left w:val="nil"/>
              <w:bottom w:val="nil"/>
            </w:tcBorders>
            <w:shd w:val="clear" w:color="000000" w:fill="6B2976"/>
            <w:noWrap/>
            <w:vAlign w:val="center"/>
            <w:hideMark/>
          </w:tcPr>
          <w:p w14:paraId="0C230D7D" w14:textId="1AEDABFB" w:rsidR="00723E93" w:rsidRPr="007F6332" w:rsidRDefault="00723E93" w:rsidP="006C2D75">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2023</w:t>
            </w:r>
          </w:p>
        </w:tc>
        <w:tc>
          <w:tcPr>
            <w:tcW w:w="1049" w:type="dxa"/>
            <w:tcBorders>
              <w:top w:val="nil"/>
              <w:bottom w:val="nil"/>
              <w:right w:val="nil"/>
            </w:tcBorders>
            <w:shd w:val="clear" w:color="000000" w:fill="6B2976"/>
            <w:noWrap/>
            <w:vAlign w:val="center"/>
            <w:hideMark/>
          </w:tcPr>
          <w:p w14:paraId="37C929FC" w14:textId="2AEB80BF" w:rsidR="00723E93" w:rsidRPr="007F6332" w:rsidRDefault="00723E93" w:rsidP="006C2D75">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2024</w:t>
            </w:r>
          </w:p>
        </w:tc>
        <w:tc>
          <w:tcPr>
            <w:tcW w:w="1049" w:type="dxa"/>
            <w:tcBorders>
              <w:top w:val="nil"/>
              <w:left w:val="nil"/>
              <w:bottom w:val="nil"/>
              <w:right w:val="nil"/>
            </w:tcBorders>
            <w:shd w:val="clear" w:color="000000" w:fill="6B2976"/>
            <w:noWrap/>
            <w:vAlign w:val="center"/>
            <w:hideMark/>
          </w:tcPr>
          <w:p w14:paraId="3B5C7D84" w14:textId="27B6DA95" w:rsidR="00723E93" w:rsidRPr="007F6332" w:rsidRDefault="00723E93" w:rsidP="006C2D75">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w:t>
            </w:r>
          </w:p>
        </w:tc>
        <w:tc>
          <w:tcPr>
            <w:tcW w:w="1049" w:type="dxa"/>
            <w:tcBorders>
              <w:top w:val="nil"/>
              <w:left w:val="nil"/>
              <w:bottom w:val="nil"/>
              <w:right w:val="nil"/>
            </w:tcBorders>
            <w:shd w:val="clear" w:color="000000" w:fill="6B2976"/>
            <w:noWrap/>
            <w:vAlign w:val="center"/>
            <w:hideMark/>
          </w:tcPr>
          <w:p w14:paraId="66480A0A" w14:textId="2CEC4CA3" w:rsidR="00723E93" w:rsidRPr="007F6332" w:rsidRDefault="00723E93" w:rsidP="006C2D75">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w:t>
            </w:r>
          </w:p>
        </w:tc>
        <w:tc>
          <w:tcPr>
            <w:tcW w:w="1049" w:type="dxa"/>
            <w:tcBorders>
              <w:top w:val="nil"/>
              <w:left w:val="nil"/>
              <w:bottom w:val="nil"/>
              <w:right w:val="dashed" w:sz="4" w:space="0" w:color="auto"/>
            </w:tcBorders>
            <w:shd w:val="clear" w:color="000000" w:fill="6B2976"/>
            <w:noWrap/>
            <w:vAlign w:val="center"/>
            <w:hideMark/>
          </w:tcPr>
          <w:p w14:paraId="74B620B5" w14:textId="0044E023" w:rsidR="00723E93" w:rsidRPr="007F6332" w:rsidRDefault="00723E93" w:rsidP="006C2D75">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2027</w:t>
            </w:r>
          </w:p>
        </w:tc>
        <w:tc>
          <w:tcPr>
            <w:tcW w:w="1225" w:type="dxa"/>
            <w:tcBorders>
              <w:top w:val="nil"/>
              <w:left w:val="dashed" w:sz="4" w:space="0" w:color="auto"/>
              <w:bottom w:val="nil"/>
              <w:right w:val="nil"/>
            </w:tcBorders>
            <w:shd w:val="clear" w:color="000000" w:fill="6B2976"/>
            <w:noWrap/>
            <w:vAlign w:val="center"/>
            <w:hideMark/>
          </w:tcPr>
          <w:p w14:paraId="0A11C25C" w14:textId="6D5746CD" w:rsidR="00723E93" w:rsidRPr="007F6332" w:rsidRDefault="00723E93" w:rsidP="006C2D75">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2033</w:t>
            </w:r>
          </w:p>
        </w:tc>
      </w:tr>
      <w:tr w:rsidR="00796580" w:rsidRPr="007F6332" w14:paraId="576CD019" w14:textId="77777777" w:rsidTr="00C1755E">
        <w:trPr>
          <w:trHeight w:val="397"/>
        </w:trPr>
        <w:tc>
          <w:tcPr>
            <w:tcW w:w="2552" w:type="dxa"/>
            <w:tcBorders>
              <w:top w:val="nil"/>
              <w:left w:val="nil"/>
              <w:bottom w:val="nil"/>
              <w:right w:val="nil"/>
            </w:tcBorders>
            <w:shd w:val="clear" w:color="auto" w:fill="auto"/>
            <w:noWrap/>
            <w:vAlign w:val="center"/>
            <w:hideMark/>
          </w:tcPr>
          <w:p w14:paraId="2217419C" w14:textId="77777777" w:rsidR="00723E93" w:rsidRPr="007F6332" w:rsidRDefault="00723E93" w:rsidP="006C2D75">
            <w:pPr>
              <w:spacing w:after="0" w:line="240" w:lineRule="auto"/>
              <w:rPr>
                <w:rFonts w:eastAsia="Times New Roman" w:cs="Arial"/>
                <w:color w:val="000000"/>
                <w:lang w:eastAsia="en-AU"/>
              </w:rPr>
            </w:pPr>
            <w:r w:rsidRPr="007F6332">
              <w:rPr>
                <w:rFonts w:eastAsia="Times New Roman" w:cs="Arial"/>
                <w:color w:val="000000"/>
                <w:lang w:eastAsia="en-AU"/>
              </w:rPr>
              <w:t>Participants with SIL</w:t>
            </w:r>
          </w:p>
        </w:tc>
        <w:tc>
          <w:tcPr>
            <w:tcW w:w="1049" w:type="dxa"/>
            <w:tcBorders>
              <w:top w:val="nil"/>
              <w:left w:val="nil"/>
              <w:bottom w:val="nil"/>
            </w:tcBorders>
            <w:shd w:val="clear" w:color="auto" w:fill="auto"/>
            <w:noWrap/>
            <w:vAlign w:val="center"/>
            <w:hideMark/>
          </w:tcPr>
          <w:p w14:paraId="713CD3C3"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31,818</w:t>
            </w:r>
          </w:p>
        </w:tc>
        <w:tc>
          <w:tcPr>
            <w:tcW w:w="1049" w:type="dxa"/>
            <w:tcBorders>
              <w:top w:val="nil"/>
              <w:bottom w:val="nil"/>
              <w:right w:val="nil"/>
            </w:tcBorders>
            <w:shd w:val="clear" w:color="auto" w:fill="auto"/>
            <w:noWrap/>
            <w:vAlign w:val="center"/>
            <w:hideMark/>
          </w:tcPr>
          <w:p w14:paraId="4594D4BA"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35,468</w:t>
            </w:r>
          </w:p>
        </w:tc>
        <w:tc>
          <w:tcPr>
            <w:tcW w:w="1049" w:type="dxa"/>
            <w:tcBorders>
              <w:top w:val="nil"/>
              <w:left w:val="nil"/>
              <w:bottom w:val="nil"/>
              <w:right w:val="nil"/>
            </w:tcBorders>
            <w:shd w:val="clear" w:color="auto" w:fill="auto"/>
            <w:noWrap/>
            <w:vAlign w:val="center"/>
            <w:hideMark/>
          </w:tcPr>
          <w:p w14:paraId="79B1CB31"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37,731</w:t>
            </w:r>
          </w:p>
        </w:tc>
        <w:tc>
          <w:tcPr>
            <w:tcW w:w="1049" w:type="dxa"/>
            <w:tcBorders>
              <w:top w:val="nil"/>
              <w:left w:val="nil"/>
              <w:bottom w:val="nil"/>
              <w:right w:val="nil"/>
            </w:tcBorders>
            <w:shd w:val="clear" w:color="auto" w:fill="auto"/>
            <w:noWrap/>
            <w:vAlign w:val="center"/>
            <w:hideMark/>
          </w:tcPr>
          <w:p w14:paraId="34CD1F05"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39,649</w:t>
            </w:r>
          </w:p>
        </w:tc>
        <w:tc>
          <w:tcPr>
            <w:tcW w:w="1049" w:type="dxa"/>
            <w:tcBorders>
              <w:top w:val="nil"/>
              <w:left w:val="nil"/>
              <w:bottom w:val="nil"/>
              <w:right w:val="dashed" w:sz="4" w:space="0" w:color="auto"/>
            </w:tcBorders>
            <w:shd w:val="clear" w:color="auto" w:fill="auto"/>
            <w:noWrap/>
            <w:vAlign w:val="center"/>
            <w:hideMark/>
          </w:tcPr>
          <w:p w14:paraId="3C2BE559"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41,037</w:t>
            </w:r>
          </w:p>
        </w:tc>
        <w:tc>
          <w:tcPr>
            <w:tcW w:w="1225" w:type="dxa"/>
            <w:tcBorders>
              <w:top w:val="nil"/>
              <w:left w:val="dashed" w:sz="4" w:space="0" w:color="auto"/>
              <w:bottom w:val="nil"/>
              <w:right w:val="nil"/>
            </w:tcBorders>
            <w:shd w:val="clear" w:color="auto" w:fill="auto"/>
            <w:noWrap/>
            <w:vAlign w:val="center"/>
            <w:hideMark/>
          </w:tcPr>
          <w:p w14:paraId="7B0A5BB3"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50,266</w:t>
            </w:r>
          </w:p>
        </w:tc>
      </w:tr>
      <w:tr w:rsidR="00EB6E70" w:rsidRPr="007F6332" w14:paraId="456EAF45" w14:textId="77777777" w:rsidTr="00C1755E">
        <w:trPr>
          <w:trHeight w:val="397"/>
        </w:trPr>
        <w:tc>
          <w:tcPr>
            <w:tcW w:w="2552" w:type="dxa"/>
            <w:tcBorders>
              <w:top w:val="nil"/>
              <w:left w:val="nil"/>
              <w:right w:val="nil"/>
            </w:tcBorders>
            <w:shd w:val="clear" w:color="000000" w:fill="D9D9D9"/>
            <w:noWrap/>
            <w:vAlign w:val="center"/>
            <w:hideMark/>
          </w:tcPr>
          <w:p w14:paraId="0478227B" w14:textId="77777777" w:rsidR="00723E93" w:rsidRPr="007F6332" w:rsidRDefault="00723E93" w:rsidP="006C2D75">
            <w:pPr>
              <w:spacing w:after="0" w:line="240" w:lineRule="auto"/>
              <w:rPr>
                <w:rFonts w:eastAsia="Times New Roman" w:cs="Arial"/>
                <w:color w:val="000000"/>
                <w:lang w:eastAsia="en-AU"/>
              </w:rPr>
            </w:pPr>
            <w:r w:rsidRPr="007F6332">
              <w:rPr>
                <w:rFonts w:eastAsia="Times New Roman" w:cs="Arial"/>
                <w:color w:val="000000"/>
                <w:lang w:eastAsia="en-AU"/>
              </w:rPr>
              <w:t>Participants without SIL</w:t>
            </w:r>
          </w:p>
        </w:tc>
        <w:tc>
          <w:tcPr>
            <w:tcW w:w="1049" w:type="dxa"/>
            <w:tcBorders>
              <w:top w:val="nil"/>
              <w:left w:val="nil"/>
            </w:tcBorders>
            <w:shd w:val="clear" w:color="000000" w:fill="D9D9D9"/>
            <w:noWrap/>
            <w:vAlign w:val="center"/>
            <w:hideMark/>
          </w:tcPr>
          <w:p w14:paraId="0FCF8288"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578,684</w:t>
            </w:r>
          </w:p>
        </w:tc>
        <w:tc>
          <w:tcPr>
            <w:tcW w:w="1049" w:type="dxa"/>
            <w:tcBorders>
              <w:top w:val="nil"/>
              <w:right w:val="nil"/>
            </w:tcBorders>
            <w:shd w:val="clear" w:color="000000" w:fill="D9D9D9"/>
            <w:noWrap/>
            <w:vAlign w:val="center"/>
            <w:hideMark/>
          </w:tcPr>
          <w:p w14:paraId="26CF5793"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633,438</w:t>
            </w:r>
          </w:p>
        </w:tc>
        <w:tc>
          <w:tcPr>
            <w:tcW w:w="1049" w:type="dxa"/>
            <w:tcBorders>
              <w:top w:val="nil"/>
              <w:left w:val="nil"/>
              <w:right w:val="nil"/>
            </w:tcBorders>
            <w:shd w:val="clear" w:color="000000" w:fill="D9D9D9"/>
            <w:noWrap/>
            <w:vAlign w:val="center"/>
            <w:hideMark/>
          </w:tcPr>
          <w:p w14:paraId="7B5F76C5" w14:textId="77777777" w:rsidR="00723E93" w:rsidRPr="007F6332" w:rsidRDefault="00723E93" w:rsidP="00EB6E70">
            <w:pPr>
              <w:spacing w:after="0" w:line="240" w:lineRule="auto"/>
              <w:ind w:left="-140"/>
              <w:jc w:val="right"/>
              <w:rPr>
                <w:rFonts w:eastAsia="Times New Roman" w:cs="Arial"/>
                <w:color w:val="000000"/>
                <w:lang w:eastAsia="en-AU"/>
              </w:rPr>
            </w:pPr>
            <w:r w:rsidRPr="007F6332">
              <w:rPr>
                <w:rFonts w:eastAsia="Times New Roman" w:cs="Arial"/>
                <w:color w:val="000000"/>
                <w:lang w:eastAsia="en-AU"/>
              </w:rPr>
              <w:t>677,175</w:t>
            </w:r>
          </w:p>
        </w:tc>
        <w:tc>
          <w:tcPr>
            <w:tcW w:w="1049" w:type="dxa"/>
            <w:tcBorders>
              <w:top w:val="nil"/>
              <w:left w:val="nil"/>
              <w:right w:val="nil"/>
            </w:tcBorders>
            <w:shd w:val="clear" w:color="000000" w:fill="D9D9D9"/>
            <w:noWrap/>
            <w:vAlign w:val="center"/>
            <w:hideMark/>
          </w:tcPr>
          <w:p w14:paraId="185C51A4" w14:textId="50E5C706" w:rsidR="00723E93" w:rsidRPr="007F6332" w:rsidRDefault="00723E93" w:rsidP="00EB6E70">
            <w:pPr>
              <w:spacing w:after="0" w:line="240" w:lineRule="auto"/>
              <w:ind w:left="-108"/>
              <w:jc w:val="right"/>
              <w:rPr>
                <w:rFonts w:eastAsia="Times New Roman" w:cs="Arial"/>
                <w:color w:val="000000"/>
                <w:lang w:eastAsia="en-AU"/>
              </w:rPr>
            </w:pPr>
            <w:r w:rsidRPr="007F6332">
              <w:rPr>
                <w:rFonts w:eastAsia="Times New Roman" w:cs="Arial"/>
                <w:color w:val="000000"/>
                <w:lang w:eastAsia="en-AU"/>
              </w:rPr>
              <w:t>714,</w:t>
            </w:r>
            <w:r w:rsidR="000E36A4" w:rsidRPr="007F6332">
              <w:rPr>
                <w:rFonts w:eastAsia="Times New Roman" w:cs="Arial"/>
                <w:color w:val="000000"/>
                <w:lang w:eastAsia="en-AU"/>
              </w:rPr>
              <w:t>372</w:t>
            </w:r>
          </w:p>
        </w:tc>
        <w:tc>
          <w:tcPr>
            <w:tcW w:w="1049" w:type="dxa"/>
            <w:tcBorders>
              <w:top w:val="nil"/>
              <w:left w:val="nil"/>
              <w:right w:val="dashed" w:sz="4" w:space="0" w:color="auto"/>
            </w:tcBorders>
            <w:shd w:val="clear" w:color="000000" w:fill="D9D9D9"/>
            <w:noWrap/>
            <w:vAlign w:val="center"/>
            <w:hideMark/>
          </w:tcPr>
          <w:p w14:paraId="28B4AD9D" w14:textId="4EFBF0F3" w:rsidR="00723E93" w:rsidRPr="007F6332" w:rsidRDefault="00723E93" w:rsidP="00EB6E70">
            <w:pPr>
              <w:spacing w:after="0" w:line="240" w:lineRule="auto"/>
              <w:ind w:left="-106"/>
              <w:jc w:val="right"/>
              <w:rPr>
                <w:rFonts w:eastAsia="Times New Roman" w:cs="Arial"/>
                <w:color w:val="000000"/>
                <w:lang w:eastAsia="en-AU"/>
              </w:rPr>
            </w:pPr>
            <w:r w:rsidRPr="007F6332">
              <w:rPr>
                <w:rFonts w:eastAsia="Times New Roman" w:cs="Arial"/>
                <w:color w:val="000000"/>
                <w:lang w:eastAsia="en-AU"/>
              </w:rPr>
              <w:t>751,</w:t>
            </w:r>
            <w:r w:rsidR="000E36A4" w:rsidRPr="007F6332">
              <w:rPr>
                <w:rFonts w:eastAsia="Times New Roman" w:cs="Arial"/>
                <w:color w:val="000000"/>
                <w:lang w:eastAsia="en-AU"/>
              </w:rPr>
              <w:t>163</w:t>
            </w:r>
          </w:p>
        </w:tc>
        <w:tc>
          <w:tcPr>
            <w:tcW w:w="1225" w:type="dxa"/>
            <w:tcBorders>
              <w:top w:val="nil"/>
              <w:left w:val="dashed" w:sz="4" w:space="0" w:color="auto"/>
              <w:right w:val="nil"/>
            </w:tcBorders>
            <w:shd w:val="clear" w:color="000000" w:fill="D9D9D9"/>
            <w:noWrap/>
            <w:vAlign w:val="center"/>
            <w:hideMark/>
          </w:tcPr>
          <w:p w14:paraId="367519E1" w14:textId="202D957F"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980,</w:t>
            </w:r>
            <w:r w:rsidR="000E36A4" w:rsidRPr="007F6332">
              <w:rPr>
                <w:rFonts w:eastAsia="Times New Roman" w:cs="Arial"/>
                <w:color w:val="000000"/>
                <w:lang w:eastAsia="en-AU"/>
              </w:rPr>
              <w:t>071</w:t>
            </w:r>
          </w:p>
        </w:tc>
      </w:tr>
      <w:tr w:rsidR="00EB6E70" w:rsidRPr="007F6332" w14:paraId="54BA9F0D" w14:textId="77777777" w:rsidTr="00C1755E">
        <w:trPr>
          <w:trHeight w:val="397"/>
        </w:trPr>
        <w:tc>
          <w:tcPr>
            <w:tcW w:w="2552" w:type="dxa"/>
            <w:tcBorders>
              <w:left w:val="nil"/>
            </w:tcBorders>
            <w:shd w:val="clear" w:color="000000" w:fill="B398B8"/>
            <w:noWrap/>
            <w:vAlign w:val="center"/>
            <w:hideMark/>
          </w:tcPr>
          <w:p w14:paraId="4246BE70" w14:textId="77777777" w:rsidR="00723E93" w:rsidRPr="007F6332" w:rsidRDefault="00723E93" w:rsidP="006C2D75">
            <w:pPr>
              <w:spacing w:after="0" w:line="240" w:lineRule="auto"/>
              <w:rPr>
                <w:rFonts w:eastAsia="Times New Roman" w:cs="Arial"/>
                <w:b/>
                <w:bCs/>
                <w:color w:val="000000"/>
                <w:lang w:eastAsia="en-AU"/>
              </w:rPr>
            </w:pPr>
            <w:r w:rsidRPr="007F6332">
              <w:rPr>
                <w:rFonts w:eastAsia="Times New Roman" w:cs="Arial"/>
                <w:b/>
                <w:bCs/>
                <w:color w:val="000000"/>
                <w:lang w:eastAsia="en-AU"/>
              </w:rPr>
              <w:t>Total Participants</w:t>
            </w:r>
          </w:p>
        </w:tc>
        <w:tc>
          <w:tcPr>
            <w:tcW w:w="1049" w:type="dxa"/>
            <w:shd w:val="clear" w:color="000000" w:fill="B398B8"/>
            <w:noWrap/>
            <w:vAlign w:val="center"/>
            <w:hideMark/>
          </w:tcPr>
          <w:p w14:paraId="2F049665" w14:textId="77777777" w:rsidR="00723E93" w:rsidRPr="007F6332" w:rsidRDefault="00723E93" w:rsidP="006C2D75">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610,502</w:t>
            </w:r>
          </w:p>
        </w:tc>
        <w:tc>
          <w:tcPr>
            <w:tcW w:w="1049" w:type="dxa"/>
            <w:shd w:val="clear" w:color="000000" w:fill="B398B8"/>
            <w:noWrap/>
            <w:vAlign w:val="center"/>
            <w:hideMark/>
          </w:tcPr>
          <w:p w14:paraId="5E0A7403" w14:textId="77777777" w:rsidR="00723E93" w:rsidRPr="007F6332" w:rsidRDefault="00723E93" w:rsidP="006C2D75">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668,907</w:t>
            </w:r>
          </w:p>
        </w:tc>
        <w:tc>
          <w:tcPr>
            <w:tcW w:w="1049" w:type="dxa"/>
            <w:shd w:val="clear" w:color="000000" w:fill="B398B8"/>
            <w:noWrap/>
            <w:vAlign w:val="center"/>
            <w:hideMark/>
          </w:tcPr>
          <w:p w14:paraId="52117054" w14:textId="2D4EE859" w:rsidR="00723E93" w:rsidRPr="007F6332" w:rsidRDefault="00723E93" w:rsidP="00C1755E">
            <w:pPr>
              <w:spacing w:after="0" w:line="240" w:lineRule="auto"/>
              <w:ind w:left="-140"/>
              <w:jc w:val="right"/>
              <w:rPr>
                <w:rFonts w:eastAsia="Times New Roman" w:cs="Arial"/>
                <w:b/>
                <w:bCs/>
                <w:color w:val="000000"/>
                <w:lang w:eastAsia="en-AU"/>
              </w:rPr>
            </w:pPr>
            <w:r w:rsidRPr="007F6332">
              <w:rPr>
                <w:rFonts w:eastAsia="Times New Roman" w:cs="Arial"/>
                <w:b/>
                <w:bCs/>
                <w:color w:val="000000"/>
                <w:lang w:eastAsia="en-AU"/>
              </w:rPr>
              <w:t>714,</w:t>
            </w:r>
            <w:r w:rsidR="000E36A4" w:rsidRPr="007F6332">
              <w:rPr>
                <w:rFonts w:eastAsia="Times New Roman" w:cs="Arial"/>
                <w:b/>
                <w:bCs/>
                <w:color w:val="000000"/>
                <w:lang w:eastAsia="en-AU"/>
              </w:rPr>
              <w:t>8</w:t>
            </w:r>
            <w:r w:rsidRPr="007F6332">
              <w:rPr>
                <w:rFonts w:eastAsia="Times New Roman" w:cs="Arial"/>
                <w:b/>
                <w:bCs/>
                <w:color w:val="000000"/>
                <w:lang w:eastAsia="en-AU"/>
              </w:rPr>
              <w:t>05</w:t>
            </w:r>
          </w:p>
        </w:tc>
        <w:tc>
          <w:tcPr>
            <w:tcW w:w="1049" w:type="dxa"/>
            <w:shd w:val="clear" w:color="000000" w:fill="B398B8"/>
            <w:noWrap/>
            <w:vAlign w:val="center"/>
            <w:hideMark/>
          </w:tcPr>
          <w:p w14:paraId="020F2D2C" w14:textId="7ABA419A" w:rsidR="00723E93" w:rsidRPr="007F6332" w:rsidRDefault="00723E93" w:rsidP="00C1755E">
            <w:pPr>
              <w:spacing w:after="0" w:line="240" w:lineRule="auto"/>
              <w:ind w:left="-108"/>
              <w:jc w:val="right"/>
              <w:rPr>
                <w:rFonts w:eastAsia="Times New Roman" w:cs="Arial"/>
                <w:b/>
                <w:bCs/>
                <w:color w:val="000000"/>
                <w:lang w:eastAsia="en-AU"/>
              </w:rPr>
            </w:pPr>
            <w:r w:rsidRPr="007F6332">
              <w:rPr>
                <w:rFonts w:eastAsia="Times New Roman" w:cs="Arial"/>
                <w:b/>
                <w:bCs/>
                <w:color w:val="000000"/>
                <w:lang w:eastAsia="en-AU"/>
              </w:rPr>
              <w:t>754,</w:t>
            </w:r>
            <w:r w:rsidR="000E36A4" w:rsidRPr="007F6332">
              <w:rPr>
                <w:rFonts w:eastAsia="Times New Roman" w:cs="Arial"/>
                <w:b/>
                <w:bCs/>
                <w:color w:val="000000"/>
                <w:lang w:eastAsia="en-AU"/>
              </w:rPr>
              <w:t>022</w:t>
            </w:r>
          </w:p>
        </w:tc>
        <w:tc>
          <w:tcPr>
            <w:tcW w:w="1049" w:type="dxa"/>
            <w:tcBorders>
              <w:right w:val="dashed" w:sz="4" w:space="0" w:color="auto"/>
            </w:tcBorders>
            <w:shd w:val="clear" w:color="000000" w:fill="B398B8"/>
            <w:noWrap/>
            <w:vAlign w:val="center"/>
            <w:hideMark/>
          </w:tcPr>
          <w:p w14:paraId="1B449E9E" w14:textId="3C976811" w:rsidR="00723E93" w:rsidRPr="007F6332" w:rsidRDefault="00723E93" w:rsidP="00C1755E">
            <w:pPr>
              <w:spacing w:after="0" w:line="240" w:lineRule="auto"/>
              <w:ind w:left="-106"/>
              <w:jc w:val="right"/>
              <w:rPr>
                <w:rFonts w:eastAsia="Times New Roman" w:cs="Arial"/>
                <w:b/>
                <w:bCs/>
                <w:color w:val="000000"/>
                <w:lang w:eastAsia="en-AU"/>
              </w:rPr>
            </w:pPr>
            <w:r w:rsidRPr="007F6332">
              <w:rPr>
                <w:rFonts w:eastAsia="Times New Roman" w:cs="Arial"/>
                <w:b/>
                <w:bCs/>
                <w:color w:val="000000"/>
                <w:lang w:eastAsia="en-AU"/>
              </w:rPr>
              <w:t>792,</w:t>
            </w:r>
            <w:r w:rsidR="000E36A4" w:rsidRPr="007F6332">
              <w:rPr>
                <w:rFonts w:eastAsia="Times New Roman" w:cs="Arial"/>
                <w:b/>
                <w:bCs/>
                <w:color w:val="000000"/>
                <w:lang w:eastAsia="en-AU"/>
              </w:rPr>
              <w:t>200</w:t>
            </w:r>
          </w:p>
        </w:tc>
        <w:tc>
          <w:tcPr>
            <w:tcW w:w="1225" w:type="dxa"/>
            <w:tcBorders>
              <w:left w:val="dashed" w:sz="4" w:space="0" w:color="auto"/>
              <w:right w:val="nil"/>
            </w:tcBorders>
            <w:shd w:val="clear" w:color="000000" w:fill="B398B8"/>
            <w:noWrap/>
            <w:vAlign w:val="center"/>
            <w:hideMark/>
          </w:tcPr>
          <w:p w14:paraId="3285DEA1" w14:textId="48363FB8" w:rsidR="00723E93" w:rsidRPr="007F6332" w:rsidRDefault="00723E93" w:rsidP="006C2D75">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1,030,</w:t>
            </w:r>
            <w:r w:rsidR="000E36A4" w:rsidRPr="007F6332">
              <w:rPr>
                <w:rFonts w:eastAsia="Times New Roman" w:cs="Arial"/>
                <w:b/>
                <w:bCs/>
                <w:color w:val="000000"/>
                <w:lang w:eastAsia="en-AU"/>
              </w:rPr>
              <w:t>337</w:t>
            </w:r>
          </w:p>
        </w:tc>
      </w:tr>
      <w:tr w:rsidR="00EB6E70" w:rsidRPr="007F6332" w14:paraId="5173E99C" w14:textId="77777777" w:rsidTr="00C1755E">
        <w:trPr>
          <w:trHeight w:val="300"/>
        </w:trPr>
        <w:tc>
          <w:tcPr>
            <w:tcW w:w="2552" w:type="dxa"/>
            <w:tcBorders>
              <w:left w:val="nil"/>
              <w:bottom w:val="single" w:sz="4" w:space="0" w:color="auto"/>
              <w:right w:val="nil"/>
            </w:tcBorders>
            <w:shd w:val="clear" w:color="auto" w:fill="A7A9AC"/>
            <w:noWrap/>
            <w:vAlign w:val="center"/>
            <w:hideMark/>
          </w:tcPr>
          <w:p w14:paraId="1674AA64" w14:textId="77777777" w:rsidR="00723E93" w:rsidRPr="007F6332" w:rsidRDefault="00723E93" w:rsidP="006C2D75">
            <w:pPr>
              <w:spacing w:after="0" w:line="240" w:lineRule="auto"/>
              <w:rPr>
                <w:rFonts w:eastAsia="Times New Roman" w:cs="Arial"/>
                <w:color w:val="000000"/>
                <w:lang w:eastAsia="en-AU"/>
              </w:rPr>
            </w:pPr>
            <w:r w:rsidRPr="007F6332">
              <w:rPr>
                <w:rFonts w:eastAsia="Times New Roman" w:cs="Arial"/>
                <w:color w:val="000000"/>
                <w:lang w:eastAsia="en-AU"/>
              </w:rPr>
              <w:t>SIL transition rate</w:t>
            </w:r>
          </w:p>
          <w:p w14:paraId="14B96AB0" w14:textId="77777777" w:rsidR="00723E93" w:rsidRPr="007F6332" w:rsidRDefault="00723E93" w:rsidP="006C2D75">
            <w:pPr>
              <w:spacing w:after="0" w:line="240" w:lineRule="auto"/>
              <w:rPr>
                <w:rFonts w:eastAsia="Times New Roman" w:cs="Arial"/>
                <w:color w:val="000000"/>
                <w:lang w:eastAsia="en-AU"/>
              </w:rPr>
            </w:pPr>
            <w:r w:rsidRPr="007F6332">
              <w:rPr>
                <w:rFonts w:eastAsia="Times New Roman" w:cs="Arial"/>
                <w:color w:val="000000"/>
                <w:lang w:eastAsia="en-AU"/>
              </w:rPr>
              <w:t>(Ages 15+ only)</w:t>
            </w:r>
          </w:p>
        </w:tc>
        <w:tc>
          <w:tcPr>
            <w:tcW w:w="1049" w:type="dxa"/>
            <w:tcBorders>
              <w:left w:val="nil"/>
              <w:bottom w:val="single" w:sz="4" w:space="0" w:color="auto"/>
            </w:tcBorders>
            <w:shd w:val="clear" w:color="auto" w:fill="A7A9AC"/>
            <w:noWrap/>
            <w:vAlign w:val="center"/>
            <w:hideMark/>
          </w:tcPr>
          <w:p w14:paraId="283EA9CC"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2.2%</w:t>
            </w:r>
          </w:p>
        </w:tc>
        <w:tc>
          <w:tcPr>
            <w:tcW w:w="1049" w:type="dxa"/>
            <w:tcBorders>
              <w:bottom w:val="single" w:sz="4" w:space="0" w:color="auto"/>
              <w:right w:val="nil"/>
            </w:tcBorders>
            <w:shd w:val="clear" w:color="auto" w:fill="A7A9AC"/>
            <w:noWrap/>
            <w:vAlign w:val="center"/>
            <w:hideMark/>
          </w:tcPr>
          <w:p w14:paraId="0704B202"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1.4%</w:t>
            </w:r>
          </w:p>
        </w:tc>
        <w:tc>
          <w:tcPr>
            <w:tcW w:w="1049" w:type="dxa"/>
            <w:tcBorders>
              <w:left w:val="nil"/>
              <w:bottom w:val="single" w:sz="4" w:space="0" w:color="auto"/>
              <w:right w:val="nil"/>
            </w:tcBorders>
            <w:shd w:val="clear" w:color="auto" w:fill="A7A9AC"/>
            <w:noWrap/>
            <w:vAlign w:val="center"/>
            <w:hideMark/>
          </w:tcPr>
          <w:p w14:paraId="5A2DA15C"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0.9%</w:t>
            </w:r>
          </w:p>
        </w:tc>
        <w:tc>
          <w:tcPr>
            <w:tcW w:w="1049" w:type="dxa"/>
            <w:tcBorders>
              <w:left w:val="nil"/>
              <w:bottom w:val="single" w:sz="4" w:space="0" w:color="auto"/>
              <w:right w:val="nil"/>
            </w:tcBorders>
            <w:shd w:val="clear" w:color="auto" w:fill="A7A9AC"/>
            <w:noWrap/>
            <w:vAlign w:val="center"/>
            <w:hideMark/>
          </w:tcPr>
          <w:p w14:paraId="23942DD3"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049" w:type="dxa"/>
            <w:tcBorders>
              <w:left w:val="nil"/>
              <w:bottom w:val="single" w:sz="4" w:space="0" w:color="auto"/>
              <w:right w:val="dashed" w:sz="4" w:space="0" w:color="auto"/>
            </w:tcBorders>
            <w:shd w:val="clear" w:color="auto" w:fill="A7A9AC"/>
            <w:noWrap/>
            <w:vAlign w:val="center"/>
            <w:hideMark/>
          </w:tcPr>
          <w:p w14:paraId="06AEC49C"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0.6%</w:t>
            </w:r>
          </w:p>
        </w:tc>
        <w:tc>
          <w:tcPr>
            <w:tcW w:w="1225" w:type="dxa"/>
            <w:tcBorders>
              <w:left w:val="dashed" w:sz="4" w:space="0" w:color="auto"/>
              <w:bottom w:val="single" w:sz="4" w:space="0" w:color="auto"/>
              <w:right w:val="nil"/>
            </w:tcBorders>
            <w:shd w:val="clear" w:color="auto" w:fill="A7A9AC"/>
            <w:noWrap/>
            <w:vAlign w:val="center"/>
            <w:hideMark/>
          </w:tcPr>
          <w:p w14:paraId="79B936B0" w14:textId="77777777" w:rsidR="00723E93" w:rsidRPr="007F6332" w:rsidRDefault="00723E93" w:rsidP="006C2D75">
            <w:pPr>
              <w:spacing w:after="0" w:line="240" w:lineRule="auto"/>
              <w:jc w:val="right"/>
              <w:rPr>
                <w:rFonts w:eastAsia="Times New Roman" w:cs="Arial"/>
                <w:color w:val="000000"/>
                <w:lang w:eastAsia="en-AU"/>
              </w:rPr>
            </w:pPr>
            <w:r w:rsidRPr="007F6332">
              <w:rPr>
                <w:rFonts w:eastAsia="Times New Roman" w:cs="Arial"/>
                <w:color w:val="000000"/>
                <w:lang w:eastAsia="en-AU"/>
              </w:rPr>
              <w:t>0.5%</w:t>
            </w:r>
          </w:p>
        </w:tc>
      </w:tr>
    </w:tbl>
    <w:p w14:paraId="577D8571" w14:textId="77777777" w:rsidR="000E36A4" w:rsidRPr="007F6332" w:rsidRDefault="000E36A4" w:rsidP="000E36A4">
      <w:pPr>
        <w:spacing w:before="240"/>
        <w:rPr>
          <w:rFonts w:cs="Arial"/>
        </w:rPr>
      </w:pPr>
      <w:r w:rsidRPr="007F6332">
        <w:rPr>
          <w:rFonts w:cs="Arial"/>
        </w:rPr>
        <w:t xml:space="preserve">The net increase to number of participants with SIL is projected to reduce in the next four years from the current level and increase in the longer term reflecting the long-term expectations of participants transitioning into SIL. </w:t>
      </w:r>
    </w:p>
    <w:p w14:paraId="05752DAD" w14:textId="77777777" w:rsidR="000E36A4" w:rsidRPr="007F6332" w:rsidRDefault="000E36A4" w:rsidP="000E36A4">
      <w:pPr>
        <w:rPr>
          <w:rFonts w:cs="Arial"/>
        </w:rPr>
      </w:pPr>
      <w:r w:rsidRPr="007F6332">
        <w:rPr>
          <w:rFonts w:cs="Arial"/>
        </w:rPr>
        <w:t>The existing pipeline of Home and Living applications assessed for SIL eligibility, related to participants new to SIL, suggests that the net increase in participants with SIL will reduce gradually at least in the short term. It is assumed the net increase in the number of participants with SIL will be at a slightly lower rate than the 12 months ending 30 June 2023, resulting in a net increase of about 4,000 participants.</w:t>
      </w:r>
    </w:p>
    <w:p w14:paraId="7B65EF5B" w14:textId="77777777" w:rsidR="000E36A4" w:rsidRPr="007F6332" w:rsidRDefault="000E36A4" w:rsidP="000E36A4">
      <w:pPr>
        <w:rPr>
          <w:rFonts w:cs="Arial"/>
        </w:rPr>
      </w:pPr>
      <w:r w:rsidRPr="007F6332">
        <w:rPr>
          <w:rFonts w:cs="Arial"/>
        </w:rPr>
        <w:t xml:space="preserve">After 2023-24, it is assumed that over a four-year period, the rate of net increase in participants with SIL will reduce to reach a ‘steady state’ long term level after 2025-26. The long-term net increases are initially just under 1,800 participants per year and results in a </w:t>
      </w:r>
      <w:r w:rsidRPr="007F6332">
        <w:rPr>
          <w:rFonts w:cs="Arial"/>
        </w:rPr>
        <w:lastRenderedPageBreak/>
        <w:t xml:space="preserve">proportion of Scheme participants aged 15 and above without SIL assumed to transition to SIL arrangements of approximately 0.7% per annum for 2026-27 and beyond. </w:t>
      </w:r>
    </w:p>
    <w:p w14:paraId="109C6807" w14:textId="34179E08" w:rsidR="000E36A4" w:rsidRPr="007F6332" w:rsidRDefault="000E36A4" w:rsidP="000E36A4">
      <w:pPr>
        <w:rPr>
          <w:rFonts w:cs="Arial"/>
        </w:rPr>
      </w:pPr>
      <w:r w:rsidRPr="007F6332">
        <w:rPr>
          <w:rFonts w:cs="Arial"/>
        </w:rPr>
        <w:t xml:space="preserve">After allowing for the impact of </w:t>
      </w:r>
      <w:r w:rsidR="002D6881" w:rsidRPr="007F6332">
        <w:rPr>
          <w:rFonts w:cs="Arial"/>
        </w:rPr>
        <w:t>Budget initiatives</w:t>
      </w:r>
      <w:r w:rsidRPr="007F6332">
        <w:rPr>
          <w:rFonts w:cs="Arial"/>
        </w:rPr>
        <w:t xml:space="preserve">, the net increase in participants with SIL for ages 15 and above is projected to reduce from 3,600 in 2023-24 to about 1,400 by 2026-27 and results in an approximate 0.6% per annum long term transition rate for future years. This compares to a SIL transition rate of 2.2% observed over the 12 months ending 30 June 2023. </w:t>
      </w:r>
    </w:p>
    <w:p w14:paraId="5B4F92A8" w14:textId="09166616" w:rsidR="000E36A4" w:rsidRPr="007F6332" w:rsidRDefault="000E36A4" w:rsidP="000E36A4">
      <w:pPr>
        <w:rPr>
          <w:rFonts w:cs="Arial"/>
        </w:rPr>
      </w:pPr>
      <w:r w:rsidRPr="007F6332">
        <w:rPr>
          <w:rFonts w:cs="Arial"/>
        </w:rPr>
        <w:t xml:space="preserve">There remains a degree of uncertainty around the emerging experience relating to the net increase in participants with SIL supports and when the demand for SIL supports will reach ‘maturity’ (grow in line with the overall growth in the adult population of the Scheme). Moreover, there is also uncertainty as to which alternative, lower cost Home and Living options may be offered through the Scheme in the future. Similarly, there is a degree of uncertainty around the effectiveness and the implementation of the </w:t>
      </w:r>
      <w:r w:rsidR="002D6881" w:rsidRPr="007F6332">
        <w:rPr>
          <w:rFonts w:cs="Arial"/>
        </w:rPr>
        <w:t>Budget initiatives</w:t>
      </w:r>
      <w:r w:rsidRPr="007F6332">
        <w:rPr>
          <w:rFonts w:cs="Arial"/>
        </w:rPr>
        <w:t>.</w:t>
      </w:r>
    </w:p>
    <w:p w14:paraId="2388B26C" w14:textId="77777777" w:rsidR="00723E93" w:rsidRPr="007F6332" w:rsidRDefault="00723E93" w:rsidP="001D062D">
      <w:pPr>
        <w:pStyle w:val="Heading4"/>
        <w:ind w:left="851" w:hanging="851"/>
        <w:rPr>
          <w:rFonts w:cs="Arial"/>
        </w:rPr>
      </w:pPr>
      <w:r w:rsidRPr="007F6332">
        <w:rPr>
          <w:rFonts w:cs="Arial"/>
        </w:rPr>
        <w:t>Projected number of participants with SIL has been revised upwards reflecting recent experience with a slower year-on-year growth.</w:t>
      </w:r>
    </w:p>
    <w:p w14:paraId="2A30A058" w14:textId="674EBF10" w:rsidR="000E36A4" w:rsidRPr="007F6332" w:rsidRDefault="00950565" w:rsidP="000E36A4">
      <w:pPr>
        <w:spacing w:before="200"/>
        <w:rPr>
          <w:rFonts w:cs="Arial"/>
          <w:lang w:val="en-AU"/>
        </w:rPr>
      </w:pPr>
      <w:r w:rsidRPr="007F6332">
        <w:rPr>
          <w:rFonts w:cs="Arial"/>
          <w:lang w:val="en-AU"/>
        </w:rPr>
        <w:t xml:space="preserve">Figure 5.11 </w:t>
      </w:r>
      <w:r w:rsidR="000E36A4" w:rsidRPr="007F6332">
        <w:rPr>
          <w:rFonts w:cs="Arial"/>
          <w:lang w:val="en-AU"/>
        </w:rPr>
        <w:t>shows</w:t>
      </w:r>
      <w:r w:rsidR="00723E93" w:rsidRPr="007F6332">
        <w:rPr>
          <w:rFonts w:cs="Arial"/>
          <w:lang w:val="en-AU"/>
        </w:rPr>
        <w:t xml:space="preserve"> </w:t>
      </w:r>
      <w:r w:rsidR="000E36A4" w:rsidRPr="007F6332">
        <w:rPr>
          <w:rFonts w:cs="Arial"/>
          <w:lang w:val="en-AU"/>
        </w:rPr>
        <w:t xml:space="preserve">the June 2023 projection of the number of participants with SIL arrangements, both before and after factoring in the impact of </w:t>
      </w:r>
      <w:r w:rsidR="002D6881" w:rsidRPr="007F6332">
        <w:rPr>
          <w:rFonts w:cs="Arial"/>
          <w:lang w:val="en-AU"/>
        </w:rPr>
        <w:t>Budget initiatives</w:t>
      </w:r>
      <w:r w:rsidR="000E36A4" w:rsidRPr="007F6332">
        <w:rPr>
          <w:rFonts w:cs="Arial"/>
          <w:lang w:val="en-AU"/>
        </w:rPr>
        <w:t xml:space="preserve">, compared to the previous review. The projected number of participants with SIL arrangements, after adjusting for the estimated impact of </w:t>
      </w:r>
      <w:r w:rsidR="002D6881" w:rsidRPr="007F6332">
        <w:rPr>
          <w:rFonts w:cs="Arial"/>
          <w:lang w:val="en-AU"/>
        </w:rPr>
        <w:t>Budget initiatives</w:t>
      </w:r>
      <w:r w:rsidR="000E36A4" w:rsidRPr="007F6332">
        <w:rPr>
          <w:rFonts w:cs="Arial"/>
          <w:lang w:val="en-AU"/>
        </w:rPr>
        <w:t xml:space="preserve">, reflects a higher number of participants with SIL arrangements across all future years. This is a result of </w:t>
      </w:r>
      <w:r w:rsidR="00C947F6" w:rsidRPr="007F6332">
        <w:rPr>
          <w:rFonts w:cs="Arial"/>
          <w:lang w:val="en-AU"/>
        </w:rPr>
        <w:t xml:space="preserve">changes to the way </w:t>
      </w:r>
      <w:r w:rsidR="000E36A4" w:rsidRPr="007F6332">
        <w:rPr>
          <w:rFonts w:cs="Arial"/>
          <w:lang w:val="en-AU"/>
        </w:rPr>
        <w:t xml:space="preserve">Home and Living decisions for SIL eligibility </w:t>
      </w:r>
      <w:r w:rsidR="00C947F6" w:rsidRPr="007F6332">
        <w:rPr>
          <w:rFonts w:cs="Arial"/>
          <w:lang w:val="en-AU"/>
        </w:rPr>
        <w:t xml:space="preserve">were made </w:t>
      </w:r>
      <w:r w:rsidR="000E36A4" w:rsidRPr="007F6332">
        <w:rPr>
          <w:rFonts w:cs="Arial"/>
          <w:lang w:val="en-AU"/>
        </w:rPr>
        <w:t xml:space="preserve">in 2022-23 and is expected to continue into 2023-24 resulting in a faster growth of number of participants with SIL compared to the previous review in the short term. </w:t>
      </w:r>
    </w:p>
    <w:p w14:paraId="26842B29" w14:textId="74B848A3" w:rsidR="000E36A4" w:rsidRPr="007F6332" w:rsidRDefault="000E36A4" w:rsidP="000E36A4">
      <w:pPr>
        <w:spacing w:before="200"/>
        <w:rPr>
          <w:rFonts w:cs="Arial"/>
          <w:lang w:val="en-AU"/>
        </w:rPr>
      </w:pPr>
      <w:r w:rsidRPr="007F6332">
        <w:rPr>
          <w:rFonts w:cs="Arial"/>
          <w:lang w:val="en-AU"/>
        </w:rPr>
        <w:t xml:space="preserve">In the medium to long term, the growth of participants with SIL is projected to slow down as a result of the planned </w:t>
      </w:r>
      <w:r w:rsidR="002D6881" w:rsidRPr="007F6332">
        <w:rPr>
          <w:rFonts w:cs="Arial"/>
          <w:lang w:val="en-AU"/>
        </w:rPr>
        <w:t>Budget initiatives</w:t>
      </w:r>
      <w:r w:rsidRPr="007F6332">
        <w:rPr>
          <w:rFonts w:cs="Arial"/>
          <w:lang w:val="en-AU"/>
        </w:rPr>
        <w:t xml:space="preserve">. The initiatives are intended to strengthen </w:t>
      </w:r>
      <w:r w:rsidR="00DC02B5" w:rsidRPr="007F6332">
        <w:rPr>
          <w:rFonts w:cs="Arial"/>
          <w:lang w:val="en-AU"/>
        </w:rPr>
        <w:t>SIL</w:t>
      </w:r>
      <w:r w:rsidRPr="007F6332">
        <w:rPr>
          <w:rFonts w:cs="Arial"/>
          <w:lang w:val="en-AU"/>
        </w:rPr>
        <w:t xml:space="preserve"> decisions, including by introducing a Home and Living panel with highly trained staff to improve consistency across decisions and updating guidelines for planners to improve participants' ability to live independently. While the number of participants with SIL is expected to be higher than previous review, the difference is projected to reduce in the medium to long term.</w:t>
      </w:r>
    </w:p>
    <w:p w14:paraId="6A10C6E8" w14:textId="387B121E" w:rsidR="007218CB" w:rsidRPr="007F6332" w:rsidRDefault="007218CB" w:rsidP="000E36A4">
      <w:pPr>
        <w:spacing w:before="200"/>
        <w:rPr>
          <w:rFonts w:cs="Arial"/>
          <w:lang w:val="en-AU"/>
        </w:rPr>
        <w:sectPr w:rsidR="007218CB" w:rsidRPr="007F6332" w:rsidSect="00CE7E91">
          <w:pgSz w:w="11906" w:h="16838"/>
          <w:pgMar w:top="1440" w:right="1416" w:bottom="1440" w:left="1440" w:header="708" w:footer="850" w:gutter="0"/>
          <w:cols w:space="708"/>
          <w:titlePg/>
          <w:docGrid w:linePitch="360"/>
        </w:sectPr>
      </w:pPr>
    </w:p>
    <w:p w14:paraId="179B27FF" w14:textId="0738004F" w:rsidR="00723E93" w:rsidRPr="007F6332" w:rsidRDefault="00723E93" w:rsidP="00446FB4">
      <w:pPr>
        <w:pStyle w:val="FiguresandTablesHeading5"/>
      </w:pPr>
      <w:bookmarkStart w:id="171" w:name="_Ref144846337"/>
      <w:r w:rsidRPr="007F6332">
        <w:lastRenderedPageBreak/>
        <w:t xml:space="preserve">Figure </w:t>
      </w:r>
      <w:r w:rsidRPr="007F6332">
        <w:fldChar w:fldCharType="begin"/>
      </w:r>
      <w:r w:rsidRPr="007F6332">
        <w:instrText xml:space="preserve"> STYLEREF 2 \s </w:instrText>
      </w:r>
      <w:r w:rsidRPr="007F6332">
        <w:fldChar w:fldCharType="separate"/>
      </w:r>
      <w:r w:rsidR="00D82E58" w:rsidRPr="007F6332">
        <w:rPr>
          <w:noProof/>
        </w:rPr>
        <w:t>5</w:t>
      </w:r>
      <w:r w:rsidRPr="007F6332">
        <w:fldChar w:fldCharType="end"/>
      </w:r>
      <w:r w:rsidRPr="007F6332">
        <w:t>.</w:t>
      </w:r>
      <w:bookmarkEnd w:id="171"/>
      <w:r w:rsidR="003623D9" w:rsidRPr="007F6332">
        <w:t>11:</w:t>
      </w:r>
      <w:r w:rsidRPr="007F6332">
        <w:t xml:space="preserve"> Actual </w:t>
      </w:r>
      <w:r w:rsidR="000E36A4" w:rsidRPr="007F6332">
        <w:t>and projected participant numbers</w:t>
      </w:r>
      <w:r w:rsidR="00DC02B5" w:rsidRPr="007F6332">
        <w:t>, at 30 June,</w:t>
      </w:r>
      <w:r w:rsidR="000E36A4" w:rsidRPr="007F6332">
        <w:t xml:space="preserve"> </w:t>
      </w:r>
      <w:r w:rsidRPr="007F6332">
        <w:t xml:space="preserve">before and after </w:t>
      </w:r>
      <w:r w:rsidR="002D6881" w:rsidRPr="007F6332">
        <w:t>Budget initiatives</w:t>
      </w:r>
      <w:r w:rsidRPr="007F6332">
        <w:t>, compared to previous review</w:t>
      </w:r>
      <w:r w:rsidR="00F32CAE" w:rsidRPr="007F6332">
        <w:rPr>
          <w:vertAlign w:val="superscript"/>
        </w:rPr>
        <w:footnoteReference w:id="96"/>
      </w:r>
    </w:p>
    <w:p w14:paraId="62B364DC" w14:textId="481D0427" w:rsidR="00AB0E5A" w:rsidRPr="007F6332" w:rsidRDefault="00A31F7C" w:rsidP="00723E93">
      <w:pPr>
        <w:keepNext/>
        <w:rPr>
          <w:rFonts w:cs="Arial"/>
          <w:b/>
          <w:bCs/>
        </w:rPr>
      </w:pPr>
      <w:r w:rsidRPr="007F6332">
        <w:rPr>
          <w:rFonts w:cs="Arial"/>
          <w:noProof/>
        </w:rPr>
        <w:drawing>
          <wp:inline distT="0" distB="0" distL="0" distR="0" wp14:anchorId="67BC70A4" wp14:editId="0CF81E0B">
            <wp:extent cx="5566410" cy="2976880"/>
            <wp:effectExtent l="0" t="0" r="0" b="0"/>
            <wp:docPr id="701570358" name="Picture 701570358" descr="This figure shows the projection of number of participants with SIL arrangements, both before and after factoring in Budget initiatives, compared to actual experience for years 2020 to 2023, and June 2022 projections for years 2023 to 2023.&#10;Actual number of participants years 2020 to 2023.&#10;2020 total, 24,119. 2021 total, 24,542. 2022 total, 26,950. 2023 total, 31,818.&#10;June 2022 projections years 2023 to 2033.&#10;2023 total, 28,311. 2027 total, 33,778. 2033 total, 43,673.&#10;June 2023 projections before Budget initiatives years 2024 to 2033.&#10;2027 total, 42,393. 2033 total, 54,060.&#10;June 2023 projections after Budget initiatives years 2024 to 2033.&#10;2027 total, 41,037. 2033 total, 5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70358" name="Picture 701570358" descr="This figure shows the projection of number of participants with SIL arrangements, both before and after factoring in Budget initiatives, compared to actual experience for years 2020 to 2023, and June 2022 projections for years 2023 to 2023.&#10;Actual number of participants years 2020 to 2023.&#10;2020 total, 24,119. 2021 total, 24,542. 2022 total, 26,950. 2023 total, 31,818.&#10;June 2022 projections years 2023 to 2033.&#10;2023 total, 28,311. 2027 total, 33,778. 2033 total, 43,673.&#10;June 2023 projections before Budget initiatives years 2024 to 2033.&#10;2027 total, 42,393. 2033 total, 54,060.&#10;June 2023 projections after Budget initiatives years 2024 to 2033.&#10;2027 total, 41,037. 2033 total, 50,2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66410" cy="2976880"/>
                    </a:xfrm>
                    <a:prstGeom prst="rect">
                      <a:avLst/>
                    </a:prstGeom>
                    <a:noFill/>
                    <a:ln>
                      <a:noFill/>
                    </a:ln>
                  </pic:spPr>
                </pic:pic>
              </a:graphicData>
            </a:graphic>
          </wp:inline>
        </w:drawing>
      </w:r>
    </w:p>
    <w:p w14:paraId="38B50D89" w14:textId="77777777" w:rsidR="00723E93" w:rsidRPr="007F6332" w:rsidRDefault="00723E93" w:rsidP="001D062D">
      <w:pPr>
        <w:pStyle w:val="Heading3"/>
        <w:ind w:left="709" w:hanging="709"/>
        <w:rPr>
          <w:rFonts w:cs="Arial"/>
        </w:rPr>
      </w:pPr>
      <w:bookmarkStart w:id="172" w:name="_Ref144927903"/>
      <w:bookmarkStart w:id="173" w:name="_Toc146286162"/>
      <w:bookmarkStart w:id="174" w:name="_Toc146286498"/>
      <w:bookmarkStart w:id="175" w:name="_Toc152614988"/>
      <w:r w:rsidRPr="007F6332">
        <w:rPr>
          <w:rFonts w:cs="Arial"/>
        </w:rPr>
        <w:t>Base average payment assumptions</w:t>
      </w:r>
      <w:bookmarkEnd w:id="172"/>
      <w:bookmarkEnd w:id="173"/>
      <w:bookmarkEnd w:id="174"/>
      <w:bookmarkEnd w:id="175"/>
    </w:p>
    <w:p w14:paraId="2B4BC899" w14:textId="77777777" w:rsidR="00EF16F8" w:rsidRPr="007F6332" w:rsidRDefault="00EF16F8" w:rsidP="00EF16F8">
      <w:pPr>
        <w:spacing w:before="240"/>
        <w:rPr>
          <w:rFonts w:cs="Arial"/>
          <w:lang w:val="en-AU"/>
        </w:rPr>
      </w:pPr>
      <w:r w:rsidRPr="007F6332">
        <w:rPr>
          <w:rFonts w:cs="Arial"/>
          <w:lang w:val="en-AU"/>
        </w:rPr>
        <w:t>Scheme experience over 2022-23 resulted in higher average payments per participant than expected when compared to assumptions from the June 2022 projections. These higher levels are reflected in the base average payment assumptions, which were derived from payments data in the three months to 30 April 2023 </w:t>
      </w:r>
    </w:p>
    <w:p w14:paraId="4DF7A984" w14:textId="0E60F502" w:rsidR="00723E93" w:rsidRPr="007F6332" w:rsidRDefault="00723E93" w:rsidP="00723E93">
      <w:pPr>
        <w:spacing w:before="240"/>
        <w:rPr>
          <w:rFonts w:cs="Arial"/>
          <w:lang w:val="en-AU"/>
        </w:rPr>
      </w:pPr>
      <w:r w:rsidRPr="007F6332">
        <w:rPr>
          <w:rFonts w:cs="Arial"/>
          <w:lang w:val="en-AU"/>
        </w:rPr>
        <w:t>Base average payment assumptions (</w:t>
      </w:r>
      <w:r w:rsidR="00043BF8" w:rsidRPr="007F6332">
        <w:rPr>
          <w:rFonts w:cs="Arial"/>
          <w:lang w:val="en-AU"/>
        </w:rPr>
        <w:t>i.e.,</w:t>
      </w:r>
      <w:r w:rsidRPr="007F6332">
        <w:rPr>
          <w:rFonts w:cs="Arial"/>
          <w:lang w:val="en-AU"/>
        </w:rPr>
        <w:t xml:space="preserve"> those before allowance for inflation) are set with reference to payments for participants who have been in the Scheme for at least 12 months (with a separate allowance being made for lower expected payments for participants in their first year).</w:t>
      </w:r>
    </w:p>
    <w:p w14:paraId="0D0DBB36" w14:textId="5F85BAFB" w:rsidR="00EF16F8" w:rsidRPr="007F6332" w:rsidRDefault="00EF16F8" w:rsidP="00723E93">
      <w:pPr>
        <w:spacing w:before="240"/>
        <w:rPr>
          <w:rFonts w:cs="Arial"/>
          <w:lang w:val="en-AU"/>
        </w:rPr>
      </w:pPr>
      <w:r w:rsidRPr="007F6332">
        <w:rPr>
          <w:rFonts w:cs="Arial"/>
          <w:lang w:val="en-AU"/>
        </w:rPr>
        <w:t>Compared to expected average payments from the June 2022 projections, these assumptions are overall higher by 2% (1.1% lower for participants without SIL supports and 3.2% higher for participants with SIL supports) as shown in Table 5.20.</w:t>
      </w:r>
    </w:p>
    <w:p w14:paraId="75C81889" w14:textId="6C01685D" w:rsidR="00723E93" w:rsidRPr="007F6332" w:rsidRDefault="00723E93" w:rsidP="00723E93">
      <w:pPr>
        <w:spacing w:before="240"/>
        <w:rPr>
          <w:rFonts w:cs="Arial"/>
          <w:lang w:val="en-AU"/>
        </w:rPr>
      </w:pPr>
      <w:r w:rsidRPr="007F6332">
        <w:rPr>
          <w:rFonts w:cs="Arial"/>
          <w:lang w:val="en-AU"/>
        </w:rPr>
        <w:t xml:space="preserve">The increase in average payment assumptions for participants with SIL reflects the rising cost of participants transitioning to SIL throughout 2022-23. Participants who transition into SIL arrangements typically have plan budgets and associated payments which are high </w:t>
      </w:r>
      <w:r w:rsidRPr="007F6332">
        <w:rPr>
          <w:rFonts w:cs="Arial"/>
          <w:lang w:val="en-AU"/>
        </w:rPr>
        <w:lastRenderedPageBreak/>
        <w:t>relative to other similar participants before they transition. Hence, the high number of transitions into SIL during the year also contributed to the decrease in average payments for participants without SIL supports. </w:t>
      </w:r>
    </w:p>
    <w:p w14:paraId="1862254D" w14:textId="2F0537AB" w:rsidR="00723E93" w:rsidRPr="007F6332" w:rsidRDefault="00723E93" w:rsidP="00446FB4">
      <w:pPr>
        <w:pStyle w:val="FiguresandTablesHeading4"/>
        <w:rPr>
          <w:rFonts w:eastAsiaTheme="minorHAnsi"/>
          <w:lang w:val="en-AU" w:eastAsia="en-US"/>
        </w:rPr>
      </w:pPr>
      <w:r w:rsidRPr="007F6332">
        <w:rPr>
          <w:rFonts w:eastAsiaTheme="minorHAnsi"/>
          <w:lang w:val="en-AU" w:eastAsia="en-US"/>
        </w:rPr>
        <w:t xml:space="preserve">Table </w:t>
      </w:r>
      <w:r w:rsidR="0045717D" w:rsidRPr="007F6332">
        <w:rPr>
          <w:rFonts w:eastAsiaTheme="minorHAnsi"/>
          <w:lang w:val="en-AU" w:eastAsia="en-US"/>
        </w:rPr>
        <w:t>5.20:</w:t>
      </w:r>
      <w:r w:rsidRPr="007F6332">
        <w:rPr>
          <w:rFonts w:eastAsiaTheme="minorHAnsi"/>
          <w:lang w:val="en-AU" w:eastAsia="en-US"/>
        </w:rPr>
        <w:t xml:space="preserve"> Changes in average payment assumptions by SIL status</w:t>
      </w:r>
    </w:p>
    <w:tbl>
      <w:tblPr>
        <w:tblW w:w="9067" w:type="dxa"/>
        <w:tblLayout w:type="fixed"/>
        <w:tblLook w:val="04A0" w:firstRow="1" w:lastRow="0" w:firstColumn="1" w:lastColumn="0" w:noHBand="0" w:noVBand="1"/>
      </w:tblPr>
      <w:tblGrid>
        <w:gridCol w:w="1128"/>
        <w:gridCol w:w="1128"/>
        <w:gridCol w:w="1128"/>
        <w:gridCol w:w="1129"/>
        <w:gridCol w:w="1128"/>
        <w:gridCol w:w="1447"/>
        <w:gridCol w:w="850"/>
        <w:gridCol w:w="1129"/>
      </w:tblGrid>
      <w:tr w:rsidR="00723E93" w:rsidRPr="007F6332" w14:paraId="523AF5CF" w14:textId="77777777" w:rsidTr="006C2D75">
        <w:trPr>
          <w:trHeight w:val="696"/>
        </w:trPr>
        <w:tc>
          <w:tcPr>
            <w:tcW w:w="1128" w:type="dxa"/>
            <w:tcBorders>
              <w:left w:val="nil"/>
              <w:bottom w:val="nil"/>
              <w:right w:val="nil"/>
            </w:tcBorders>
            <w:shd w:val="clear" w:color="000000" w:fill="6B2976"/>
            <w:noWrap/>
            <w:vAlign w:val="center"/>
            <w:hideMark/>
          </w:tcPr>
          <w:p w14:paraId="083DB33F" w14:textId="77777777" w:rsidR="00723E93" w:rsidRPr="007F6332" w:rsidRDefault="00723E93" w:rsidP="006C2D75">
            <w:pPr>
              <w:spacing w:after="0" w:line="240" w:lineRule="auto"/>
              <w:rPr>
                <w:rFonts w:eastAsia="Times New Roman" w:cs="Arial"/>
                <w:b/>
                <w:bCs/>
                <w:color w:val="FFFFFF"/>
                <w:sz w:val="21"/>
                <w:szCs w:val="21"/>
                <w:lang w:val="en-AU" w:eastAsia="en-AU"/>
              </w:rPr>
            </w:pPr>
          </w:p>
        </w:tc>
        <w:tc>
          <w:tcPr>
            <w:tcW w:w="1128" w:type="dxa"/>
            <w:tcBorders>
              <w:left w:val="nil"/>
              <w:bottom w:val="nil"/>
              <w:right w:val="nil"/>
            </w:tcBorders>
            <w:shd w:val="clear" w:color="000000" w:fill="6B2976"/>
            <w:vAlign w:val="center"/>
            <w:hideMark/>
          </w:tcPr>
          <w:p w14:paraId="42123B2C" w14:textId="77777777" w:rsidR="00723E93" w:rsidRPr="007F6332" w:rsidRDefault="00723E93" w:rsidP="006C2D75">
            <w:pPr>
              <w:spacing w:after="0" w:line="240" w:lineRule="auto"/>
              <w:ind w:left="-99"/>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Daily Activities</w:t>
            </w:r>
          </w:p>
        </w:tc>
        <w:tc>
          <w:tcPr>
            <w:tcW w:w="1128" w:type="dxa"/>
            <w:tcBorders>
              <w:left w:val="nil"/>
              <w:bottom w:val="nil"/>
              <w:right w:val="nil"/>
            </w:tcBorders>
            <w:shd w:val="clear" w:color="000000" w:fill="6B2976"/>
            <w:vAlign w:val="center"/>
            <w:hideMark/>
          </w:tcPr>
          <w:p w14:paraId="5074E52B" w14:textId="77777777" w:rsidR="00723E93" w:rsidRPr="007F6332" w:rsidRDefault="00723E93" w:rsidP="006C2D75">
            <w:pPr>
              <w:spacing w:after="0" w:line="240" w:lineRule="auto"/>
              <w:ind w:left="-93"/>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CB Daily Activities</w:t>
            </w:r>
          </w:p>
        </w:tc>
        <w:tc>
          <w:tcPr>
            <w:tcW w:w="1129" w:type="dxa"/>
            <w:tcBorders>
              <w:left w:val="nil"/>
              <w:bottom w:val="nil"/>
              <w:right w:val="nil"/>
            </w:tcBorders>
            <w:shd w:val="clear" w:color="000000" w:fill="6B2976"/>
            <w:vAlign w:val="center"/>
            <w:hideMark/>
          </w:tcPr>
          <w:p w14:paraId="2F8888D3" w14:textId="77777777" w:rsidR="00723E93" w:rsidRPr="007F6332" w:rsidRDefault="00723E93" w:rsidP="006C2D75">
            <w:pPr>
              <w:spacing w:after="0" w:line="240" w:lineRule="auto"/>
              <w:ind w:left="-229" w:right="-267"/>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Social Community Civic</w:t>
            </w:r>
          </w:p>
        </w:tc>
        <w:tc>
          <w:tcPr>
            <w:tcW w:w="1128" w:type="dxa"/>
            <w:tcBorders>
              <w:left w:val="nil"/>
              <w:bottom w:val="nil"/>
              <w:right w:val="nil"/>
            </w:tcBorders>
            <w:shd w:val="clear" w:color="000000" w:fill="6B2976"/>
            <w:vAlign w:val="center"/>
            <w:hideMark/>
          </w:tcPr>
          <w:p w14:paraId="23F5D734" w14:textId="77777777" w:rsidR="00723E93" w:rsidRPr="007F6332" w:rsidRDefault="00723E93" w:rsidP="006C2D75">
            <w:pPr>
              <w:spacing w:after="0" w:line="240" w:lineRule="auto"/>
              <w:ind w:right="-102"/>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Transport</w:t>
            </w:r>
          </w:p>
        </w:tc>
        <w:tc>
          <w:tcPr>
            <w:tcW w:w="1447" w:type="dxa"/>
            <w:tcBorders>
              <w:left w:val="nil"/>
              <w:bottom w:val="nil"/>
              <w:right w:val="nil"/>
            </w:tcBorders>
            <w:shd w:val="clear" w:color="000000" w:fill="6B2976"/>
            <w:vAlign w:val="center"/>
            <w:hideMark/>
          </w:tcPr>
          <w:p w14:paraId="294DA37C" w14:textId="77777777" w:rsidR="00723E93" w:rsidRPr="007F6332" w:rsidRDefault="00723E93" w:rsidP="006C2D75">
            <w:pPr>
              <w:spacing w:after="0" w:line="240" w:lineRule="auto"/>
              <w:ind w:right="-99"/>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Support Coordination</w:t>
            </w:r>
          </w:p>
        </w:tc>
        <w:tc>
          <w:tcPr>
            <w:tcW w:w="850" w:type="dxa"/>
            <w:tcBorders>
              <w:left w:val="nil"/>
              <w:bottom w:val="nil"/>
              <w:right w:val="nil"/>
            </w:tcBorders>
            <w:shd w:val="clear" w:color="000000" w:fill="6B2976"/>
            <w:vAlign w:val="center"/>
            <w:hideMark/>
          </w:tcPr>
          <w:p w14:paraId="22858B5D" w14:textId="77777777" w:rsidR="00723E93" w:rsidRPr="007F6332" w:rsidRDefault="00723E93" w:rsidP="006C2D75">
            <w:pPr>
              <w:spacing w:after="0" w:line="240" w:lineRule="auto"/>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Other</w:t>
            </w:r>
          </w:p>
        </w:tc>
        <w:tc>
          <w:tcPr>
            <w:tcW w:w="1129" w:type="dxa"/>
            <w:tcBorders>
              <w:left w:val="nil"/>
              <w:bottom w:val="nil"/>
              <w:right w:val="nil"/>
            </w:tcBorders>
            <w:shd w:val="clear" w:color="000000" w:fill="6B2976"/>
            <w:vAlign w:val="center"/>
            <w:hideMark/>
          </w:tcPr>
          <w:p w14:paraId="784034EA" w14:textId="77777777" w:rsidR="00723E93" w:rsidRPr="007F6332" w:rsidRDefault="00723E93" w:rsidP="006C2D75">
            <w:pPr>
              <w:spacing w:after="0" w:line="240" w:lineRule="auto"/>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Total</w:t>
            </w:r>
          </w:p>
        </w:tc>
      </w:tr>
      <w:tr w:rsidR="00B212CB" w:rsidRPr="007F6332" w14:paraId="621A3D6C" w14:textId="77777777" w:rsidTr="00C1755E">
        <w:trPr>
          <w:trHeight w:val="397"/>
        </w:trPr>
        <w:tc>
          <w:tcPr>
            <w:tcW w:w="1128" w:type="dxa"/>
            <w:tcBorders>
              <w:left w:val="nil"/>
              <w:bottom w:val="nil"/>
              <w:right w:val="nil"/>
            </w:tcBorders>
            <w:shd w:val="clear" w:color="auto" w:fill="auto"/>
            <w:noWrap/>
            <w:vAlign w:val="center"/>
            <w:hideMark/>
          </w:tcPr>
          <w:p w14:paraId="3AF4E954" w14:textId="77777777" w:rsidR="00B212CB" w:rsidRPr="007F6332" w:rsidRDefault="00B212CB" w:rsidP="00B212CB">
            <w:pPr>
              <w:spacing w:after="0" w:line="240" w:lineRule="auto"/>
              <w:rPr>
                <w:rFonts w:eastAsia="Times New Roman" w:cs="Arial"/>
                <w:color w:val="000000"/>
                <w:sz w:val="21"/>
                <w:szCs w:val="21"/>
                <w:lang w:val="en-AU" w:eastAsia="en-AU"/>
              </w:rPr>
            </w:pPr>
            <w:r w:rsidRPr="007F6332">
              <w:rPr>
                <w:rFonts w:eastAsia="Times New Roman" w:cs="Arial"/>
                <w:color w:val="000000"/>
                <w:sz w:val="21"/>
                <w:szCs w:val="21"/>
                <w:lang w:val="en-AU" w:eastAsia="en-AU"/>
              </w:rPr>
              <w:t>Non SIL</w:t>
            </w:r>
          </w:p>
        </w:tc>
        <w:tc>
          <w:tcPr>
            <w:tcW w:w="1128" w:type="dxa"/>
            <w:tcBorders>
              <w:left w:val="nil"/>
              <w:bottom w:val="nil"/>
              <w:right w:val="nil"/>
            </w:tcBorders>
            <w:shd w:val="clear" w:color="auto" w:fill="auto"/>
            <w:noWrap/>
            <w:vAlign w:val="center"/>
            <w:hideMark/>
          </w:tcPr>
          <w:p w14:paraId="60A82144" w14:textId="210F54CA" w:rsidR="00B212CB" w:rsidRPr="007F6332" w:rsidRDefault="00B212CB" w:rsidP="00B212CB">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-6.2%</w:t>
            </w:r>
          </w:p>
        </w:tc>
        <w:tc>
          <w:tcPr>
            <w:tcW w:w="1128" w:type="dxa"/>
            <w:tcBorders>
              <w:left w:val="nil"/>
              <w:bottom w:val="nil"/>
              <w:right w:val="nil"/>
            </w:tcBorders>
            <w:shd w:val="clear" w:color="auto" w:fill="auto"/>
            <w:noWrap/>
            <w:vAlign w:val="center"/>
            <w:hideMark/>
          </w:tcPr>
          <w:p w14:paraId="2D11212B" w14:textId="643488FF" w:rsidR="00B212CB" w:rsidRPr="007F6332" w:rsidRDefault="00B212CB" w:rsidP="00B212CB">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3.6%</w:t>
            </w:r>
          </w:p>
        </w:tc>
        <w:tc>
          <w:tcPr>
            <w:tcW w:w="1129" w:type="dxa"/>
            <w:tcBorders>
              <w:left w:val="nil"/>
              <w:bottom w:val="nil"/>
              <w:right w:val="nil"/>
            </w:tcBorders>
            <w:shd w:val="clear" w:color="auto" w:fill="auto"/>
            <w:noWrap/>
            <w:vAlign w:val="center"/>
            <w:hideMark/>
          </w:tcPr>
          <w:p w14:paraId="053244F1" w14:textId="4E7880A4" w:rsidR="00B212CB" w:rsidRPr="007F6332" w:rsidRDefault="00B212CB" w:rsidP="00B212CB">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12.7%</w:t>
            </w:r>
          </w:p>
        </w:tc>
        <w:tc>
          <w:tcPr>
            <w:tcW w:w="1128" w:type="dxa"/>
            <w:tcBorders>
              <w:left w:val="nil"/>
              <w:bottom w:val="nil"/>
              <w:right w:val="nil"/>
            </w:tcBorders>
            <w:shd w:val="clear" w:color="auto" w:fill="auto"/>
            <w:noWrap/>
            <w:vAlign w:val="center"/>
            <w:hideMark/>
          </w:tcPr>
          <w:p w14:paraId="748B8E9D" w14:textId="7FEC03E4" w:rsidR="00B212CB" w:rsidRPr="007F6332" w:rsidRDefault="00B212CB" w:rsidP="00B212CB">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-18.4%</w:t>
            </w:r>
          </w:p>
        </w:tc>
        <w:tc>
          <w:tcPr>
            <w:tcW w:w="1447" w:type="dxa"/>
            <w:tcBorders>
              <w:left w:val="nil"/>
              <w:bottom w:val="nil"/>
              <w:right w:val="nil"/>
            </w:tcBorders>
            <w:shd w:val="clear" w:color="auto" w:fill="auto"/>
            <w:noWrap/>
            <w:vAlign w:val="center"/>
            <w:hideMark/>
          </w:tcPr>
          <w:p w14:paraId="28EB1EAA" w14:textId="1C5E4CBF" w:rsidR="00B212CB" w:rsidRPr="007F6332" w:rsidRDefault="00B212CB" w:rsidP="00B212CB">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-4.2%</w:t>
            </w:r>
          </w:p>
        </w:tc>
        <w:tc>
          <w:tcPr>
            <w:tcW w:w="850" w:type="dxa"/>
            <w:tcBorders>
              <w:left w:val="nil"/>
              <w:bottom w:val="nil"/>
              <w:right w:val="nil"/>
            </w:tcBorders>
            <w:shd w:val="clear" w:color="auto" w:fill="auto"/>
            <w:noWrap/>
            <w:vAlign w:val="center"/>
            <w:hideMark/>
          </w:tcPr>
          <w:p w14:paraId="5F041C86" w14:textId="68B30C3B" w:rsidR="00B212CB" w:rsidRPr="007F6332" w:rsidRDefault="00B212CB" w:rsidP="00B212CB">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-8.1%</w:t>
            </w:r>
          </w:p>
        </w:tc>
        <w:tc>
          <w:tcPr>
            <w:tcW w:w="1129" w:type="dxa"/>
            <w:tcBorders>
              <w:left w:val="nil"/>
              <w:bottom w:val="nil"/>
              <w:right w:val="nil"/>
            </w:tcBorders>
            <w:shd w:val="clear" w:color="auto" w:fill="auto"/>
            <w:noWrap/>
            <w:vAlign w:val="center"/>
            <w:hideMark/>
          </w:tcPr>
          <w:p w14:paraId="3BC7266F" w14:textId="37E93343" w:rsidR="00B212CB" w:rsidRPr="007F6332" w:rsidRDefault="00B212CB" w:rsidP="00B212CB">
            <w:pPr>
              <w:spacing w:after="0" w:line="240" w:lineRule="auto"/>
              <w:jc w:val="center"/>
              <w:rPr>
                <w:rFonts w:eastAsia="Times New Roman" w:cs="Arial"/>
                <w:b/>
                <w:bCs/>
                <w:color w:val="000000"/>
                <w:sz w:val="21"/>
                <w:szCs w:val="21"/>
                <w:lang w:val="en-AU" w:eastAsia="en-AU"/>
              </w:rPr>
            </w:pPr>
            <w:r w:rsidRPr="007F6332">
              <w:rPr>
                <w:rFonts w:cs="Arial"/>
                <w:color w:val="000000"/>
                <w:sz w:val="21"/>
                <w:szCs w:val="21"/>
              </w:rPr>
              <w:t>-1.1%</w:t>
            </w:r>
          </w:p>
        </w:tc>
      </w:tr>
      <w:tr w:rsidR="00BD7141" w:rsidRPr="007F6332" w14:paraId="789C1C67" w14:textId="77777777" w:rsidTr="00C1755E">
        <w:trPr>
          <w:trHeight w:val="397"/>
        </w:trPr>
        <w:tc>
          <w:tcPr>
            <w:tcW w:w="1128" w:type="dxa"/>
            <w:tcBorders>
              <w:top w:val="nil"/>
              <w:left w:val="nil"/>
              <w:right w:val="nil"/>
            </w:tcBorders>
            <w:shd w:val="clear" w:color="000000" w:fill="A7A9AC"/>
            <w:noWrap/>
            <w:vAlign w:val="center"/>
            <w:hideMark/>
          </w:tcPr>
          <w:p w14:paraId="23B354EB" w14:textId="77777777" w:rsidR="00BD7141" w:rsidRPr="007F6332" w:rsidRDefault="00BD7141" w:rsidP="00BD7141">
            <w:pPr>
              <w:spacing w:after="0" w:line="240" w:lineRule="auto"/>
              <w:rPr>
                <w:rFonts w:eastAsia="Times New Roman" w:cs="Arial"/>
                <w:color w:val="000000"/>
                <w:sz w:val="21"/>
                <w:szCs w:val="21"/>
                <w:lang w:val="en-AU" w:eastAsia="en-AU"/>
              </w:rPr>
            </w:pPr>
            <w:r w:rsidRPr="007F6332">
              <w:rPr>
                <w:rFonts w:eastAsia="Times New Roman" w:cs="Arial"/>
                <w:color w:val="000000"/>
                <w:sz w:val="21"/>
                <w:szCs w:val="21"/>
                <w:lang w:val="en-AU" w:eastAsia="en-AU"/>
              </w:rPr>
              <w:t>SIL</w:t>
            </w:r>
          </w:p>
        </w:tc>
        <w:tc>
          <w:tcPr>
            <w:tcW w:w="1128" w:type="dxa"/>
            <w:tcBorders>
              <w:top w:val="nil"/>
              <w:left w:val="nil"/>
              <w:right w:val="nil"/>
            </w:tcBorders>
            <w:shd w:val="clear" w:color="000000" w:fill="A7A9AC"/>
            <w:noWrap/>
            <w:vAlign w:val="center"/>
            <w:hideMark/>
          </w:tcPr>
          <w:p w14:paraId="31CD7870" w14:textId="08606689" w:rsidR="00BD7141" w:rsidRPr="007F6332" w:rsidRDefault="00BD7141" w:rsidP="00BD7141">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0.3%</w:t>
            </w:r>
          </w:p>
        </w:tc>
        <w:tc>
          <w:tcPr>
            <w:tcW w:w="1128" w:type="dxa"/>
            <w:tcBorders>
              <w:top w:val="nil"/>
              <w:left w:val="nil"/>
              <w:right w:val="nil"/>
            </w:tcBorders>
            <w:shd w:val="clear" w:color="000000" w:fill="A7A9AC"/>
            <w:noWrap/>
            <w:vAlign w:val="center"/>
            <w:hideMark/>
          </w:tcPr>
          <w:p w14:paraId="32923BF4" w14:textId="754A5D66" w:rsidR="00BD7141" w:rsidRPr="007F6332" w:rsidRDefault="00BD7141" w:rsidP="00BD7141">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18.7%</w:t>
            </w:r>
          </w:p>
        </w:tc>
        <w:tc>
          <w:tcPr>
            <w:tcW w:w="1129" w:type="dxa"/>
            <w:tcBorders>
              <w:top w:val="nil"/>
              <w:left w:val="nil"/>
              <w:right w:val="nil"/>
            </w:tcBorders>
            <w:shd w:val="clear" w:color="000000" w:fill="A7A9AC"/>
            <w:noWrap/>
            <w:vAlign w:val="center"/>
            <w:hideMark/>
          </w:tcPr>
          <w:p w14:paraId="2F12BC42" w14:textId="40EE04C5" w:rsidR="00BD7141" w:rsidRPr="007F6332" w:rsidRDefault="00BD7141" w:rsidP="00BD7141">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20.3%</w:t>
            </w:r>
          </w:p>
        </w:tc>
        <w:tc>
          <w:tcPr>
            <w:tcW w:w="1128" w:type="dxa"/>
            <w:tcBorders>
              <w:top w:val="nil"/>
              <w:left w:val="nil"/>
              <w:right w:val="nil"/>
            </w:tcBorders>
            <w:shd w:val="clear" w:color="000000" w:fill="A7A9AC"/>
            <w:noWrap/>
            <w:vAlign w:val="center"/>
            <w:hideMark/>
          </w:tcPr>
          <w:p w14:paraId="7CCD07CA" w14:textId="0639D701" w:rsidR="00BD7141" w:rsidRPr="007F6332" w:rsidRDefault="00BD7141" w:rsidP="00BD7141">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-12.1%</w:t>
            </w:r>
          </w:p>
        </w:tc>
        <w:tc>
          <w:tcPr>
            <w:tcW w:w="1447" w:type="dxa"/>
            <w:tcBorders>
              <w:top w:val="nil"/>
              <w:left w:val="nil"/>
              <w:right w:val="nil"/>
            </w:tcBorders>
            <w:shd w:val="clear" w:color="000000" w:fill="A7A9AC"/>
            <w:noWrap/>
            <w:vAlign w:val="center"/>
            <w:hideMark/>
          </w:tcPr>
          <w:p w14:paraId="60B0CC16" w14:textId="73FA083E" w:rsidR="00BD7141" w:rsidRPr="007F6332" w:rsidRDefault="00BD7141" w:rsidP="00BD7141">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4.1%</w:t>
            </w:r>
          </w:p>
        </w:tc>
        <w:tc>
          <w:tcPr>
            <w:tcW w:w="850" w:type="dxa"/>
            <w:tcBorders>
              <w:top w:val="nil"/>
              <w:left w:val="nil"/>
              <w:right w:val="nil"/>
            </w:tcBorders>
            <w:shd w:val="clear" w:color="000000" w:fill="A7A9AC"/>
            <w:noWrap/>
            <w:vAlign w:val="center"/>
            <w:hideMark/>
          </w:tcPr>
          <w:p w14:paraId="799263FF" w14:textId="5A1B2C48" w:rsidR="00BD7141" w:rsidRPr="007F6332" w:rsidRDefault="00BD7141" w:rsidP="00BD7141">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2.9%</w:t>
            </w:r>
          </w:p>
        </w:tc>
        <w:tc>
          <w:tcPr>
            <w:tcW w:w="1129" w:type="dxa"/>
            <w:tcBorders>
              <w:top w:val="nil"/>
              <w:left w:val="nil"/>
              <w:right w:val="nil"/>
            </w:tcBorders>
            <w:shd w:val="clear" w:color="000000" w:fill="A7A9AC"/>
            <w:noWrap/>
            <w:vAlign w:val="center"/>
            <w:hideMark/>
          </w:tcPr>
          <w:p w14:paraId="00131F15" w14:textId="5F7EA670" w:rsidR="00BD7141" w:rsidRPr="007F6332" w:rsidRDefault="00BD7141" w:rsidP="00BD7141">
            <w:pPr>
              <w:spacing w:after="0" w:line="240" w:lineRule="auto"/>
              <w:jc w:val="center"/>
              <w:rPr>
                <w:rFonts w:eastAsia="Times New Roman" w:cs="Arial"/>
                <w:b/>
                <w:bCs/>
                <w:color w:val="000000"/>
                <w:sz w:val="21"/>
                <w:szCs w:val="21"/>
                <w:lang w:val="en-AU" w:eastAsia="en-AU"/>
              </w:rPr>
            </w:pPr>
            <w:r w:rsidRPr="007F6332">
              <w:rPr>
                <w:rFonts w:cs="Arial"/>
                <w:color w:val="000000"/>
                <w:sz w:val="21"/>
                <w:szCs w:val="21"/>
              </w:rPr>
              <w:t>3.2%</w:t>
            </w:r>
          </w:p>
        </w:tc>
      </w:tr>
      <w:tr w:rsidR="00BD7141" w:rsidRPr="007F6332" w14:paraId="49EF8CA7" w14:textId="77777777" w:rsidTr="00C1755E">
        <w:trPr>
          <w:trHeight w:val="397"/>
        </w:trPr>
        <w:tc>
          <w:tcPr>
            <w:tcW w:w="1128" w:type="dxa"/>
            <w:tcBorders>
              <w:left w:val="nil"/>
              <w:bottom w:val="single" w:sz="4" w:space="0" w:color="auto"/>
              <w:right w:val="nil"/>
            </w:tcBorders>
            <w:shd w:val="clear" w:color="000000" w:fill="B398B8"/>
            <w:noWrap/>
            <w:vAlign w:val="center"/>
            <w:hideMark/>
          </w:tcPr>
          <w:p w14:paraId="17FA88F8" w14:textId="77777777" w:rsidR="00BD7141" w:rsidRPr="007F6332" w:rsidRDefault="00BD7141" w:rsidP="00BD7141">
            <w:pPr>
              <w:spacing w:after="0" w:line="240" w:lineRule="auto"/>
              <w:rPr>
                <w:rFonts w:eastAsia="Times New Roman" w:cs="Arial"/>
                <w:b/>
                <w:bCs/>
                <w:color w:val="000000"/>
                <w:sz w:val="21"/>
                <w:szCs w:val="21"/>
                <w:lang w:val="en-AU" w:eastAsia="en-AU"/>
              </w:rPr>
            </w:pPr>
            <w:r w:rsidRPr="007F6332">
              <w:rPr>
                <w:rFonts w:eastAsia="Times New Roman" w:cs="Arial"/>
                <w:b/>
                <w:bCs/>
                <w:color w:val="000000"/>
                <w:sz w:val="21"/>
                <w:szCs w:val="21"/>
                <w:lang w:val="en-AU" w:eastAsia="en-AU"/>
              </w:rPr>
              <w:t>Total</w:t>
            </w:r>
          </w:p>
        </w:tc>
        <w:tc>
          <w:tcPr>
            <w:tcW w:w="1128" w:type="dxa"/>
            <w:tcBorders>
              <w:left w:val="nil"/>
              <w:bottom w:val="single" w:sz="4" w:space="0" w:color="auto"/>
              <w:right w:val="nil"/>
            </w:tcBorders>
            <w:shd w:val="clear" w:color="000000" w:fill="B398B8"/>
            <w:noWrap/>
            <w:vAlign w:val="center"/>
            <w:hideMark/>
          </w:tcPr>
          <w:p w14:paraId="0165426D" w14:textId="18C40030" w:rsidR="00BD7141" w:rsidRPr="007F6332" w:rsidRDefault="00BD7141" w:rsidP="00BD7141">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-0.7%</w:t>
            </w:r>
          </w:p>
        </w:tc>
        <w:tc>
          <w:tcPr>
            <w:tcW w:w="1128" w:type="dxa"/>
            <w:tcBorders>
              <w:left w:val="nil"/>
              <w:bottom w:val="single" w:sz="4" w:space="0" w:color="auto"/>
              <w:right w:val="nil"/>
            </w:tcBorders>
            <w:shd w:val="clear" w:color="000000" w:fill="B398B8"/>
            <w:noWrap/>
            <w:vAlign w:val="center"/>
            <w:hideMark/>
          </w:tcPr>
          <w:p w14:paraId="24B20925" w14:textId="324801B0" w:rsidR="00BD7141" w:rsidRPr="007F6332" w:rsidRDefault="00BD7141" w:rsidP="00BD7141">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4.5%</w:t>
            </w:r>
          </w:p>
        </w:tc>
        <w:tc>
          <w:tcPr>
            <w:tcW w:w="1129" w:type="dxa"/>
            <w:tcBorders>
              <w:left w:val="nil"/>
              <w:bottom w:val="single" w:sz="4" w:space="0" w:color="auto"/>
              <w:right w:val="nil"/>
            </w:tcBorders>
            <w:shd w:val="clear" w:color="000000" w:fill="B398B8"/>
            <w:noWrap/>
            <w:vAlign w:val="center"/>
            <w:hideMark/>
          </w:tcPr>
          <w:p w14:paraId="5D159719" w14:textId="0F758506" w:rsidR="00BD7141" w:rsidRPr="007F6332" w:rsidRDefault="00BD7141" w:rsidP="00BD7141">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15.4%</w:t>
            </w:r>
          </w:p>
        </w:tc>
        <w:tc>
          <w:tcPr>
            <w:tcW w:w="1128" w:type="dxa"/>
            <w:tcBorders>
              <w:left w:val="nil"/>
              <w:bottom w:val="single" w:sz="4" w:space="0" w:color="auto"/>
              <w:right w:val="nil"/>
            </w:tcBorders>
            <w:shd w:val="clear" w:color="000000" w:fill="B398B8"/>
            <w:noWrap/>
            <w:vAlign w:val="center"/>
            <w:hideMark/>
          </w:tcPr>
          <w:p w14:paraId="20528A70" w14:textId="2A7CE09E" w:rsidR="00BD7141" w:rsidRPr="007F6332" w:rsidRDefault="00BD7141" w:rsidP="00BD7141">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-17.9%</w:t>
            </w:r>
          </w:p>
        </w:tc>
        <w:tc>
          <w:tcPr>
            <w:tcW w:w="1447" w:type="dxa"/>
            <w:tcBorders>
              <w:left w:val="nil"/>
              <w:bottom w:val="single" w:sz="4" w:space="0" w:color="auto"/>
              <w:right w:val="nil"/>
            </w:tcBorders>
            <w:shd w:val="clear" w:color="000000" w:fill="B398B8"/>
            <w:noWrap/>
            <w:vAlign w:val="center"/>
            <w:hideMark/>
          </w:tcPr>
          <w:p w14:paraId="1995BF82" w14:textId="13C1D209" w:rsidR="00BD7141" w:rsidRPr="007F6332" w:rsidRDefault="00BD7141" w:rsidP="00BD7141">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-2.2%</w:t>
            </w:r>
          </w:p>
        </w:tc>
        <w:tc>
          <w:tcPr>
            <w:tcW w:w="850" w:type="dxa"/>
            <w:tcBorders>
              <w:left w:val="nil"/>
              <w:bottom w:val="single" w:sz="4" w:space="0" w:color="auto"/>
              <w:right w:val="nil"/>
            </w:tcBorders>
            <w:shd w:val="clear" w:color="000000" w:fill="B398B8"/>
            <w:noWrap/>
            <w:vAlign w:val="center"/>
            <w:hideMark/>
          </w:tcPr>
          <w:p w14:paraId="20E0A962" w14:textId="0DA3656F" w:rsidR="00BD7141" w:rsidRPr="007F6332" w:rsidRDefault="00BD7141" w:rsidP="00BD7141">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-5.3%</w:t>
            </w:r>
          </w:p>
        </w:tc>
        <w:tc>
          <w:tcPr>
            <w:tcW w:w="1129" w:type="dxa"/>
            <w:tcBorders>
              <w:left w:val="nil"/>
              <w:bottom w:val="single" w:sz="4" w:space="0" w:color="auto"/>
              <w:right w:val="nil"/>
            </w:tcBorders>
            <w:shd w:val="clear" w:color="000000" w:fill="B398B8"/>
            <w:noWrap/>
            <w:vAlign w:val="center"/>
            <w:hideMark/>
          </w:tcPr>
          <w:p w14:paraId="65CECF32" w14:textId="507715B6" w:rsidR="00BD7141" w:rsidRPr="007F6332" w:rsidRDefault="00BD7141" w:rsidP="00BD7141">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2.0%</w:t>
            </w:r>
          </w:p>
        </w:tc>
      </w:tr>
    </w:tbl>
    <w:p w14:paraId="0659877D" w14:textId="77777777" w:rsidR="00EF16F8" w:rsidRPr="007F6332" w:rsidRDefault="00EF16F8" w:rsidP="00EF16F8">
      <w:pPr>
        <w:spacing w:before="240"/>
        <w:rPr>
          <w:rFonts w:eastAsiaTheme="minorHAnsi" w:cs="Arial"/>
          <w:lang w:val="en-AU" w:eastAsia="en-US"/>
        </w:rPr>
      </w:pPr>
      <w:r w:rsidRPr="007F6332">
        <w:rPr>
          <w:rFonts w:eastAsiaTheme="minorHAnsi" w:cs="Arial"/>
          <w:lang w:val="en-AU" w:eastAsia="en-US"/>
        </w:rPr>
        <w:t>Table 5.21 shows the average payment assumptions have increased since the June 2022 projections across most disability groups except for participants with autism where there has been a slight decrease.</w:t>
      </w:r>
    </w:p>
    <w:p w14:paraId="52D59F14" w14:textId="748F8EC3" w:rsidR="00723E93" w:rsidRPr="007F6332" w:rsidRDefault="00723E93" w:rsidP="00446FB4">
      <w:pPr>
        <w:pStyle w:val="FiguresandTablesHeading4"/>
      </w:pPr>
      <w:r w:rsidRPr="007F6332">
        <w:t xml:space="preserve">Table </w:t>
      </w:r>
      <w:r w:rsidR="0045717D" w:rsidRPr="007F6332">
        <w:t>5.21:</w:t>
      </w:r>
      <w:r w:rsidRPr="007F6332">
        <w:t xml:space="preserve"> Changes in average payment assumptions by major support categories and disability group</w:t>
      </w:r>
    </w:p>
    <w:tbl>
      <w:tblPr>
        <w:tblW w:w="9077" w:type="dxa"/>
        <w:tblInd w:w="-5" w:type="dxa"/>
        <w:tblBorders>
          <w:bottom w:val="single" w:sz="4" w:space="0" w:color="auto"/>
        </w:tblBorders>
        <w:tblLayout w:type="fixed"/>
        <w:tblLook w:val="04A0" w:firstRow="1" w:lastRow="0" w:firstColumn="1" w:lastColumn="0" w:noHBand="0" w:noVBand="1"/>
      </w:tblPr>
      <w:tblGrid>
        <w:gridCol w:w="1565"/>
        <w:gridCol w:w="1017"/>
        <w:gridCol w:w="1020"/>
        <w:gridCol w:w="1271"/>
        <w:gridCol w:w="1057"/>
        <w:gridCol w:w="1336"/>
        <w:gridCol w:w="777"/>
        <w:gridCol w:w="1034"/>
      </w:tblGrid>
      <w:tr w:rsidR="00723E93" w:rsidRPr="007F6332" w14:paraId="0542B1BA" w14:textId="77777777" w:rsidTr="006C2D75">
        <w:trPr>
          <w:trHeight w:val="700"/>
        </w:trPr>
        <w:tc>
          <w:tcPr>
            <w:tcW w:w="1565" w:type="dxa"/>
            <w:shd w:val="clear" w:color="000000" w:fill="6B2976"/>
            <w:vAlign w:val="center"/>
            <w:hideMark/>
          </w:tcPr>
          <w:p w14:paraId="6844B3C8" w14:textId="77777777" w:rsidR="00723E93" w:rsidRPr="007F6332" w:rsidRDefault="00723E93" w:rsidP="006C2D75">
            <w:pPr>
              <w:spacing w:after="0" w:line="240" w:lineRule="auto"/>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 </w:t>
            </w:r>
          </w:p>
        </w:tc>
        <w:tc>
          <w:tcPr>
            <w:tcW w:w="1017" w:type="dxa"/>
            <w:shd w:val="clear" w:color="000000" w:fill="6B2976"/>
            <w:vAlign w:val="center"/>
            <w:hideMark/>
          </w:tcPr>
          <w:p w14:paraId="2EB1E09D" w14:textId="77777777" w:rsidR="00723E93" w:rsidRPr="007F6332" w:rsidRDefault="00723E93" w:rsidP="006C2D75">
            <w:pPr>
              <w:spacing w:after="0" w:line="240" w:lineRule="auto"/>
              <w:ind w:left="-114" w:right="-87"/>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Daily Activities</w:t>
            </w:r>
          </w:p>
        </w:tc>
        <w:tc>
          <w:tcPr>
            <w:tcW w:w="1020" w:type="dxa"/>
            <w:shd w:val="clear" w:color="000000" w:fill="6B2976"/>
            <w:vAlign w:val="center"/>
            <w:hideMark/>
          </w:tcPr>
          <w:p w14:paraId="7902C285" w14:textId="77777777" w:rsidR="00723E93" w:rsidRPr="007F6332" w:rsidRDefault="00723E93" w:rsidP="006C2D75">
            <w:pPr>
              <w:spacing w:after="0" w:line="240" w:lineRule="auto"/>
              <w:ind w:left="-134" w:right="-54"/>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CB Daily Activities</w:t>
            </w:r>
          </w:p>
        </w:tc>
        <w:tc>
          <w:tcPr>
            <w:tcW w:w="1271" w:type="dxa"/>
            <w:shd w:val="clear" w:color="000000" w:fill="6B2976"/>
            <w:vAlign w:val="center"/>
            <w:hideMark/>
          </w:tcPr>
          <w:p w14:paraId="79ED6033" w14:textId="77777777" w:rsidR="00723E93" w:rsidRPr="007F6332" w:rsidRDefault="00723E93" w:rsidP="006C2D75">
            <w:pPr>
              <w:spacing w:after="0" w:line="240" w:lineRule="auto"/>
              <w:ind w:left="-167" w:right="-59"/>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Social Community Civic</w:t>
            </w:r>
          </w:p>
        </w:tc>
        <w:tc>
          <w:tcPr>
            <w:tcW w:w="1057" w:type="dxa"/>
            <w:shd w:val="clear" w:color="000000" w:fill="6B2976"/>
            <w:vAlign w:val="center"/>
            <w:hideMark/>
          </w:tcPr>
          <w:p w14:paraId="22907658" w14:textId="77777777" w:rsidR="00723E93" w:rsidRPr="007F6332" w:rsidRDefault="00723E93" w:rsidP="006C2D75">
            <w:pPr>
              <w:spacing w:after="0" w:line="240" w:lineRule="auto"/>
              <w:ind w:left="-162"/>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Transport</w:t>
            </w:r>
          </w:p>
        </w:tc>
        <w:tc>
          <w:tcPr>
            <w:tcW w:w="1336" w:type="dxa"/>
            <w:shd w:val="clear" w:color="000000" w:fill="6B2976"/>
            <w:vAlign w:val="center"/>
            <w:hideMark/>
          </w:tcPr>
          <w:p w14:paraId="1B18E483" w14:textId="77777777" w:rsidR="00723E93" w:rsidRPr="007F6332" w:rsidRDefault="00723E93" w:rsidP="006C2D75">
            <w:pPr>
              <w:spacing w:after="0" w:line="240" w:lineRule="auto"/>
              <w:ind w:left="-79" w:right="-223"/>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Support Coordination</w:t>
            </w:r>
          </w:p>
        </w:tc>
        <w:tc>
          <w:tcPr>
            <w:tcW w:w="777" w:type="dxa"/>
            <w:shd w:val="clear" w:color="000000" w:fill="6B2976"/>
            <w:vAlign w:val="center"/>
            <w:hideMark/>
          </w:tcPr>
          <w:p w14:paraId="25034790" w14:textId="77777777" w:rsidR="00723E93" w:rsidRPr="007F6332" w:rsidRDefault="00723E93" w:rsidP="006C2D75">
            <w:pPr>
              <w:spacing w:after="0" w:line="240" w:lineRule="auto"/>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Other</w:t>
            </w:r>
          </w:p>
        </w:tc>
        <w:tc>
          <w:tcPr>
            <w:tcW w:w="1034" w:type="dxa"/>
            <w:shd w:val="clear" w:color="000000" w:fill="6B2976"/>
            <w:vAlign w:val="center"/>
            <w:hideMark/>
          </w:tcPr>
          <w:p w14:paraId="09DD2E37" w14:textId="77777777" w:rsidR="00723E93" w:rsidRPr="007F6332" w:rsidRDefault="00723E93" w:rsidP="006C2D75">
            <w:pPr>
              <w:spacing w:after="0" w:line="240" w:lineRule="auto"/>
              <w:jc w:val="center"/>
              <w:rPr>
                <w:rFonts w:eastAsia="Times New Roman" w:cs="Arial"/>
                <w:b/>
                <w:bCs/>
                <w:color w:val="FFFFFF"/>
                <w:sz w:val="21"/>
                <w:szCs w:val="21"/>
                <w:lang w:val="en-AU" w:eastAsia="en-AU"/>
              </w:rPr>
            </w:pPr>
            <w:r w:rsidRPr="007F6332">
              <w:rPr>
                <w:rFonts w:eastAsia="Times New Roman" w:cs="Arial"/>
                <w:b/>
                <w:bCs/>
                <w:color w:val="FFFFFF"/>
                <w:sz w:val="21"/>
                <w:szCs w:val="21"/>
                <w:lang w:val="en-AU" w:eastAsia="en-AU"/>
              </w:rPr>
              <w:t>Total</w:t>
            </w:r>
          </w:p>
        </w:tc>
      </w:tr>
      <w:tr w:rsidR="00723E93" w:rsidRPr="007F6332" w14:paraId="370EB1AA" w14:textId="77777777" w:rsidTr="00C1755E">
        <w:trPr>
          <w:trHeight w:val="397"/>
        </w:trPr>
        <w:tc>
          <w:tcPr>
            <w:tcW w:w="1565" w:type="dxa"/>
            <w:shd w:val="clear" w:color="auto" w:fill="A6A6A6" w:themeFill="background1" w:themeFillShade="A6"/>
            <w:vAlign w:val="center"/>
            <w:hideMark/>
          </w:tcPr>
          <w:p w14:paraId="6AA8D375" w14:textId="77777777" w:rsidR="00723E93" w:rsidRPr="007F6332" w:rsidRDefault="00723E93" w:rsidP="006C2D75">
            <w:pPr>
              <w:spacing w:after="0" w:line="240" w:lineRule="auto"/>
              <w:rPr>
                <w:rFonts w:eastAsia="Times New Roman" w:cs="Arial"/>
                <w:color w:val="000000"/>
                <w:sz w:val="21"/>
                <w:szCs w:val="21"/>
                <w:lang w:val="en-AU" w:eastAsia="en-AU"/>
              </w:rPr>
            </w:pPr>
            <w:r w:rsidRPr="007F6332">
              <w:rPr>
                <w:rFonts w:eastAsia="Times New Roman" w:cs="Arial"/>
                <w:color w:val="000000"/>
                <w:sz w:val="21"/>
                <w:szCs w:val="21"/>
                <w:lang w:val="en-AU" w:eastAsia="en-AU"/>
              </w:rPr>
              <w:t>Autism</w:t>
            </w:r>
          </w:p>
        </w:tc>
        <w:tc>
          <w:tcPr>
            <w:tcW w:w="1017" w:type="dxa"/>
            <w:shd w:val="clear" w:color="auto" w:fill="A6A6A6" w:themeFill="background1" w:themeFillShade="A6"/>
            <w:vAlign w:val="center"/>
            <w:hideMark/>
          </w:tcPr>
          <w:p w14:paraId="69C513C1"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-4.9%</w:t>
            </w:r>
          </w:p>
        </w:tc>
        <w:tc>
          <w:tcPr>
            <w:tcW w:w="1020" w:type="dxa"/>
            <w:shd w:val="clear" w:color="auto" w:fill="A6A6A6" w:themeFill="background1" w:themeFillShade="A6"/>
            <w:vAlign w:val="center"/>
            <w:hideMark/>
          </w:tcPr>
          <w:p w14:paraId="4893D4AA"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2.0%</w:t>
            </w:r>
          </w:p>
        </w:tc>
        <w:tc>
          <w:tcPr>
            <w:tcW w:w="1271" w:type="dxa"/>
            <w:shd w:val="clear" w:color="auto" w:fill="A6A6A6" w:themeFill="background1" w:themeFillShade="A6"/>
            <w:vAlign w:val="center"/>
            <w:hideMark/>
          </w:tcPr>
          <w:p w14:paraId="6A5259C4"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12.2%</w:t>
            </w:r>
          </w:p>
        </w:tc>
        <w:tc>
          <w:tcPr>
            <w:tcW w:w="1057" w:type="dxa"/>
            <w:shd w:val="clear" w:color="auto" w:fill="A6A6A6" w:themeFill="background1" w:themeFillShade="A6"/>
            <w:vAlign w:val="center"/>
            <w:hideMark/>
          </w:tcPr>
          <w:p w14:paraId="744AB680"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-20.8%</w:t>
            </w:r>
          </w:p>
        </w:tc>
        <w:tc>
          <w:tcPr>
            <w:tcW w:w="1336" w:type="dxa"/>
            <w:shd w:val="clear" w:color="auto" w:fill="A6A6A6" w:themeFill="background1" w:themeFillShade="A6"/>
            <w:vAlign w:val="center"/>
            <w:hideMark/>
          </w:tcPr>
          <w:p w14:paraId="714847D4"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-2.1%</w:t>
            </w:r>
          </w:p>
        </w:tc>
        <w:tc>
          <w:tcPr>
            <w:tcW w:w="777" w:type="dxa"/>
            <w:shd w:val="clear" w:color="auto" w:fill="A6A6A6" w:themeFill="background1" w:themeFillShade="A6"/>
            <w:vAlign w:val="center"/>
            <w:hideMark/>
          </w:tcPr>
          <w:p w14:paraId="7CF88F9D"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-4.3%</w:t>
            </w:r>
          </w:p>
        </w:tc>
        <w:tc>
          <w:tcPr>
            <w:tcW w:w="1034" w:type="dxa"/>
            <w:shd w:val="clear" w:color="auto" w:fill="A6A6A6" w:themeFill="background1" w:themeFillShade="A6"/>
            <w:vAlign w:val="center"/>
            <w:hideMark/>
          </w:tcPr>
          <w:p w14:paraId="66AA8720"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-1.0%</w:t>
            </w:r>
          </w:p>
        </w:tc>
      </w:tr>
      <w:tr w:rsidR="00723E93" w:rsidRPr="007F6332" w14:paraId="742AEE63" w14:textId="77777777" w:rsidTr="0034641E">
        <w:trPr>
          <w:trHeight w:val="397"/>
        </w:trPr>
        <w:tc>
          <w:tcPr>
            <w:tcW w:w="1565" w:type="dxa"/>
            <w:shd w:val="clear" w:color="auto" w:fill="auto"/>
            <w:vAlign w:val="center"/>
            <w:hideMark/>
          </w:tcPr>
          <w:p w14:paraId="49C294D5" w14:textId="77777777" w:rsidR="00723E93" w:rsidRPr="007F6332" w:rsidRDefault="00723E93" w:rsidP="006C2D75">
            <w:pPr>
              <w:spacing w:after="0" w:line="240" w:lineRule="auto"/>
              <w:rPr>
                <w:rFonts w:eastAsia="Times New Roman" w:cs="Arial"/>
                <w:color w:val="000000"/>
                <w:sz w:val="21"/>
                <w:szCs w:val="21"/>
                <w:lang w:val="en-AU" w:eastAsia="en-AU"/>
              </w:rPr>
            </w:pPr>
            <w:r w:rsidRPr="007F6332">
              <w:rPr>
                <w:rFonts w:eastAsia="Times New Roman" w:cs="Arial"/>
                <w:color w:val="000000"/>
                <w:sz w:val="21"/>
                <w:szCs w:val="21"/>
                <w:lang w:val="en-AU" w:eastAsia="en-AU"/>
              </w:rPr>
              <w:t>Intellectual Disability</w:t>
            </w:r>
          </w:p>
        </w:tc>
        <w:tc>
          <w:tcPr>
            <w:tcW w:w="1017" w:type="dxa"/>
            <w:shd w:val="clear" w:color="auto" w:fill="auto"/>
            <w:vAlign w:val="center"/>
            <w:hideMark/>
          </w:tcPr>
          <w:p w14:paraId="48D4938F"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0.0%</w:t>
            </w:r>
          </w:p>
        </w:tc>
        <w:tc>
          <w:tcPr>
            <w:tcW w:w="1020" w:type="dxa"/>
            <w:shd w:val="clear" w:color="auto" w:fill="auto"/>
            <w:vAlign w:val="center"/>
            <w:hideMark/>
          </w:tcPr>
          <w:p w14:paraId="1E2DA92C"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8.7%</w:t>
            </w:r>
          </w:p>
        </w:tc>
        <w:tc>
          <w:tcPr>
            <w:tcW w:w="1271" w:type="dxa"/>
            <w:shd w:val="clear" w:color="auto" w:fill="auto"/>
            <w:vAlign w:val="center"/>
            <w:hideMark/>
          </w:tcPr>
          <w:p w14:paraId="58BFB6C1"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16.1%</w:t>
            </w:r>
          </w:p>
        </w:tc>
        <w:tc>
          <w:tcPr>
            <w:tcW w:w="1057" w:type="dxa"/>
            <w:shd w:val="clear" w:color="auto" w:fill="auto"/>
            <w:vAlign w:val="center"/>
            <w:hideMark/>
          </w:tcPr>
          <w:p w14:paraId="4DD2E5AD"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-15.1%</w:t>
            </w:r>
          </w:p>
        </w:tc>
        <w:tc>
          <w:tcPr>
            <w:tcW w:w="1336" w:type="dxa"/>
            <w:shd w:val="clear" w:color="auto" w:fill="auto"/>
            <w:vAlign w:val="center"/>
            <w:hideMark/>
          </w:tcPr>
          <w:p w14:paraId="2EC1F657"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0.4%</w:t>
            </w:r>
          </w:p>
        </w:tc>
        <w:tc>
          <w:tcPr>
            <w:tcW w:w="777" w:type="dxa"/>
            <w:shd w:val="clear" w:color="auto" w:fill="auto"/>
            <w:vAlign w:val="center"/>
            <w:hideMark/>
          </w:tcPr>
          <w:p w14:paraId="62142EEF"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-0.6%</w:t>
            </w:r>
          </w:p>
        </w:tc>
        <w:tc>
          <w:tcPr>
            <w:tcW w:w="1034" w:type="dxa"/>
            <w:shd w:val="clear" w:color="auto" w:fill="auto"/>
            <w:vAlign w:val="center"/>
            <w:hideMark/>
          </w:tcPr>
          <w:p w14:paraId="3B598408"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3.7%</w:t>
            </w:r>
          </w:p>
        </w:tc>
      </w:tr>
      <w:tr w:rsidR="00723E93" w:rsidRPr="007F6332" w14:paraId="07B91664" w14:textId="77777777" w:rsidTr="00C1755E">
        <w:trPr>
          <w:trHeight w:val="397"/>
        </w:trPr>
        <w:tc>
          <w:tcPr>
            <w:tcW w:w="1565" w:type="dxa"/>
            <w:shd w:val="clear" w:color="auto" w:fill="A6A6A6" w:themeFill="background1" w:themeFillShade="A6"/>
            <w:vAlign w:val="center"/>
            <w:hideMark/>
          </w:tcPr>
          <w:p w14:paraId="2E0830BF" w14:textId="77777777" w:rsidR="00723E93" w:rsidRPr="007F6332" w:rsidRDefault="00723E93" w:rsidP="006C2D75">
            <w:pPr>
              <w:spacing w:after="0" w:line="240" w:lineRule="auto"/>
              <w:rPr>
                <w:rFonts w:eastAsia="Times New Roman" w:cs="Arial"/>
                <w:color w:val="000000"/>
                <w:sz w:val="21"/>
                <w:szCs w:val="21"/>
                <w:lang w:val="en-AU" w:eastAsia="en-AU"/>
              </w:rPr>
            </w:pPr>
            <w:r w:rsidRPr="007F6332">
              <w:rPr>
                <w:rFonts w:eastAsia="Times New Roman" w:cs="Arial"/>
                <w:color w:val="000000"/>
                <w:sz w:val="21"/>
                <w:szCs w:val="21"/>
                <w:lang w:val="en-AU" w:eastAsia="en-AU"/>
              </w:rPr>
              <w:t>Psychosocial Disability</w:t>
            </w:r>
          </w:p>
        </w:tc>
        <w:tc>
          <w:tcPr>
            <w:tcW w:w="1017" w:type="dxa"/>
            <w:shd w:val="clear" w:color="auto" w:fill="A6A6A6" w:themeFill="background1" w:themeFillShade="A6"/>
            <w:vAlign w:val="center"/>
            <w:hideMark/>
          </w:tcPr>
          <w:p w14:paraId="0B42CEB4"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2.5%</w:t>
            </w:r>
          </w:p>
        </w:tc>
        <w:tc>
          <w:tcPr>
            <w:tcW w:w="1020" w:type="dxa"/>
            <w:shd w:val="clear" w:color="auto" w:fill="A6A6A6" w:themeFill="background1" w:themeFillShade="A6"/>
            <w:vAlign w:val="center"/>
            <w:hideMark/>
          </w:tcPr>
          <w:p w14:paraId="1D009587"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9.0%</w:t>
            </w:r>
          </w:p>
        </w:tc>
        <w:tc>
          <w:tcPr>
            <w:tcW w:w="1271" w:type="dxa"/>
            <w:shd w:val="clear" w:color="auto" w:fill="A6A6A6" w:themeFill="background1" w:themeFillShade="A6"/>
            <w:vAlign w:val="center"/>
            <w:hideMark/>
          </w:tcPr>
          <w:p w14:paraId="3A75101E"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23.4%</w:t>
            </w:r>
          </w:p>
        </w:tc>
        <w:tc>
          <w:tcPr>
            <w:tcW w:w="1057" w:type="dxa"/>
            <w:shd w:val="clear" w:color="auto" w:fill="A6A6A6" w:themeFill="background1" w:themeFillShade="A6"/>
            <w:vAlign w:val="center"/>
            <w:hideMark/>
          </w:tcPr>
          <w:p w14:paraId="37F831F4"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-11.2%</w:t>
            </w:r>
          </w:p>
        </w:tc>
        <w:tc>
          <w:tcPr>
            <w:tcW w:w="1336" w:type="dxa"/>
            <w:shd w:val="clear" w:color="auto" w:fill="A6A6A6" w:themeFill="background1" w:themeFillShade="A6"/>
            <w:vAlign w:val="center"/>
            <w:hideMark/>
          </w:tcPr>
          <w:p w14:paraId="47A13C6D"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1.6%</w:t>
            </w:r>
          </w:p>
        </w:tc>
        <w:tc>
          <w:tcPr>
            <w:tcW w:w="777" w:type="dxa"/>
            <w:shd w:val="clear" w:color="auto" w:fill="A6A6A6" w:themeFill="background1" w:themeFillShade="A6"/>
            <w:vAlign w:val="center"/>
            <w:hideMark/>
          </w:tcPr>
          <w:p w14:paraId="0F97F2D3"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-3.4%</w:t>
            </w:r>
          </w:p>
        </w:tc>
        <w:tc>
          <w:tcPr>
            <w:tcW w:w="1034" w:type="dxa"/>
            <w:shd w:val="clear" w:color="auto" w:fill="A6A6A6" w:themeFill="background1" w:themeFillShade="A6"/>
            <w:vAlign w:val="center"/>
            <w:hideMark/>
          </w:tcPr>
          <w:p w14:paraId="534B383B"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8.0%</w:t>
            </w:r>
          </w:p>
        </w:tc>
      </w:tr>
      <w:tr w:rsidR="00723E93" w:rsidRPr="007F6332" w14:paraId="44BC3E84" w14:textId="77777777" w:rsidTr="0034641E">
        <w:trPr>
          <w:trHeight w:val="397"/>
        </w:trPr>
        <w:tc>
          <w:tcPr>
            <w:tcW w:w="1565" w:type="dxa"/>
            <w:shd w:val="clear" w:color="auto" w:fill="auto"/>
            <w:vAlign w:val="center"/>
            <w:hideMark/>
          </w:tcPr>
          <w:p w14:paraId="629C9D78" w14:textId="77777777" w:rsidR="00723E93" w:rsidRPr="007F6332" w:rsidRDefault="00723E93" w:rsidP="006C2D75">
            <w:pPr>
              <w:spacing w:after="0" w:line="240" w:lineRule="auto"/>
              <w:rPr>
                <w:rFonts w:eastAsia="Times New Roman" w:cs="Arial"/>
                <w:color w:val="000000"/>
                <w:sz w:val="21"/>
                <w:szCs w:val="21"/>
                <w:lang w:val="en-AU" w:eastAsia="en-AU"/>
              </w:rPr>
            </w:pPr>
            <w:r w:rsidRPr="007F6332">
              <w:rPr>
                <w:rFonts w:eastAsia="Times New Roman" w:cs="Arial"/>
                <w:color w:val="000000"/>
                <w:sz w:val="21"/>
                <w:szCs w:val="21"/>
                <w:lang w:val="en-AU" w:eastAsia="en-AU"/>
              </w:rPr>
              <w:t>Other Neurological</w:t>
            </w:r>
          </w:p>
        </w:tc>
        <w:tc>
          <w:tcPr>
            <w:tcW w:w="1017" w:type="dxa"/>
            <w:shd w:val="clear" w:color="auto" w:fill="auto"/>
            <w:vAlign w:val="center"/>
            <w:hideMark/>
          </w:tcPr>
          <w:p w14:paraId="2D51E5B4"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5.1%</w:t>
            </w:r>
          </w:p>
        </w:tc>
        <w:tc>
          <w:tcPr>
            <w:tcW w:w="1020" w:type="dxa"/>
            <w:shd w:val="clear" w:color="auto" w:fill="auto"/>
            <w:vAlign w:val="center"/>
            <w:hideMark/>
          </w:tcPr>
          <w:p w14:paraId="39E5ED74"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9.5%</w:t>
            </w:r>
          </w:p>
        </w:tc>
        <w:tc>
          <w:tcPr>
            <w:tcW w:w="1271" w:type="dxa"/>
            <w:shd w:val="clear" w:color="auto" w:fill="auto"/>
            <w:vAlign w:val="center"/>
            <w:hideMark/>
          </w:tcPr>
          <w:p w14:paraId="44D3446C"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20.8%</w:t>
            </w:r>
          </w:p>
        </w:tc>
        <w:tc>
          <w:tcPr>
            <w:tcW w:w="1057" w:type="dxa"/>
            <w:shd w:val="clear" w:color="auto" w:fill="auto"/>
            <w:vAlign w:val="center"/>
            <w:hideMark/>
          </w:tcPr>
          <w:p w14:paraId="77F4AF6F"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-13.0%</w:t>
            </w:r>
          </w:p>
        </w:tc>
        <w:tc>
          <w:tcPr>
            <w:tcW w:w="1336" w:type="dxa"/>
            <w:shd w:val="clear" w:color="auto" w:fill="auto"/>
            <w:vAlign w:val="center"/>
            <w:hideMark/>
          </w:tcPr>
          <w:p w14:paraId="00FB2B1E"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-4.1%</w:t>
            </w:r>
          </w:p>
        </w:tc>
        <w:tc>
          <w:tcPr>
            <w:tcW w:w="777" w:type="dxa"/>
            <w:shd w:val="clear" w:color="auto" w:fill="auto"/>
            <w:vAlign w:val="center"/>
            <w:hideMark/>
          </w:tcPr>
          <w:p w14:paraId="3EB1BFB1"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-3.9%</w:t>
            </w:r>
          </w:p>
        </w:tc>
        <w:tc>
          <w:tcPr>
            <w:tcW w:w="1034" w:type="dxa"/>
            <w:shd w:val="clear" w:color="auto" w:fill="auto"/>
            <w:vAlign w:val="center"/>
            <w:hideMark/>
          </w:tcPr>
          <w:p w14:paraId="4413C012"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6.2%</w:t>
            </w:r>
          </w:p>
        </w:tc>
      </w:tr>
      <w:tr w:rsidR="00723E93" w:rsidRPr="007F6332" w14:paraId="401A6674" w14:textId="77777777" w:rsidTr="00C1755E">
        <w:trPr>
          <w:trHeight w:val="397"/>
        </w:trPr>
        <w:tc>
          <w:tcPr>
            <w:tcW w:w="1565" w:type="dxa"/>
            <w:tcBorders>
              <w:bottom w:val="nil"/>
            </w:tcBorders>
            <w:shd w:val="clear" w:color="auto" w:fill="A6A6A6" w:themeFill="background1" w:themeFillShade="A6"/>
            <w:vAlign w:val="center"/>
            <w:hideMark/>
          </w:tcPr>
          <w:p w14:paraId="04B72ED7" w14:textId="77777777" w:rsidR="00723E93" w:rsidRPr="007F6332" w:rsidRDefault="00723E93" w:rsidP="006C2D75">
            <w:pPr>
              <w:spacing w:after="0" w:line="240" w:lineRule="auto"/>
              <w:rPr>
                <w:rFonts w:eastAsia="Times New Roman" w:cs="Arial"/>
                <w:color w:val="000000"/>
                <w:sz w:val="21"/>
                <w:szCs w:val="21"/>
                <w:lang w:val="en-AU" w:eastAsia="en-AU"/>
              </w:rPr>
            </w:pPr>
            <w:r w:rsidRPr="007F6332">
              <w:rPr>
                <w:rFonts w:eastAsia="Times New Roman" w:cs="Arial"/>
                <w:color w:val="000000"/>
                <w:sz w:val="21"/>
                <w:szCs w:val="21"/>
                <w:lang w:val="en-AU" w:eastAsia="en-AU"/>
              </w:rPr>
              <w:t>Other</w:t>
            </w:r>
          </w:p>
        </w:tc>
        <w:tc>
          <w:tcPr>
            <w:tcW w:w="1017" w:type="dxa"/>
            <w:tcBorders>
              <w:bottom w:val="nil"/>
            </w:tcBorders>
            <w:shd w:val="clear" w:color="auto" w:fill="A6A6A6" w:themeFill="background1" w:themeFillShade="A6"/>
            <w:vAlign w:val="center"/>
            <w:hideMark/>
          </w:tcPr>
          <w:p w14:paraId="028C9C44"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-1.1%</w:t>
            </w:r>
          </w:p>
        </w:tc>
        <w:tc>
          <w:tcPr>
            <w:tcW w:w="1020" w:type="dxa"/>
            <w:tcBorders>
              <w:bottom w:val="nil"/>
            </w:tcBorders>
            <w:shd w:val="clear" w:color="auto" w:fill="A6A6A6" w:themeFill="background1" w:themeFillShade="A6"/>
            <w:vAlign w:val="center"/>
            <w:hideMark/>
          </w:tcPr>
          <w:p w14:paraId="67538BFB"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3.4%</w:t>
            </w:r>
          </w:p>
        </w:tc>
        <w:tc>
          <w:tcPr>
            <w:tcW w:w="1271" w:type="dxa"/>
            <w:tcBorders>
              <w:bottom w:val="nil"/>
            </w:tcBorders>
            <w:shd w:val="clear" w:color="auto" w:fill="A6A6A6" w:themeFill="background1" w:themeFillShade="A6"/>
            <w:vAlign w:val="center"/>
            <w:hideMark/>
          </w:tcPr>
          <w:p w14:paraId="0B2E0DA2"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13.4%</w:t>
            </w:r>
          </w:p>
        </w:tc>
        <w:tc>
          <w:tcPr>
            <w:tcW w:w="1057" w:type="dxa"/>
            <w:tcBorders>
              <w:bottom w:val="nil"/>
            </w:tcBorders>
            <w:shd w:val="clear" w:color="auto" w:fill="A6A6A6" w:themeFill="background1" w:themeFillShade="A6"/>
            <w:vAlign w:val="center"/>
            <w:hideMark/>
          </w:tcPr>
          <w:p w14:paraId="00CDA41F"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-18.2%</w:t>
            </w:r>
          </w:p>
        </w:tc>
        <w:tc>
          <w:tcPr>
            <w:tcW w:w="1336" w:type="dxa"/>
            <w:tcBorders>
              <w:bottom w:val="nil"/>
            </w:tcBorders>
            <w:shd w:val="clear" w:color="auto" w:fill="A6A6A6" w:themeFill="background1" w:themeFillShade="A6"/>
            <w:vAlign w:val="center"/>
            <w:hideMark/>
          </w:tcPr>
          <w:p w14:paraId="6C1DE970"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-5.3%</w:t>
            </w:r>
          </w:p>
        </w:tc>
        <w:tc>
          <w:tcPr>
            <w:tcW w:w="777" w:type="dxa"/>
            <w:tcBorders>
              <w:bottom w:val="nil"/>
            </w:tcBorders>
            <w:shd w:val="clear" w:color="auto" w:fill="A6A6A6" w:themeFill="background1" w:themeFillShade="A6"/>
            <w:vAlign w:val="center"/>
            <w:hideMark/>
          </w:tcPr>
          <w:p w14:paraId="52916606"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-9.1%</w:t>
            </w:r>
          </w:p>
        </w:tc>
        <w:tc>
          <w:tcPr>
            <w:tcW w:w="1034" w:type="dxa"/>
            <w:tcBorders>
              <w:bottom w:val="nil"/>
            </w:tcBorders>
            <w:shd w:val="clear" w:color="auto" w:fill="A6A6A6" w:themeFill="background1" w:themeFillShade="A6"/>
            <w:vAlign w:val="center"/>
            <w:hideMark/>
          </w:tcPr>
          <w:p w14:paraId="2F03CE9F" w14:textId="77777777" w:rsidR="00723E93" w:rsidRPr="007F6332" w:rsidRDefault="00723E93" w:rsidP="006C2D75">
            <w:pPr>
              <w:spacing w:after="0" w:line="240" w:lineRule="auto"/>
              <w:jc w:val="center"/>
              <w:rPr>
                <w:rFonts w:eastAsia="Times New Roman" w:cs="Arial"/>
                <w:color w:val="000000"/>
                <w:sz w:val="21"/>
                <w:szCs w:val="21"/>
                <w:lang w:val="en-AU" w:eastAsia="en-AU"/>
              </w:rPr>
            </w:pPr>
            <w:r w:rsidRPr="007F6332">
              <w:rPr>
                <w:rFonts w:cs="Arial"/>
                <w:color w:val="000000"/>
                <w:sz w:val="21"/>
                <w:szCs w:val="21"/>
              </w:rPr>
              <w:t>0.1%</w:t>
            </w:r>
          </w:p>
        </w:tc>
      </w:tr>
      <w:tr w:rsidR="00723E93" w:rsidRPr="007F6332" w14:paraId="6E9600AC" w14:textId="77777777" w:rsidTr="0034641E">
        <w:trPr>
          <w:trHeight w:val="397"/>
        </w:trPr>
        <w:tc>
          <w:tcPr>
            <w:tcW w:w="1565" w:type="dxa"/>
            <w:tcBorders>
              <w:bottom w:val="single" w:sz="4" w:space="0" w:color="auto"/>
            </w:tcBorders>
            <w:shd w:val="clear" w:color="000000" w:fill="B398B8"/>
            <w:vAlign w:val="center"/>
            <w:hideMark/>
          </w:tcPr>
          <w:p w14:paraId="4FD94EED" w14:textId="77777777" w:rsidR="00723E93" w:rsidRPr="007F6332" w:rsidRDefault="00723E93" w:rsidP="006C2D75">
            <w:pPr>
              <w:spacing w:after="0" w:line="240" w:lineRule="auto"/>
              <w:rPr>
                <w:rFonts w:eastAsia="Times New Roman" w:cs="Arial"/>
                <w:b/>
                <w:bCs/>
                <w:color w:val="000000"/>
                <w:sz w:val="21"/>
                <w:szCs w:val="21"/>
                <w:lang w:val="en-AU" w:eastAsia="en-AU"/>
              </w:rPr>
            </w:pPr>
            <w:r w:rsidRPr="007F6332">
              <w:rPr>
                <w:rFonts w:eastAsia="Times New Roman" w:cs="Arial"/>
                <w:b/>
                <w:bCs/>
                <w:color w:val="000000"/>
                <w:sz w:val="21"/>
                <w:szCs w:val="21"/>
                <w:lang w:val="en-AU" w:eastAsia="en-AU"/>
              </w:rPr>
              <w:t>Total</w:t>
            </w:r>
          </w:p>
        </w:tc>
        <w:tc>
          <w:tcPr>
            <w:tcW w:w="1017" w:type="dxa"/>
            <w:tcBorders>
              <w:bottom w:val="single" w:sz="4" w:space="0" w:color="auto"/>
            </w:tcBorders>
            <w:shd w:val="clear" w:color="000000" w:fill="B398B8"/>
            <w:vAlign w:val="center"/>
            <w:hideMark/>
          </w:tcPr>
          <w:p w14:paraId="5EB5AB52" w14:textId="77777777" w:rsidR="00723E93" w:rsidRPr="007F6332" w:rsidRDefault="00723E93" w:rsidP="006C2D75">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-0.7%</w:t>
            </w:r>
          </w:p>
        </w:tc>
        <w:tc>
          <w:tcPr>
            <w:tcW w:w="1020" w:type="dxa"/>
            <w:tcBorders>
              <w:bottom w:val="single" w:sz="4" w:space="0" w:color="auto"/>
            </w:tcBorders>
            <w:shd w:val="clear" w:color="000000" w:fill="B398B8"/>
            <w:vAlign w:val="center"/>
            <w:hideMark/>
          </w:tcPr>
          <w:p w14:paraId="7A7A3EBB" w14:textId="77777777" w:rsidR="00723E93" w:rsidRPr="007F6332" w:rsidRDefault="00723E93" w:rsidP="006C2D75">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4.5%</w:t>
            </w:r>
          </w:p>
        </w:tc>
        <w:tc>
          <w:tcPr>
            <w:tcW w:w="1271" w:type="dxa"/>
            <w:tcBorders>
              <w:bottom w:val="single" w:sz="4" w:space="0" w:color="auto"/>
            </w:tcBorders>
            <w:shd w:val="clear" w:color="000000" w:fill="B398B8"/>
            <w:vAlign w:val="center"/>
            <w:hideMark/>
          </w:tcPr>
          <w:p w14:paraId="3EC572E3" w14:textId="77777777" w:rsidR="00723E93" w:rsidRPr="007F6332" w:rsidRDefault="00723E93" w:rsidP="006C2D75">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15.4%</w:t>
            </w:r>
          </w:p>
        </w:tc>
        <w:tc>
          <w:tcPr>
            <w:tcW w:w="1057" w:type="dxa"/>
            <w:tcBorders>
              <w:bottom w:val="single" w:sz="4" w:space="0" w:color="auto"/>
            </w:tcBorders>
            <w:shd w:val="clear" w:color="000000" w:fill="B398B8"/>
            <w:vAlign w:val="center"/>
            <w:hideMark/>
          </w:tcPr>
          <w:p w14:paraId="37D5381F" w14:textId="77777777" w:rsidR="00723E93" w:rsidRPr="007F6332" w:rsidRDefault="00723E93" w:rsidP="006C2D75">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-17.9%</w:t>
            </w:r>
          </w:p>
        </w:tc>
        <w:tc>
          <w:tcPr>
            <w:tcW w:w="1336" w:type="dxa"/>
            <w:tcBorders>
              <w:bottom w:val="single" w:sz="4" w:space="0" w:color="auto"/>
            </w:tcBorders>
            <w:shd w:val="clear" w:color="000000" w:fill="B398B8"/>
            <w:vAlign w:val="center"/>
            <w:hideMark/>
          </w:tcPr>
          <w:p w14:paraId="09D6C5F2" w14:textId="77777777" w:rsidR="00723E93" w:rsidRPr="007F6332" w:rsidRDefault="00723E93" w:rsidP="006C2D75">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-2.2%</w:t>
            </w:r>
          </w:p>
        </w:tc>
        <w:tc>
          <w:tcPr>
            <w:tcW w:w="777" w:type="dxa"/>
            <w:tcBorders>
              <w:bottom w:val="single" w:sz="4" w:space="0" w:color="auto"/>
            </w:tcBorders>
            <w:shd w:val="clear" w:color="000000" w:fill="B398B8"/>
            <w:vAlign w:val="center"/>
            <w:hideMark/>
          </w:tcPr>
          <w:p w14:paraId="0F748FBC" w14:textId="77777777" w:rsidR="00723E93" w:rsidRPr="007F6332" w:rsidRDefault="00723E93" w:rsidP="006C2D75">
            <w:pPr>
              <w:spacing w:after="0" w:line="240" w:lineRule="auto"/>
              <w:jc w:val="center"/>
              <w:rPr>
                <w:rFonts w:eastAsia="Times New Roman" w:cs="Arial"/>
                <w:b/>
                <w:bCs/>
                <w:color w:val="000000"/>
                <w:sz w:val="21"/>
                <w:szCs w:val="21"/>
                <w:lang w:val="en-AU" w:eastAsia="en-AU"/>
              </w:rPr>
            </w:pPr>
            <w:r w:rsidRPr="007F6332">
              <w:rPr>
                <w:rFonts w:cs="Arial"/>
                <w:b/>
                <w:bCs/>
                <w:color w:val="000000"/>
                <w:sz w:val="21"/>
                <w:szCs w:val="21"/>
              </w:rPr>
              <w:t>-5.3%</w:t>
            </w:r>
          </w:p>
        </w:tc>
        <w:tc>
          <w:tcPr>
            <w:tcW w:w="1034" w:type="dxa"/>
            <w:tcBorders>
              <w:bottom w:val="single" w:sz="4" w:space="0" w:color="auto"/>
            </w:tcBorders>
            <w:shd w:val="clear" w:color="000000" w:fill="B398B8"/>
            <w:vAlign w:val="center"/>
            <w:hideMark/>
          </w:tcPr>
          <w:p w14:paraId="05BAE954"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 w:val="21"/>
                <w:szCs w:val="21"/>
              </w:rPr>
              <w:t>2.0%</w:t>
            </w:r>
          </w:p>
        </w:tc>
      </w:tr>
    </w:tbl>
    <w:p w14:paraId="3ACCF53B" w14:textId="5D1D422F" w:rsidR="00EF16F8" w:rsidRPr="007F6332" w:rsidRDefault="00EF16F8" w:rsidP="00EF16F8">
      <w:pPr>
        <w:spacing w:before="240"/>
        <w:rPr>
          <w:rFonts w:cs="Arial"/>
          <w:lang w:val="en-AU"/>
        </w:rPr>
      </w:pPr>
      <w:bookmarkStart w:id="176" w:name="_Ref144326191"/>
      <w:r w:rsidRPr="007F6332">
        <w:rPr>
          <w:rFonts w:cs="Arial"/>
          <w:lang w:val="en-AU"/>
        </w:rPr>
        <w:t xml:space="preserve">Average payment assumptions are set by support category, disability group, SIL status, level of function and age band and consists of a total of 2,052 cohorts. Tables 5.22 and 5.23 summarise the starting average payment assumptions for the June 2023 projections by main support categories and main disabilities for participants with and without SIL supports. </w:t>
      </w:r>
    </w:p>
    <w:p w14:paraId="63E8A190" w14:textId="4A90C7BE" w:rsidR="00EF16F8" w:rsidRPr="007F6332" w:rsidRDefault="00EF16F8" w:rsidP="00EF16F8">
      <w:pPr>
        <w:spacing w:before="240"/>
        <w:rPr>
          <w:rFonts w:cs="Arial"/>
          <w:lang w:val="en-AU"/>
        </w:rPr>
      </w:pPr>
      <w:r w:rsidRPr="007F6332">
        <w:rPr>
          <w:rFonts w:cs="Arial"/>
          <w:lang w:val="en-AU"/>
        </w:rPr>
        <w:t>Daily Activities and Social Community Civic support categories generally have the highest average payment assumptions. The exception is for children with developmental delay, whose payments are dominated by Capacity Building Daily Activities (including therapy supports).</w:t>
      </w:r>
    </w:p>
    <w:p w14:paraId="6E8AF5F0" w14:textId="77777777" w:rsidR="00EF16F8" w:rsidRPr="007F6332" w:rsidRDefault="00EF16F8" w:rsidP="00EF16F8">
      <w:pPr>
        <w:spacing w:before="240"/>
        <w:rPr>
          <w:rFonts w:cs="Arial"/>
          <w:lang w:val="en-AU"/>
        </w:rPr>
      </w:pPr>
      <w:r w:rsidRPr="007F6332">
        <w:rPr>
          <w:rFonts w:cs="Arial"/>
          <w:lang w:val="en-AU"/>
        </w:rPr>
        <w:t>Average payment assumptions for participants with developmental delay are the lowest for participants without SIL, given this group mainly includes young children with low needs for Core supports. The highest average payment assumptions for participants without SIL are for those with other neurological disabilities; these tend to be older participants.</w:t>
      </w:r>
    </w:p>
    <w:p w14:paraId="6377FCED" w14:textId="6B3893EB" w:rsidR="00723E93" w:rsidRPr="007F6332" w:rsidRDefault="00723E93" w:rsidP="00446FB4">
      <w:pPr>
        <w:pStyle w:val="FiguresandTablesHeading4"/>
      </w:pPr>
      <w:r w:rsidRPr="007F6332">
        <w:lastRenderedPageBreak/>
        <w:t xml:space="preserve">Table </w:t>
      </w:r>
      <w:bookmarkEnd w:id="176"/>
      <w:r w:rsidR="0045717D" w:rsidRPr="007F6332">
        <w:t>5.22:</w:t>
      </w:r>
      <w:r w:rsidRPr="007F6332">
        <w:t xml:space="preserve"> Base average payment assumptions for participants without SIL</w:t>
      </w:r>
      <w:bookmarkStart w:id="177" w:name="_Ref145084009"/>
      <w:r w:rsidRPr="007F6332">
        <w:rPr>
          <w:vertAlign w:val="superscript"/>
        </w:rPr>
        <w:footnoteReference w:id="97"/>
      </w:r>
      <w:bookmarkEnd w:id="177"/>
    </w:p>
    <w:tbl>
      <w:tblPr>
        <w:tblW w:w="9511" w:type="dxa"/>
        <w:tblBorders>
          <w:bottom w:val="single" w:sz="4" w:space="0" w:color="auto"/>
        </w:tblBorders>
        <w:tblLayout w:type="fixed"/>
        <w:tblLook w:val="04A0" w:firstRow="1" w:lastRow="0" w:firstColumn="1" w:lastColumn="0" w:noHBand="0" w:noVBand="1"/>
      </w:tblPr>
      <w:tblGrid>
        <w:gridCol w:w="1384"/>
        <w:gridCol w:w="1167"/>
        <w:gridCol w:w="1371"/>
        <w:gridCol w:w="1150"/>
        <w:gridCol w:w="1197"/>
        <w:gridCol w:w="1528"/>
        <w:gridCol w:w="855"/>
        <w:gridCol w:w="859"/>
      </w:tblGrid>
      <w:tr w:rsidR="00796580" w:rsidRPr="007F6332" w14:paraId="11A8352A" w14:textId="77777777" w:rsidTr="00C1755E">
        <w:trPr>
          <w:trHeight w:val="583"/>
        </w:trPr>
        <w:tc>
          <w:tcPr>
            <w:tcW w:w="1384" w:type="dxa"/>
            <w:shd w:val="clear" w:color="000000" w:fill="6B2976"/>
            <w:noWrap/>
            <w:vAlign w:val="center"/>
            <w:hideMark/>
          </w:tcPr>
          <w:p w14:paraId="0D2F0C7B"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p>
        </w:tc>
        <w:tc>
          <w:tcPr>
            <w:tcW w:w="1167" w:type="dxa"/>
            <w:shd w:val="clear" w:color="000000" w:fill="6B2976"/>
            <w:vAlign w:val="center"/>
            <w:hideMark/>
          </w:tcPr>
          <w:p w14:paraId="60FE923D"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Daily Activities</w:t>
            </w:r>
          </w:p>
        </w:tc>
        <w:tc>
          <w:tcPr>
            <w:tcW w:w="1371" w:type="dxa"/>
            <w:shd w:val="clear" w:color="000000" w:fill="6B2976"/>
            <w:vAlign w:val="center"/>
            <w:hideMark/>
          </w:tcPr>
          <w:p w14:paraId="213D19E9"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Social Community Civic</w:t>
            </w:r>
          </w:p>
        </w:tc>
        <w:tc>
          <w:tcPr>
            <w:tcW w:w="1150" w:type="dxa"/>
            <w:shd w:val="clear" w:color="000000" w:fill="6B2976"/>
            <w:vAlign w:val="center"/>
            <w:hideMark/>
          </w:tcPr>
          <w:p w14:paraId="4017BAC3"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CB Daily Activities</w:t>
            </w:r>
          </w:p>
        </w:tc>
        <w:tc>
          <w:tcPr>
            <w:tcW w:w="1197" w:type="dxa"/>
            <w:shd w:val="clear" w:color="000000" w:fill="6B2976"/>
            <w:noWrap/>
            <w:vAlign w:val="center"/>
            <w:hideMark/>
          </w:tcPr>
          <w:p w14:paraId="6964B0BD"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Transport</w:t>
            </w:r>
          </w:p>
        </w:tc>
        <w:tc>
          <w:tcPr>
            <w:tcW w:w="1528" w:type="dxa"/>
            <w:shd w:val="clear" w:color="000000" w:fill="6B2976"/>
            <w:vAlign w:val="center"/>
            <w:hideMark/>
          </w:tcPr>
          <w:p w14:paraId="56DD440F"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Support Coordination</w:t>
            </w:r>
          </w:p>
        </w:tc>
        <w:tc>
          <w:tcPr>
            <w:tcW w:w="855" w:type="dxa"/>
            <w:tcBorders>
              <w:right w:val="dashed" w:sz="4" w:space="0" w:color="auto"/>
            </w:tcBorders>
            <w:shd w:val="clear" w:color="000000" w:fill="6B2976"/>
            <w:noWrap/>
            <w:vAlign w:val="center"/>
            <w:hideMark/>
          </w:tcPr>
          <w:p w14:paraId="0188E7E4"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Other</w:t>
            </w:r>
          </w:p>
        </w:tc>
        <w:tc>
          <w:tcPr>
            <w:tcW w:w="859" w:type="dxa"/>
            <w:tcBorders>
              <w:left w:val="dashed" w:sz="4" w:space="0" w:color="auto"/>
              <w:bottom w:val="nil"/>
            </w:tcBorders>
            <w:shd w:val="clear" w:color="000000" w:fill="6B2976"/>
            <w:noWrap/>
            <w:vAlign w:val="center"/>
            <w:hideMark/>
          </w:tcPr>
          <w:p w14:paraId="7C34D3A4"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Total</w:t>
            </w:r>
          </w:p>
        </w:tc>
      </w:tr>
      <w:tr w:rsidR="00796580" w:rsidRPr="007F6332" w14:paraId="7B41FD69" w14:textId="77777777" w:rsidTr="00796580">
        <w:trPr>
          <w:trHeight w:val="397"/>
        </w:trPr>
        <w:tc>
          <w:tcPr>
            <w:tcW w:w="1384" w:type="dxa"/>
            <w:shd w:val="clear" w:color="auto" w:fill="auto"/>
            <w:noWrap/>
            <w:vAlign w:val="center"/>
            <w:hideMark/>
          </w:tcPr>
          <w:p w14:paraId="7D0C5190"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Autism</w:t>
            </w:r>
          </w:p>
        </w:tc>
        <w:tc>
          <w:tcPr>
            <w:tcW w:w="1167" w:type="dxa"/>
            <w:shd w:val="clear" w:color="auto" w:fill="auto"/>
            <w:noWrap/>
            <w:vAlign w:val="center"/>
          </w:tcPr>
          <w:p w14:paraId="5CA20230"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8,200</w:t>
            </w:r>
          </w:p>
        </w:tc>
        <w:tc>
          <w:tcPr>
            <w:tcW w:w="1371" w:type="dxa"/>
            <w:shd w:val="clear" w:color="auto" w:fill="auto"/>
            <w:noWrap/>
            <w:vAlign w:val="center"/>
          </w:tcPr>
          <w:p w14:paraId="4E3AD576"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5,900</w:t>
            </w:r>
          </w:p>
        </w:tc>
        <w:tc>
          <w:tcPr>
            <w:tcW w:w="1150" w:type="dxa"/>
            <w:shd w:val="clear" w:color="auto" w:fill="auto"/>
            <w:noWrap/>
            <w:vAlign w:val="center"/>
          </w:tcPr>
          <w:p w14:paraId="421BEA88"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7,400</w:t>
            </w:r>
          </w:p>
        </w:tc>
        <w:tc>
          <w:tcPr>
            <w:tcW w:w="1197" w:type="dxa"/>
            <w:shd w:val="clear" w:color="auto" w:fill="auto"/>
            <w:noWrap/>
            <w:vAlign w:val="center"/>
          </w:tcPr>
          <w:p w14:paraId="44013501"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1,500</w:t>
            </w:r>
          </w:p>
        </w:tc>
        <w:tc>
          <w:tcPr>
            <w:tcW w:w="1528" w:type="dxa"/>
            <w:shd w:val="clear" w:color="auto" w:fill="auto"/>
            <w:noWrap/>
            <w:vAlign w:val="center"/>
          </w:tcPr>
          <w:p w14:paraId="7D5B39C8"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700</w:t>
            </w:r>
          </w:p>
        </w:tc>
        <w:tc>
          <w:tcPr>
            <w:tcW w:w="855" w:type="dxa"/>
            <w:tcBorders>
              <w:right w:val="dashed" w:sz="4" w:space="0" w:color="auto"/>
            </w:tcBorders>
            <w:shd w:val="clear" w:color="auto" w:fill="auto"/>
            <w:noWrap/>
            <w:vAlign w:val="center"/>
          </w:tcPr>
          <w:p w14:paraId="2FC4A65E"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2,600</w:t>
            </w:r>
          </w:p>
        </w:tc>
        <w:tc>
          <w:tcPr>
            <w:tcW w:w="859" w:type="dxa"/>
            <w:tcBorders>
              <w:left w:val="dashed" w:sz="4" w:space="0" w:color="auto"/>
              <w:bottom w:val="nil"/>
            </w:tcBorders>
            <w:shd w:val="clear" w:color="auto" w:fill="auto"/>
            <w:noWrap/>
            <w:vAlign w:val="center"/>
          </w:tcPr>
          <w:p w14:paraId="262F2F9A"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color w:val="000000"/>
                <w:sz w:val="20"/>
                <w:szCs w:val="20"/>
              </w:rPr>
              <w:t>26,400</w:t>
            </w:r>
          </w:p>
        </w:tc>
      </w:tr>
      <w:tr w:rsidR="00796580" w:rsidRPr="007F6332" w14:paraId="6B9FCA59" w14:textId="77777777" w:rsidTr="00C1755E">
        <w:trPr>
          <w:trHeight w:val="397"/>
        </w:trPr>
        <w:tc>
          <w:tcPr>
            <w:tcW w:w="1384" w:type="dxa"/>
            <w:shd w:val="clear" w:color="000000" w:fill="A7A9AC"/>
            <w:noWrap/>
            <w:vAlign w:val="center"/>
            <w:hideMark/>
          </w:tcPr>
          <w:p w14:paraId="2DA39683"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Intellectual Disability</w:t>
            </w:r>
          </w:p>
        </w:tc>
        <w:tc>
          <w:tcPr>
            <w:tcW w:w="1167" w:type="dxa"/>
            <w:shd w:val="clear" w:color="000000" w:fill="A7A9AC"/>
            <w:noWrap/>
            <w:vAlign w:val="center"/>
          </w:tcPr>
          <w:p w14:paraId="77D1F2AF"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21,500</w:t>
            </w:r>
          </w:p>
        </w:tc>
        <w:tc>
          <w:tcPr>
            <w:tcW w:w="1371" w:type="dxa"/>
            <w:shd w:val="clear" w:color="000000" w:fill="A7A9AC"/>
            <w:noWrap/>
            <w:vAlign w:val="center"/>
          </w:tcPr>
          <w:p w14:paraId="4C580E46"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20,500</w:t>
            </w:r>
          </w:p>
        </w:tc>
        <w:tc>
          <w:tcPr>
            <w:tcW w:w="1150" w:type="dxa"/>
            <w:shd w:val="clear" w:color="000000" w:fill="A7A9AC"/>
            <w:noWrap/>
            <w:vAlign w:val="center"/>
          </w:tcPr>
          <w:p w14:paraId="69286014"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5,900</w:t>
            </w:r>
          </w:p>
        </w:tc>
        <w:tc>
          <w:tcPr>
            <w:tcW w:w="1197" w:type="dxa"/>
            <w:shd w:val="clear" w:color="000000" w:fill="A7A9AC"/>
            <w:noWrap/>
            <w:vAlign w:val="center"/>
          </w:tcPr>
          <w:p w14:paraId="4CFAD880"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2,500</w:t>
            </w:r>
          </w:p>
        </w:tc>
        <w:tc>
          <w:tcPr>
            <w:tcW w:w="1528" w:type="dxa"/>
            <w:shd w:val="clear" w:color="000000" w:fill="A7A9AC"/>
            <w:noWrap/>
            <w:vAlign w:val="center"/>
          </w:tcPr>
          <w:p w14:paraId="4E507C4B"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1,600</w:t>
            </w:r>
          </w:p>
        </w:tc>
        <w:tc>
          <w:tcPr>
            <w:tcW w:w="855" w:type="dxa"/>
            <w:tcBorders>
              <w:right w:val="dashed" w:sz="4" w:space="0" w:color="auto"/>
            </w:tcBorders>
            <w:shd w:val="clear" w:color="000000" w:fill="A7A9AC"/>
            <w:noWrap/>
            <w:vAlign w:val="center"/>
          </w:tcPr>
          <w:p w14:paraId="00BD2244"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4,100</w:t>
            </w:r>
          </w:p>
        </w:tc>
        <w:tc>
          <w:tcPr>
            <w:tcW w:w="859" w:type="dxa"/>
            <w:tcBorders>
              <w:left w:val="dashed" w:sz="4" w:space="0" w:color="auto"/>
              <w:bottom w:val="nil"/>
            </w:tcBorders>
            <w:shd w:val="clear" w:color="000000" w:fill="A7A9AC"/>
            <w:noWrap/>
            <w:vAlign w:val="center"/>
          </w:tcPr>
          <w:p w14:paraId="72D83615"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color w:val="000000"/>
                <w:sz w:val="20"/>
                <w:szCs w:val="20"/>
              </w:rPr>
              <w:t>56,100</w:t>
            </w:r>
          </w:p>
        </w:tc>
      </w:tr>
      <w:tr w:rsidR="00796580" w:rsidRPr="007F6332" w14:paraId="6C0792FB" w14:textId="77777777" w:rsidTr="00796580">
        <w:trPr>
          <w:trHeight w:val="397"/>
        </w:trPr>
        <w:tc>
          <w:tcPr>
            <w:tcW w:w="1384" w:type="dxa"/>
            <w:shd w:val="clear" w:color="auto" w:fill="auto"/>
            <w:noWrap/>
            <w:vAlign w:val="center"/>
            <w:hideMark/>
          </w:tcPr>
          <w:p w14:paraId="6C22B456"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Delay</w:t>
            </w:r>
          </w:p>
        </w:tc>
        <w:tc>
          <w:tcPr>
            <w:tcW w:w="1167" w:type="dxa"/>
            <w:shd w:val="clear" w:color="auto" w:fill="auto"/>
            <w:noWrap/>
            <w:vAlign w:val="center"/>
          </w:tcPr>
          <w:p w14:paraId="0A6D38C3"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1,300</w:t>
            </w:r>
          </w:p>
        </w:tc>
        <w:tc>
          <w:tcPr>
            <w:tcW w:w="1371" w:type="dxa"/>
            <w:shd w:val="clear" w:color="auto" w:fill="auto"/>
            <w:noWrap/>
            <w:vAlign w:val="center"/>
          </w:tcPr>
          <w:p w14:paraId="1B274B83"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200</w:t>
            </w:r>
          </w:p>
        </w:tc>
        <w:tc>
          <w:tcPr>
            <w:tcW w:w="1150" w:type="dxa"/>
            <w:shd w:val="clear" w:color="auto" w:fill="auto"/>
            <w:noWrap/>
            <w:vAlign w:val="center"/>
          </w:tcPr>
          <w:p w14:paraId="4D889CAF"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8,700</w:t>
            </w:r>
          </w:p>
        </w:tc>
        <w:tc>
          <w:tcPr>
            <w:tcW w:w="1197" w:type="dxa"/>
            <w:shd w:val="clear" w:color="auto" w:fill="auto"/>
            <w:noWrap/>
            <w:vAlign w:val="center"/>
          </w:tcPr>
          <w:p w14:paraId="0CEFB2FB"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300</w:t>
            </w:r>
          </w:p>
        </w:tc>
        <w:tc>
          <w:tcPr>
            <w:tcW w:w="1528" w:type="dxa"/>
            <w:shd w:val="clear" w:color="auto" w:fill="auto"/>
            <w:noWrap/>
            <w:vAlign w:val="center"/>
          </w:tcPr>
          <w:p w14:paraId="62B1ECA5"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200</w:t>
            </w:r>
          </w:p>
        </w:tc>
        <w:tc>
          <w:tcPr>
            <w:tcW w:w="855" w:type="dxa"/>
            <w:tcBorders>
              <w:right w:val="dashed" w:sz="4" w:space="0" w:color="auto"/>
            </w:tcBorders>
            <w:shd w:val="clear" w:color="auto" w:fill="auto"/>
            <w:noWrap/>
            <w:vAlign w:val="center"/>
          </w:tcPr>
          <w:p w14:paraId="5ED06F40"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1,200</w:t>
            </w:r>
          </w:p>
        </w:tc>
        <w:tc>
          <w:tcPr>
            <w:tcW w:w="859" w:type="dxa"/>
            <w:tcBorders>
              <w:left w:val="dashed" w:sz="4" w:space="0" w:color="auto"/>
              <w:bottom w:val="nil"/>
            </w:tcBorders>
            <w:shd w:val="clear" w:color="auto" w:fill="auto"/>
            <w:noWrap/>
            <w:vAlign w:val="center"/>
          </w:tcPr>
          <w:p w14:paraId="7D48C702"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color w:val="000000"/>
                <w:sz w:val="20"/>
                <w:szCs w:val="20"/>
              </w:rPr>
              <w:t>11,800</w:t>
            </w:r>
          </w:p>
        </w:tc>
      </w:tr>
      <w:tr w:rsidR="00796580" w:rsidRPr="007F6332" w14:paraId="6426432A" w14:textId="77777777" w:rsidTr="00C1755E">
        <w:trPr>
          <w:trHeight w:val="397"/>
        </w:trPr>
        <w:tc>
          <w:tcPr>
            <w:tcW w:w="1384" w:type="dxa"/>
            <w:shd w:val="clear" w:color="000000" w:fill="A7A9AC"/>
            <w:noWrap/>
            <w:vAlign w:val="center"/>
            <w:hideMark/>
          </w:tcPr>
          <w:p w14:paraId="799E9FBD"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Psychosocial Disability</w:t>
            </w:r>
          </w:p>
        </w:tc>
        <w:tc>
          <w:tcPr>
            <w:tcW w:w="1167" w:type="dxa"/>
            <w:shd w:val="clear" w:color="000000" w:fill="A7A9AC"/>
            <w:noWrap/>
            <w:vAlign w:val="center"/>
          </w:tcPr>
          <w:p w14:paraId="55631FE7"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22,300</w:t>
            </w:r>
          </w:p>
        </w:tc>
        <w:tc>
          <w:tcPr>
            <w:tcW w:w="1371" w:type="dxa"/>
            <w:shd w:val="clear" w:color="000000" w:fill="A7A9AC"/>
            <w:noWrap/>
            <w:vAlign w:val="center"/>
          </w:tcPr>
          <w:p w14:paraId="56CBBFB4"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20,600</w:t>
            </w:r>
          </w:p>
        </w:tc>
        <w:tc>
          <w:tcPr>
            <w:tcW w:w="1150" w:type="dxa"/>
            <w:shd w:val="clear" w:color="000000" w:fill="A7A9AC"/>
            <w:noWrap/>
            <w:vAlign w:val="center"/>
          </w:tcPr>
          <w:p w14:paraId="61862D9C"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4,400</w:t>
            </w:r>
          </w:p>
        </w:tc>
        <w:tc>
          <w:tcPr>
            <w:tcW w:w="1197" w:type="dxa"/>
            <w:shd w:val="clear" w:color="000000" w:fill="A7A9AC"/>
            <w:noWrap/>
            <w:vAlign w:val="center"/>
          </w:tcPr>
          <w:p w14:paraId="7390B5FA"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1,300</w:t>
            </w:r>
          </w:p>
        </w:tc>
        <w:tc>
          <w:tcPr>
            <w:tcW w:w="1528" w:type="dxa"/>
            <w:shd w:val="clear" w:color="000000" w:fill="A7A9AC"/>
            <w:noWrap/>
            <w:vAlign w:val="center"/>
          </w:tcPr>
          <w:p w14:paraId="11A21EC6"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3,800</w:t>
            </w:r>
          </w:p>
        </w:tc>
        <w:tc>
          <w:tcPr>
            <w:tcW w:w="855" w:type="dxa"/>
            <w:tcBorders>
              <w:right w:val="dashed" w:sz="4" w:space="0" w:color="auto"/>
            </w:tcBorders>
            <w:shd w:val="clear" w:color="000000" w:fill="A7A9AC"/>
            <w:noWrap/>
            <w:vAlign w:val="center"/>
          </w:tcPr>
          <w:p w14:paraId="13835B96"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2,800</w:t>
            </w:r>
          </w:p>
        </w:tc>
        <w:tc>
          <w:tcPr>
            <w:tcW w:w="859" w:type="dxa"/>
            <w:tcBorders>
              <w:left w:val="dashed" w:sz="4" w:space="0" w:color="auto"/>
              <w:bottom w:val="nil"/>
            </w:tcBorders>
            <w:shd w:val="clear" w:color="000000" w:fill="A7A9AC"/>
            <w:noWrap/>
            <w:vAlign w:val="center"/>
          </w:tcPr>
          <w:p w14:paraId="315D522D"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color w:val="000000"/>
                <w:sz w:val="20"/>
                <w:szCs w:val="20"/>
              </w:rPr>
              <w:t>55,200</w:t>
            </w:r>
          </w:p>
        </w:tc>
      </w:tr>
      <w:tr w:rsidR="00796580" w:rsidRPr="007F6332" w14:paraId="6DC4194A" w14:textId="77777777" w:rsidTr="00C1755E">
        <w:trPr>
          <w:trHeight w:val="397"/>
        </w:trPr>
        <w:tc>
          <w:tcPr>
            <w:tcW w:w="1384" w:type="dxa"/>
            <w:shd w:val="clear" w:color="000000" w:fill="FFFFFF"/>
            <w:noWrap/>
            <w:vAlign w:val="center"/>
            <w:hideMark/>
          </w:tcPr>
          <w:p w14:paraId="2AEB92A7"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Other Neurological</w:t>
            </w:r>
          </w:p>
        </w:tc>
        <w:tc>
          <w:tcPr>
            <w:tcW w:w="1167" w:type="dxa"/>
            <w:shd w:val="clear" w:color="000000" w:fill="FFFFFF"/>
            <w:noWrap/>
            <w:vAlign w:val="center"/>
          </w:tcPr>
          <w:p w14:paraId="2A65D5D4"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53,100</w:t>
            </w:r>
          </w:p>
        </w:tc>
        <w:tc>
          <w:tcPr>
            <w:tcW w:w="1371" w:type="dxa"/>
            <w:shd w:val="clear" w:color="000000" w:fill="FFFFFF"/>
            <w:noWrap/>
            <w:vAlign w:val="center"/>
          </w:tcPr>
          <w:p w14:paraId="1FC8F298"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16,900</w:t>
            </w:r>
          </w:p>
        </w:tc>
        <w:tc>
          <w:tcPr>
            <w:tcW w:w="1150" w:type="dxa"/>
            <w:shd w:val="clear" w:color="000000" w:fill="FFFFFF"/>
            <w:noWrap/>
            <w:vAlign w:val="center"/>
          </w:tcPr>
          <w:p w14:paraId="7B0F7D1E"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8,500</w:t>
            </w:r>
          </w:p>
        </w:tc>
        <w:tc>
          <w:tcPr>
            <w:tcW w:w="1197" w:type="dxa"/>
            <w:shd w:val="clear" w:color="000000" w:fill="FFFFFF"/>
            <w:noWrap/>
            <w:vAlign w:val="center"/>
          </w:tcPr>
          <w:p w14:paraId="1C3FE82E"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1,700</w:t>
            </w:r>
          </w:p>
        </w:tc>
        <w:tc>
          <w:tcPr>
            <w:tcW w:w="1528" w:type="dxa"/>
            <w:shd w:val="clear" w:color="000000" w:fill="FFFFFF"/>
            <w:noWrap/>
            <w:vAlign w:val="center"/>
          </w:tcPr>
          <w:p w14:paraId="5ABADEFD"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2,200</w:t>
            </w:r>
          </w:p>
        </w:tc>
        <w:tc>
          <w:tcPr>
            <w:tcW w:w="855" w:type="dxa"/>
            <w:tcBorders>
              <w:right w:val="dashed" w:sz="4" w:space="0" w:color="auto"/>
            </w:tcBorders>
            <w:shd w:val="clear" w:color="000000" w:fill="FFFFFF"/>
            <w:noWrap/>
            <w:vAlign w:val="center"/>
          </w:tcPr>
          <w:p w14:paraId="4E09652E"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9,400</w:t>
            </w:r>
          </w:p>
        </w:tc>
        <w:tc>
          <w:tcPr>
            <w:tcW w:w="859" w:type="dxa"/>
            <w:tcBorders>
              <w:left w:val="dashed" w:sz="4" w:space="0" w:color="auto"/>
              <w:bottom w:val="nil"/>
            </w:tcBorders>
            <w:shd w:val="clear" w:color="000000" w:fill="FFFFFF"/>
            <w:noWrap/>
            <w:vAlign w:val="center"/>
          </w:tcPr>
          <w:p w14:paraId="597B644F"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color w:val="000000"/>
                <w:sz w:val="20"/>
                <w:szCs w:val="20"/>
              </w:rPr>
              <w:t>91,700</w:t>
            </w:r>
          </w:p>
        </w:tc>
      </w:tr>
      <w:tr w:rsidR="00796580" w:rsidRPr="007F6332" w14:paraId="14D868AC" w14:textId="77777777" w:rsidTr="00C1755E">
        <w:trPr>
          <w:trHeight w:val="397"/>
        </w:trPr>
        <w:tc>
          <w:tcPr>
            <w:tcW w:w="1384" w:type="dxa"/>
            <w:tcBorders>
              <w:bottom w:val="nil"/>
            </w:tcBorders>
            <w:shd w:val="clear" w:color="000000" w:fill="A7A9AC"/>
            <w:noWrap/>
            <w:vAlign w:val="center"/>
            <w:hideMark/>
          </w:tcPr>
          <w:p w14:paraId="170B2FFC"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Other</w:t>
            </w:r>
          </w:p>
        </w:tc>
        <w:tc>
          <w:tcPr>
            <w:tcW w:w="1167" w:type="dxa"/>
            <w:tcBorders>
              <w:bottom w:val="nil"/>
            </w:tcBorders>
            <w:shd w:val="clear" w:color="000000" w:fill="A7A9AC"/>
            <w:noWrap/>
            <w:vAlign w:val="center"/>
          </w:tcPr>
          <w:p w14:paraId="233C9304"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31,500</w:t>
            </w:r>
          </w:p>
        </w:tc>
        <w:tc>
          <w:tcPr>
            <w:tcW w:w="1371" w:type="dxa"/>
            <w:tcBorders>
              <w:bottom w:val="nil"/>
            </w:tcBorders>
            <w:shd w:val="clear" w:color="000000" w:fill="A7A9AC"/>
            <w:noWrap/>
            <w:vAlign w:val="center"/>
          </w:tcPr>
          <w:p w14:paraId="65E0CA55"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11,600</w:t>
            </w:r>
          </w:p>
        </w:tc>
        <w:tc>
          <w:tcPr>
            <w:tcW w:w="1150" w:type="dxa"/>
            <w:tcBorders>
              <w:bottom w:val="nil"/>
            </w:tcBorders>
            <w:shd w:val="clear" w:color="000000" w:fill="A7A9AC"/>
            <w:noWrap/>
            <w:vAlign w:val="center"/>
          </w:tcPr>
          <w:p w14:paraId="7BBEFC76"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6,400</w:t>
            </w:r>
          </w:p>
        </w:tc>
        <w:tc>
          <w:tcPr>
            <w:tcW w:w="1197" w:type="dxa"/>
            <w:tcBorders>
              <w:bottom w:val="nil"/>
            </w:tcBorders>
            <w:shd w:val="clear" w:color="000000" w:fill="A7A9AC"/>
            <w:noWrap/>
            <w:vAlign w:val="center"/>
          </w:tcPr>
          <w:p w14:paraId="68E8360C"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1,400</w:t>
            </w:r>
          </w:p>
        </w:tc>
        <w:tc>
          <w:tcPr>
            <w:tcW w:w="1528" w:type="dxa"/>
            <w:tcBorders>
              <w:bottom w:val="nil"/>
            </w:tcBorders>
            <w:shd w:val="clear" w:color="000000" w:fill="A7A9AC"/>
            <w:noWrap/>
            <w:vAlign w:val="center"/>
          </w:tcPr>
          <w:p w14:paraId="2F6E5BE1"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1,500</w:t>
            </w:r>
          </w:p>
        </w:tc>
        <w:tc>
          <w:tcPr>
            <w:tcW w:w="855" w:type="dxa"/>
            <w:tcBorders>
              <w:bottom w:val="nil"/>
              <w:right w:val="dashed" w:sz="4" w:space="0" w:color="auto"/>
            </w:tcBorders>
            <w:shd w:val="clear" w:color="000000" w:fill="A7A9AC"/>
            <w:noWrap/>
            <w:vAlign w:val="center"/>
          </w:tcPr>
          <w:p w14:paraId="37C78155"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7,300</w:t>
            </w:r>
          </w:p>
        </w:tc>
        <w:tc>
          <w:tcPr>
            <w:tcW w:w="859" w:type="dxa"/>
            <w:tcBorders>
              <w:left w:val="dashed" w:sz="4" w:space="0" w:color="auto"/>
              <w:bottom w:val="nil"/>
            </w:tcBorders>
            <w:shd w:val="clear" w:color="000000" w:fill="A7A9AC"/>
            <w:noWrap/>
            <w:vAlign w:val="center"/>
          </w:tcPr>
          <w:p w14:paraId="7BB9755D"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color w:val="000000"/>
                <w:sz w:val="20"/>
                <w:szCs w:val="20"/>
              </w:rPr>
              <w:t>59,600</w:t>
            </w:r>
          </w:p>
        </w:tc>
      </w:tr>
      <w:tr w:rsidR="00796580" w:rsidRPr="007F6332" w14:paraId="08A11218" w14:textId="77777777" w:rsidTr="00C1755E">
        <w:trPr>
          <w:trHeight w:val="397"/>
        </w:trPr>
        <w:tc>
          <w:tcPr>
            <w:tcW w:w="1384" w:type="dxa"/>
            <w:tcBorders>
              <w:bottom w:val="single" w:sz="4" w:space="0" w:color="auto"/>
            </w:tcBorders>
            <w:shd w:val="clear" w:color="000000" w:fill="B398B8"/>
            <w:noWrap/>
            <w:vAlign w:val="center"/>
            <w:hideMark/>
          </w:tcPr>
          <w:p w14:paraId="4D3459F0" w14:textId="36AE97DD" w:rsidR="00723E93" w:rsidRPr="007F6332" w:rsidRDefault="00723E93" w:rsidP="006C2D75">
            <w:pPr>
              <w:spacing w:after="0" w:line="240" w:lineRule="auto"/>
              <w:rPr>
                <w:rFonts w:eastAsia="Times New Roman" w:cs="Arial"/>
                <w:b/>
                <w:bCs/>
                <w:color w:val="000000"/>
                <w:sz w:val="20"/>
                <w:szCs w:val="20"/>
                <w:lang w:val="en-AU" w:eastAsia="en-AU"/>
              </w:rPr>
            </w:pPr>
            <w:r w:rsidRPr="007F6332">
              <w:rPr>
                <w:rFonts w:eastAsia="Times New Roman" w:cs="Arial"/>
                <w:b/>
                <w:bCs/>
                <w:color w:val="000000"/>
                <w:sz w:val="20"/>
                <w:szCs w:val="20"/>
                <w:lang w:val="en-AU" w:eastAsia="en-AU"/>
              </w:rPr>
              <w:t>Total</w:t>
            </w:r>
            <w:r w:rsidR="004A7010" w:rsidRPr="007F6332">
              <w:rPr>
                <w:rFonts w:eastAsia="Times New Roman" w:cs="Arial"/>
                <w:b/>
                <w:bCs/>
                <w:color w:val="000000"/>
                <w:sz w:val="20"/>
                <w:szCs w:val="20"/>
                <w:lang w:val="en-AU" w:eastAsia="en-AU"/>
              </w:rPr>
              <w:t xml:space="preserve"> average</w:t>
            </w:r>
          </w:p>
        </w:tc>
        <w:tc>
          <w:tcPr>
            <w:tcW w:w="1167" w:type="dxa"/>
            <w:tcBorders>
              <w:bottom w:val="single" w:sz="4" w:space="0" w:color="auto"/>
            </w:tcBorders>
            <w:shd w:val="clear" w:color="000000" w:fill="B398B8"/>
            <w:noWrap/>
            <w:vAlign w:val="center"/>
          </w:tcPr>
          <w:p w14:paraId="6C6B22A7"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b/>
                <w:bCs/>
                <w:color w:val="000000"/>
                <w:sz w:val="20"/>
                <w:szCs w:val="20"/>
              </w:rPr>
              <w:t>16,700</w:t>
            </w:r>
          </w:p>
        </w:tc>
        <w:tc>
          <w:tcPr>
            <w:tcW w:w="1371" w:type="dxa"/>
            <w:tcBorders>
              <w:bottom w:val="single" w:sz="4" w:space="0" w:color="auto"/>
            </w:tcBorders>
            <w:shd w:val="clear" w:color="000000" w:fill="B398B8"/>
            <w:noWrap/>
            <w:vAlign w:val="center"/>
          </w:tcPr>
          <w:p w14:paraId="651D5208"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b/>
                <w:bCs/>
                <w:color w:val="000000"/>
                <w:sz w:val="20"/>
                <w:szCs w:val="20"/>
              </w:rPr>
              <w:t>10,200</w:t>
            </w:r>
          </w:p>
        </w:tc>
        <w:tc>
          <w:tcPr>
            <w:tcW w:w="1150" w:type="dxa"/>
            <w:tcBorders>
              <w:bottom w:val="single" w:sz="4" w:space="0" w:color="auto"/>
            </w:tcBorders>
            <w:shd w:val="clear" w:color="000000" w:fill="B398B8"/>
            <w:noWrap/>
            <w:vAlign w:val="center"/>
          </w:tcPr>
          <w:p w14:paraId="30E0F65E"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b/>
                <w:bCs/>
                <w:color w:val="000000"/>
                <w:sz w:val="20"/>
                <w:szCs w:val="20"/>
              </w:rPr>
              <w:t>6,900</w:t>
            </w:r>
          </w:p>
        </w:tc>
        <w:tc>
          <w:tcPr>
            <w:tcW w:w="1197" w:type="dxa"/>
            <w:tcBorders>
              <w:bottom w:val="single" w:sz="4" w:space="0" w:color="auto"/>
            </w:tcBorders>
            <w:shd w:val="clear" w:color="000000" w:fill="B398B8"/>
            <w:noWrap/>
            <w:vAlign w:val="center"/>
          </w:tcPr>
          <w:p w14:paraId="4158387C"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b/>
                <w:bCs/>
                <w:color w:val="000000"/>
                <w:sz w:val="20"/>
                <w:szCs w:val="20"/>
              </w:rPr>
              <w:t>1,400</w:t>
            </w:r>
          </w:p>
        </w:tc>
        <w:tc>
          <w:tcPr>
            <w:tcW w:w="1528" w:type="dxa"/>
            <w:tcBorders>
              <w:bottom w:val="single" w:sz="4" w:space="0" w:color="auto"/>
            </w:tcBorders>
            <w:shd w:val="clear" w:color="000000" w:fill="B398B8"/>
            <w:noWrap/>
            <w:vAlign w:val="center"/>
          </w:tcPr>
          <w:p w14:paraId="707BB9B2"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b/>
                <w:bCs/>
                <w:color w:val="000000"/>
                <w:sz w:val="20"/>
                <w:szCs w:val="20"/>
              </w:rPr>
              <w:t>1,300</w:t>
            </w:r>
          </w:p>
        </w:tc>
        <w:tc>
          <w:tcPr>
            <w:tcW w:w="855" w:type="dxa"/>
            <w:tcBorders>
              <w:bottom w:val="single" w:sz="4" w:space="0" w:color="auto"/>
              <w:right w:val="dashed" w:sz="4" w:space="0" w:color="auto"/>
            </w:tcBorders>
            <w:shd w:val="clear" w:color="000000" w:fill="B398B8"/>
            <w:noWrap/>
            <w:vAlign w:val="center"/>
          </w:tcPr>
          <w:p w14:paraId="558FDAE6"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b/>
                <w:bCs/>
                <w:color w:val="000000"/>
                <w:sz w:val="20"/>
                <w:szCs w:val="20"/>
              </w:rPr>
              <w:t>3,800</w:t>
            </w:r>
          </w:p>
        </w:tc>
        <w:tc>
          <w:tcPr>
            <w:tcW w:w="859" w:type="dxa"/>
            <w:tcBorders>
              <w:left w:val="dashed" w:sz="4" w:space="0" w:color="auto"/>
              <w:bottom w:val="single" w:sz="4" w:space="0" w:color="auto"/>
            </w:tcBorders>
            <w:shd w:val="clear" w:color="000000" w:fill="B398B8"/>
            <w:noWrap/>
            <w:vAlign w:val="center"/>
          </w:tcPr>
          <w:p w14:paraId="0ACD7F80" w14:textId="77777777" w:rsidR="00723E93" w:rsidRPr="007F6332" w:rsidRDefault="00723E93" w:rsidP="006C2D75">
            <w:pPr>
              <w:spacing w:after="0" w:line="240" w:lineRule="auto"/>
              <w:jc w:val="center"/>
              <w:rPr>
                <w:rFonts w:eastAsia="Times New Roman" w:cs="Arial"/>
                <w:b/>
                <w:bCs/>
                <w:color w:val="000000"/>
                <w:sz w:val="20"/>
                <w:szCs w:val="20"/>
                <w:lang w:val="en-AU" w:eastAsia="en-AU"/>
              </w:rPr>
            </w:pPr>
            <w:r w:rsidRPr="007F6332">
              <w:rPr>
                <w:rFonts w:cs="Arial"/>
                <w:b/>
                <w:bCs/>
                <w:color w:val="000000"/>
                <w:sz w:val="20"/>
                <w:szCs w:val="20"/>
              </w:rPr>
              <w:t>40,300</w:t>
            </w:r>
          </w:p>
        </w:tc>
      </w:tr>
    </w:tbl>
    <w:p w14:paraId="0E52CC94" w14:textId="5DEFBAC0" w:rsidR="00EF16F8" w:rsidRPr="007F6332" w:rsidRDefault="00EF16F8" w:rsidP="00EF16F8">
      <w:pPr>
        <w:spacing w:before="240"/>
        <w:rPr>
          <w:rFonts w:cs="Arial"/>
          <w:lang w:val="en-AU"/>
        </w:rPr>
      </w:pPr>
      <w:bookmarkStart w:id="178" w:name="_Ref144326221"/>
      <w:r w:rsidRPr="007F6332">
        <w:rPr>
          <w:rFonts w:cs="Arial"/>
          <w:lang w:val="en-AU"/>
        </w:rPr>
        <w:t>Participants with SIL have significantly higher average payment assumptions across all disabilities compared to participants without SIL as they predominantly include participants with low level of function and therefore require more support. Participants with SIL with other neurological disabilities or autism have the largest average payment assumptions as shown in Table 5.23.</w:t>
      </w:r>
    </w:p>
    <w:p w14:paraId="77966A07" w14:textId="523C37E1" w:rsidR="00723E93" w:rsidRPr="007F6332" w:rsidRDefault="00723E93" w:rsidP="00446FB4">
      <w:pPr>
        <w:pStyle w:val="FiguresandTablesHeading4"/>
      </w:pPr>
      <w:r w:rsidRPr="007F6332">
        <w:t xml:space="preserve">Table </w:t>
      </w:r>
      <w:bookmarkEnd w:id="178"/>
      <w:r w:rsidR="0045717D" w:rsidRPr="007F6332">
        <w:t>5.23:</w:t>
      </w:r>
      <w:r w:rsidRPr="007F6332">
        <w:t xml:space="preserve"> </w:t>
      </w:r>
      <w:r w:rsidR="00976BCD" w:rsidRPr="007F6332">
        <w:t>Base average payment assumptions for participants with SIL</w:t>
      </w:r>
    </w:p>
    <w:tbl>
      <w:tblPr>
        <w:tblW w:w="9457" w:type="dxa"/>
        <w:tblBorders>
          <w:bottom w:val="single" w:sz="4" w:space="0" w:color="auto"/>
        </w:tblBorders>
        <w:tblLook w:val="04A0" w:firstRow="1" w:lastRow="0" w:firstColumn="1" w:lastColumn="0" w:noHBand="0" w:noVBand="1"/>
      </w:tblPr>
      <w:tblGrid>
        <w:gridCol w:w="1418"/>
        <w:gridCol w:w="1106"/>
        <w:gridCol w:w="1316"/>
        <w:gridCol w:w="1106"/>
        <w:gridCol w:w="1150"/>
        <w:gridCol w:w="1461"/>
        <w:gridCol w:w="961"/>
        <w:gridCol w:w="939"/>
      </w:tblGrid>
      <w:tr w:rsidR="00723E93" w:rsidRPr="007F6332" w14:paraId="00CA544D" w14:textId="77777777" w:rsidTr="00D710D4">
        <w:trPr>
          <w:trHeight w:val="437"/>
          <w:tblHeader/>
        </w:trPr>
        <w:tc>
          <w:tcPr>
            <w:tcW w:w="1418" w:type="dxa"/>
            <w:shd w:val="clear" w:color="000000" w:fill="6B2976"/>
            <w:noWrap/>
            <w:vAlign w:val="center"/>
            <w:hideMark/>
          </w:tcPr>
          <w:p w14:paraId="606E77F7" w14:textId="77777777" w:rsidR="00723E93" w:rsidRPr="007F6332" w:rsidRDefault="00723E93" w:rsidP="006C2D75">
            <w:pPr>
              <w:spacing w:after="0" w:line="240" w:lineRule="auto"/>
              <w:rPr>
                <w:rFonts w:eastAsia="Times New Roman" w:cs="Arial"/>
                <w:b/>
                <w:bCs/>
                <w:color w:val="FFFFFF"/>
                <w:sz w:val="20"/>
                <w:szCs w:val="20"/>
                <w:lang w:val="en-AU" w:eastAsia="en-AU"/>
              </w:rPr>
            </w:pPr>
          </w:p>
        </w:tc>
        <w:tc>
          <w:tcPr>
            <w:tcW w:w="1106" w:type="dxa"/>
            <w:shd w:val="clear" w:color="000000" w:fill="6B2976"/>
            <w:vAlign w:val="center"/>
            <w:hideMark/>
          </w:tcPr>
          <w:p w14:paraId="08FD2E74"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Daily Activities</w:t>
            </w:r>
          </w:p>
        </w:tc>
        <w:tc>
          <w:tcPr>
            <w:tcW w:w="1316" w:type="dxa"/>
            <w:shd w:val="clear" w:color="000000" w:fill="6B2976"/>
            <w:vAlign w:val="center"/>
            <w:hideMark/>
          </w:tcPr>
          <w:p w14:paraId="73EBC4F2"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Social Community Civic</w:t>
            </w:r>
          </w:p>
        </w:tc>
        <w:tc>
          <w:tcPr>
            <w:tcW w:w="1106" w:type="dxa"/>
            <w:shd w:val="clear" w:color="000000" w:fill="6B2976"/>
            <w:vAlign w:val="center"/>
            <w:hideMark/>
          </w:tcPr>
          <w:p w14:paraId="36EF6995"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CB Daily Activities</w:t>
            </w:r>
          </w:p>
        </w:tc>
        <w:tc>
          <w:tcPr>
            <w:tcW w:w="1150" w:type="dxa"/>
            <w:shd w:val="clear" w:color="000000" w:fill="6B2976"/>
            <w:vAlign w:val="center"/>
            <w:hideMark/>
          </w:tcPr>
          <w:p w14:paraId="19B241BD"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Transport</w:t>
            </w:r>
          </w:p>
        </w:tc>
        <w:tc>
          <w:tcPr>
            <w:tcW w:w="1461" w:type="dxa"/>
            <w:shd w:val="clear" w:color="000000" w:fill="6B2976"/>
            <w:vAlign w:val="center"/>
            <w:hideMark/>
          </w:tcPr>
          <w:p w14:paraId="6690A382"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Support Coordination</w:t>
            </w:r>
          </w:p>
        </w:tc>
        <w:tc>
          <w:tcPr>
            <w:tcW w:w="961" w:type="dxa"/>
            <w:tcBorders>
              <w:right w:val="dashed" w:sz="4" w:space="0" w:color="auto"/>
            </w:tcBorders>
            <w:shd w:val="clear" w:color="000000" w:fill="6B2976"/>
            <w:vAlign w:val="center"/>
            <w:hideMark/>
          </w:tcPr>
          <w:p w14:paraId="55DDA6BD"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Other</w:t>
            </w:r>
          </w:p>
        </w:tc>
        <w:tc>
          <w:tcPr>
            <w:tcW w:w="939" w:type="dxa"/>
            <w:tcBorders>
              <w:left w:val="dashed" w:sz="4" w:space="0" w:color="auto"/>
              <w:bottom w:val="nil"/>
            </w:tcBorders>
            <w:shd w:val="clear" w:color="000000" w:fill="6B2976"/>
            <w:vAlign w:val="center"/>
            <w:hideMark/>
          </w:tcPr>
          <w:p w14:paraId="33528BCF" w14:textId="77777777" w:rsidR="00723E93" w:rsidRPr="007F6332" w:rsidRDefault="00723E93" w:rsidP="006C2D75">
            <w:pPr>
              <w:spacing w:after="0" w:line="240" w:lineRule="auto"/>
              <w:jc w:val="center"/>
              <w:rPr>
                <w:rFonts w:eastAsia="Times New Roman" w:cs="Arial"/>
                <w:b/>
                <w:bCs/>
                <w:color w:val="FFFFFF"/>
                <w:sz w:val="20"/>
                <w:szCs w:val="20"/>
                <w:lang w:val="en-AU" w:eastAsia="en-AU"/>
              </w:rPr>
            </w:pPr>
            <w:r w:rsidRPr="007F6332">
              <w:rPr>
                <w:rFonts w:eastAsia="Times New Roman" w:cs="Arial"/>
                <w:b/>
                <w:bCs/>
                <w:color w:val="FFFFFF"/>
                <w:sz w:val="20"/>
                <w:szCs w:val="20"/>
                <w:lang w:val="en-AU" w:eastAsia="en-AU"/>
              </w:rPr>
              <w:t>Total</w:t>
            </w:r>
          </w:p>
        </w:tc>
      </w:tr>
      <w:tr w:rsidR="00723E93" w:rsidRPr="007F6332" w14:paraId="54A79191" w14:textId="77777777" w:rsidTr="00D710D4">
        <w:trPr>
          <w:trHeight w:val="397"/>
          <w:tblHeader/>
        </w:trPr>
        <w:tc>
          <w:tcPr>
            <w:tcW w:w="1418" w:type="dxa"/>
            <w:shd w:val="clear" w:color="auto" w:fill="auto"/>
            <w:noWrap/>
            <w:vAlign w:val="center"/>
            <w:hideMark/>
          </w:tcPr>
          <w:p w14:paraId="6D10C81D"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Autism</w:t>
            </w:r>
          </w:p>
        </w:tc>
        <w:tc>
          <w:tcPr>
            <w:tcW w:w="1106" w:type="dxa"/>
            <w:shd w:val="clear" w:color="auto" w:fill="auto"/>
            <w:noWrap/>
            <w:vAlign w:val="center"/>
            <w:hideMark/>
          </w:tcPr>
          <w:p w14:paraId="37D9FEF1"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327,500 </w:t>
            </w:r>
          </w:p>
        </w:tc>
        <w:tc>
          <w:tcPr>
            <w:tcW w:w="1316" w:type="dxa"/>
            <w:shd w:val="clear" w:color="auto" w:fill="auto"/>
            <w:noWrap/>
            <w:vAlign w:val="center"/>
            <w:hideMark/>
          </w:tcPr>
          <w:p w14:paraId="4116330D"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68,900 </w:t>
            </w:r>
          </w:p>
        </w:tc>
        <w:tc>
          <w:tcPr>
            <w:tcW w:w="1106" w:type="dxa"/>
            <w:shd w:val="clear" w:color="auto" w:fill="auto"/>
            <w:noWrap/>
            <w:vAlign w:val="center"/>
            <w:hideMark/>
          </w:tcPr>
          <w:p w14:paraId="0BB148DA"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7,200 </w:t>
            </w:r>
          </w:p>
        </w:tc>
        <w:tc>
          <w:tcPr>
            <w:tcW w:w="1150" w:type="dxa"/>
            <w:shd w:val="clear" w:color="auto" w:fill="auto"/>
            <w:noWrap/>
            <w:vAlign w:val="center"/>
            <w:hideMark/>
          </w:tcPr>
          <w:p w14:paraId="2B447F7B"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2,200 </w:t>
            </w:r>
          </w:p>
        </w:tc>
        <w:tc>
          <w:tcPr>
            <w:tcW w:w="1461" w:type="dxa"/>
            <w:shd w:val="clear" w:color="auto" w:fill="auto"/>
            <w:noWrap/>
            <w:vAlign w:val="center"/>
            <w:hideMark/>
          </w:tcPr>
          <w:p w14:paraId="7DDB5291"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5,700</w:t>
            </w:r>
          </w:p>
        </w:tc>
        <w:tc>
          <w:tcPr>
            <w:tcW w:w="961" w:type="dxa"/>
            <w:tcBorders>
              <w:right w:val="dashed" w:sz="4" w:space="0" w:color="auto"/>
            </w:tcBorders>
            <w:shd w:val="clear" w:color="auto" w:fill="auto"/>
            <w:noWrap/>
            <w:vAlign w:val="center"/>
            <w:hideMark/>
          </w:tcPr>
          <w:p w14:paraId="61FB906A"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18,700 </w:t>
            </w:r>
          </w:p>
        </w:tc>
        <w:tc>
          <w:tcPr>
            <w:tcW w:w="939" w:type="dxa"/>
            <w:tcBorders>
              <w:left w:val="dashed" w:sz="4" w:space="0" w:color="auto"/>
              <w:bottom w:val="nil"/>
            </w:tcBorders>
            <w:shd w:val="clear" w:color="auto" w:fill="auto"/>
            <w:noWrap/>
            <w:vAlign w:val="center"/>
            <w:hideMark/>
          </w:tcPr>
          <w:p w14:paraId="0AE02993"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430,100 </w:t>
            </w:r>
          </w:p>
        </w:tc>
      </w:tr>
      <w:tr w:rsidR="00723E93" w:rsidRPr="007F6332" w14:paraId="72B8B1A4" w14:textId="77777777" w:rsidTr="00D710D4">
        <w:trPr>
          <w:trHeight w:val="397"/>
          <w:tblHeader/>
        </w:trPr>
        <w:tc>
          <w:tcPr>
            <w:tcW w:w="1418" w:type="dxa"/>
            <w:shd w:val="clear" w:color="000000" w:fill="A7A9AC"/>
            <w:noWrap/>
            <w:vAlign w:val="center"/>
            <w:hideMark/>
          </w:tcPr>
          <w:p w14:paraId="3B88451D"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Intellectual Disability</w:t>
            </w:r>
          </w:p>
        </w:tc>
        <w:tc>
          <w:tcPr>
            <w:tcW w:w="1106" w:type="dxa"/>
            <w:shd w:val="clear" w:color="000000" w:fill="A7A9AC"/>
            <w:noWrap/>
            <w:vAlign w:val="center"/>
            <w:hideMark/>
          </w:tcPr>
          <w:p w14:paraId="75D0306A"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260,900 </w:t>
            </w:r>
          </w:p>
        </w:tc>
        <w:tc>
          <w:tcPr>
            <w:tcW w:w="1316" w:type="dxa"/>
            <w:shd w:val="clear" w:color="000000" w:fill="A7A9AC"/>
            <w:noWrap/>
            <w:vAlign w:val="center"/>
            <w:hideMark/>
          </w:tcPr>
          <w:p w14:paraId="4EDE4C44"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55,700 </w:t>
            </w:r>
          </w:p>
        </w:tc>
        <w:tc>
          <w:tcPr>
            <w:tcW w:w="1106" w:type="dxa"/>
            <w:shd w:val="clear" w:color="000000" w:fill="A7A9AC"/>
            <w:noWrap/>
            <w:vAlign w:val="center"/>
            <w:hideMark/>
          </w:tcPr>
          <w:p w14:paraId="4120ACFC"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6,400 </w:t>
            </w:r>
          </w:p>
        </w:tc>
        <w:tc>
          <w:tcPr>
            <w:tcW w:w="1150" w:type="dxa"/>
            <w:shd w:val="clear" w:color="000000" w:fill="A7A9AC"/>
            <w:noWrap/>
            <w:vAlign w:val="center"/>
            <w:hideMark/>
          </w:tcPr>
          <w:p w14:paraId="1D99290C"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2,200 </w:t>
            </w:r>
          </w:p>
        </w:tc>
        <w:tc>
          <w:tcPr>
            <w:tcW w:w="1461" w:type="dxa"/>
            <w:shd w:val="clear" w:color="000000" w:fill="A7A9AC"/>
            <w:noWrap/>
            <w:vAlign w:val="center"/>
            <w:hideMark/>
          </w:tcPr>
          <w:p w14:paraId="17C8819C"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4,400</w:t>
            </w:r>
          </w:p>
        </w:tc>
        <w:tc>
          <w:tcPr>
            <w:tcW w:w="961" w:type="dxa"/>
            <w:tcBorders>
              <w:right w:val="dashed" w:sz="4" w:space="0" w:color="auto"/>
            </w:tcBorders>
            <w:shd w:val="clear" w:color="000000" w:fill="A7A9AC"/>
            <w:noWrap/>
            <w:vAlign w:val="center"/>
            <w:hideMark/>
          </w:tcPr>
          <w:p w14:paraId="022105C2"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16,700 </w:t>
            </w:r>
          </w:p>
        </w:tc>
        <w:tc>
          <w:tcPr>
            <w:tcW w:w="939" w:type="dxa"/>
            <w:tcBorders>
              <w:left w:val="dashed" w:sz="4" w:space="0" w:color="auto"/>
              <w:bottom w:val="nil"/>
            </w:tcBorders>
            <w:shd w:val="clear" w:color="000000" w:fill="A7A9AC"/>
            <w:noWrap/>
            <w:vAlign w:val="center"/>
            <w:hideMark/>
          </w:tcPr>
          <w:p w14:paraId="47E68CE9"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346,300 </w:t>
            </w:r>
          </w:p>
        </w:tc>
      </w:tr>
      <w:tr w:rsidR="00723E93" w:rsidRPr="007F6332" w14:paraId="7F4D91C2" w14:textId="77777777" w:rsidTr="00D710D4">
        <w:trPr>
          <w:trHeight w:val="397"/>
          <w:tblHeader/>
        </w:trPr>
        <w:tc>
          <w:tcPr>
            <w:tcW w:w="1418" w:type="dxa"/>
            <w:shd w:val="clear" w:color="000000" w:fill="FFFFFF"/>
            <w:noWrap/>
            <w:vAlign w:val="center"/>
            <w:hideMark/>
          </w:tcPr>
          <w:p w14:paraId="3283E01B"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Psychosocial Disability</w:t>
            </w:r>
          </w:p>
        </w:tc>
        <w:tc>
          <w:tcPr>
            <w:tcW w:w="1106" w:type="dxa"/>
            <w:shd w:val="clear" w:color="000000" w:fill="FFFFFF"/>
            <w:noWrap/>
            <w:vAlign w:val="center"/>
            <w:hideMark/>
          </w:tcPr>
          <w:p w14:paraId="08394BA5"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249,700 </w:t>
            </w:r>
          </w:p>
        </w:tc>
        <w:tc>
          <w:tcPr>
            <w:tcW w:w="1316" w:type="dxa"/>
            <w:shd w:val="clear" w:color="000000" w:fill="FFFFFF"/>
            <w:noWrap/>
            <w:vAlign w:val="center"/>
            <w:hideMark/>
          </w:tcPr>
          <w:p w14:paraId="1917B8A2"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45,100 </w:t>
            </w:r>
          </w:p>
        </w:tc>
        <w:tc>
          <w:tcPr>
            <w:tcW w:w="1106" w:type="dxa"/>
            <w:shd w:val="clear" w:color="000000" w:fill="FFFFFF"/>
            <w:noWrap/>
            <w:vAlign w:val="center"/>
            <w:hideMark/>
          </w:tcPr>
          <w:p w14:paraId="3E12E177"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6,000 </w:t>
            </w:r>
          </w:p>
        </w:tc>
        <w:tc>
          <w:tcPr>
            <w:tcW w:w="1150" w:type="dxa"/>
            <w:shd w:val="clear" w:color="000000" w:fill="FFFFFF"/>
            <w:noWrap/>
            <w:vAlign w:val="center"/>
            <w:hideMark/>
          </w:tcPr>
          <w:p w14:paraId="75605810"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1,600 </w:t>
            </w:r>
          </w:p>
        </w:tc>
        <w:tc>
          <w:tcPr>
            <w:tcW w:w="1461" w:type="dxa"/>
            <w:shd w:val="clear" w:color="000000" w:fill="FFFFFF"/>
            <w:noWrap/>
            <w:vAlign w:val="center"/>
            <w:hideMark/>
          </w:tcPr>
          <w:p w14:paraId="0C1F42BF"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6,000</w:t>
            </w:r>
          </w:p>
        </w:tc>
        <w:tc>
          <w:tcPr>
            <w:tcW w:w="961" w:type="dxa"/>
            <w:tcBorders>
              <w:right w:val="dashed" w:sz="4" w:space="0" w:color="auto"/>
            </w:tcBorders>
            <w:shd w:val="clear" w:color="000000" w:fill="FFFFFF"/>
            <w:noWrap/>
            <w:vAlign w:val="center"/>
            <w:hideMark/>
          </w:tcPr>
          <w:p w14:paraId="26504047"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12,100 </w:t>
            </w:r>
          </w:p>
        </w:tc>
        <w:tc>
          <w:tcPr>
            <w:tcW w:w="939" w:type="dxa"/>
            <w:tcBorders>
              <w:left w:val="dashed" w:sz="4" w:space="0" w:color="auto"/>
              <w:bottom w:val="nil"/>
            </w:tcBorders>
            <w:shd w:val="clear" w:color="000000" w:fill="FFFFFF"/>
            <w:noWrap/>
            <w:vAlign w:val="center"/>
            <w:hideMark/>
          </w:tcPr>
          <w:p w14:paraId="6FBEA1AE"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320,600 </w:t>
            </w:r>
          </w:p>
        </w:tc>
      </w:tr>
      <w:tr w:rsidR="00723E93" w:rsidRPr="007F6332" w14:paraId="6BABBBC9" w14:textId="77777777" w:rsidTr="00D710D4">
        <w:trPr>
          <w:trHeight w:val="397"/>
          <w:tblHeader/>
        </w:trPr>
        <w:tc>
          <w:tcPr>
            <w:tcW w:w="1418" w:type="dxa"/>
            <w:shd w:val="clear" w:color="000000" w:fill="A7A9AC"/>
            <w:noWrap/>
            <w:vAlign w:val="center"/>
            <w:hideMark/>
          </w:tcPr>
          <w:p w14:paraId="5DDDC1ED"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Other Neurological</w:t>
            </w:r>
          </w:p>
        </w:tc>
        <w:tc>
          <w:tcPr>
            <w:tcW w:w="1106" w:type="dxa"/>
            <w:shd w:val="clear" w:color="000000" w:fill="A7A9AC"/>
            <w:noWrap/>
            <w:vAlign w:val="center"/>
            <w:hideMark/>
          </w:tcPr>
          <w:p w14:paraId="1F658415"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336,500 </w:t>
            </w:r>
          </w:p>
        </w:tc>
        <w:tc>
          <w:tcPr>
            <w:tcW w:w="1316" w:type="dxa"/>
            <w:shd w:val="clear" w:color="000000" w:fill="A7A9AC"/>
            <w:noWrap/>
            <w:vAlign w:val="center"/>
            <w:hideMark/>
          </w:tcPr>
          <w:p w14:paraId="1488CB16"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45,000 </w:t>
            </w:r>
          </w:p>
        </w:tc>
        <w:tc>
          <w:tcPr>
            <w:tcW w:w="1106" w:type="dxa"/>
            <w:shd w:val="clear" w:color="000000" w:fill="A7A9AC"/>
            <w:noWrap/>
            <w:vAlign w:val="center"/>
            <w:hideMark/>
          </w:tcPr>
          <w:p w14:paraId="5EE3B9F8"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12,400 </w:t>
            </w:r>
          </w:p>
        </w:tc>
        <w:tc>
          <w:tcPr>
            <w:tcW w:w="1150" w:type="dxa"/>
            <w:shd w:val="clear" w:color="000000" w:fill="A7A9AC"/>
            <w:noWrap/>
            <w:vAlign w:val="center"/>
            <w:hideMark/>
          </w:tcPr>
          <w:p w14:paraId="61625B06"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1,800 </w:t>
            </w:r>
          </w:p>
        </w:tc>
        <w:tc>
          <w:tcPr>
            <w:tcW w:w="1461" w:type="dxa"/>
            <w:shd w:val="clear" w:color="000000" w:fill="A7A9AC"/>
            <w:noWrap/>
            <w:vAlign w:val="center"/>
            <w:hideMark/>
          </w:tcPr>
          <w:p w14:paraId="154ADFA8"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6,000</w:t>
            </w:r>
          </w:p>
        </w:tc>
        <w:tc>
          <w:tcPr>
            <w:tcW w:w="961" w:type="dxa"/>
            <w:tcBorders>
              <w:right w:val="dashed" w:sz="4" w:space="0" w:color="auto"/>
            </w:tcBorders>
            <w:shd w:val="clear" w:color="000000" w:fill="A7A9AC"/>
            <w:noWrap/>
            <w:vAlign w:val="center"/>
            <w:hideMark/>
          </w:tcPr>
          <w:p w14:paraId="7472E7C6"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32,800 </w:t>
            </w:r>
          </w:p>
        </w:tc>
        <w:tc>
          <w:tcPr>
            <w:tcW w:w="939" w:type="dxa"/>
            <w:tcBorders>
              <w:left w:val="dashed" w:sz="4" w:space="0" w:color="auto"/>
              <w:bottom w:val="nil"/>
            </w:tcBorders>
            <w:shd w:val="clear" w:color="000000" w:fill="A7A9AC"/>
            <w:noWrap/>
            <w:vAlign w:val="center"/>
            <w:hideMark/>
          </w:tcPr>
          <w:p w14:paraId="77329C86"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434,400 </w:t>
            </w:r>
          </w:p>
        </w:tc>
      </w:tr>
      <w:tr w:rsidR="00723E93" w:rsidRPr="007F6332" w14:paraId="4C085F50" w14:textId="77777777" w:rsidTr="00D710D4">
        <w:trPr>
          <w:trHeight w:val="397"/>
          <w:tblHeader/>
        </w:trPr>
        <w:tc>
          <w:tcPr>
            <w:tcW w:w="1418" w:type="dxa"/>
            <w:tcBorders>
              <w:bottom w:val="nil"/>
            </w:tcBorders>
            <w:shd w:val="clear" w:color="000000" w:fill="FFFFFF"/>
            <w:noWrap/>
            <w:vAlign w:val="center"/>
            <w:hideMark/>
          </w:tcPr>
          <w:p w14:paraId="364FF8A5" w14:textId="77777777" w:rsidR="00723E93" w:rsidRPr="007F6332" w:rsidRDefault="00723E93" w:rsidP="006C2D75">
            <w:pPr>
              <w:spacing w:after="0" w:line="240" w:lineRule="auto"/>
              <w:rPr>
                <w:rFonts w:eastAsia="Times New Roman" w:cs="Arial"/>
                <w:color w:val="000000"/>
                <w:sz w:val="20"/>
                <w:szCs w:val="20"/>
                <w:lang w:val="en-AU" w:eastAsia="en-AU"/>
              </w:rPr>
            </w:pPr>
            <w:r w:rsidRPr="007F6332">
              <w:rPr>
                <w:rFonts w:eastAsia="Times New Roman" w:cs="Arial"/>
                <w:color w:val="000000"/>
                <w:sz w:val="20"/>
                <w:szCs w:val="20"/>
                <w:lang w:val="en-AU" w:eastAsia="en-AU"/>
              </w:rPr>
              <w:t>Other</w:t>
            </w:r>
          </w:p>
        </w:tc>
        <w:tc>
          <w:tcPr>
            <w:tcW w:w="1106" w:type="dxa"/>
            <w:tcBorders>
              <w:bottom w:val="nil"/>
            </w:tcBorders>
            <w:shd w:val="clear" w:color="000000" w:fill="FFFFFF"/>
            <w:noWrap/>
            <w:vAlign w:val="center"/>
            <w:hideMark/>
          </w:tcPr>
          <w:p w14:paraId="350297B3"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332,100 </w:t>
            </w:r>
          </w:p>
        </w:tc>
        <w:tc>
          <w:tcPr>
            <w:tcW w:w="1316" w:type="dxa"/>
            <w:tcBorders>
              <w:bottom w:val="nil"/>
            </w:tcBorders>
            <w:shd w:val="clear" w:color="000000" w:fill="FFFFFF"/>
            <w:noWrap/>
            <w:vAlign w:val="center"/>
            <w:hideMark/>
          </w:tcPr>
          <w:p w14:paraId="3F828BFD"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52,400 </w:t>
            </w:r>
          </w:p>
        </w:tc>
        <w:tc>
          <w:tcPr>
            <w:tcW w:w="1106" w:type="dxa"/>
            <w:tcBorders>
              <w:bottom w:val="nil"/>
            </w:tcBorders>
            <w:shd w:val="clear" w:color="000000" w:fill="FFFFFF"/>
            <w:noWrap/>
            <w:vAlign w:val="center"/>
            <w:hideMark/>
          </w:tcPr>
          <w:p w14:paraId="0E413A36"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13,800 </w:t>
            </w:r>
          </w:p>
        </w:tc>
        <w:tc>
          <w:tcPr>
            <w:tcW w:w="1150" w:type="dxa"/>
            <w:tcBorders>
              <w:bottom w:val="nil"/>
            </w:tcBorders>
            <w:shd w:val="clear" w:color="000000" w:fill="FFFFFF"/>
            <w:noWrap/>
            <w:vAlign w:val="center"/>
            <w:hideMark/>
          </w:tcPr>
          <w:p w14:paraId="7762E029"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2,000 </w:t>
            </w:r>
          </w:p>
        </w:tc>
        <w:tc>
          <w:tcPr>
            <w:tcW w:w="1461" w:type="dxa"/>
            <w:tcBorders>
              <w:bottom w:val="nil"/>
            </w:tcBorders>
            <w:shd w:val="clear" w:color="000000" w:fill="FFFFFF"/>
            <w:noWrap/>
            <w:vAlign w:val="center"/>
            <w:hideMark/>
          </w:tcPr>
          <w:p w14:paraId="273E8E17" w14:textId="77777777" w:rsidR="00723E93" w:rsidRPr="007F6332" w:rsidRDefault="00723E93" w:rsidP="006C2D75">
            <w:pPr>
              <w:spacing w:after="0" w:line="240" w:lineRule="auto"/>
              <w:jc w:val="center"/>
              <w:rPr>
                <w:rFonts w:eastAsia="Times New Roman" w:cs="Arial"/>
                <w:color w:val="000000"/>
                <w:sz w:val="20"/>
                <w:szCs w:val="20"/>
                <w:lang w:val="en-AU" w:eastAsia="en-AU"/>
              </w:rPr>
            </w:pPr>
            <w:r w:rsidRPr="007F6332">
              <w:rPr>
                <w:rFonts w:cs="Arial"/>
                <w:color w:val="000000"/>
                <w:sz w:val="20"/>
                <w:szCs w:val="20"/>
              </w:rPr>
              <w:t>5,500</w:t>
            </w:r>
          </w:p>
        </w:tc>
        <w:tc>
          <w:tcPr>
            <w:tcW w:w="961" w:type="dxa"/>
            <w:tcBorders>
              <w:bottom w:val="nil"/>
              <w:right w:val="dashed" w:sz="4" w:space="0" w:color="auto"/>
            </w:tcBorders>
            <w:shd w:val="clear" w:color="000000" w:fill="FFFFFF"/>
            <w:noWrap/>
            <w:vAlign w:val="center"/>
            <w:hideMark/>
          </w:tcPr>
          <w:p w14:paraId="25DDD250" w14:textId="77777777" w:rsidR="00723E93" w:rsidRPr="007F6332" w:rsidRDefault="00723E93"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 xml:space="preserve"> 27,700 </w:t>
            </w:r>
          </w:p>
        </w:tc>
        <w:tc>
          <w:tcPr>
            <w:tcW w:w="939" w:type="dxa"/>
            <w:tcBorders>
              <w:left w:val="dashed" w:sz="4" w:space="0" w:color="auto"/>
              <w:bottom w:val="nil"/>
            </w:tcBorders>
            <w:shd w:val="clear" w:color="000000" w:fill="FFFFFF"/>
            <w:noWrap/>
            <w:vAlign w:val="center"/>
            <w:hideMark/>
          </w:tcPr>
          <w:p w14:paraId="49DA0541" w14:textId="4BD0BC89" w:rsidR="00723E93" w:rsidRPr="007F6332" w:rsidRDefault="004A7010" w:rsidP="006C2D75">
            <w:pPr>
              <w:spacing w:after="0" w:line="240" w:lineRule="auto"/>
              <w:jc w:val="right"/>
              <w:rPr>
                <w:rFonts w:eastAsia="Times New Roman" w:cs="Arial"/>
                <w:color w:val="000000"/>
                <w:sz w:val="20"/>
                <w:szCs w:val="20"/>
                <w:lang w:val="en-AU" w:eastAsia="en-AU"/>
              </w:rPr>
            </w:pPr>
            <w:r w:rsidRPr="007F6332">
              <w:rPr>
                <w:rFonts w:cs="Arial"/>
                <w:color w:val="000000"/>
                <w:sz w:val="20"/>
                <w:szCs w:val="20"/>
              </w:rPr>
              <w:t>4</w:t>
            </w:r>
            <w:r w:rsidR="00723E93" w:rsidRPr="007F6332">
              <w:rPr>
                <w:rFonts w:cs="Arial"/>
                <w:color w:val="000000"/>
                <w:sz w:val="20"/>
                <w:szCs w:val="20"/>
              </w:rPr>
              <w:t xml:space="preserve">33,500 </w:t>
            </w:r>
          </w:p>
        </w:tc>
      </w:tr>
      <w:tr w:rsidR="00723E93" w:rsidRPr="007F6332" w14:paraId="58926357" w14:textId="77777777" w:rsidTr="00D710D4">
        <w:trPr>
          <w:trHeight w:val="397"/>
          <w:tblHeader/>
        </w:trPr>
        <w:tc>
          <w:tcPr>
            <w:tcW w:w="1418" w:type="dxa"/>
            <w:tcBorders>
              <w:bottom w:val="single" w:sz="4" w:space="0" w:color="auto"/>
            </w:tcBorders>
            <w:shd w:val="clear" w:color="000000" w:fill="B398B8"/>
            <w:noWrap/>
            <w:vAlign w:val="center"/>
            <w:hideMark/>
          </w:tcPr>
          <w:p w14:paraId="783D4B96" w14:textId="07C3652F" w:rsidR="00723E93" w:rsidRPr="007F6332" w:rsidRDefault="00723E93" w:rsidP="006C2D75">
            <w:pPr>
              <w:spacing w:after="0" w:line="200" w:lineRule="exact"/>
              <w:rPr>
                <w:rFonts w:eastAsia="Times New Roman" w:cs="Arial"/>
                <w:b/>
                <w:bCs/>
                <w:color w:val="000000"/>
                <w:sz w:val="20"/>
                <w:szCs w:val="20"/>
                <w:lang w:val="en-AU" w:eastAsia="en-AU"/>
              </w:rPr>
            </w:pPr>
            <w:r w:rsidRPr="007F6332">
              <w:rPr>
                <w:rFonts w:eastAsia="Times New Roman" w:cs="Arial"/>
                <w:b/>
                <w:bCs/>
                <w:color w:val="000000"/>
                <w:sz w:val="20"/>
                <w:szCs w:val="20"/>
                <w:lang w:val="en-AU" w:eastAsia="en-AU"/>
              </w:rPr>
              <w:t>Total</w:t>
            </w:r>
            <w:r w:rsidR="004A7010" w:rsidRPr="007F6332">
              <w:rPr>
                <w:rFonts w:eastAsia="Times New Roman" w:cs="Arial"/>
                <w:b/>
                <w:bCs/>
                <w:color w:val="000000"/>
                <w:sz w:val="20"/>
                <w:szCs w:val="20"/>
                <w:lang w:val="en-AU" w:eastAsia="en-AU"/>
              </w:rPr>
              <w:t xml:space="preserve"> average</w:t>
            </w:r>
          </w:p>
        </w:tc>
        <w:tc>
          <w:tcPr>
            <w:tcW w:w="1106" w:type="dxa"/>
            <w:tcBorders>
              <w:bottom w:val="single" w:sz="4" w:space="0" w:color="auto"/>
            </w:tcBorders>
            <w:shd w:val="clear" w:color="000000" w:fill="B398B8"/>
            <w:noWrap/>
            <w:vAlign w:val="center"/>
            <w:hideMark/>
          </w:tcPr>
          <w:p w14:paraId="6289BD4A" w14:textId="77777777" w:rsidR="00723E93" w:rsidRPr="007F6332" w:rsidRDefault="00723E93" w:rsidP="006C2D75">
            <w:pPr>
              <w:spacing w:after="0" w:line="200" w:lineRule="exact"/>
              <w:jc w:val="right"/>
              <w:rPr>
                <w:rFonts w:eastAsia="Times New Roman" w:cs="Arial"/>
                <w:b/>
                <w:bCs/>
                <w:color w:val="000000"/>
                <w:sz w:val="20"/>
                <w:szCs w:val="20"/>
                <w:lang w:val="en-AU" w:eastAsia="en-AU"/>
              </w:rPr>
            </w:pPr>
            <w:r w:rsidRPr="007F6332">
              <w:rPr>
                <w:rFonts w:cs="Arial"/>
                <w:b/>
                <w:bCs/>
                <w:color w:val="000000"/>
                <w:sz w:val="20"/>
                <w:szCs w:val="20"/>
              </w:rPr>
              <w:t xml:space="preserve"> 289,900 </w:t>
            </w:r>
          </w:p>
        </w:tc>
        <w:tc>
          <w:tcPr>
            <w:tcW w:w="1316" w:type="dxa"/>
            <w:tcBorders>
              <w:bottom w:val="single" w:sz="4" w:space="0" w:color="auto"/>
            </w:tcBorders>
            <w:shd w:val="clear" w:color="000000" w:fill="B398B8"/>
            <w:noWrap/>
            <w:vAlign w:val="center"/>
            <w:hideMark/>
          </w:tcPr>
          <w:p w14:paraId="592FAD34" w14:textId="77777777" w:rsidR="00723E93" w:rsidRPr="007F6332" w:rsidRDefault="00723E93" w:rsidP="006C2D75">
            <w:pPr>
              <w:spacing w:after="0" w:line="200" w:lineRule="exact"/>
              <w:jc w:val="right"/>
              <w:rPr>
                <w:rFonts w:eastAsia="Times New Roman" w:cs="Arial"/>
                <w:b/>
                <w:bCs/>
                <w:color w:val="000000"/>
                <w:sz w:val="20"/>
                <w:szCs w:val="20"/>
                <w:lang w:val="en-AU" w:eastAsia="en-AU"/>
              </w:rPr>
            </w:pPr>
            <w:r w:rsidRPr="007F6332">
              <w:rPr>
                <w:rFonts w:cs="Arial"/>
                <w:b/>
                <w:bCs/>
                <w:color w:val="000000"/>
                <w:sz w:val="20"/>
                <w:szCs w:val="20"/>
              </w:rPr>
              <w:t xml:space="preserve"> 54,500 </w:t>
            </w:r>
          </w:p>
        </w:tc>
        <w:tc>
          <w:tcPr>
            <w:tcW w:w="1106" w:type="dxa"/>
            <w:tcBorders>
              <w:bottom w:val="single" w:sz="4" w:space="0" w:color="auto"/>
            </w:tcBorders>
            <w:shd w:val="clear" w:color="000000" w:fill="B398B8"/>
            <w:noWrap/>
            <w:vAlign w:val="center"/>
            <w:hideMark/>
          </w:tcPr>
          <w:p w14:paraId="15147E42" w14:textId="77777777" w:rsidR="00723E93" w:rsidRPr="007F6332" w:rsidRDefault="00723E93" w:rsidP="006C2D75">
            <w:pPr>
              <w:spacing w:after="0" w:line="200" w:lineRule="exact"/>
              <w:jc w:val="right"/>
              <w:rPr>
                <w:rFonts w:eastAsia="Times New Roman" w:cs="Arial"/>
                <w:b/>
                <w:bCs/>
                <w:color w:val="000000"/>
                <w:sz w:val="20"/>
                <w:szCs w:val="20"/>
                <w:lang w:val="en-AU" w:eastAsia="en-AU"/>
              </w:rPr>
            </w:pPr>
            <w:r w:rsidRPr="007F6332">
              <w:rPr>
                <w:rFonts w:cs="Arial"/>
                <w:b/>
                <w:bCs/>
                <w:color w:val="000000"/>
                <w:sz w:val="20"/>
                <w:szCs w:val="20"/>
              </w:rPr>
              <w:t xml:space="preserve">8,600 </w:t>
            </w:r>
          </w:p>
        </w:tc>
        <w:tc>
          <w:tcPr>
            <w:tcW w:w="1150" w:type="dxa"/>
            <w:tcBorders>
              <w:bottom w:val="single" w:sz="4" w:space="0" w:color="auto"/>
            </w:tcBorders>
            <w:shd w:val="clear" w:color="000000" w:fill="B398B8"/>
            <w:noWrap/>
            <w:vAlign w:val="center"/>
            <w:hideMark/>
          </w:tcPr>
          <w:p w14:paraId="4E3C5FB3" w14:textId="77777777" w:rsidR="00723E93" w:rsidRPr="007F6332" w:rsidRDefault="00723E93" w:rsidP="006C2D75">
            <w:pPr>
              <w:spacing w:after="0" w:line="200" w:lineRule="exact"/>
              <w:jc w:val="right"/>
              <w:rPr>
                <w:rFonts w:eastAsia="Times New Roman" w:cs="Arial"/>
                <w:b/>
                <w:bCs/>
                <w:color w:val="000000"/>
                <w:sz w:val="20"/>
                <w:szCs w:val="20"/>
                <w:lang w:val="en-AU" w:eastAsia="en-AU"/>
              </w:rPr>
            </w:pPr>
            <w:r w:rsidRPr="007F6332">
              <w:rPr>
                <w:rFonts w:cs="Arial"/>
                <w:b/>
                <w:bCs/>
                <w:color w:val="000000"/>
                <w:sz w:val="20"/>
                <w:szCs w:val="20"/>
              </w:rPr>
              <w:t xml:space="preserve">  2,100 </w:t>
            </w:r>
          </w:p>
        </w:tc>
        <w:tc>
          <w:tcPr>
            <w:tcW w:w="1461" w:type="dxa"/>
            <w:tcBorders>
              <w:bottom w:val="single" w:sz="4" w:space="0" w:color="auto"/>
            </w:tcBorders>
            <w:shd w:val="clear" w:color="000000" w:fill="B398B8"/>
            <w:noWrap/>
            <w:vAlign w:val="center"/>
            <w:hideMark/>
          </w:tcPr>
          <w:p w14:paraId="7D3038EE" w14:textId="77777777" w:rsidR="00723E93" w:rsidRPr="007F6332" w:rsidRDefault="00723E93" w:rsidP="006C2D75">
            <w:pPr>
              <w:spacing w:after="0" w:line="200" w:lineRule="exact"/>
              <w:jc w:val="center"/>
              <w:rPr>
                <w:rFonts w:eastAsia="Times New Roman" w:cs="Arial"/>
                <w:b/>
                <w:bCs/>
                <w:color w:val="000000"/>
                <w:sz w:val="20"/>
                <w:szCs w:val="20"/>
                <w:lang w:val="en-AU" w:eastAsia="en-AU"/>
              </w:rPr>
            </w:pPr>
            <w:r w:rsidRPr="007F6332">
              <w:rPr>
                <w:rFonts w:cs="Arial"/>
                <w:b/>
                <w:bCs/>
                <w:color w:val="000000"/>
                <w:sz w:val="20"/>
                <w:szCs w:val="20"/>
              </w:rPr>
              <w:t>5,100</w:t>
            </w:r>
          </w:p>
        </w:tc>
        <w:tc>
          <w:tcPr>
            <w:tcW w:w="961" w:type="dxa"/>
            <w:tcBorders>
              <w:bottom w:val="single" w:sz="4" w:space="0" w:color="auto"/>
              <w:right w:val="dashed" w:sz="4" w:space="0" w:color="auto"/>
            </w:tcBorders>
            <w:shd w:val="clear" w:color="000000" w:fill="B398B8"/>
            <w:noWrap/>
            <w:vAlign w:val="center"/>
            <w:hideMark/>
          </w:tcPr>
          <w:p w14:paraId="3E04F9AC" w14:textId="77777777" w:rsidR="00723E93" w:rsidRPr="007F6332" w:rsidRDefault="00723E93" w:rsidP="006C2D75">
            <w:pPr>
              <w:spacing w:after="0" w:line="200" w:lineRule="exact"/>
              <w:jc w:val="right"/>
              <w:rPr>
                <w:rFonts w:eastAsia="Times New Roman" w:cs="Arial"/>
                <w:b/>
                <w:bCs/>
                <w:color w:val="000000"/>
                <w:sz w:val="20"/>
                <w:szCs w:val="20"/>
                <w:lang w:val="en-AU" w:eastAsia="en-AU"/>
              </w:rPr>
            </w:pPr>
            <w:r w:rsidRPr="007F6332">
              <w:rPr>
                <w:rFonts w:cs="Arial"/>
                <w:b/>
                <w:bCs/>
                <w:color w:val="000000"/>
                <w:sz w:val="20"/>
                <w:szCs w:val="20"/>
              </w:rPr>
              <w:t xml:space="preserve"> 20,200 </w:t>
            </w:r>
          </w:p>
        </w:tc>
        <w:tc>
          <w:tcPr>
            <w:tcW w:w="939" w:type="dxa"/>
            <w:tcBorders>
              <w:left w:val="dashed" w:sz="4" w:space="0" w:color="auto"/>
              <w:bottom w:val="single" w:sz="4" w:space="0" w:color="auto"/>
            </w:tcBorders>
            <w:shd w:val="clear" w:color="000000" w:fill="B398B8"/>
            <w:noWrap/>
            <w:vAlign w:val="center"/>
            <w:hideMark/>
          </w:tcPr>
          <w:p w14:paraId="5FEB1506" w14:textId="77777777" w:rsidR="00723E93" w:rsidRPr="007F6332" w:rsidRDefault="00723E93" w:rsidP="006C2D75">
            <w:pPr>
              <w:spacing w:after="0" w:line="200" w:lineRule="exact"/>
              <w:jc w:val="right"/>
              <w:rPr>
                <w:rFonts w:eastAsia="Times New Roman" w:cs="Arial"/>
                <w:b/>
                <w:bCs/>
                <w:color w:val="000000"/>
                <w:sz w:val="20"/>
                <w:szCs w:val="20"/>
                <w:lang w:val="en-AU" w:eastAsia="en-AU"/>
              </w:rPr>
            </w:pPr>
            <w:r w:rsidRPr="007F6332">
              <w:rPr>
                <w:rFonts w:cs="Arial"/>
                <w:b/>
                <w:bCs/>
                <w:color w:val="000000"/>
                <w:sz w:val="20"/>
                <w:szCs w:val="20"/>
              </w:rPr>
              <w:t xml:space="preserve">380,400 </w:t>
            </w:r>
          </w:p>
        </w:tc>
      </w:tr>
    </w:tbl>
    <w:p w14:paraId="02F9EA7C" w14:textId="651699FE" w:rsidR="00723E93" w:rsidRPr="007F6332" w:rsidRDefault="00950565" w:rsidP="00723E93">
      <w:pPr>
        <w:spacing w:before="240"/>
        <w:rPr>
          <w:rFonts w:cs="Arial"/>
          <w:lang w:val="en-AU"/>
        </w:rPr>
      </w:pPr>
      <w:r w:rsidRPr="007F6332">
        <w:rPr>
          <w:rFonts w:cs="Arial"/>
          <w:szCs w:val="22"/>
          <w:lang w:val="en-AU"/>
        </w:rPr>
        <w:t>Table 5.24</w:t>
      </w:r>
      <w:r w:rsidR="00723E93" w:rsidRPr="007F6332">
        <w:rPr>
          <w:rFonts w:cs="Arial"/>
          <w:szCs w:val="22"/>
          <w:lang w:val="en-AU"/>
        </w:rPr>
        <w:t xml:space="preserve"> shows the expected average payments grouped by disability and age band for</w:t>
      </w:r>
      <w:r w:rsidR="00723E93" w:rsidRPr="007F6332">
        <w:rPr>
          <w:rFonts w:cs="Arial"/>
          <w:lang w:val="en-AU"/>
        </w:rPr>
        <w:t xml:space="preserve"> the 2023-24 financial year. The following is noted</w:t>
      </w:r>
      <w:r w:rsidR="00EF16F8" w:rsidRPr="007F6332">
        <w:rPr>
          <w:rFonts w:cs="Arial"/>
          <w:lang w:val="en-AU"/>
        </w:rPr>
        <w:t>:</w:t>
      </w:r>
      <w:r w:rsidR="00723E93" w:rsidRPr="007F6332">
        <w:rPr>
          <w:rFonts w:cs="Arial"/>
          <w:lang w:val="en-AU"/>
        </w:rPr>
        <w:t>   </w:t>
      </w:r>
    </w:p>
    <w:p w14:paraId="48A53D69" w14:textId="77777777" w:rsidR="00723E93" w:rsidRPr="007F6332" w:rsidRDefault="00723E93" w:rsidP="00CE7E91">
      <w:pPr>
        <w:numPr>
          <w:ilvl w:val="0"/>
          <w:numId w:val="39"/>
        </w:numPr>
        <w:spacing w:before="240"/>
        <w:rPr>
          <w:rFonts w:cs="Arial"/>
          <w:lang w:val="en-AU"/>
        </w:rPr>
      </w:pPr>
      <w:r w:rsidRPr="007F6332">
        <w:rPr>
          <w:rFonts w:cs="Arial"/>
          <w:lang w:val="en-AU"/>
        </w:rPr>
        <w:t>The base average payments for all Scheme participants in 2023-24 is $58,200. This is $4,500 (8%) higher than the assumed base average payment for 2023-24 in the previous review.  </w:t>
      </w:r>
    </w:p>
    <w:p w14:paraId="0631BEFD" w14:textId="77777777" w:rsidR="00723E93" w:rsidRPr="007F6332" w:rsidRDefault="00723E93" w:rsidP="0034641E">
      <w:pPr>
        <w:numPr>
          <w:ilvl w:val="0"/>
          <w:numId w:val="39"/>
        </w:numPr>
        <w:spacing w:before="120" w:after="120"/>
        <w:ind w:left="714" w:hanging="357"/>
        <w:rPr>
          <w:rFonts w:cs="Arial"/>
          <w:lang w:val="en-AU"/>
        </w:rPr>
      </w:pPr>
      <w:r w:rsidRPr="007F6332">
        <w:rPr>
          <w:rFonts w:cs="Arial"/>
          <w:lang w:val="en-AU"/>
        </w:rPr>
        <w:lastRenderedPageBreak/>
        <w:t>Children have lower average payments than adults, reflecting a higher proportion of participants accessing early intervention supports, less usage of SIL arrangements and more informal supports, primarily provided by parents.  </w:t>
      </w:r>
    </w:p>
    <w:p w14:paraId="3D78B239" w14:textId="76AFC0D0" w:rsidR="00723E93" w:rsidRPr="007F6332" w:rsidRDefault="00723E93" w:rsidP="0034641E">
      <w:pPr>
        <w:numPr>
          <w:ilvl w:val="0"/>
          <w:numId w:val="39"/>
        </w:numPr>
        <w:spacing w:before="120" w:after="120"/>
        <w:ind w:left="714" w:hanging="357"/>
        <w:rPr>
          <w:rFonts w:cs="Arial"/>
          <w:lang w:val="en-AU"/>
        </w:rPr>
      </w:pPr>
      <w:r w:rsidRPr="007F6332">
        <w:rPr>
          <w:rFonts w:cs="Arial"/>
          <w:lang w:val="en-AU"/>
        </w:rPr>
        <w:t>Participants with intellectual disability and other neurological have the largest average payments</w:t>
      </w:r>
      <w:r w:rsidR="00EF16F8" w:rsidRPr="007F6332">
        <w:rPr>
          <w:rFonts w:cs="Arial"/>
          <w:lang w:val="en-AU"/>
        </w:rPr>
        <w:t>.</w:t>
      </w:r>
    </w:p>
    <w:p w14:paraId="5A5A0507" w14:textId="77777777" w:rsidR="00723E93" w:rsidRPr="007F6332" w:rsidRDefault="00723E93" w:rsidP="0034641E">
      <w:pPr>
        <w:numPr>
          <w:ilvl w:val="0"/>
          <w:numId w:val="39"/>
        </w:numPr>
        <w:spacing w:before="120" w:after="120"/>
        <w:ind w:left="714" w:hanging="357"/>
        <w:rPr>
          <w:rFonts w:cs="Arial"/>
          <w:lang w:val="en-AU"/>
        </w:rPr>
      </w:pPr>
      <w:r w:rsidRPr="007F6332">
        <w:rPr>
          <w:rFonts w:cs="Arial"/>
          <w:lang w:val="en-AU"/>
        </w:rPr>
        <w:t>Participants with autism and developmental delay have the lowest average payments.</w:t>
      </w:r>
    </w:p>
    <w:p w14:paraId="4A7FD2F5" w14:textId="4264BA5D" w:rsidR="00723E93" w:rsidRPr="007F6332" w:rsidRDefault="00950565" w:rsidP="00446FB4">
      <w:pPr>
        <w:pStyle w:val="FiguresandTablesHeading4"/>
      </w:pPr>
      <w:r w:rsidRPr="007F6332">
        <w:rPr>
          <w:rStyle w:val="FiguresChar"/>
          <w:noProof w:val="0"/>
          <w:szCs w:val="24"/>
        </w:rPr>
        <w:t>Table 5.24</w:t>
      </w:r>
      <w:r w:rsidR="0045717D" w:rsidRPr="007F6332">
        <w:rPr>
          <w:rStyle w:val="FiguresChar"/>
          <w:noProof w:val="0"/>
          <w:szCs w:val="24"/>
        </w:rPr>
        <w:t>:</w:t>
      </w:r>
      <w:r w:rsidR="00723E93" w:rsidRPr="007F6332">
        <w:rPr>
          <w:rStyle w:val="FiguresChar"/>
          <w:noProof w:val="0"/>
          <w:szCs w:val="24"/>
        </w:rPr>
        <w:t xml:space="preserve"> Base </w:t>
      </w:r>
      <w:r w:rsidR="00AB25E8" w:rsidRPr="007F6332">
        <w:rPr>
          <w:rStyle w:val="FiguresChar"/>
          <w:noProof w:val="0"/>
          <w:szCs w:val="24"/>
        </w:rPr>
        <w:t>a</w:t>
      </w:r>
      <w:r w:rsidR="00723E93" w:rsidRPr="007F6332">
        <w:rPr>
          <w:rStyle w:val="FiguresChar"/>
          <w:noProof w:val="0"/>
          <w:szCs w:val="24"/>
        </w:rPr>
        <w:t>verage payment assumptions ($) by age band and disability group in 2023-24</w:t>
      </w:r>
      <w:r w:rsidR="00CC0DAB" w:rsidRPr="007F6332">
        <w:rPr>
          <w:rStyle w:val="FootnoteReference"/>
        </w:rPr>
        <w:footnoteReference w:id="98"/>
      </w:r>
    </w:p>
    <w:tbl>
      <w:tblPr>
        <w:tblW w:w="8931" w:type="dxa"/>
        <w:tblBorders>
          <w:bottom w:val="single" w:sz="4" w:space="0" w:color="auto"/>
        </w:tblBorders>
        <w:tblLayout w:type="fixed"/>
        <w:tblLook w:val="04A0" w:firstRow="1" w:lastRow="0" w:firstColumn="1" w:lastColumn="0" w:noHBand="0" w:noVBand="1"/>
      </w:tblPr>
      <w:tblGrid>
        <w:gridCol w:w="2552"/>
        <w:gridCol w:w="1275"/>
        <w:gridCol w:w="1276"/>
        <w:gridCol w:w="1276"/>
        <w:gridCol w:w="1276"/>
        <w:gridCol w:w="1276"/>
      </w:tblGrid>
      <w:tr w:rsidR="00723E93" w:rsidRPr="007F6332" w14:paraId="298A0A26" w14:textId="77777777" w:rsidTr="00C1755E">
        <w:trPr>
          <w:trHeight w:val="517"/>
        </w:trPr>
        <w:tc>
          <w:tcPr>
            <w:tcW w:w="2552" w:type="dxa"/>
            <w:shd w:val="clear" w:color="000000" w:fill="6B2976"/>
            <w:noWrap/>
            <w:vAlign w:val="center"/>
            <w:hideMark/>
          </w:tcPr>
          <w:p w14:paraId="24CCCCAF" w14:textId="77777777" w:rsidR="00723E93" w:rsidRPr="007F6332" w:rsidRDefault="00723E93"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Disability Group</w:t>
            </w:r>
          </w:p>
        </w:tc>
        <w:tc>
          <w:tcPr>
            <w:tcW w:w="1275" w:type="dxa"/>
            <w:shd w:val="clear" w:color="000000" w:fill="6B2976"/>
            <w:noWrap/>
            <w:vAlign w:val="center"/>
            <w:hideMark/>
          </w:tcPr>
          <w:p w14:paraId="5FD51A95"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0 to 14</w:t>
            </w:r>
          </w:p>
        </w:tc>
        <w:tc>
          <w:tcPr>
            <w:tcW w:w="1276" w:type="dxa"/>
            <w:shd w:val="clear" w:color="000000" w:fill="6B2976"/>
            <w:noWrap/>
            <w:vAlign w:val="center"/>
            <w:hideMark/>
          </w:tcPr>
          <w:p w14:paraId="0D69AB23"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15 to 24</w:t>
            </w:r>
          </w:p>
        </w:tc>
        <w:tc>
          <w:tcPr>
            <w:tcW w:w="1276" w:type="dxa"/>
            <w:shd w:val="clear" w:color="000000" w:fill="6B2976"/>
            <w:noWrap/>
            <w:vAlign w:val="center"/>
            <w:hideMark/>
          </w:tcPr>
          <w:p w14:paraId="29D70B7F"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25 to 64</w:t>
            </w:r>
          </w:p>
        </w:tc>
        <w:tc>
          <w:tcPr>
            <w:tcW w:w="1276" w:type="dxa"/>
            <w:tcBorders>
              <w:right w:val="dashed" w:sz="4" w:space="0" w:color="auto"/>
            </w:tcBorders>
            <w:shd w:val="clear" w:color="000000" w:fill="6B2976"/>
            <w:noWrap/>
            <w:vAlign w:val="center"/>
            <w:hideMark/>
          </w:tcPr>
          <w:p w14:paraId="39E0E04D"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65+</w:t>
            </w:r>
          </w:p>
        </w:tc>
        <w:tc>
          <w:tcPr>
            <w:tcW w:w="1276" w:type="dxa"/>
            <w:tcBorders>
              <w:left w:val="dashed" w:sz="4" w:space="0" w:color="auto"/>
              <w:bottom w:val="nil"/>
            </w:tcBorders>
            <w:shd w:val="clear" w:color="000000" w:fill="6B2976"/>
            <w:noWrap/>
            <w:vAlign w:val="center"/>
            <w:hideMark/>
          </w:tcPr>
          <w:p w14:paraId="0309C9A9"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Total</w:t>
            </w:r>
          </w:p>
        </w:tc>
      </w:tr>
      <w:tr w:rsidR="00723E93" w:rsidRPr="007F6332" w14:paraId="04ED14A4" w14:textId="77777777" w:rsidTr="00C1755E">
        <w:trPr>
          <w:trHeight w:val="340"/>
        </w:trPr>
        <w:tc>
          <w:tcPr>
            <w:tcW w:w="2552" w:type="dxa"/>
            <w:shd w:val="clear" w:color="auto" w:fill="auto"/>
            <w:noWrap/>
            <w:vAlign w:val="center"/>
            <w:hideMark/>
          </w:tcPr>
          <w:p w14:paraId="2FB41EA9"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Autism</w:t>
            </w:r>
          </w:p>
        </w:tc>
        <w:tc>
          <w:tcPr>
            <w:tcW w:w="1275" w:type="dxa"/>
            <w:shd w:val="clear" w:color="auto" w:fill="auto"/>
            <w:noWrap/>
            <w:vAlign w:val="center"/>
            <w:hideMark/>
          </w:tcPr>
          <w:p w14:paraId="2C09157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19,700</w:t>
            </w:r>
          </w:p>
        </w:tc>
        <w:tc>
          <w:tcPr>
            <w:tcW w:w="1276" w:type="dxa"/>
            <w:shd w:val="clear" w:color="auto" w:fill="auto"/>
            <w:noWrap/>
            <w:vAlign w:val="center"/>
            <w:hideMark/>
          </w:tcPr>
          <w:p w14:paraId="7389F29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41,400</w:t>
            </w:r>
          </w:p>
        </w:tc>
        <w:tc>
          <w:tcPr>
            <w:tcW w:w="1276" w:type="dxa"/>
            <w:shd w:val="clear" w:color="auto" w:fill="auto"/>
            <w:noWrap/>
            <w:vAlign w:val="center"/>
            <w:hideMark/>
          </w:tcPr>
          <w:p w14:paraId="0E2C5BB5"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86,800</w:t>
            </w:r>
          </w:p>
        </w:tc>
        <w:tc>
          <w:tcPr>
            <w:tcW w:w="1276" w:type="dxa"/>
            <w:tcBorders>
              <w:right w:val="dashed" w:sz="4" w:space="0" w:color="auto"/>
            </w:tcBorders>
            <w:shd w:val="clear" w:color="auto" w:fill="auto"/>
            <w:noWrap/>
            <w:vAlign w:val="center"/>
            <w:hideMark/>
          </w:tcPr>
          <w:p w14:paraId="56C6E1E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152,400</w:t>
            </w:r>
          </w:p>
        </w:tc>
        <w:tc>
          <w:tcPr>
            <w:tcW w:w="1276" w:type="dxa"/>
            <w:tcBorders>
              <w:left w:val="dashed" w:sz="4" w:space="0" w:color="auto"/>
              <w:bottom w:val="nil"/>
            </w:tcBorders>
            <w:shd w:val="clear" w:color="auto" w:fill="auto"/>
            <w:noWrap/>
            <w:vAlign w:val="center"/>
            <w:hideMark/>
          </w:tcPr>
          <w:p w14:paraId="26D643A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33,400</w:t>
            </w:r>
          </w:p>
        </w:tc>
      </w:tr>
      <w:tr w:rsidR="00723E93" w:rsidRPr="007F6332" w14:paraId="1BE7A196" w14:textId="77777777" w:rsidTr="00C1755E">
        <w:trPr>
          <w:trHeight w:val="340"/>
        </w:trPr>
        <w:tc>
          <w:tcPr>
            <w:tcW w:w="2552" w:type="dxa"/>
            <w:shd w:val="clear" w:color="000000" w:fill="A7A9AC"/>
            <w:noWrap/>
            <w:vAlign w:val="center"/>
            <w:hideMark/>
          </w:tcPr>
          <w:p w14:paraId="163D7DF2"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Intellectual Disability</w:t>
            </w:r>
          </w:p>
        </w:tc>
        <w:tc>
          <w:tcPr>
            <w:tcW w:w="1275" w:type="dxa"/>
            <w:shd w:val="clear" w:color="000000" w:fill="A7A9AC"/>
            <w:noWrap/>
            <w:vAlign w:val="center"/>
            <w:hideMark/>
          </w:tcPr>
          <w:p w14:paraId="5015606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31,300</w:t>
            </w:r>
          </w:p>
        </w:tc>
        <w:tc>
          <w:tcPr>
            <w:tcW w:w="1276" w:type="dxa"/>
            <w:shd w:val="clear" w:color="000000" w:fill="A7A9AC"/>
            <w:noWrap/>
            <w:vAlign w:val="center"/>
            <w:hideMark/>
          </w:tcPr>
          <w:p w14:paraId="5F1FAE0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72,800</w:t>
            </w:r>
          </w:p>
        </w:tc>
        <w:tc>
          <w:tcPr>
            <w:tcW w:w="1276" w:type="dxa"/>
            <w:shd w:val="clear" w:color="000000" w:fill="A7A9AC"/>
            <w:noWrap/>
            <w:vAlign w:val="center"/>
            <w:hideMark/>
          </w:tcPr>
          <w:p w14:paraId="5D630F6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134,600</w:t>
            </w:r>
          </w:p>
        </w:tc>
        <w:tc>
          <w:tcPr>
            <w:tcW w:w="1276" w:type="dxa"/>
            <w:tcBorders>
              <w:right w:val="dashed" w:sz="4" w:space="0" w:color="auto"/>
            </w:tcBorders>
            <w:shd w:val="clear" w:color="000000" w:fill="A7A9AC"/>
            <w:noWrap/>
            <w:vAlign w:val="center"/>
            <w:hideMark/>
          </w:tcPr>
          <w:p w14:paraId="3C523D8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184,400</w:t>
            </w:r>
          </w:p>
        </w:tc>
        <w:tc>
          <w:tcPr>
            <w:tcW w:w="1276" w:type="dxa"/>
            <w:tcBorders>
              <w:left w:val="dashed" w:sz="4" w:space="0" w:color="auto"/>
              <w:bottom w:val="nil"/>
            </w:tcBorders>
            <w:shd w:val="clear" w:color="000000" w:fill="A7A9AC"/>
            <w:noWrap/>
            <w:vAlign w:val="center"/>
            <w:hideMark/>
          </w:tcPr>
          <w:p w14:paraId="3A103C57"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99,200</w:t>
            </w:r>
          </w:p>
        </w:tc>
      </w:tr>
      <w:tr w:rsidR="00723E93" w:rsidRPr="007F6332" w14:paraId="3C4E9CC4" w14:textId="77777777" w:rsidTr="00C1755E">
        <w:trPr>
          <w:trHeight w:val="340"/>
        </w:trPr>
        <w:tc>
          <w:tcPr>
            <w:tcW w:w="2552" w:type="dxa"/>
            <w:shd w:val="clear" w:color="auto" w:fill="auto"/>
            <w:noWrap/>
            <w:vAlign w:val="center"/>
            <w:hideMark/>
          </w:tcPr>
          <w:p w14:paraId="202EB203"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Psychosocial Disability</w:t>
            </w:r>
          </w:p>
        </w:tc>
        <w:tc>
          <w:tcPr>
            <w:tcW w:w="1275" w:type="dxa"/>
            <w:shd w:val="clear" w:color="auto" w:fill="auto"/>
            <w:noWrap/>
            <w:vAlign w:val="center"/>
            <w:hideMark/>
          </w:tcPr>
          <w:p w14:paraId="3A6FF19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24,800</w:t>
            </w:r>
          </w:p>
        </w:tc>
        <w:tc>
          <w:tcPr>
            <w:tcW w:w="1276" w:type="dxa"/>
            <w:shd w:val="clear" w:color="auto" w:fill="auto"/>
            <w:noWrap/>
            <w:vAlign w:val="center"/>
            <w:hideMark/>
          </w:tcPr>
          <w:p w14:paraId="7394C35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81,600</w:t>
            </w:r>
          </w:p>
        </w:tc>
        <w:tc>
          <w:tcPr>
            <w:tcW w:w="1276" w:type="dxa"/>
            <w:shd w:val="clear" w:color="auto" w:fill="auto"/>
            <w:noWrap/>
            <w:vAlign w:val="center"/>
            <w:hideMark/>
          </w:tcPr>
          <w:p w14:paraId="2D15C58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70,900</w:t>
            </w:r>
          </w:p>
        </w:tc>
        <w:tc>
          <w:tcPr>
            <w:tcW w:w="1276" w:type="dxa"/>
            <w:tcBorders>
              <w:right w:val="dashed" w:sz="4" w:space="0" w:color="auto"/>
            </w:tcBorders>
            <w:shd w:val="clear" w:color="auto" w:fill="auto"/>
            <w:noWrap/>
            <w:vAlign w:val="center"/>
            <w:hideMark/>
          </w:tcPr>
          <w:p w14:paraId="3746C00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78,000</w:t>
            </w:r>
          </w:p>
        </w:tc>
        <w:tc>
          <w:tcPr>
            <w:tcW w:w="1276" w:type="dxa"/>
            <w:tcBorders>
              <w:left w:val="dashed" w:sz="4" w:space="0" w:color="auto"/>
              <w:bottom w:val="nil"/>
            </w:tcBorders>
            <w:shd w:val="clear" w:color="auto" w:fill="auto"/>
            <w:noWrap/>
            <w:vAlign w:val="center"/>
            <w:hideMark/>
          </w:tcPr>
          <w:p w14:paraId="3040AD8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71,700</w:t>
            </w:r>
          </w:p>
        </w:tc>
      </w:tr>
      <w:tr w:rsidR="00723E93" w:rsidRPr="007F6332" w14:paraId="131914E8" w14:textId="77777777" w:rsidTr="00C1755E">
        <w:trPr>
          <w:trHeight w:val="340"/>
        </w:trPr>
        <w:tc>
          <w:tcPr>
            <w:tcW w:w="2552" w:type="dxa"/>
            <w:shd w:val="clear" w:color="000000" w:fill="A7A9AC"/>
            <w:noWrap/>
            <w:vAlign w:val="center"/>
            <w:hideMark/>
          </w:tcPr>
          <w:p w14:paraId="2EE0DAEE"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Developmental Delay</w:t>
            </w:r>
          </w:p>
        </w:tc>
        <w:tc>
          <w:tcPr>
            <w:tcW w:w="1275" w:type="dxa"/>
            <w:shd w:val="clear" w:color="000000" w:fill="A7A9AC"/>
            <w:noWrap/>
            <w:vAlign w:val="center"/>
            <w:hideMark/>
          </w:tcPr>
          <w:p w14:paraId="033B9A22"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11,800</w:t>
            </w:r>
          </w:p>
        </w:tc>
        <w:tc>
          <w:tcPr>
            <w:tcW w:w="1276" w:type="dxa"/>
            <w:shd w:val="clear" w:color="000000" w:fill="A7A9AC"/>
            <w:noWrap/>
            <w:vAlign w:val="center"/>
            <w:hideMark/>
          </w:tcPr>
          <w:p w14:paraId="2094AA4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w:t>
            </w:r>
          </w:p>
        </w:tc>
        <w:tc>
          <w:tcPr>
            <w:tcW w:w="1276" w:type="dxa"/>
            <w:shd w:val="clear" w:color="000000" w:fill="A7A9AC"/>
            <w:noWrap/>
            <w:vAlign w:val="center"/>
            <w:hideMark/>
          </w:tcPr>
          <w:p w14:paraId="0255017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w:t>
            </w:r>
          </w:p>
        </w:tc>
        <w:tc>
          <w:tcPr>
            <w:tcW w:w="1276" w:type="dxa"/>
            <w:tcBorders>
              <w:right w:val="dashed" w:sz="4" w:space="0" w:color="auto"/>
            </w:tcBorders>
            <w:shd w:val="clear" w:color="000000" w:fill="A7A9AC"/>
            <w:noWrap/>
            <w:vAlign w:val="center"/>
            <w:hideMark/>
          </w:tcPr>
          <w:p w14:paraId="12253DD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 -</w:t>
            </w:r>
          </w:p>
        </w:tc>
        <w:tc>
          <w:tcPr>
            <w:tcW w:w="1276" w:type="dxa"/>
            <w:tcBorders>
              <w:left w:val="dashed" w:sz="4" w:space="0" w:color="auto"/>
              <w:bottom w:val="nil"/>
            </w:tcBorders>
            <w:shd w:val="clear" w:color="000000" w:fill="A7A9AC"/>
            <w:noWrap/>
            <w:vAlign w:val="center"/>
            <w:hideMark/>
          </w:tcPr>
          <w:p w14:paraId="39C3441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11,800</w:t>
            </w:r>
          </w:p>
        </w:tc>
      </w:tr>
      <w:tr w:rsidR="00723E93" w:rsidRPr="007F6332" w14:paraId="42657CBB" w14:textId="77777777" w:rsidTr="00C1755E">
        <w:trPr>
          <w:trHeight w:val="340"/>
        </w:trPr>
        <w:tc>
          <w:tcPr>
            <w:tcW w:w="2552" w:type="dxa"/>
            <w:shd w:val="clear" w:color="auto" w:fill="auto"/>
            <w:noWrap/>
            <w:vAlign w:val="center"/>
            <w:hideMark/>
          </w:tcPr>
          <w:p w14:paraId="4443D23C"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Other Neurological</w:t>
            </w:r>
          </w:p>
        </w:tc>
        <w:tc>
          <w:tcPr>
            <w:tcW w:w="1275" w:type="dxa"/>
            <w:shd w:val="clear" w:color="auto" w:fill="auto"/>
            <w:noWrap/>
            <w:vAlign w:val="center"/>
            <w:hideMark/>
          </w:tcPr>
          <w:p w14:paraId="78E52C59"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48,000</w:t>
            </w:r>
          </w:p>
        </w:tc>
        <w:tc>
          <w:tcPr>
            <w:tcW w:w="1276" w:type="dxa"/>
            <w:shd w:val="clear" w:color="auto" w:fill="auto"/>
            <w:noWrap/>
            <w:vAlign w:val="center"/>
            <w:hideMark/>
          </w:tcPr>
          <w:p w14:paraId="0AE3496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106,600</w:t>
            </w:r>
          </w:p>
        </w:tc>
        <w:tc>
          <w:tcPr>
            <w:tcW w:w="1276" w:type="dxa"/>
            <w:shd w:val="clear" w:color="auto" w:fill="auto"/>
            <w:noWrap/>
            <w:vAlign w:val="center"/>
            <w:hideMark/>
          </w:tcPr>
          <w:p w14:paraId="4C83734B"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139,400</w:t>
            </w:r>
          </w:p>
        </w:tc>
        <w:tc>
          <w:tcPr>
            <w:tcW w:w="1276" w:type="dxa"/>
            <w:tcBorders>
              <w:right w:val="dashed" w:sz="4" w:space="0" w:color="auto"/>
            </w:tcBorders>
            <w:shd w:val="clear" w:color="auto" w:fill="auto"/>
            <w:noWrap/>
            <w:vAlign w:val="center"/>
            <w:hideMark/>
          </w:tcPr>
          <w:p w14:paraId="69EAE8A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125,400</w:t>
            </w:r>
          </w:p>
        </w:tc>
        <w:tc>
          <w:tcPr>
            <w:tcW w:w="1276" w:type="dxa"/>
            <w:tcBorders>
              <w:left w:val="dashed" w:sz="4" w:space="0" w:color="auto"/>
              <w:bottom w:val="nil"/>
            </w:tcBorders>
            <w:shd w:val="clear" w:color="auto" w:fill="auto"/>
            <w:noWrap/>
            <w:vAlign w:val="center"/>
            <w:hideMark/>
          </w:tcPr>
          <w:p w14:paraId="73EC116D"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124,600</w:t>
            </w:r>
          </w:p>
        </w:tc>
      </w:tr>
      <w:tr w:rsidR="00723E93" w:rsidRPr="007F6332" w14:paraId="1154F4EA" w14:textId="77777777" w:rsidTr="00C1755E">
        <w:trPr>
          <w:trHeight w:val="340"/>
        </w:trPr>
        <w:tc>
          <w:tcPr>
            <w:tcW w:w="2552" w:type="dxa"/>
            <w:tcBorders>
              <w:bottom w:val="nil"/>
            </w:tcBorders>
            <w:shd w:val="clear" w:color="000000" w:fill="A7A9AC"/>
            <w:noWrap/>
            <w:vAlign w:val="center"/>
            <w:hideMark/>
          </w:tcPr>
          <w:p w14:paraId="4A6EEEC5"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Other</w:t>
            </w:r>
          </w:p>
        </w:tc>
        <w:tc>
          <w:tcPr>
            <w:tcW w:w="1275" w:type="dxa"/>
            <w:tcBorders>
              <w:bottom w:val="nil"/>
            </w:tcBorders>
            <w:shd w:val="clear" w:color="000000" w:fill="A7A9AC"/>
            <w:noWrap/>
            <w:vAlign w:val="center"/>
            <w:hideMark/>
          </w:tcPr>
          <w:p w14:paraId="1CCAD76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24,700</w:t>
            </w:r>
          </w:p>
        </w:tc>
        <w:tc>
          <w:tcPr>
            <w:tcW w:w="1276" w:type="dxa"/>
            <w:tcBorders>
              <w:bottom w:val="nil"/>
            </w:tcBorders>
            <w:shd w:val="clear" w:color="000000" w:fill="A7A9AC"/>
            <w:noWrap/>
            <w:vAlign w:val="center"/>
            <w:hideMark/>
          </w:tcPr>
          <w:p w14:paraId="2CB764F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57,500</w:t>
            </w:r>
          </w:p>
        </w:tc>
        <w:tc>
          <w:tcPr>
            <w:tcW w:w="1276" w:type="dxa"/>
            <w:tcBorders>
              <w:bottom w:val="nil"/>
            </w:tcBorders>
            <w:shd w:val="clear" w:color="000000" w:fill="A7A9AC"/>
            <w:noWrap/>
            <w:vAlign w:val="center"/>
            <w:hideMark/>
          </w:tcPr>
          <w:p w14:paraId="12A90E95"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101,600</w:t>
            </w:r>
          </w:p>
        </w:tc>
        <w:tc>
          <w:tcPr>
            <w:tcW w:w="1276" w:type="dxa"/>
            <w:tcBorders>
              <w:bottom w:val="nil"/>
              <w:right w:val="dashSmallGap" w:sz="4" w:space="0" w:color="auto"/>
            </w:tcBorders>
            <w:shd w:val="clear" w:color="000000" w:fill="A7A9AC"/>
            <w:noWrap/>
            <w:vAlign w:val="center"/>
            <w:hideMark/>
          </w:tcPr>
          <w:p w14:paraId="7AA11C1A"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99,600</w:t>
            </w:r>
          </w:p>
        </w:tc>
        <w:tc>
          <w:tcPr>
            <w:tcW w:w="1276" w:type="dxa"/>
            <w:tcBorders>
              <w:left w:val="dashSmallGap" w:sz="4" w:space="0" w:color="auto"/>
              <w:bottom w:val="nil"/>
            </w:tcBorders>
            <w:shd w:val="clear" w:color="000000" w:fill="A7A9AC"/>
            <w:noWrap/>
            <w:vAlign w:val="center"/>
            <w:hideMark/>
          </w:tcPr>
          <w:p w14:paraId="11C01792"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84,300</w:t>
            </w:r>
          </w:p>
        </w:tc>
      </w:tr>
      <w:tr w:rsidR="00723E93" w:rsidRPr="007F6332" w14:paraId="760AB039" w14:textId="77777777" w:rsidTr="00C1755E">
        <w:trPr>
          <w:trHeight w:val="340"/>
        </w:trPr>
        <w:tc>
          <w:tcPr>
            <w:tcW w:w="2552" w:type="dxa"/>
            <w:tcBorders>
              <w:bottom w:val="single" w:sz="4" w:space="0" w:color="auto"/>
            </w:tcBorders>
            <w:shd w:val="clear" w:color="000000" w:fill="B398B8"/>
            <w:noWrap/>
            <w:vAlign w:val="center"/>
            <w:hideMark/>
          </w:tcPr>
          <w:p w14:paraId="03446351" w14:textId="77777777" w:rsidR="00723E93" w:rsidRPr="007F6332" w:rsidRDefault="00723E93" w:rsidP="006C2D7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1275" w:type="dxa"/>
            <w:tcBorders>
              <w:bottom w:val="single" w:sz="4" w:space="0" w:color="auto"/>
            </w:tcBorders>
            <w:shd w:val="clear" w:color="000000" w:fill="B398B8"/>
            <w:noWrap/>
            <w:vAlign w:val="center"/>
            <w:hideMark/>
          </w:tcPr>
          <w:p w14:paraId="71A2D7A4"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18,600</w:t>
            </w:r>
          </w:p>
        </w:tc>
        <w:tc>
          <w:tcPr>
            <w:tcW w:w="1276" w:type="dxa"/>
            <w:tcBorders>
              <w:bottom w:val="single" w:sz="4" w:space="0" w:color="auto"/>
            </w:tcBorders>
            <w:shd w:val="clear" w:color="000000" w:fill="B398B8"/>
            <w:noWrap/>
            <w:vAlign w:val="center"/>
            <w:hideMark/>
          </w:tcPr>
          <w:p w14:paraId="0F3797C8"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52,500</w:t>
            </w:r>
          </w:p>
        </w:tc>
        <w:tc>
          <w:tcPr>
            <w:tcW w:w="1276" w:type="dxa"/>
            <w:tcBorders>
              <w:bottom w:val="single" w:sz="4" w:space="0" w:color="auto"/>
            </w:tcBorders>
            <w:shd w:val="clear" w:color="000000" w:fill="B398B8"/>
            <w:noWrap/>
            <w:vAlign w:val="center"/>
            <w:hideMark/>
          </w:tcPr>
          <w:p w14:paraId="62C69F1B"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102,100</w:t>
            </w:r>
          </w:p>
        </w:tc>
        <w:tc>
          <w:tcPr>
            <w:tcW w:w="1276" w:type="dxa"/>
            <w:tcBorders>
              <w:bottom w:val="single" w:sz="4" w:space="0" w:color="auto"/>
              <w:right w:val="dashSmallGap" w:sz="4" w:space="0" w:color="auto"/>
            </w:tcBorders>
            <w:shd w:val="clear" w:color="000000" w:fill="B398B8"/>
            <w:noWrap/>
            <w:vAlign w:val="center"/>
            <w:hideMark/>
          </w:tcPr>
          <w:p w14:paraId="78D2CBA3"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111,000</w:t>
            </w:r>
          </w:p>
        </w:tc>
        <w:tc>
          <w:tcPr>
            <w:tcW w:w="1276" w:type="dxa"/>
            <w:tcBorders>
              <w:left w:val="dashSmallGap" w:sz="4" w:space="0" w:color="auto"/>
              <w:bottom w:val="single" w:sz="4" w:space="0" w:color="auto"/>
            </w:tcBorders>
            <w:shd w:val="clear" w:color="000000" w:fill="B398B8"/>
            <w:noWrap/>
            <w:vAlign w:val="center"/>
            <w:hideMark/>
          </w:tcPr>
          <w:p w14:paraId="49DB1D95"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58,200</w:t>
            </w:r>
          </w:p>
        </w:tc>
      </w:tr>
    </w:tbl>
    <w:p w14:paraId="13176568" w14:textId="1948D194" w:rsidR="00723E93" w:rsidRPr="007F6332" w:rsidRDefault="00723E93" w:rsidP="00723E93">
      <w:pPr>
        <w:spacing w:before="240"/>
        <w:rPr>
          <w:rFonts w:cs="Arial"/>
          <w:lang w:val="en-AU"/>
        </w:rPr>
      </w:pPr>
      <w:r w:rsidRPr="007F6332">
        <w:rPr>
          <w:rFonts w:cs="Arial"/>
          <w:lang w:val="en-AU"/>
        </w:rPr>
        <w:t xml:space="preserve">The expected average payment assumptions by support category and age band for the 2023-24 financial year are shown in </w:t>
      </w:r>
      <w:r w:rsidR="00950565" w:rsidRPr="007F6332">
        <w:rPr>
          <w:rFonts w:cs="Arial"/>
          <w:lang w:val="en-AU"/>
        </w:rPr>
        <w:t>Table 5.25</w:t>
      </w:r>
      <w:r w:rsidR="00341842" w:rsidRPr="007F6332">
        <w:rPr>
          <w:rFonts w:cs="Arial"/>
          <w:lang w:val="en-AU"/>
        </w:rPr>
        <w:t>.</w:t>
      </w:r>
      <w:r w:rsidR="00950565" w:rsidRPr="007F6332">
        <w:rPr>
          <w:rFonts w:cs="Arial"/>
          <w:lang w:val="en-AU"/>
        </w:rPr>
        <w:t xml:space="preserve"> </w:t>
      </w:r>
      <w:r w:rsidRPr="007F6332">
        <w:rPr>
          <w:rFonts w:cs="Arial"/>
          <w:lang w:val="en-AU"/>
        </w:rPr>
        <w:t>The table shows higher average payment assumptions for Daily Activities and Social Community Civic, the two largest support categories. Assumptions are also higher for participants aged 15 years and over. The highest average payments for participants aged 0 to 14 is for Capacity Building Daily Activities (including therapy supports).</w:t>
      </w:r>
    </w:p>
    <w:p w14:paraId="039A1370" w14:textId="2D4E4E70" w:rsidR="00723E93" w:rsidRPr="007F6332" w:rsidRDefault="00950565" w:rsidP="00446FB4">
      <w:pPr>
        <w:pStyle w:val="FiguresandTablesHeading4"/>
      </w:pPr>
      <w:r w:rsidRPr="007F6332">
        <w:rPr>
          <w:rStyle w:val="FiguresChar"/>
          <w:noProof w:val="0"/>
          <w:szCs w:val="24"/>
        </w:rPr>
        <w:t>Table 5.25:</w:t>
      </w:r>
      <w:r w:rsidR="0045717D" w:rsidRPr="007F6332">
        <w:rPr>
          <w:rStyle w:val="FiguresChar"/>
          <w:noProof w:val="0"/>
          <w:szCs w:val="24"/>
        </w:rPr>
        <w:t xml:space="preserve"> </w:t>
      </w:r>
      <w:r w:rsidR="00723E93" w:rsidRPr="007F6332">
        <w:rPr>
          <w:rStyle w:val="FiguresChar"/>
          <w:noProof w:val="0"/>
          <w:szCs w:val="24"/>
        </w:rPr>
        <w:t xml:space="preserve">Base </w:t>
      </w:r>
      <w:r w:rsidR="00AB25E8" w:rsidRPr="007F6332">
        <w:rPr>
          <w:rStyle w:val="FiguresChar"/>
          <w:noProof w:val="0"/>
          <w:szCs w:val="24"/>
        </w:rPr>
        <w:t>a</w:t>
      </w:r>
      <w:r w:rsidR="00723E93" w:rsidRPr="007F6332">
        <w:rPr>
          <w:rStyle w:val="FiguresChar"/>
          <w:noProof w:val="0"/>
          <w:szCs w:val="24"/>
        </w:rPr>
        <w:t>verage payment assumptions ($) by age band and support category in 2023-24</w:t>
      </w:r>
      <w:r w:rsidR="00CC0DAB" w:rsidRPr="007F6332">
        <w:rPr>
          <w:rStyle w:val="FootnoteReference"/>
        </w:rPr>
        <w:footnoteReference w:id="99"/>
      </w:r>
    </w:p>
    <w:tbl>
      <w:tblPr>
        <w:tblW w:w="9007" w:type="dxa"/>
        <w:tblBorders>
          <w:bottom w:val="single" w:sz="4" w:space="0" w:color="auto"/>
        </w:tblBorders>
        <w:tblLook w:val="04A0" w:firstRow="1" w:lastRow="0" w:firstColumn="1" w:lastColumn="0" w:noHBand="0" w:noVBand="1"/>
      </w:tblPr>
      <w:tblGrid>
        <w:gridCol w:w="2536"/>
        <w:gridCol w:w="1178"/>
        <w:gridCol w:w="1178"/>
        <w:gridCol w:w="1286"/>
        <w:gridCol w:w="1477"/>
        <w:gridCol w:w="1352"/>
      </w:tblGrid>
      <w:tr w:rsidR="00723E93" w:rsidRPr="007F6332" w14:paraId="615F08FB" w14:textId="77777777" w:rsidTr="00C1755E">
        <w:trPr>
          <w:trHeight w:val="572"/>
        </w:trPr>
        <w:tc>
          <w:tcPr>
            <w:tcW w:w="2536" w:type="dxa"/>
            <w:shd w:val="clear" w:color="000000" w:fill="6B2F76"/>
            <w:noWrap/>
            <w:vAlign w:val="center"/>
            <w:hideMark/>
          </w:tcPr>
          <w:p w14:paraId="48E85C32" w14:textId="77777777" w:rsidR="00723E93" w:rsidRPr="007F6332" w:rsidRDefault="00723E93"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Support Category</w:t>
            </w:r>
          </w:p>
        </w:tc>
        <w:tc>
          <w:tcPr>
            <w:tcW w:w="1178" w:type="dxa"/>
            <w:shd w:val="clear" w:color="000000" w:fill="6B2976"/>
            <w:noWrap/>
            <w:vAlign w:val="center"/>
            <w:hideMark/>
          </w:tcPr>
          <w:p w14:paraId="1525BFF6"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0 to 14</w:t>
            </w:r>
          </w:p>
        </w:tc>
        <w:tc>
          <w:tcPr>
            <w:tcW w:w="1178" w:type="dxa"/>
            <w:shd w:val="clear" w:color="000000" w:fill="6B2976"/>
            <w:noWrap/>
            <w:vAlign w:val="center"/>
            <w:hideMark/>
          </w:tcPr>
          <w:p w14:paraId="6441F304"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15 to 24</w:t>
            </w:r>
          </w:p>
        </w:tc>
        <w:tc>
          <w:tcPr>
            <w:tcW w:w="1286" w:type="dxa"/>
            <w:shd w:val="clear" w:color="000000" w:fill="6B2976"/>
            <w:noWrap/>
            <w:vAlign w:val="center"/>
            <w:hideMark/>
          </w:tcPr>
          <w:p w14:paraId="5114D890"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25 to 64</w:t>
            </w:r>
          </w:p>
        </w:tc>
        <w:tc>
          <w:tcPr>
            <w:tcW w:w="1477" w:type="dxa"/>
            <w:tcBorders>
              <w:right w:val="dashed" w:sz="4" w:space="0" w:color="auto"/>
            </w:tcBorders>
            <w:shd w:val="clear" w:color="000000" w:fill="6B2976"/>
            <w:noWrap/>
            <w:vAlign w:val="center"/>
            <w:hideMark/>
          </w:tcPr>
          <w:p w14:paraId="27C4ECAC"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65+</w:t>
            </w:r>
          </w:p>
        </w:tc>
        <w:tc>
          <w:tcPr>
            <w:tcW w:w="1352" w:type="dxa"/>
            <w:tcBorders>
              <w:left w:val="dashed" w:sz="4" w:space="0" w:color="auto"/>
              <w:bottom w:val="nil"/>
            </w:tcBorders>
            <w:shd w:val="clear" w:color="000000" w:fill="6B2976"/>
            <w:noWrap/>
            <w:vAlign w:val="center"/>
            <w:hideMark/>
          </w:tcPr>
          <w:p w14:paraId="48B84C97" w14:textId="77777777" w:rsidR="00723E93" w:rsidRPr="007F6332" w:rsidRDefault="00723E93" w:rsidP="006C2D75">
            <w:pPr>
              <w:spacing w:after="0" w:line="240" w:lineRule="auto"/>
              <w:ind w:left="241" w:hanging="241"/>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Total</w:t>
            </w:r>
          </w:p>
        </w:tc>
      </w:tr>
      <w:tr w:rsidR="00723E93" w:rsidRPr="007F6332" w14:paraId="61895B14" w14:textId="77777777" w:rsidTr="00C1755E">
        <w:trPr>
          <w:trHeight w:val="340"/>
        </w:trPr>
        <w:tc>
          <w:tcPr>
            <w:tcW w:w="2536" w:type="dxa"/>
            <w:shd w:val="clear" w:color="auto" w:fill="auto"/>
            <w:noWrap/>
            <w:vAlign w:val="center"/>
            <w:hideMark/>
          </w:tcPr>
          <w:p w14:paraId="15E87401"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Daily Activities</w:t>
            </w:r>
          </w:p>
        </w:tc>
        <w:tc>
          <w:tcPr>
            <w:tcW w:w="1178" w:type="dxa"/>
            <w:shd w:val="clear" w:color="auto" w:fill="auto"/>
            <w:noWrap/>
            <w:vAlign w:val="center"/>
            <w:hideMark/>
          </w:tcPr>
          <w:p w14:paraId="11B716A5"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4,600</w:t>
            </w:r>
          </w:p>
        </w:tc>
        <w:tc>
          <w:tcPr>
            <w:tcW w:w="1178" w:type="dxa"/>
            <w:shd w:val="clear" w:color="auto" w:fill="auto"/>
            <w:noWrap/>
            <w:vAlign w:val="center"/>
            <w:hideMark/>
          </w:tcPr>
          <w:p w14:paraId="37EC67F9"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25,200</w:t>
            </w:r>
          </w:p>
        </w:tc>
        <w:tc>
          <w:tcPr>
            <w:tcW w:w="1286" w:type="dxa"/>
            <w:shd w:val="clear" w:color="auto" w:fill="auto"/>
            <w:noWrap/>
            <w:vAlign w:val="center"/>
            <w:hideMark/>
          </w:tcPr>
          <w:p w14:paraId="035D7F7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61,100</w:t>
            </w:r>
          </w:p>
        </w:tc>
        <w:tc>
          <w:tcPr>
            <w:tcW w:w="1477" w:type="dxa"/>
            <w:tcBorders>
              <w:right w:val="dashed" w:sz="4" w:space="0" w:color="auto"/>
            </w:tcBorders>
            <w:shd w:val="clear" w:color="auto" w:fill="auto"/>
            <w:noWrap/>
            <w:vAlign w:val="center"/>
            <w:hideMark/>
          </w:tcPr>
          <w:p w14:paraId="34F0DBEB"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69,600</w:t>
            </w:r>
          </w:p>
        </w:tc>
        <w:tc>
          <w:tcPr>
            <w:tcW w:w="1352" w:type="dxa"/>
            <w:tcBorders>
              <w:left w:val="dashed" w:sz="4" w:space="0" w:color="auto"/>
              <w:bottom w:val="nil"/>
            </w:tcBorders>
            <w:shd w:val="clear" w:color="auto" w:fill="auto"/>
            <w:noWrap/>
            <w:vAlign w:val="center"/>
            <w:hideMark/>
          </w:tcPr>
          <w:p w14:paraId="1731835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31,100</w:t>
            </w:r>
          </w:p>
        </w:tc>
      </w:tr>
      <w:tr w:rsidR="00723E93" w:rsidRPr="007F6332" w14:paraId="031F610F" w14:textId="77777777" w:rsidTr="00C1755E">
        <w:trPr>
          <w:trHeight w:val="340"/>
        </w:trPr>
        <w:tc>
          <w:tcPr>
            <w:tcW w:w="2536" w:type="dxa"/>
            <w:shd w:val="clear" w:color="000000" w:fill="A7A9AC"/>
            <w:noWrap/>
            <w:vAlign w:val="center"/>
            <w:hideMark/>
          </w:tcPr>
          <w:p w14:paraId="6D77F55D"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CB Daily Activities</w:t>
            </w:r>
          </w:p>
        </w:tc>
        <w:tc>
          <w:tcPr>
            <w:tcW w:w="1178" w:type="dxa"/>
            <w:shd w:val="clear" w:color="000000" w:fill="A7A9AC"/>
            <w:noWrap/>
            <w:vAlign w:val="center"/>
            <w:hideMark/>
          </w:tcPr>
          <w:p w14:paraId="2E0CEE97"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8,900</w:t>
            </w:r>
          </w:p>
        </w:tc>
        <w:tc>
          <w:tcPr>
            <w:tcW w:w="1178" w:type="dxa"/>
            <w:shd w:val="clear" w:color="000000" w:fill="A7A9AC"/>
            <w:noWrap/>
            <w:vAlign w:val="center"/>
            <w:hideMark/>
          </w:tcPr>
          <w:p w14:paraId="4129EFC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5,300</w:t>
            </w:r>
          </w:p>
        </w:tc>
        <w:tc>
          <w:tcPr>
            <w:tcW w:w="1286" w:type="dxa"/>
            <w:shd w:val="clear" w:color="000000" w:fill="A7A9AC"/>
            <w:noWrap/>
            <w:vAlign w:val="center"/>
            <w:hideMark/>
          </w:tcPr>
          <w:p w14:paraId="00E12FE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5,500</w:t>
            </w:r>
          </w:p>
        </w:tc>
        <w:tc>
          <w:tcPr>
            <w:tcW w:w="1477" w:type="dxa"/>
            <w:tcBorders>
              <w:right w:val="dashed" w:sz="4" w:space="0" w:color="auto"/>
            </w:tcBorders>
            <w:shd w:val="clear" w:color="000000" w:fill="A7A9AC"/>
            <w:noWrap/>
            <w:vAlign w:val="center"/>
            <w:hideMark/>
          </w:tcPr>
          <w:p w14:paraId="59F6FBF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6,500</w:t>
            </w:r>
          </w:p>
        </w:tc>
        <w:tc>
          <w:tcPr>
            <w:tcW w:w="1352" w:type="dxa"/>
            <w:tcBorders>
              <w:left w:val="dashed" w:sz="4" w:space="0" w:color="auto"/>
              <w:bottom w:val="nil"/>
            </w:tcBorders>
            <w:shd w:val="clear" w:color="000000" w:fill="A7A9AC"/>
            <w:noWrap/>
            <w:vAlign w:val="center"/>
            <w:hideMark/>
          </w:tcPr>
          <w:p w14:paraId="732C3CA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7,000</w:t>
            </w:r>
          </w:p>
        </w:tc>
      </w:tr>
      <w:tr w:rsidR="00723E93" w:rsidRPr="007F6332" w14:paraId="1344ECAE" w14:textId="77777777" w:rsidTr="00C1755E">
        <w:trPr>
          <w:trHeight w:val="340"/>
        </w:trPr>
        <w:tc>
          <w:tcPr>
            <w:tcW w:w="2536" w:type="dxa"/>
            <w:shd w:val="clear" w:color="auto" w:fill="auto"/>
            <w:noWrap/>
            <w:vAlign w:val="center"/>
            <w:hideMark/>
          </w:tcPr>
          <w:p w14:paraId="65DB2B21"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Social Community Civic</w:t>
            </w:r>
          </w:p>
        </w:tc>
        <w:tc>
          <w:tcPr>
            <w:tcW w:w="1178" w:type="dxa"/>
            <w:shd w:val="clear" w:color="auto" w:fill="auto"/>
            <w:noWrap/>
            <w:vAlign w:val="center"/>
            <w:hideMark/>
          </w:tcPr>
          <w:p w14:paraId="2412710D"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1,300</w:t>
            </w:r>
          </w:p>
        </w:tc>
        <w:tc>
          <w:tcPr>
            <w:tcW w:w="1178" w:type="dxa"/>
            <w:shd w:val="clear" w:color="auto" w:fill="auto"/>
            <w:noWrap/>
            <w:vAlign w:val="center"/>
            <w:hideMark/>
          </w:tcPr>
          <w:p w14:paraId="7287C4F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13,900</w:t>
            </w:r>
          </w:p>
        </w:tc>
        <w:tc>
          <w:tcPr>
            <w:tcW w:w="1286" w:type="dxa"/>
            <w:shd w:val="clear" w:color="auto" w:fill="auto"/>
            <w:noWrap/>
            <w:vAlign w:val="center"/>
            <w:hideMark/>
          </w:tcPr>
          <w:p w14:paraId="5D9BBE8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24,200</w:t>
            </w:r>
          </w:p>
        </w:tc>
        <w:tc>
          <w:tcPr>
            <w:tcW w:w="1477" w:type="dxa"/>
            <w:tcBorders>
              <w:right w:val="dashed" w:sz="4" w:space="0" w:color="auto"/>
            </w:tcBorders>
            <w:shd w:val="clear" w:color="auto" w:fill="auto"/>
            <w:noWrap/>
            <w:vAlign w:val="center"/>
            <w:hideMark/>
          </w:tcPr>
          <w:p w14:paraId="3AE9EF1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21,500</w:t>
            </w:r>
          </w:p>
        </w:tc>
        <w:tc>
          <w:tcPr>
            <w:tcW w:w="1352" w:type="dxa"/>
            <w:tcBorders>
              <w:left w:val="dashed" w:sz="4" w:space="0" w:color="auto"/>
              <w:bottom w:val="nil"/>
            </w:tcBorders>
            <w:shd w:val="clear" w:color="auto" w:fill="auto"/>
            <w:noWrap/>
            <w:vAlign w:val="center"/>
            <w:hideMark/>
          </w:tcPr>
          <w:p w14:paraId="3B85B38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12,500</w:t>
            </w:r>
          </w:p>
        </w:tc>
      </w:tr>
      <w:tr w:rsidR="00723E93" w:rsidRPr="007F6332" w14:paraId="2CA2A764" w14:textId="77777777" w:rsidTr="00C1755E">
        <w:trPr>
          <w:trHeight w:val="340"/>
        </w:trPr>
        <w:tc>
          <w:tcPr>
            <w:tcW w:w="2536" w:type="dxa"/>
            <w:shd w:val="clear" w:color="000000" w:fill="A7A9AC"/>
            <w:noWrap/>
            <w:vAlign w:val="center"/>
            <w:hideMark/>
          </w:tcPr>
          <w:p w14:paraId="5638903F"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Transport</w:t>
            </w:r>
          </w:p>
        </w:tc>
        <w:tc>
          <w:tcPr>
            <w:tcW w:w="1178" w:type="dxa"/>
            <w:shd w:val="clear" w:color="000000" w:fill="A7A9AC"/>
            <w:noWrap/>
            <w:vAlign w:val="center"/>
            <w:hideMark/>
          </w:tcPr>
          <w:p w14:paraId="5302B43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1,100</w:t>
            </w:r>
          </w:p>
        </w:tc>
        <w:tc>
          <w:tcPr>
            <w:tcW w:w="1178" w:type="dxa"/>
            <w:shd w:val="clear" w:color="000000" w:fill="A7A9AC"/>
            <w:noWrap/>
            <w:vAlign w:val="center"/>
            <w:hideMark/>
          </w:tcPr>
          <w:p w14:paraId="29C7F74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2,000</w:t>
            </w:r>
          </w:p>
        </w:tc>
        <w:tc>
          <w:tcPr>
            <w:tcW w:w="1286" w:type="dxa"/>
            <w:shd w:val="clear" w:color="000000" w:fill="A7A9AC"/>
            <w:noWrap/>
            <w:vAlign w:val="center"/>
            <w:hideMark/>
          </w:tcPr>
          <w:p w14:paraId="7765FDB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1,600</w:t>
            </w:r>
          </w:p>
        </w:tc>
        <w:tc>
          <w:tcPr>
            <w:tcW w:w="1477" w:type="dxa"/>
            <w:tcBorders>
              <w:right w:val="dashed" w:sz="4" w:space="0" w:color="auto"/>
            </w:tcBorders>
            <w:shd w:val="clear" w:color="000000" w:fill="A7A9AC"/>
            <w:noWrap/>
            <w:vAlign w:val="center"/>
            <w:hideMark/>
          </w:tcPr>
          <w:p w14:paraId="1EC4162D"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1,600</w:t>
            </w:r>
          </w:p>
        </w:tc>
        <w:tc>
          <w:tcPr>
            <w:tcW w:w="1352" w:type="dxa"/>
            <w:tcBorders>
              <w:left w:val="dashed" w:sz="4" w:space="0" w:color="auto"/>
              <w:bottom w:val="nil"/>
            </w:tcBorders>
            <w:shd w:val="clear" w:color="000000" w:fill="A7A9AC"/>
            <w:noWrap/>
            <w:vAlign w:val="center"/>
            <w:hideMark/>
          </w:tcPr>
          <w:p w14:paraId="63938002"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1,500</w:t>
            </w:r>
          </w:p>
        </w:tc>
      </w:tr>
      <w:tr w:rsidR="00723E93" w:rsidRPr="007F6332" w14:paraId="71989068" w14:textId="77777777" w:rsidTr="00C1755E">
        <w:trPr>
          <w:trHeight w:val="340"/>
        </w:trPr>
        <w:tc>
          <w:tcPr>
            <w:tcW w:w="2536" w:type="dxa"/>
            <w:shd w:val="clear" w:color="auto" w:fill="auto"/>
            <w:noWrap/>
            <w:vAlign w:val="center"/>
            <w:hideMark/>
          </w:tcPr>
          <w:p w14:paraId="76FC78EC"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Support Coordination</w:t>
            </w:r>
          </w:p>
        </w:tc>
        <w:tc>
          <w:tcPr>
            <w:tcW w:w="1178" w:type="dxa"/>
            <w:shd w:val="clear" w:color="auto" w:fill="auto"/>
            <w:noWrap/>
            <w:vAlign w:val="center"/>
            <w:hideMark/>
          </w:tcPr>
          <w:p w14:paraId="4EB7EE85"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400</w:t>
            </w:r>
          </w:p>
        </w:tc>
        <w:tc>
          <w:tcPr>
            <w:tcW w:w="1178" w:type="dxa"/>
            <w:shd w:val="clear" w:color="auto" w:fill="auto"/>
            <w:noWrap/>
            <w:vAlign w:val="center"/>
            <w:hideMark/>
          </w:tcPr>
          <w:p w14:paraId="014636AB"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1,300</w:t>
            </w:r>
          </w:p>
        </w:tc>
        <w:tc>
          <w:tcPr>
            <w:tcW w:w="1286" w:type="dxa"/>
            <w:shd w:val="clear" w:color="auto" w:fill="auto"/>
            <w:noWrap/>
            <w:vAlign w:val="center"/>
            <w:hideMark/>
          </w:tcPr>
          <w:p w14:paraId="7DABE322"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2,700</w:t>
            </w:r>
          </w:p>
        </w:tc>
        <w:tc>
          <w:tcPr>
            <w:tcW w:w="1477" w:type="dxa"/>
            <w:tcBorders>
              <w:right w:val="dashed" w:sz="4" w:space="0" w:color="auto"/>
            </w:tcBorders>
            <w:shd w:val="clear" w:color="auto" w:fill="auto"/>
            <w:noWrap/>
            <w:vAlign w:val="center"/>
            <w:hideMark/>
          </w:tcPr>
          <w:p w14:paraId="46358537"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2,800</w:t>
            </w:r>
          </w:p>
        </w:tc>
        <w:tc>
          <w:tcPr>
            <w:tcW w:w="1352" w:type="dxa"/>
            <w:tcBorders>
              <w:left w:val="dashed" w:sz="4" w:space="0" w:color="auto"/>
              <w:bottom w:val="nil"/>
            </w:tcBorders>
            <w:shd w:val="clear" w:color="auto" w:fill="auto"/>
            <w:noWrap/>
            <w:vAlign w:val="center"/>
            <w:hideMark/>
          </w:tcPr>
          <w:p w14:paraId="0E4469B9"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1,500</w:t>
            </w:r>
          </w:p>
        </w:tc>
      </w:tr>
      <w:tr w:rsidR="00723E93" w:rsidRPr="007F6332" w14:paraId="6B44E8F9" w14:textId="77777777" w:rsidTr="00C1755E">
        <w:trPr>
          <w:trHeight w:val="340"/>
        </w:trPr>
        <w:tc>
          <w:tcPr>
            <w:tcW w:w="2536" w:type="dxa"/>
            <w:tcBorders>
              <w:bottom w:val="nil"/>
            </w:tcBorders>
            <w:shd w:val="clear" w:color="000000" w:fill="A7A9AC"/>
            <w:noWrap/>
            <w:vAlign w:val="center"/>
            <w:hideMark/>
          </w:tcPr>
          <w:p w14:paraId="04E8DA73"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Other</w:t>
            </w:r>
          </w:p>
        </w:tc>
        <w:tc>
          <w:tcPr>
            <w:tcW w:w="1178" w:type="dxa"/>
            <w:tcBorders>
              <w:bottom w:val="nil"/>
            </w:tcBorders>
            <w:shd w:val="clear" w:color="000000" w:fill="A7A9AC"/>
            <w:noWrap/>
            <w:vAlign w:val="center"/>
            <w:hideMark/>
          </w:tcPr>
          <w:p w14:paraId="74111A35"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2,300</w:t>
            </w:r>
          </w:p>
        </w:tc>
        <w:tc>
          <w:tcPr>
            <w:tcW w:w="1178" w:type="dxa"/>
            <w:tcBorders>
              <w:bottom w:val="nil"/>
            </w:tcBorders>
            <w:shd w:val="clear" w:color="000000" w:fill="A7A9AC"/>
            <w:noWrap/>
            <w:vAlign w:val="center"/>
            <w:hideMark/>
          </w:tcPr>
          <w:p w14:paraId="4F27587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4,800</w:t>
            </w:r>
          </w:p>
        </w:tc>
        <w:tc>
          <w:tcPr>
            <w:tcW w:w="1286" w:type="dxa"/>
            <w:tcBorders>
              <w:bottom w:val="nil"/>
            </w:tcBorders>
            <w:shd w:val="clear" w:color="000000" w:fill="A7A9AC"/>
            <w:noWrap/>
            <w:vAlign w:val="center"/>
            <w:hideMark/>
          </w:tcPr>
          <w:p w14:paraId="3378C43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7,000</w:t>
            </w:r>
          </w:p>
        </w:tc>
        <w:tc>
          <w:tcPr>
            <w:tcW w:w="1477" w:type="dxa"/>
            <w:tcBorders>
              <w:bottom w:val="nil"/>
              <w:right w:val="dashed" w:sz="4" w:space="0" w:color="auto"/>
            </w:tcBorders>
            <w:shd w:val="clear" w:color="000000" w:fill="A7A9AC"/>
            <w:noWrap/>
            <w:vAlign w:val="center"/>
            <w:hideMark/>
          </w:tcPr>
          <w:p w14:paraId="3B0B36C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9,000</w:t>
            </w:r>
          </w:p>
        </w:tc>
        <w:tc>
          <w:tcPr>
            <w:tcW w:w="1352" w:type="dxa"/>
            <w:tcBorders>
              <w:left w:val="dashed" w:sz="4" w:space="0" w:color="auto"/>
              <w:bottom w:val="nil"/>
            </w:tcBorders>
            <w:shd w:val="clear" w:color="000000" w:fill="A7A9AC"/>
            <w:noWrap/>
            <w:vAlign w:val="center"/>
            <w:hideMark/>
          </w:tcPr>
          <w:p w14:paraId="3842871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cs="Arial"/>
                <w:color w:val="000000"/>
                <w:szCs w:val="22"/>
              </w:rPr>
              <w:t>4,700</w:t>
            </w:r>
          </w:p>
        </w:tc>
      </w:tr>
      <w:tr w:rsidR="00723E93" w:rsidRPr="007F6332" w14:paraId="20DC6388" w14:textId="77777777" w:rsidTr="00C1755E">
        <w:trPr>
          <w:trHeight w:val="340"/>
        </w:trPr>
        <w:tc>
          <w:tcPr>
            <w:tcW w:w="2536" w:type="dxa"/>
            <w:tcBorders>
              <w:bottom w:val="single" w:sz="4" w:space="0" w:color="auto"/>
            </w:tcBorders>
            <w:shd w:val="clear" w:color="000000" w:fill="B398B8"/>
            <w:noWrap/>
            <w:vAlign w:val="center"/>
            <w:hideMark/>
          </w:tcPr>
          <w:p w14:paraId="4DAA8913" w14:textId="77777777" w:rsidR="00723E93" w:rsidRPr="007F6332" w:rsidRDefault="00723E93" w:rsidP="006C2D7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1178" w:type="dxa"/>
            <w:tcBorders>
              <w:bottom w:val="single" w:sz="4" w:space="0" w:color="auto"/>
            </w:tcBorders>
            <w:shd w:val="clear" w:color="000000" w:fill="B398B8"/>
            <w:noWrap/>
            <w:vAlign w:val="center"/>
            <w:hideMark/>
          </w:tcPr>
          <w:p w14:paraId="2259780B"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18,600</w:t>
            </w:r>
          </w:p>
        </w:tc>
        <w:tc>
          <w:tcPr>
            <w:tcW w:w="1178" w:type="dxa"/>
            <w:tcBorders>
              <w:bottom w:val="single" w:sz="4" w:space="0" w:color="auto"/>
            </w:tcBorders>
            <w:shd w:val="clear" w:color="000000" w:fill="B398B8"/>
            <w:noWrap/>
            <w:vAlign w:val="center"/>
            <w:hideMark/>
          </w:tcPr>
          <w:p w14:paraId="5D5F052D"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52,500</w:t>
            </w:r>
          </w:p>
        </w:tc>
        <w:tc>
          <w:tcPr>
            <w:tcW w:w="1286" w:type="dxa"/>
            <w:tcBorders>
              <w:bottom w:val="single" w:sz="4" w:space="0" w:color="auto"/>
            </w:tcBorders>
            <w:shd w:val="clear" w:color="000000" w:fill="B398B8"/>
            <w:noWrap/>
            <w:vAlign w:val="center"/>
            <w:hideMark/>
          </w:tcPr>
          <w:p w14:paraId="21567E9E"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102,100</w:t>
            </w:r>
          </w:p>
        </w:tc>
        <w:tc>
          <w:tcPr>
            <w:tcW w:w="1477" w:type="dxa"/>
            <w:tcBorders>
              <w:bottom w:val="single" w:sz="4" w:space="0" w:color="auto"/>
              <w:right w:val="dashed" w:sz="4" w:space="0" w:color="auto"/>
            </w:tcBorders>
            <w:shd w:val="clear" w:color="000000" w:fill="B398B8"/>
            <w:noWrap/>
            <w:vAlign w:val="center"/>
            <w:hideMark/>
          </w:tcPr>
          <w:p w14:paraId="0E444320"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111,000</w:t>
            </w:r>
          </w:p>
        </w:tc>
        <w:tc>
          <w:tcPr>
            <w:tcW w:w="1352" w:type="dxa"/>
            <w:tcBorders>
              <w:left w:val="dashed" w:sz="4" w:space="0" w:color="auto"/>
              <w:bottom w:val="single" w:sz="4" w:space="0" w:color="auto"/>
            </w:tcBorders>
            <w:shd w:val="clear" w:color="000000" w:fill="B398B8"/>
            <w:noWrap/>
            <w:vAlign w:val="center"/>
            <w:hideMark/>
          </w:tcPr>
          <w:p w14:paraId="6BCFE04A"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cs="Arial"/>
                <w:b/>
                <w:bCs/>
                <w:color w:val="000000"/>
                <w:szCs w:val="22"/>
              </w:rPr>
              <w:t>58,200</w:t>
            </w:r>
          </w:p>
        </w:tc>
      </w:tr>
    </w:tbl>
    <w:p w14:paraId="486BFD71" w14:textId="77777777" w:rsidR="00E7147C" w:rsidRPr="007F6332" w:rsidRDefault="00E7147C" w:rsidP="00E7147C">
      <w:pPr>
        <w:rPr>
          <w:rFonts w:cs="Arial"/>
        </w:rPr>
        <w:sectPr w:rsidR="00E7147C" w:rsidRPr="007F6332" w:rsidSect="00CE7E91">
          <w:pgSz w:w="11906" w:h="16838"/>
          <w:pgMar w:top="1440" w:right="1416" w:bottom="1440" w:left="1440" w:header="708" w:footer="850" w:gutter="0"/>
          <w:cols w:space="708"/>
          <w:titlePg/>
          <w:docGrid w:linePitch="360"/>
        </w:sectPr>
      </w:pPr>
    </w:p>
    <w:p w14:paraId="407F156D" w14:textId="77777777" w:rsidR="00723E93" w:rsidRPr="007F6332" w:rsidRDefault="00723E93" w:rsidP="001D062D">
      <w:pPr>
        <w:pStyle w:val="Heading3"/>
        <w:ind w:left="709" w:hanging="709"/>
        <w:rPr>
          <w:rFonts w:cs="Arial"/>
        </w:rPr>
      </w:pPr>
      <w:bookmarkStart w:id="179" w:name="_Toc146286163"/>
      <w:bookmarkStart w:id="180" w:name="_Toc146286499"/>
      <w:bookmarkStart w:id="181" w:name="_Toc152614989"/>
      <w:r w:rsidRPr="007F6332">
        <w:rPr>
          <w:rFonts w:cs="Arial"/>
        </w:rPr>
        <w:lastRenderedPageBreak/>
        <w:t>Inflation and additional growth assumptions</w:t>
      </w:r>
      <w:bookmarkEnd w:id="179"/>
      <w:bookmarkEnd w:id="180"/>
      <w:bookmarkEnd w:id="181"/>
    </w:p>
    <w:p w14:paraId="5740198C" w14:textId="77777777" w:rsidR="00EF16F8" w:rsidRPr="007F6332" w:rsidRDefault="00EF16F8" w:rsidP="00EF16F8">
      <w:pPr>
        <w:ind w:left="-11"/>
        <w:rPr>
          <w:rFonts w:cs="Arial"/>
        </w:rPr>
      </w:pPr>
      <w:r w:rsidRPr="007F6332">
        <w:rPr>
          <w:rFonts w:cs="Arial"/>
        </w:rPr>
        <w:t>Scheme expenses increase over time with growth in the average payments per participant, both from normal inflationary sources (such as general increases in wages and consumer prices) and from additional cost pressures, referred to as additional growth.</w:t>
      </w:r>
    </w:p>
    <w:p w14:paraId="5120E37B" w14:textId="6EEAA895" w:rsidR="00EF16F8" w:rsidRPr="007F6332" w:rsidRDefault="00EF16F8" w:rsidP="00EF16F8">
      <w:pPr>
        <w:ind w:left="-11"/>
        <w:rPr>
          <w:rFonts w:cs="Arial"/>
        </w:rPr>
      </w:pPr>
      <w:r w:rsidRPr="007F6332">
        <w:rPr>
          <w:rFonts w:cs="Arial"/>
        </w:rPr>
        <w:t xml:space="preserve">The AFSR includes assumptions about expected future normal inflation rates and additional growth in payments. These assumptions, together with the projections of participants and base average payments presented in Sections </w:t>
      </w:r>
      <w:r w:rsidRPr="007F6332">
        <w:rPr>
          <w:rFonts w:cs="Arial"/>
        </w:rPr>
        <w:fldChar w:fldCharType="begin"/>
      </w:r>
      <w:r w:rsidRPr="007F6332">
        <w:rPr>
          <w:rFonts w:cs="Arial"/>
        </w:rPr>
        <w:instrText xml:space="preserve"> REF _Ref144927908 \n \h </w:instrText>
      </w:r>
      <w:r w:rsidR="007F6332">
        <w:rPr>
          <w:rFonts w:cs="Arial"/>
        </w:rPr>
        <w:instrText xml:space="preserve"> \* MERGEFORMAT </w:instrText>
      </w:r>
      <w:r w:rsidRPr="007F6332">
        <w:rPr>
          <w:rFonts w:cs="Arial"/>
        </w:rPr>
      </w:r>
      <w:r w:rsidRPr="007F6332">
        <w:rPr>
          <w:rFonts w:cs="Arial"/>
        </w:rPr>
        <w:fldChar w:fldCharType="separate"/>
      </w:r>
      <w:r w:rsidR="00D82E58" w:rsidRPr="007F6332">
        <w:rPr>
          <w:rFonts w:cs="Arial"/>
        </w:rPr>
        <w:t>0</w:t>
      </w:r>
      <w:r w:rsidRPr="007F6332">
        <w:rPr>
          <w:rFonts w:cs="Arial"/>
        </w:rPr>
        <w:fldChar w:fldCharType="end"/>
      </w:r>
      <w:r w:rsidR="002F2A83" w:rsidRPr="007F6332">
        <w:rPr>
          <w:rFonts w:cs="Arial"/>
        </w:rPr>
        <w:t xml:space="preserve"> </w:t>
      </w:r>
      <w:r w:rsidRPr="007F6332">
        <w:rPr>
          <w:rFonts w:cs="Arial"/>
        </w:rPr>
        <w:t xml:space="preserve">and </w:t>
      </w:r>
      <w:r w:rsidRPr="007F6332">
        <w:rPr>
          <w:rFonts w:cs="Arial"/>
        </w:rPr>
        <w:fldChar w:fldCharType="begin"/>
      </w:r>
      <w:r w:rsidRPr="007F6332">
        <w:rPr>
          <w:rFonts w:cs="Arial"/>
        </w:rPr>
        <w:instrText xml:space="preserve"> REF _Ref144927903 \n \h </w:instrText>
      </w:r>
      <w:r w:rsidR="007F6332">
        <w:rPr>
          <w:rFonts w:cs="Arial"/>
        </w:rPr>
        <w:instrText xml:space="preserve"> \* MERGEFORMAT </w:instrText>
      </w:r>
      <w:r w:rsidRPr="007F6332">
        <w:rPr>
          <w:rFonts w:cs="Arial"/>
        </w:rPr>
      </w:r>
      <w:r w:rsidRPr="007F6332">
        <w:rPr>
          <w:rFonts w:cs="Arial"/>
        </w:rPr>
        <w:fldChar w:fldCharType="separate"/>
      </w:r>
      <w:r w:rsidR="00D82E58" w:rsidRPr="007F6332">
        <w:rPr>
          <w:rFonts w:cs="Arial"/>
        </w:rPr>
        <w:t>5.6</w:t>
      </w:r>
      <w:r w:rsidRPr="007F6332">
        <w:rPr>
          <w:rFonts w:cs="Arial"/>
        </w:rPr>
        <w:fldChar w:fldCharType="end"/>
      </w:r>
      <w:r w:rsidRPr="007F6332">
        <w:rPr>
          <w:rFonts w:cs="Arial"/>
        </w:rPr>
        <w:t>, are used to arrive at a projection of future Scheme expenses.</w:t>
      </w:r>
    </w:p>
    <w:p w14:paraId="75C3B46E" w14:textId="1351520F" w:rsidR="00EF16F8" w:rsidRPr="007F6332" w:rsidRDefault="00EF16F8" w:rsidP="00EF16F8">
      <w:pPr>
        <w:ind w:left="-11"/>
        <w:rPr>
          <w:rFonts w:cs="Arial"/>
        </w:rPr>
      </w:pPr>
      <w:r w:rsidRPr="007F6332">
        <w:rPr>
          <w:rFonts w:cs="Arial"/>
        </w:rPr>
        <w:t xml:space="preserve">This section presents the rates of normal inflation and additional growth that were used for the June 2023 projections, including the impact of price changes from the 2022-23 Annual Pricing Review (APR) and the impact of the </w:t>
      </w:r>
      <w:r w:rsidR="002D6881" w:rsidRPr="007F6332">
        <w:rPr>
          <w:rFonts w:cs="Arial"/>
        </w:rPr>
        <w:t>Budget initiatives</w:t>
      </w:r>
      <w:r w:rsidRPr="007F6332">
        <w:rPr>
          <w:rFonts w:cs="Arial"/>
        </w:rPr>
        <w:t>. Expectations about additional growth in payments are based on observed Scheme experience in both average plan budgets and payments, as well as future pricing decisions.</w:t>
      </w:r>
    </w:p>
    <w:p w14:paraId="7D2F26E4" w14:textId="62D1DE90" w:rsidR="00723E93" w:rsidRPr="007F6332" w:rsidRDefault="00723E93" w:rsidP="001D062D">
      <w:pPr>
        <w:pStyle w:val="Heading4"/>
        <w:ind w:left="851" w:hanging="851"/>
        <w:rPr>
          <w:rFonts w:cs="Arial"/>
        </w:rPr>
      </w:pPr>
      <w:r w:rsidRPr="007F6332">
        <w:rPr>
          <w:rFonts w:cs="Arial"/>
        </w:rPr>
        <w:t>Annual Pricing Review</w:t>
      </w:r>
    </w:p>
    <w:p w14:paraId="778AC77C" w14:textId="01E0D15B" w:rsidR="00EF16F8" w:rsidRPr="007F6332" w:rsidRDefault="00EF16F8" w:rsidP="00EF16F8">
      <w:pPr>
        <w:rPr>
          <w:rFonts w:cs="Arial"/>
          <w:lang w:val="en-AU"/>
        </w:rPr>
      </w:pPr>
      <w:r w:rsidRPr="007F6332">
        <w:rPr>
          <w:rFonts w:cs="Arial"/>
          <w:lang w:val="en-AU"/>
        </w:rPr>
        <w:t>The changes to NDIS price limits as part of the 2022-23 Annual Pricing Review (APR) came into effect on 1 July 2023, and have been used to set normal inflation assumptions for the 2023-24 year of the June 2023 projections:</w:t>
      </w:r>
    </w:p>
    <w:p w14:paraId="731D9195" w14:textId="77777777" w:rsidR="00723E93" w:rsidRPr="007F6332" w:rsidRDefault="00723E93" w:rsidP="00CE7E91">
      <w:pPr>
        <w:numPr>
          <w:ilvl w:val="0"/>
          <w:numId w:val="42"/>
        </w:numPr>
        <w:spacing w:before="120" w:after="120"/>
        <w:rPr>
          <w:rFonts w:cs="Arial"/>
          <w:b/>
          <w:bCs/>
          <w:color w:val="000000" w:themeColor="text1"/>
          <w:szCs w:val="22"/>
          <w:lang w:val="en-AU"/>
        </w:rPr>
      </w:pPr>
      <w:r w:rsidRPr="007F6332">
        <w:rPr>
          <w:rFonts w:cs="Arial"/>
          <w:b/>
          <w:bCs/>
          <w:color w:val="000000" w:themeColor="text1"/>
          <w:lang w:val="en-AU"/>
        </w:rPr>
        <w:t>Price limits for supports delivered by disability support workers and Level 1 support co-ordinators</w:t>
      </w:r>
      <w:r w:rsidRPr="007F6332">
        <w:rPr>
          <w:rFonts w:cs="Arial"/>
          <w:b/>
          <w:bCs/>
          <w:color w:val="000000" w:themeColor="text1"/>
          <w:vertAlign w:val="superscript"/>
          <w:lang w:val="en-AU"/>
        </w:rPr>
        <w:footnoteReference w:id="100"/>
      </w:r>
      <w:r w:rsidRPr="007F6332">
        <w:rPr>
          <w:rFonts w:cs="Arial"/>
          <w:b/>
          <w:bCs/>
          <w:color w:val="000000" w:themeColor="text1"/>
          <w:lang w:val="en-AU"/>
        </w:rPr>
        <w:t xml:space="preserve"> have increased by 5.3%.</w:t>
      </w:r>
      <w:r w:rsidRPr="007F6332">
        <w:rPr>
          <w:rFonts w:cs="Arial"/>
          <w:color w:val="000000" w:themeColor="text1"/>
          <w:lang w:val="en-AU"/>
        </w:rPr>
        <w:t xml:space="preserve"> This includes:</w:t>
      </w:r>
      <w:r w:rsidRPr="007F6332" w:rsidDel="00A60FA2">
        <w:rPr>
          <w:rFonts w:cs="Arial"/>
          <w:color w:val="000000" w:themeColor="text1"/>
          <w:lang w:val="en-AU"/>
        </w:rPr>
        <w:t xml:space="preserve"> </w:t>
      </w:r>
    </w:p>
    <w:p w14:paraId="5066E9A7" w14:textId="77777777" w:rsidR="00723E93" w:rsidRPr="007F6332" w:rsidRDefault="00723E93" w:rsidP="00CE7E91">
      <w:pPr>
        <w:pStyle w:val="FSRsublist"/>
        <w:numPr>
          <w:ilvl w:val="0"/>
          <w:numId w:val="44"/>
        </w:numPr>
        <w:rPr>
          <w:rFonts w:cs="Arial"/>
          <w:lang w:val="en-AU"/>
        </w:rPr>
      </w:pPr>
      <w:r w:rsidRPr="007F6332">
        <w:rPr>
          <w:rFonts w:cs="Arial"/>
          <w:lang w:val="en-AU"/>
        </w:rPr>
        <w:t xml:space="preserve">The Fair Work Commission’s (FWC) National Minimum Wage decision to increase award wages by 5.75%. </w:t>
      </w:r>
    </w:p>
    <w:p w14:paraId="171E947F" w14:textId="77777777" w:rsidR="00723E93" w:rsidRPr="007F6332" w:rsidRDefault="00723E93" w:rsidP="00CE7E91">
      <w:pPr>
        <w:pStyle w:val="FSRsublist"/>
        <w:numPr>
          <w:ilvl w:val="0"/>
          <w:numId w:val="44"/>
        </w:numPr>
        <w:rPr>
          <w:rFonts w:cs="Arial"/>
          <w:lang w:val="en-AU"/>
        </w:rPr>
      </w:pPr>
      <w:r w:rsidRPr="007F6332">
        <w:rPr>
          <w:rFonts w:cs="Arial"/>
          <w:lang w:val="en-AU"/>
        </w:rPr>
        <w:t xml:space="preserve">An extension of the temporary loading for a further 12 months at 1% from 1 July 2023 with this ceasing on 30 June 2024. </w:t>
      </w:r>
    </w:p>
    <w:p w14:paraId="0B338409" w14:textId="6977DA45" w:rsidR="00723E93" w:rsidRPr="007F6332" w:rsidRDefault="00723E93" w:rsidP="00CE7E91">
      <w:pPr>
        <w:pStyle w:val="FSRsublist"/>
        <w:numPr>
          <w:ilvl w:val="0"/>
          <w:numId w:val="44"/>
        </w:numPr>
        <w:rPr>
          <w:rFonts w:cs="Arial"/>
          <w:lang w:val="en-AU"/>
        </w:rPr>
      </w:pPr>
      <w:r w:rsidRPr="007F6332">
        <w:rPr>
          <w:rFonts w:cs="Arial"/>
          <w:lang w:val="en-AU"/>
        </w:rPr>
        <w:t>Inclusion of paid family and domestic violence leave into the Disability Support Worker Cost Model, up by 0.1% from 1 July</w:t>
      </w:r>
      <w:r w:rsidR="0013502A" w:rsidRPr="007F6332">
        <w:rPr>
          <w:rFonts w:cs="Arial"/>
          <w:lang w:val="en-AU"/>
        </w:rPr>
        <w:t xml:space="preserve"> 2023</w:t>
      </w:r>
      <w:r w:rsidRPr="007F6332">
        <w:rPr>
          <w:rFonts w:cs="Arial"/>
          <w:lang w:val="en-AU"/>
        </w:rPr>
        <w:t xml:space="preserve"> to reflect the new entitlements for workers in the industry awarded by the FWC. </w:t>
      </w:r>
    </w:p>
    <w:p w14:paraId="525D1413" w14:textId="77777777" w:rsidR="00723E93" w:rsidRPr="007F6332" w:rsidRDefault="00723E93" w:rsidP="00CE7E91">
      <w:pPr>
        <w:pStyle w:val="FSRsublist"/>
        <w:numPr>
          <w:ilvl w:val="0"/>
          <w:numId w:val="44"/>
        </w:numPr>
        <w:rPr>
          <w:rFonts w:cs="Arial"/>
          <w:lang w:val="en-AU"/>
        </w:rPr>
      </w:pPr>
      <w:r w:rsidRPr="007F6332">
        <w:rPr>
          <w:rFonts w:cs="Arial"/>
          <w:lang w:val="en-AU"/>
        </w:rPr>
        <w:t xml:space="preserve">The adjustment to price limits to reflect the increase in Superannuation Guarantee Charge of 0.5%. </w:t>
      </w:r>
    </w:p>
    <w:p w14:paraId="57D80FB1" w14:textId="77777777" w:rsidR="00723E93" w:rsidRPr="007F6332" w:rsidRDefault="00723E93" w:rsidP="00CE7E91">
      <w:pPr>
        <w:numPr>
          <w:ilvl w:val="0"/>
          <w:numId w:val="42"/>
        </w:numPr>
        <w:spacing w:before="120" w:after="120"/>
        <w:rPr>
          <w:rFonts w:cs="Arial"/>
          <w:color w:val="000000" w:themeColor="text1"/>
          <w:szCs w:val="22"/>
          <w:lang w:val="en-AU"/>
        </w:rPr>
      </w:pPr>
      <w:r w:rsidRPr="007F6332">
        <w:rPr>
          <w:rFonts w:cs="Arial"/>
          <w:color w:val="000000" w:themeColor="text1"/>
          <w:szCs w:val="22"/>
          <w:lang w:val="en-AU"/>
        </w:rPr>
        <w:t xml:space="preserve">No increase to therapy, plan management and support coordination levels 2 and 3 price limits.  </w:t>
      </w:r>
    </w:p>
    <w:p w14:paraId="16DEDDA2" w14:textId="2BFB9CEB" w:rsidR="00723E93" w:rsidRPr="007F6332" w:rsidRDefault="00723E93" w:rsidP="00723E93">
      <w:pPr>
        <w:spacing w:before="120" w:after="0" w:line="264" w:lineRule="auto"/>
        <w:rPr>
          <w:rFonts w:eastAsiaTheme="minorHAnsi" w:cs="Arial"/>
          <w:color w:val="000000" w:themeColor="text1"/>
          <w:kern w:val="2"/>
          <w:szCs w:val="22"/>
          <w:lang w:val="en-AU" w:eastAsia="en-US" w:bidi="th-TH"/>
          <w14:ligatures w14:val="standardContextual"/>
        </w:rPr>
      </w:pPr>
      <w:r w:rsidRPr="007F6332">
        <w:rPr>
          <w:rFonts w:eastAsiaTheme="minorHAnsi" w:cs="Arial"/>
          <w:color w:val="000000" w:themeColor="text1"/>
          <w:kern w:val="2"/>
          <w:szCs w:val="22"/>
          <w:lang w:val="en-AU" w:eastAsia="en-US" w:bidi="th-TH"/>
          <w14:ligatures w14:val="standardContextual"/>
        </w:rPr>
        <w:t>For other support categories</w:t>
      </w:r>
      <w:r w:rsidRPr="007F6332">
        <w:rPr>
          <w:rFonts w:eastAsiaTheme="minorHAnsi" w:cs="Arial"/>
          <w:color w:val="000000" w:themeColor="text1"/>
          <w:kern w:val="2"/>
          <w:szCs w:val="22"/>
          <w:vertAlign w:val="superscript"/>
          <w:lang w:val="en-AU" w:eastAsia="en-US" w:bidi="th-TH"/>
          <w14:ligatures w14:val="standardContextual"/>
        </w:rPr>
        <w:footnoteReference w:id="101"/>
      </w:r>
      <w:r w:rsidRPr="007F6332">
        <w:rPr>
          <w:rFonts w:eastAsiaTheme="minorHAnsi" w:cs="Arial"/>
          <w:color w:val="000000" w:themeColor="text1"/>
          <w:kern w:val="2"/>
          <w:szCs w:val="22"/>
          <w:lang w:val="en-AU" w:eastAsia="en-US" w:bidi="th-TH"/>
          <w14:ligatures w14:val="standardContextual"/>
        </w:rPr>
        <w:t xml:space="preserve">, a </w:t>
      </w:r>
      <w:bookmarkStart w:id="182" w:name="_Hlk150368301"/>
      <w:r w:rsidRPr="007F6332">
        <w:rPr>
          <w:rFonts w:eastAsiaTheme="minorHAnsi" w:cs="Arial"/>
          <w:color w:val="000000" w:themeColor="text1"/>
          <w:kern w:val="2"/>
          <w:szCs w:val="22"/>
          <w:lang w:val="en-AU" w:eastAsia="en-US" w:bidi="th-TH"/>
          <w14:ligatures w14:val="standardContextual"/>
        </w:rPr>
        <w:t xml:space="preserve">4.4% inflation assumption is assumed for the 2023-24 year. The rate is calculated by combining 80% of the movement in the </w:t>
      </w:r>
      <w:r w:rsidR="0013502A" w:rsidRPr="007F6332">
        <w:rPr>
          <w:rFonts w:eastAsiaTheme="minorHAnsi" w:cs="Arial"/>
          <w:color w:val="000000" w:themeColor="text1"/>
          <w:kern w:val="2"/>
          <w:szCs w:val="22"/>
          <w:lang w:val="en-AU" w:eastAsia="en-US" w:bidi="th-TH"/>
          <w14:ligatures w14:val="standardContextual"/>
        </w:rPr>
        <w:t xml:space="preserve">Australian Bureau of </w:t>
      </w:r>
      <w:r w:rsidR="0013502A" w:rsidRPr="007F6332">
        <w:rPr>
          <w:rFonts w:eastAsiaTheme="minorHAnsi" w:cs="Arial"/>
          <w:color w:val="000000" w:themeColor="text1"/>
          <w:kern w:val="2"/>
          <w:szCs w:val="22"/>
          <w:lang w:val="en-AU" w:eastAsia="en-US" w:bidi="th-TH"/>
          <w14:ligatures w14:val="standardContextual"/>
        </w:rPr>
        <w:lastRenderedPageBreak/>
        <w:t>Statistics (</w:t>
      </w:r>
      <w:r w:rsidRPr="007F6332">
        <w:rPr>
          <w:rFonts w:eastAsiaTheme="minorHAnsi" w:cs="Arial"/>
          <w:color w:val="000000" w:themeColor="text1"/>
          <w:kern w:val="2"/>
          <w:szCs w:val="22"/>
          <w:lang w:val="en-AU" w:eastAsia="en-US" w:bidi="th-TH"/>
          <w14:ligatures w14:val="standardContextual"/>
        </w:rPr>
        <w:t>ABS</w:t>
      </w:r>
      <w:r w:rsidR="0013502A" w:rsidRPr="007F6332">
        <w:rPr>
          <w:rFonts w:eastAsiaTheme="minorHAnsi" w:cs="Arial"/>
          <w:color w:val="000000" w:themeColor="text1"/>
          <w:kern w:val="2"/>
          <w:szCs w:val="22"/>
          <w:lang w:val="en-AU" w:eastAsia="en-US" w:bidi="th-TH"/>
          <w14:ligatures w14:val="standardContextual"/>
        </w:rPr>
        <w:t>)</w:t>
      </w:r>
      <w:r w:rsidRPr="007F6332">
        <w:rPr>
          <w:rFonts w:eastAsiaTheme="minorHAnsi" w:cs="Arial"/>
          <w:color w:val="000000" w:themeColor="text1"/>
          <w:kern w:val="2"/>
          <w:szCs w:val="22"/>
          <w:lang w:val="en-AU" w:eastAsia="en-US" w:bidi="th-TH"/>
          <w14:ligatures w14:val="standardContextual"/>
        </w:rPr>
        <w:t xml:space="preserve"> Wage Price Index (3.7%) and 20% of the movement in the ABS Consumer Price Index (7%) over the 12 months leading up to the March 2023 quarter.</w:t>
      </w:r>
      <w:bookmarkEnd w:id="182"/>
    </w:p>
    <w:p w14:paraId="7EE94BA4" w14:textId="77777777" w:rsidR="00723E93" w:rsidRPr="007F6332" w:rsidRDefault="00723E93" w:rsidP="001D062D">
      <w:pPr>
        <w:pStyle w:val="Heading4"/>
        <w:ind w:left="851" w:hanging="851"/>
        <w:rPr>
          <w:rFonts w:cs="Arial"/>
        </w:rPr>
      </w:pPr>
      <w:r w:rsidRPr="007F6332">
        <w:rPr>
          <w:rFonts w:cs="Arial"/>
        </w:rPr>
        <w:t>Normal inflation</w:t>
      </w:r>
    </w:p>
    <w:p w14:paraId="5707D0D5" w14:textId="77777777" w:rsidR="00723E93" w:rsidRPr="007F6332" w:rsidRDefault="00723E93" w:rsidP="00723E93">
      <w:pPr>
        <w:spacing w:before="240"/>
        <w:rPr>
          <w:rFonts w:cs="Arial"/>
          <w:lang w:val="en-AU"/>
        </w:rPr>
      </w:pPr>
      <w:r w:rsidRPr="007F6332">
        <w:rPr>
          <w:rFonts w:cs="Arial"/>
          <w:lang w:val="en-AU"/>
        </w:rPr>
        <w:t>The normal inflation rates assumed for 2024-25 onwards reflect the most recent economic forecasts</w:t>
      </w:r>
      <w:r w:rsidRPr="007F6332">
        <w:rPr>
          <w:rFonts w:cs="Arial"/>
          <w:vertAlign w:val="superscript"/>
          <w:lang w:val="en-AU"/>
        </w:rPr>
        <w:footnoteReference w:id="102"/>
      </w:r>
      <w:r w:rsidRPr="007F6332">
        <w:rPr>
          <w:rFonts w:cs="Arial"/>
          <w:lang w:val="en-AU"/>
        </w:rPr>
        <w:t>:</w:t>
      </w:r>
    </w:p>
    <w:p w14:paraId="61E357C4" w14:textId="31C5D1E8" w:rsidR="00723E93" w:rsidRPr="007F6332" w:rsidRDefault="00723E93" w:rsidP="00CE7E91">
      <w:pPr>
        <w:numPr>
          <w:ilvl w:val="0"/>
          <w:numId w:val="40"/>
        </w:numPr>
        <w:spacing w:before="240"/>
        <w:rPr>
          <w:rFonts w:cs="Arial"/>
          <w:lang w:val="en-AU"/>
        </w:rPr>
      </w:pPr>
      <w:r w:rsidRPr="007F6332">
        <w:rPr>
          <w:rFonts w:cs="Arial"/>
          <w:b/>
          <w:bCs/>
          <w:lang w:val="en-AU"/>
        </w:rPr>
        <w:t>For supports delivered by disability support workers, a rate of 3.2% per annum in 2024-25 is assumed followed by 4.3% until 2026-27 and 3.8% thereafter.</w:t>
      </w:r>
      <w:r w:rsidRPr="007F6332">
        <w:rPr>
          <w:rFonts w:cs="Arial"/>
          <w:lang w:val="en-AU"/>
        </w:rPr>
        <w:t xml:space="preserve"> This is based on the most recent forecasts of the Wage Price Index (WPI) and includes a gradual increase in the Superannuation Guarantee </w:t>
      </w:r>
      <w:r w:rsidR="0013502A" w:rsidRPr="007F6332">
        <w:rPr>
          <w:rFonts w:cs="Arial"/>
          <w:lang w:val="en-AU"/>
        </w:rPr>
        <w:t xml:space="preserve">Charge </w:t>
      </w:r>
      <w:r w:rsidRPr="007F6332">
        <w:rPr>
          <w:rFonts w:cs="Arial"/>
          <w:lang w:val="en-AU"/>
        </w:rPr>
        <w:t xml:space="preserve">as an additional 0.5% per </w:t>
      </w:r>
      <w:r w:rsidR="00976BCD" w:rsidRPr="007F6332">
        <w:rPr>
          <w:rFonts w:cs="Arial"/>
          <w:lang w:val="en-AU"/>
        </w:rPr>
        <w:t xml:space="preserve">annum until 2025-26. The </w:t>
      </w:r>
      <w:r w:rsidRPr="007F6332">
        <w:rPr>
          <w:rFonts w:cs="Arial"/>
          <w:lang w:val="en-AU"/>
        </w:rPr>
        <w:t>rate assumed for 2024-25 is 1.0% lower than that based on the forecast WPI due to the reversal of the temporary loading applied as part of the 2021-22 APR. From 2026-27, a 3.8% per annum increase is assumed, reflective of long-term expected wage inflation.</w:t>
      </w:r>
    </w:p>
    <w:p w14:paraId="69AAD29E" w14:textId="77777777" w:rsidR="00723E93" w:rsidRPr="007F6332" w:rsidRDefault="00723E93" w:rsidP="00CE7E91">
      <w:pPr>
        <w:numPr>
          <w:ilvl w:val="0"/>
          <w:numId w:val="40"/>
        </w:numPr>
        <w:spacing w:before="240"/>
        <w:rPr>
          <w:rFonts w:cs="Arial"/>
          <w:lang w:val="en-AU"/>
        </w:rPr>
      </w:pPr>
      <w:r w:rsidRPr="007F6332">
        <w:rPr>
          <w:rFonts w:cs="Arial"/>
          <w:b/>
          <w:bCs/>
          <w:lang w:val="en-AU"/>
        </w:rPr>
        <w:t xml:space="preserve">For all other support categories, a rate of 3.0% per annum in 2024-25 is assumed followed by 2.5% per annum for all years thereafter. </w:t>
      </w:r>
      <w:r w:rsidRPr="007F6332">
        <w:rPr>
          <w:rFonts w:cs="Arial"/>
          <w:lang w:val="en-AU"/>
        </w:rPr>
        <w:t>This also reflects the most recent CPI forecasts.</w:t>
      </w:r>
    </w:p>
    <w:p w14:paraId="595EDE20" w14:textId="3CA61E5F" w:rsidR="00723E93" w:rsidRPr="007F6332" w:rsidRDefault="00950565" w:rsidP="00723E93">
      <w:pPr>
        <w:spacing w:before="240"/>
        <w:rPr>
          <w:rFonts w:cs="Arial"/>
          <w:b/>
          <w:bCs/>
          <w:lang w:val="en-AU"/>
        </w:rPr>
      </w:pPr>
      <w:r w:rsidRPr="007F6332">
        <w:rPr>
          <w:rFonts w:cs="Arial"/>
          <w:lang w:val="en-AU"/>
        </w:rPr>
        <w:t xml:space="preserve">Table 5.26 </w:t>
      </w:r>
      <w:r w:rsidR="00853D47" w:rsidRPr="007F6332">
        <w:rPr>
          <w:rFonts w:cs="Arial"/>
          <w:lang w:val="en-AU"/>
        </w:rPr>
        <w:t>compares the overall normal inflation assumptions (including price changes) in the June 2023 projections to the rates assumed in the June 2022 projections. The rates shown are the weighted average of rates assumed across different support categories. The level of normal inflation assumed has reduced slightly in 2024-25 and increased thereafter. The change for 2023-24 reflects the impact of the 2022-23 APR decisions.</w:t>
      </w:r>
    </w:p>
    <w:p w14:paraId="277C4C97" w14:textId="746AE5F8" w:rsidR="00723E93" w:rsidRPr="007F6332" w:rsidRDefault="00950565" w:rsidP="00446FB4">
      <w:pPr>
        <w:pStyle w:val="FiguresandTablesHeading5"/>
        <w:rPr>
          <w:rFonts w:eastAsiaTheme="minorHAnsi"/>
          <w:lang w:val="en-AU" w:eastAsia="en-US"/>
        </w:rPr>
      </w:pPr>
      <w:r w:rsidRPr="007F6332">
        <w:rPr>
          <w:rFonts w:eastAsiaTheme="minorHAnsi"/>
          <w:lang w:val="en-AU" w:eastAsia="en-US"/>
        </w:rPr>
        <w:t>Table 5.26:</w:t>
      </w:r>
      <w:r w:rsidR="00723E93" w:rsidRPr="007F6332">
        <w:rPr>
          <w:rFonts w:eastAsiaTheme="minorHAnsi"/>
          <w:lang w:val="en-AU" w:eastAsia="en-US"/>
        </w:rPr>
        <w:t xml:space="preserve"> Comparison of normal inflation assumptions to historic normal inflation assumptions</w:t>
      </w:r>
    </w:p>
    <w:tbl>
      <w:tblPr>
        <w:tblW w:w="9176" w:type="dxa"/>
        <w:tblLayout w:type="fixed"/>
        <w:tblLook w:val="04A0" w:firstRow="1" w:lastRow="0" w:firstColumn="1" w:lastColumn="0" w:noHBand="0" w:noVBand="1"/>
      </w:tblPr>
      <w:tblGrid>
        <w:gridCol w:w="2552"/>
        <w:gridCol w:w="1134"/>
        <w:gridCol w:w="1372"/>
        <w:gridCol w:w="1373"/>
        <w:gridCol w:w="1372"/>
        <w:gridCol w:w="1373"/>
      </w:tblGrid>
      <w:tr w:rsidR="00723E93" w:rsidRPr="007F6332" w14:paraId="22D73904" w14:textId="77777777" w:rsidTr="0034641E">
        <w:trPr>
          <w:trHeight w:val="537"/>
        </w:trPr>
        <w:tc>
          <w:tcPr>
            <w:tcW w:w="2552" w:type="dxa"/>
            <w:tcBorders>
              <w:top w:val="nil"/>
              <w:left w:val="nil"/>
              <w:bottom w:val="nil"/>
              <w:right w:val="nil"/>
            </w:tcBorders>
            <w:shd w:val="clear" w:color="000000" w:fill="6B2976"/>
            <w:hideMark/>
          </w:tcPr>
          <w:p w14:paraId="669303F6"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w:t>
            </w:r>
          </w:p>
        </w:tc>
        <w:tc>
          <w:tcPr>
            <w:tcW w:w="1134" w:type="dxa"/>
            <w:tcBorders>
              <w:top w:val="nil"/>
              <w:left w:val="nil"/>
              <w:bottom w:val="nil"/>
              <w:right w:val="nil"/>
            </w:tcBorders>
            <w:shd w:val="clear" w:color="000000" w:fill="6B2976"/>
            <w:noWrap/>
            <w:vAlign w:val="center"/>
            <w:hideMark/>
          </w:tcPr>
          <w:p w14:paraId="310BDCAB"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372" w:type="dxa"/>
            <w:tcBorders>
              <w:top w:val="nil"/>
              <w:left w:val="nil"/>
              <w:bottom w:val="nil"/>
              <w:right w:val="nil"/>
            </w:tcBorders>
            <w:shd w:val="clear" w:color="000000" w:fill="6B2976"/>
            <w:noWrap/>
            <w:vAlign w:val="center"/>
            <w:hideMark/>
          </w:tcPr>
          <w:p w14:paraId="2F1D5FF8"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373" w:type="dxa"/>
            <w:tcBorders>
              <w:top w:val="nil"/>
              <w:left w:val="nil"/>
              <w:bottom w:val="nil"/>
              <w:right w:val="nil"/>
            </w:tcBorders>
            <w:shd w:val="clear" w:color="000000" w:fill="6B2976"/>
            <w:noWrap/>
            <w:vAlign w:val="center"/>
            <w:hideMark/>
          </w:tcPr>
          <w:p w14:paraId="14F76A63"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372" w:type="dxa"/>
            <w:tcBorders>
              <w:top w:val="nil"/>
              <w:left w:val="nil"/>
              <w:bottom w:val="nil"/>
              <w:right w:val="dashed" w:sz="4" w:space="0" w:color="auto"/>
            </w:tcBorders>
            <w:shd w:val="clear" w:color="000000" w:fill="6B2976"/>
            <w:noWrap/>
            <w:vAlign w:val="center"/>
            <w:hideMark/>
          </w:tcPr>
          <w:p w14:paraId="72B921C4"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373" w:type="dxa"/>
            <w:tcBorders>
              <w:top w:val="nil"/>
              <w:left w:val="nil"/>
              <w:bottom w:val="nil"/>
              <w:right w:val="nil"/>
            </w:tcBorders>
            <w:shd w:val="clear" w:color="000000" w:fill="6B2976"/>
            <w:noWrap/>
            <w:vAlign w:val="center"/>
            <w:hideMark/>
          </w:tcPr>
          <w:p w14:paraId="4351592F"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0AC0C845" w14:textId="77777777" w:rsidTr="00853D47">
        <w:trPr>
          <w:trHeight w:val="340"/>
        </w:trPr>
        <w:tc>
          <w:tcPr>
            <w:tcW w:w="2552" w:type="dxa"/>
            <w:tcBorders>
              <w:top w:val="nil"/>
              <w:left w:val="nil"/>
              <w:bottom w:val="nil"/>
              <w:right w:val="nil"/>
            </w:tcBorders>
            <w:shd w:val="clear" w:color="auto" w:fill="auto"/>
            <w:noWrap/>
            <w:vAlign w:val="center"/>
            <w:hideMark/>
          </w:tcPr>
          <w:p w14:paraId="35B3193C" w14:textId="5FC1BB31" w:rsidR="00723E93" w:rsidRPr="007F6332" w:rsidRDefault="006570F1" w:rsidP="006570F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June 2023 projections</w:t>
            </w:r>
          </w:p>
        </w:tc>
        <w:tc>
          <w:tcPr>
            <w:tcW w:w="1134" w:type="dxa"/>
            <w:tcBorders>
              <w:top w:val="nil"/>
              <w:left w:val="nil"/>
              <w:bottom w:val="nil"/>
              <w:right w:val="nil"/>
            </w:tcBorders>
            <w:shd w:val="clear" w:color="auto" w:fill="auto"/>
            <w:noWrap/>
            <w:vAlign w:val="center"/>
            <w:hideMark/>
          </w:tcPr>
          <w:p w14:paraId="32DBD0EA"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4.4%</w:t>
            </w:r>
          </w:p>
        </w:tc>
        <w:tc>
          <w:tcPr>
            <w:tcW w:w="1372" w:type="dxa"/>
            <w:tcBorders>
              <w:top w:val="nil"/>
              <w:left w:val="nil"/>
              <w:bottom w:val="nil"/>
              <w:right w:val="nil"/>
            </w:tcBorders>
            <w:shd w:val="clear" w:color="auto" w:fill="auto"/>
            <w:noWrap/>
            <w:vAlign w:val="center"/>
            <w:hideMark/>
          </w:tcPr>
          <w:p w14:paraId="35EA6ABD"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3.2%</w:t>
            </w:r>
          </w:p>
        </w:tc>
        <w:tc>
          <w:tcPr>
            <w:tcW w:w="1373" w:type="dxa"/>
            <w:tcBorders>
              <w:top w:val="nil"/>
              <w:left w:val="nil"/>
              <w:bottom w:val="nil"/>
              <w:right w:val="nil"/>
            </w:tcBorders>
            <w:shd w:val="clear" w:color="auto" w:fill="auto"/>
            <w:noWrap/>
            <w:vAlign w:val="center"/>
            <w:hideMark/>
          </w:tcPr>
          <w:p w14:paraId="7D0DA44E"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3.9%</w:t>
            </w:r>
          </w:p>
        </w:tc>
        <w:tc>
          <w:tcPr>
            <w:tcW w:w="1372" w:type="dxa"/>
            <w:tcBorders>
              <w:top w:val="nil"/>
              <w:left w:val="nil"/>
              <w:bottom w:val="nil"/>
              <w:right w:val="dashed" w:sz="4" w:space="0" w:color="auto"/>
            </w:tcBorders>
            <w:shd w:val="clear" w:color="auto" w:fill="auto"/>
            <w:noWrap/>
            <w:vAlign w:val="center"/>
            <w:hideMark/>
          </w:tcPr>
          <w:p w14:paraId="0F6547C3"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3.5%</w:t>
            </w:r>
          </w:p>
        </w:tc>
        <w:tc>
          <w:tcPr>
            <w:tcW w:w="1373" w:type="dxa"/>
            <w:tcBorders>
              <w:top w:val="nil"/>
              <w:left w:val="nil"/>
              <w:bottom w:val="nil"/>
              <w:right w:val="nil"/>
            </w:tcBorders>
            <w:shd w:val="clear" w:color="auto" w:fill="auto"/>
            <w:noWrap/>
            <w:vAlign w:val="center"/>
            <w:hideMark/>
          </w:tcPr>
          <w:p w14:paraId="3B7ECE65"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3.5%</w:t>
            </w:r>
          </w:p>
        </w:tc>
      </w:tr>
      <w:tr w:rsidR="00723E93" w:rsidRPr="007F6332" w14:paraId="1D55E019" w14:textId="77777777" w:rsidTr="00C1755E">
        <w:trPr>
          <w:trHeight w:val="340"/>
        </w:trPr>
        <w:tc>
          <w:tcPr>
            <w:tcW w:w="2552" w:type="dxa"/>
            <w:tcBorders>
              <w:top w:val="nil"/>
              <w:left w:val="nil"/>
              <w:right w:val="nil"/>
            </w:tcBorders>
            <w:shd w:val="clear" w:color="auto" w:fill="A6A6A6" w:themeFill="background1" w:themeFillShade="A6"/>
            <w:noWrap/>
            <w:vAlign w:val="center"/>
            <w:hideMark/>
          </w:tcPr>
          <w:p w14:paraId="20CFAECC" w14:textId="0F8D4E9F" w:rsidR="00723E93" w:rsidRPr="007F6332" w:rsidRDefault="006570F1" w:rsidP="006570F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June 2022 projections </w:t>
            </w:r>
          </w:p>
        </w:tc>
        <w:tc>
          <w:tcPr>
            <w:tcW w:w="1134" w:type="dxa"/>
            <w:tcBorders>
              <w:top w:val="nil"/>
              <w:left w:val="nil"/>
              <w:right w:val="nil"/>
            </w:tcBorders>
            <w:shd w:val="clear" w:color="auto" w:fill="A6A6A6" w:themeFill="background1" w:themeFillShade="A6"/>
            <w:noWrap/>
            <w:vAlign w:val="center"/>
            <w:hideMark/>
          </w:tcPr>
          <w:p w14:paraId="5A7196A2"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2.6%</w:t>
            </w:r>
          </w:p>
        </w:tc>
        <w:tc>
          <w:tcPr>
            <w:tcW w:w="1372" w:type="dxa"/>
            <w:tcBorders>
              <w:top w:val="nil"/>
              <w:left w:val="nil"/>
              <w:right w:val="nil"/>
            </w:tcBorders>
            <w:shd w:val="clear" w:color="auto" w:fill="A6A6A6" w:themeFill="background1" w:themeFillShade="A6"/>
            <w:noWrap/>
            <w:vAlign w:val="center"/>
            <w:hideMark/>
          </w:tcPr>
          <w:p w14:paraId="52ACAC7A"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3.6%</w:t>
            </w:r>
          </w:p>
        </w:tc>
        <w:tc>
          <w:tcPr>
            <w:tcW w:w="1373" w:type="dxa"/>
            <w:tcBorders>
              <w:top w:val="nil"/>
              <w:left w:val="nil"/>
              <w:right w:val="nil"/>
            </w:tcBorders>
            <w:shd w:val="clear" w:color="auto" w:fill="A6A6A6" w:themeFill="background1" w:themeFillShade="A6"/>
            <w:noWrap/>
            <w:vAlign w:val="center"/>
            <w:hideMark/>
          </w:tcPr>
          <w:p w14:paraId="4561A62D"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3.6%</w:t>
            </w:r>
          </w:p>
        </w:tc>
        <w:tc>
          <w:tcPr>
            <w:tcW w:w="1372" w:type="dxa"/>
            <w:tcBorders>
              <w:top w:val="nil"/>
              <w:left w:val="nil"/>
              <w:right w:val="dashed" w:sz="4" w:space="0" w:color="auto"/>
            </w:tcBorders>
            <w:shd w:val="clear" w:color="auto" w:fill="A6A6A6" w:themeFill="background1" w:themeFillShade="A6"/>
            <w:noWrap/>
            <w:vAlign w:val="center"/>
            <w:hideMark/>
          </w:tcPr>
          <w:p w14:paraId="4E30EEBA"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3.2%</w:t>
            </w:r>
          </w:p>
        </w:tc>
        <w:tc>
          <w:tcPr>
            <w:tcW w:w="1373" w:type="dxa"/>
            <w:tcBorders>
              <w:top w:val="nil"/>
              <w:left w:val="nil"/>
              <w:right w:val="nil"/>
            </w:tcBorders>
            <w:shd w:val="clear" w:color="auto" w:fill="A6A6A6" w:themeFill="background1" w:themeFillShade="A6"/>
            <w:noWrap/>
            <w:vAlign w:val="center"/>
            <w:hideMark/>
          </w:tcPr>
          <w:p w14:paraId="4643425E"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3.3%</w:t>
            </w:r>
          </w:p>
        </w:tc>
      </w:tr>
      <w:tr w:rsidR="00723E93" w:rsidRPr="007F6332" w14:paraId="0C6CC6C4" w14:textId="77777777" w:rsidTr="00853D47">
        <w:trPr>
          <w:trHeight w:val="340"/>
        </w:trPr>
        <w:tc>
          <w:tcPr>
            <w:tcW w:w="2552" w:type="dxa"/>
            <w:tcBorders>
              <w:top w:val="nil"/>
              <w:left w:val="nil"/>
              <w:bottom w:val="single" w:sz="4" w:space="0" w:color="auto"/>
              <w:right w:val="nil"/>
            </w:tcBorders>
            <w:shd w:val="clear" w:color="000000" w:fill="B398B8"/>
            <w:noWrap/>
            <w:vAlign w:val="center"/>
            <w:hideMark/>
          </w:tcPr>
          <w:p w14:paraId="0282F1A8"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Difference (%)</w:t>
            </w:r>
          </w:p>
        </w:tc>
        <w:tc>
          <w:tcPr>
            <w:tcW w:w="1134" w:type="dxa"/>
            <w:tcBorders>
              <w:top w:val="nil"/>
              <w:left w:val="nil"/>
              <w:bottom w:val="single" w:sz="4" w:space="0" w:color="auto"/>
              <w:right w:val="nil"/>
            </w:tcBorders>
            <w:shd w:val="clear" w:color="000000" w:fill="B398B8"/>
            <w:noWrap/>
            <w:vAlign w:val="center"/>
            <w:hideMark/>
          </w:tcPr>
          <w:p w14:paraId="747D73F3"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1.8%</w:t>
            </w:r>
          </w:p>
        </w:tc>
        <w:tc>
          <w:tcPr>
            <w:tcW w:w="1372" w:type="dxa"/>
            <w:tcBorders>
              <w:top w:val="nil"/>
              <w:left w:val="nil"/>
              <w:bottom w:val="single" w:sz="4" w:space="0" w:color="auto"/>
              <w:right w:val="nil"/>
            </w:tcBorders>
            <w:shd w:val="clear" w:color="000000" w:fill="B398B8"/>
            <w:noWrap/>
            <w:vAlign w:val="center"/>
            <w:hideMark/>
          </w:tcPr>
          <w:p w14:paraId="0BD61AC8"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-0.4%</w:t>
            </w:r>
          </w:p>
        </w:tc>
        <w:tc>
          <w:tcPr>
            <w:tcW w:w="1373" w:type="dxa"/>
            <w:tcBorders>
              <w:top w:val="nil"/>
              <w:left w:val="nil"/>
              <w:bottom w:val="single" w:sz="4" w:space="0" w:color="auto"/>
              <w:right w:val="nil"/>
            </w:tcBorders>
            <w:shd w:val="clear" w:color="000000" w:fill="B398B8"/>
            <w:noWrap/>
            <w:vAlign w:val="center"/>
            <w:hideMark/>
          </w:tcPr>
          <w:p w14:paraId="2FCE2B9F"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0.3%</w:t>
            </w:r>
          </w:p>
        </w:tc>
        <w:tc>
          <w:tcPr>
            <w:tcW w:w="1372" w:type="dxa"/>
            <w:tcBorders>
              <w:top w:val="nil"/>
              <w:left w:val="nil"/>
              <w:bottom w:val="single" w:sz="4" w:space="0" w:color="auto"/>
              <w:right w:val="dashed" w:sz="4" w:space="0" w:color="auto"/>
            </w:tcBorders>
            <w:shd w:val="clear" w:color="000000" w:fill="B398B8"/>
            <w:noWrap/>
            <w:vAlign w:val="center"/>
            <w:hideMark/>
          </w:tcPr>
          <w:p w14:paraId="136C38BF" w14:textId="7F533FE4"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0.</w:t>
            </w:r>
            <w:r w:rsidR="00B230D4" w:rsidRPr="007F6332">
              <w:rPr>
                <w:rFonts w:eastAsia="Times New Roman" w:cs="Arial"/>
                <w:b/>
                <w:bCs/>
                <w:color w:val="000000"/>
                <w:szCs w:val="22"/>
                <w:lang w:eastAsia="en-AU"/>
              </w:rPr>
              <w:t>3</w:t>
            </w:r>
            <w:r w:rsidRPr="007F6332">
              <w:rPr>
                <w:rFonts w:eastAsia="Times New Roman" w:cs="Arial"/>
                <w:b/>
                <w:bCs/>
                <w:color w:val="000000"/>
                <w:szCs w:val="22"/>
                <w:lang w:eastAsia="en-AU"/>
              </w:rPr>
              <w:t>%</w:t>
            </w:r>
          </w:p>
        </w:tc>
        <w:tc>
          <w:tcPr>
            <w:tcW w:w="1373" w:type="dxa"/>
            <w:tcBorders>
              <w:top w:val="nil"/>
              <w:left w:val="nil"/>
              <w:bottom w:val="single" w:sz="4" w:space="0" w:color="auto"/>
              <w:right w:val="nil"/>
            </w:tcBorders>
            <w:shd w:val="clear" w:color="000000" w:fill="B398B8"/>
            <w:noWrap/>
            <w:vAlign w:val="center"/>
            <w:hideMark/>
          </w:tcPr>
          <w:p w14:paraId="39C9C3E4" w14:textId="37C7045E"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0.</w:t>
            </w:r>
            <w:r w:rsidR="00B230D4" w:rsidRPr="007F6332">
              <w:rPr>
                <w:rFonts w:eastAsia="Times New Roman" w:cs="Arial"/>
                <w:b/>
                <w:bCs/>
                <w:color w:val="000000"/>
                <w:szCs w:val="22"/>
                <w:lang w:eastAsia="en-AU"/>
              </w:rPr>
              <w:t>2</w:t>
            </w:r>
            <w:r w:rsidRPr="007F6332">
              <w:rPr>
                <w:rFonts w:eastAsia="Times New Roman" w:cs="Arial"/>
                <w:b/>
                <w:bCs/>
                <w:color w:val="000000"/>
                <w:szCs w:val="22"/>
                <w:lang w:eastAsia="en-AU"/>
              </w:rPr>
              <w:t>%</w:t>
            </w:r>
          </w:p>
        </w:tc>
      </w:tr>
    </w:tbl>
    <w:p w14:paraId="0251DDA5" w14:textId="2338761B" w:rsidR="00723E93" w:rsidRPr="007F6332" w:rsidRDefault="00723E93" w:rsidP="006570F1">
      <w:pPr>
        <w:pStyle w:val="Heading4"/>
        <w:ind w:left="851" w:hanging="851"/>
        <w:rPr>
          <w:rFonts w:cs="Arial"/>
        </w:rPr>
      </w:pPr>
      <w:r w:rsidRPr="007F6332">
        <w:rPr>
          <w:rFonts w:cs="Arial"/>
        </w:rPr>
        <w:t>Additional growth</w:t>
      </w:r>
    </w:p>
    <w:p w14:paraId="23950CB2" w14:textId="55A016B1" w:rsidR="00853D47" w:rsidRPr="007F6332" w:rsidRDefault="00853D47" w:rsidP="00853D47">
      <w:pPr>
        <w:spacing w:before="240"/>
        <w:rPr>
          <w:rFonts w:cs="Arial"/>
          <w:lang w:val="en-AU"/>
        </w:rPr>
      </w:pPr>
      <w:r w:rsidRPr="007F6332">
        <w:rPr>
          <w:rFonts w:cs="Arial"/>
          <w:lang w:val="en-AU"/>
        </w:rPr>
        <w:t xml:space="preserve">Additional growth is defined as the increase in average payments above normal inflation. Sustained high levels of additional growth remains one of the most critical sustainability pressures for the Scheme given the material impact on projected Scheme expenses. </w:t>
      </w:r>
    </w:p>
    <w:p w14:paraId="2664F462" w14:textId="7654DCFB" w:rsidR="001A6191" w:rsidRPr="007F6332" w:rsidRDefault="001A6191" w:rsidP="00CE7E91">
      <w:pPr>
        <w:numPr>
          <w:ilvl w:val="0"/>
          <w:numId w:val="41"/>
        </w:numPr>
        <w:spacing w:before="200"/>
        <w:rPr>
          <w:rFonts w:cs="Arial"/>
          <w:bCs/>
          <w:iCs/>
          <w:szCs w:val="22"/>
          <w:lang w:val="en-AU"/>
        </w:rPr>
      </w:pPr>
      <w:r w:rsidRPr="007F6332">
        <w:rPr>
          <w:rFonts w:cs="Arial"/>
          <w:bCs/>
          <w:iCs/>
          <w:szCs w:val="22"/>
          <w:lang w:val="en-AU"/>
        </w:rPr>
        <w:t xml:space="preserve">The additional growth assumption in the June 2022 projections reflected an expectation that the perceived shortage of disability support workers would continue to constrain growth in supports and payments in the short term. However, the </w:t>
      </w:r>
      <w:r w:rsidRPr="007F6332">
        <w:rPr>
          <w:rFonts w:cs="Arial"/>
          <w:b/>
          <w:iCs/>
          <w:szCs w:val="22"/>
          <w:lang w:val="en-AU"/>
        </w:rPr>
        <w:t>observed additional growth for 2022-23 was 7.4%</w:t>
      </w:r>
      <w:r w:rsidRPr="007F6332">
        <w:rPr>
          <w:rFonts w:cs="Arial"/>
          <w:bCs/>
          <w:iCs/>
          <w:szCs w:val="22"/>
          <w:lang w:val="en-AU"/>
        </w:rPr>
        <w:t xml:space="preserve">, 4% higher than the expected </w:t>
      </w:r>
      <w:r w:rsidRPr="007F6332">
        <w:rPr>
          <w:rFonts w:cs="Arial"/>
          <w:bCs/>
          <w:iCs/>
          <w:szCs w:val="22"/>
          <w:lang w:val="en-AU"/>
        </w:rPr>
        <w:lastRenderedPageBreak/>
        <w:t>additional growth of 3.4% for 2022-23 in June 2022 projections. This indicates the shortage of workers has not been as great as expected. Therefore, it has been assumed</w:t>
      </w:r>
      <w:r w:rsidRPr="007F6332">
        <w:rPr>
          <w:rFonts w:cs="Arial"/>
          <w:szCs w:val="22"/>
          <w:lang w:val="en-AU"/>
        </w:rPr>
        <w:t xml:space="preserve"> that the additional growth assumption in 2023-24 will not be impacted by constraints in the supply of workers.</w:t>
      </w:r>
    </w:p>
    <w:p w14:paraId="58A9D066" w14:textId="0D127D90" w:rsidR="00976BCD" w:rsidRPr="007F6332" w:rsidRDefault="00976BCD" w:rsidP="00CE7E91">
      <w:pPr>
        <w:numPr>
          <w:ilvl w:val="0"/>
          <w:numId w:val="41"/>
        </w:numPr>
        <w:spacing w:before="200"/>
        <w:rPr>
          <w:rFonts w:cs="Arial"/>
          <w:bCs/>
          <w:iCs/>
          <w:szCs w:val="22"/>
          <w:lang w:val="en-AU"/>
        </w:rPr>
      </w:pPr>
      <w:r w:rsidRPr="007F6332">
        <w:rPr>
          <w:rFonts w:cs="Arial"/>
          <w:bCs/>
          <w:iCs/>
          <w:szCs w:val="22"/>
          <w:lang w:val="en-AU"/>
        </w:rPr>
        <w:t xml:space="preserve">The additional growth assumption (before allowance for </w:t>
      </w:r>
      <w:r w:rsidR="002D6881" w:rsidRPr="007F6332">
        <w:rPr>
          <w:rFonts w:cs="Arial"/>
          <w:bCs/>
          <w:iCs/>
          <w:szCs w:val="22"/>
          <w:lang w:val="en-AU"/>
        </w:rPr>
        <w:t>Budget initiatives</w:t>
      </w:r>
      <w:r w:rsidRPr="007F6332">
        <w:rPr>
          <w:rFonts w:cs="Arial"/>
          <w:bCs/>
          <w:iCs/>
          <w:szCs w:val="22"/>
          <w:lang w:val="en-AU"/>
        </w:rPr>
        <w:t xml:space="preserve">) for </w:t>
      </w:r>
      <w:r w:rsidRPr="007F6332">
        <w:rPr>
          <w:rFonts w:cs="Arial"/>
          <w:b/>
          <w:iCs/>
          <w:szCs w:val="22"/>
          <w:lang w:val="en-AU"/>
        </w:rPr>
        <w:t>financial year 2023-24 is 7%</w:t>
      </w:r>
      <w:r w:rsidRPr="007F6332">
        <w:rPr>
          <w:rFonts w:cs="Arial"/>
          <w:bCs/>
          <w:iCs/>
          <w:szCs w:val="22"/>
          <w:lang w:val="en-AU"/>
        </w:rPr>
        <w:t>,</w:t>
      </w:r>
      <w:r w:rsidRPr="007F6332">
        <w:rPr>
          <w:rFonts w:cs="Arial"/>
          <w:szCs w:val="22"/>
          <w:lang w:val="en-AU"/>
        </w:rPr>
        <w:t xml:space="preserve"> 4% higher than the assumption of 3% in June 2022 projections. </w:t>
      </w:r>
      <w:r w:rsidR="001A6191" w:rsidRPr="007F6332">
        <w:rPr>
          <w:rFonts w:cs="Arial"/>
          <w:szCs w:val="22"/>
          <w:lang w:val="en-AU"/>
        </w:rPr>
        <w:t xml:space="preserve">Further, this </w:t>
      </w:r>
      <w:r w:rsidR="003B2501" w:rsidRPr="007F6332">
        <w:rPr>
          <w:rFonts w:cs="Arial"/>
          <w:szCs w:val="22"/>
          <w:lang w:val="en-AU"/>
        </w:rPr>
        <w:t xml:space="preserve">is consistent with </w:t>
      </w:r>
      <w:r w:rsidRPr="007F6332">
        <w:rPr>
          <w:rFonts w:cs="Arial"/>
          <w:szCs w:val="22"/>
          <w:lang w:val="en-AU"/>
        </w:rPr>
        <w:t xml:space="preserve">the </w:t>
      </w:r>
      <w:r w:rsidR="00137524" w:rsidRPr="007F6332">
        <w:rPr>
          <w:rFonts w:cs="Arial"/>
          <w:szCs w:val="22"/>
          <w:lang w:val="en-AU"/>
        </w:rPr>
        <w:t xml:space="preserve">5.4% </w:t>
      </w:r>
      <w:r w:rsidRPr="007F6332">
        <w:rPr>
          <w:rFonts w:cs="Arial"/>
          <w:szCs w:val="22"/>
          <w:lang w:val="en-AU"/>
        </w:rPr>
        <w:t>increase in additional</w:t>
      </w:r>
      <w:r w:rsidR="003B2501" w:rsidRPr="007F6332">
        <w:rPr>
          <w:rFonts w:cs="Arial"/>
          <w:szCs w:val="22"/>
          <w:lang w:val="en-AU"/>
        </w:rPr>
        <w:t xml:space="preserve"> growth in</w:t>
      </w:r>
      <w:r w:rsidRPr="007F6332">
        <w:rPr>
          <w:rFonts w:cs="Arial"/>
          <w:szCs w:val="22"/>
          <w:lang w:val="en-AU"/>
        </w:rPr>
        <w:t xml:space="preserve"> plan budgets</w:t>
      </w:r>
      <w:r w:rsidR="002C439C" w:rsidRPr="007F6332">
        <w:rPr>
          <w:rFonts w:cs="Arial"/>
          <w:szCs w:val="22"/>
          <w:lang w:val="en-AU"/>
        </w:rPr>
        <w:t xml:space="preserve"> (</w:t>
      </w:r>
      <w:r w:rsidR="003B2501" w:rsidRPr="007F6332">
        <w:rPr>
          <w:rFonts w:cs="Arial"/>
          <w:szCs w:val="22"/>
          <w:lang w:val="en-AU"/>
        </w:rPr>
        <w:t>Figure 4.20</w:t>
      </w:r>
      <w:r w:rsidR="002C439C" w:rsidRPr="007F6332">
        <w:rPr>
          <w:rFonts w:cs="Arial"/>
          <w:szCs w:val="22"/>
          <w:lang w:val="en-AU"/>
        </w:rPr>
        <w:t>)</w:t>
      </w:r>
      <w:r w:rsidRPr="007F6332">
        <w:rPr>
          <w:rFonts w:cs="Arial"/>
          <w:szCs w:val="22"/>
          <w:lang w:val="en-AU"/>
        </w:rPr>
        <w:t xml:space="preserve"> over the last year</w:t>
      </w:r>
      <w:r w:rsidR="00137524" w:rsidRPr="007F6332">
        <w:rPr>
          <w:rFonts w:cs="Arial"/>
          <w:szCs w:val="22"/>
          <w:lang w:val="en-AU"/>
        </w:rPr>
        <w:t xml:space="preserve">, which </w:t>
      </w:r>
      <w:r w:rsidRPr="007F6332">
        <w:rPr>
          <w:rFonts w:cs="Arial"/>
          <w:szCs w:val="22"/>
          <w:lang w:val="en-AU"/>
        </w:rPr>
        <w:t xml:space="preserve">is expected to flow through to average payments in 2023-24. </w:t>
      </w:r>
    </w:p>
    <w:p w14:paraId="05ACCACD" w14:textId="77777777" w:rsidR="00976BCD" w:rsidRPr="007F6332" w:rsidRDefault="00976BCD" w:rsidP="00CE7E91">
      <w:pPr>
        <w:numPr>
          <w:ilvl w:val="0"/>
          <w:numId w:val="41"/>
        </w:numPr>
        <w:spacing w:before="200"/>
        <w:rPr>
          <w:rFonts w:cs="Arial"/>
          <w:bCs/>
          <w:iCs/>
          <w:szCs w:val="22"/>
          <w:lang w:val="en-AU"/>
        </w:rPr>
      </w:pPr>
      <w:r w:rsidRPr="007F6332">
        <w:rPr>
          <w:rFonts w:cs="Arial"/>
          <w:szCs w:val="22"/>
          <w:lang w:val="en-AU"/>
        </w:rPr>
        <w:t xml:space="preserve">The additional growth assumption for </w:t>
      </w:r>
      <w:r w:rsidRPr="007F6332">
        <w:rPr>
          <w:rFonts w:cs="Arial"/>
          <w:b/>
          <w:bCs/>
          <w:szCs w:val="22"/>
          <w:lang w:val="en-AU"/>
        </w:rPr>
        <w:t>financial year 2024-25 is 5.8%</w:t>
      </w:r>
      <w:r w:rsidRPr="007F6332">
        <w:rPr>
          <w:rFonts w:cs="Arial"/>
          <w:szCs w:val="22"/>
          <w:lang w:val="en-AU"/>
        </w:rPr>
        <w:t xml:space="preserve">, slightly lower than the assumption in the June 2022 projections, due to assumptions about future price increases that are different to economic forecasts. </w:t>
      </w:r>
    </w:p>
    <w:p w14:paraId="3C9E35F2" w14:textId="4CDD37C8" w:rsidR="007E4549" w:rsidRPr="007F6332" w:rsidRDefault="00976BCD" w:rsidP="00CE7E91">
      <w:pPr>
        <w:numPr>
          <w:ilvl w:val="0"/>
          <w:numId w:val="41"/>
        </w:numPr>
        <w:spacing w:before="200"/>
        <w:rPr>
          <w:rFonts w:cs="Arial"/>
          <w:bCs/>
          <w:iCs/>
          <w:szCs w:val="22"/>
          <w:lang w:val="en-AU"/>
        </w:rPr>
      </w:pPr>
      <w:r w:rsidRPr="007F6332">
        <w:rPr>
          <w:rFonts w:cs="Arial"/>
          <w:bCs/>
          <w:iCs/>
          <w:szCs w:val="22"/>
          <w:lang w:val="en-AU"/>
        </w:rPr>
        <w:t xml:space="preserve">Given there is less evidence of labour supply constraints having a material short term impact on the utilisation of Scheme supports, there is also less evidence for a retrospective ‘catch-up’ in support/payments growth in the medium term. Therefore, the </w:t>
      </w:r>
      <w:r w:rsidRPr="007F6332">
        <w:rPr>
          <w:rFonts w:cs="Arial"/>
          <w:b/>
          <w:iCs/>
          <w:szCs w:val="22"/>
          <w:lang w:val="en-AU"/>
        </w:rPr>
        <w:t>2025-26 assumption was revised downwards by 1%</w:t>
      </w:r>
      <w:r w:rsidR="003E6DEA" w:rsidRPr="007F6332">
        <w:rPr>
          <w:rFonts w:cs="Arial"/>
          <w:b/>
          <w:iCs/>
          <w:szCs w:val="22"/>
          <w:lang w:val="en-AU"/>
        </w:rPr>
        <w:t xml:space="preserve"> (to 4%)</w:t>
      </w:r>
      <w:r w:rsidRPr="007F6332">
        <w:rPr>
          <w:rFonts w:cs="Arial"/>
          <w:bCs/>
          <w:iCs/>
          <w:szCs w:val="22"/>
          <w:lang w:val="en-AU"/>
        </w:rPr>
        <w:t xml:space="preserve"> with additional growth assumption moderating from observed rates (of 7.4% in payments and 9.1% in plan values) to the </w:t>
      </w:r>
      <w:r w:rsidRPr="007F6332">
        <w:rPr>
          <w:rFonts w:cs="Arial"/>
          <w:b/>
          <w:iCs/>
          <w:szCs w:val="22"/>
          <w:lang w:val="en-AU"/>
        </w:rPr>
        <w:t xml:space="preserve">2% </w:t>
      </w:r>
      <w:r w:rsidR="007D5444" w:rsidRPr="007F6332">
        <w:rPr>
          <w:rFonts w:cs="Arial"/>
          <w:b/>
          <w:iCs/>
          <w:szCs w:val="22"/>
          <w:lang w:val="en-AU"/>
        </w:rPr>
        <w:t>long-</w:t>
      </w:r>
      <w:r w:rsidRPr="007F6332">
        <w:rPr>
          <w:rFonts w:cs="Arial"/>
          <w:b/>
          <w:iCs/>
          <w:szCs w:val="22"/>
          <w:lang w:val="en-AU"/>
        </w:rPr>
        <w:t>term assumption</w:t>
      </w:r>
      <w:r w:rsidRPr="007F6332">
        <w:rPr>
          <w:rFonts w:cs="Arial"/>
          <w:bCs/>
          <w:iCs/>
          <w:szCs w:val="22"/>
          <w:lang w:val="en-AU"/>
        </w:rPr>
        <w:t>.</w:t>
      </w:r>
    </w:p>
    <w:p w14:paraId="50ECC39C" w14:textId="4430F91B" w:rsidR="00976BCD" w:rsidRPr="007F6332" w:rsidRDefault="007E4549" w:rsidP="00CE7E91">
      <w:pPr>
        <w:numPr>
          <w:ilvl w:val="0"/>
          <w:numId w:val="41"/>
        </w:numPr>
        <w:spacing w:before="200"/>
        <w:rPr>
          <w:rFonts w:cs="Arial"/>
          <w:bCs/>
          <w:iCs/>
          <w:szCs w:val="22"/>
          <w:lang w:val="en-AU"/>
        </w:rPr>
      </w:pPr>
      <w:bookmarkStart w:id="183" w:name="_Hlk148110126"/>
      <w:r w:rsidRPr="007F6332">
        <w:rPr>
          <w:rFonts w:cs="Arial"/>
          <w:bCs/>
          <w:iCs/>
          <w:szCs w:val="22"/>
          <w:lang w:val="en-AU"/>
        </w:rPr>
        <w:t xml:space="preserve">As the Scheme matures over time, it is reasonable to expect the additional growth rate to moderate to a </w:t>
      </w:r>
      <w:r w:rsidR="003E6DEA" w:rsidRPr="007F6332">
        <w:rPr>
          <w:rFonts w:cs="Arial"/>
          <w:bCs/>
          <w:iCs/>
          <w:szCs w:val="22"/>
          <w:lang w:val="en-AU"/>
        </w:rPr>
        <w:t>stable level</w:t>
      </w:r>
      <w:r w:rsidR="00AA00C0" w:rsidRPr="007F6332">
        <w:rPr>
          <w:rFonts w:cs="Arial"/>
          <w:bCs/>
          <w:iCs/>
          <w:szCs w:val="22"/>
          <w:lang w:val="en-AU"/>
        </w:rPr>
        <w:t xml:space="preserve"> that remains above 0%</w:t>
      </w:r>
      <w:r w:rsidR="007B0C64" w:rsidRPr="007F6332">
        <w:rPr>
          <w:rFonts w:cs="Arial"/>
          <w:bCs/>
          <w:iCs/>
          <w:szCs w:val="22"/>
          <w:lang w:val="en-AU"/>
        </w:rPr>
        <w:t>, due to factors such as participants’ change in circumstances, deterioration in level of functioning, triggering more complex or costly support needs</w:t>
      </w:r>
      <w:r w:rsidRPr="007F6332">
        <w:rPr>
          <w:rFonts w:cs="Arial"/>
          <w:bCs/>
          <w:iCs/>
          <w:szCs w:val="22"/>
          <w:lang w:val="en-AU"/>
        </w:rPr>
        <w:t xml:space="preserve">. </w:t>
      </w:r>
      <w:r w:rsidR="007B0C64" w:rsidRPr="007F6332">
        <w:rPr>
          <w:rFonts w:cs="Arial"/>
          <w:bCs/>
          <w:iCs/>
          <w:szCs w:val="22"/>
          <w:lang w:val="en-AU"/>
        </w:rPr>
        <w:t xml:space="preserve">There is a high degree of uncertainty associated with the </w:t>
      </w:r>
      <w:r w:rsidRPr="007F6332">
        <w:rPr>
          <w:rFonts w:cs="Arial"/>
          <w:bCs/>
          <w:iCs/>
          <w:szCs w:val="22"/>
          <w:lang w:val="en-AU"/>
        </w:rPr>
        <w:t>long-term additional growth assumption</w:t>
      </w:r>
      <w:r w:rsidR="007B0C64" w:rsidRPr="007F6332">
        <w:rPr>
          <w:rFonts w:cs="Arial"/>
          <w:bCs/>
          <w:iCs/>
          <w:szCs w:val="22"/>
          <w:lang w:val="en-AU"/>
        </w:rPr>
        <w:t xml:space="preserve">, with </w:t>
      </w:r>
      <w:r w:rsidRPr="007F6332">
        <w:rPr>
          <w:rFonts w:cs="Arial"/>
          <w:bCs/>
          <w:iCs/>
          <w:szCs w:val="22"/>
          <w:lang w:val="en-AU"/>
        </w:rPr>
        <w:t xml:space="preserve">a 1% increase in the long-term assumption </w:t>
      </w:r>
      <w:r w:rsidR="008324C4" w:rsidRPr="007F6332">
        <w:rPr>
          <w:rFonts w:cs="Arial"/>
          <w:bCs/>
          <w:iCs/>
          <w:szCs w:val="22"/>
          <w:lang w:val="en-AU"/>
        </w:rPr>
        <w:t>(to 3%)</w:t>
      </w:r>
      <w:r w:rsidRPr="007F6332">
        <w:rPr>
          <w:rFonts w:cs="Arial"/>
          <w:bCs/>
          <w:iCs/>
          <w:szCs w:val="22"/>
          <w:lang w:val="en-AU"/>
        </w:rPr>
        <w:t xml:space="preserve"> </w:t>
      </w:r>
      <w:r w:rsidR="008324C4" w:rsidRPr="007F6332">
        <w:rPr>
          <w:rFonts w:cs="Arial"/>
          <w:bCs/>
          <w:iCs/>
          <w:szCs w:val="22"/>
          <w:lang w:val="en-AU"/>
        </w:rPr>
        <w:t xml:space="preserve">expected to increase total Scheme expense by </w:t>
      </w:r>
      <w:r w:rsidRPr="007F6332">
        <w:rPr>
          <w:rFonts w:cs="Arial"/>
          <w:bCs/>
          <w:iCs/>
          <w:szCs w:val="22"/>
          <w:lang w:val="en-AU"/>
        </w:rPr>
        <w:t>around $5 billion in financial year 2032-33</w:t>
      </w:r>
      <w:bookmarkEnd w:id="183"/>
      <w:r w:rsidR="008324C4" w:rsidRPr="007F6332">
        <w:rPr>
          <w:rFonts w:cs="Arial"/>
          <w:bCs/>
          <w:iCs/>
          <w:szCs w:val="22"/>
          <w:lang w:val="en-AU"/>
        </w:rPr>
        <w:t>.</w:t>
      </w:r>
      <w:r w:rsidR="00976BCD" w:rsidRPr="007F6332">
        <w:rPr>
          <w:rFonts w:cs="Arial"/>
          <w:bCs/>
          <w:iCs/>
          <w:szCs w:val="22"/>
          <w:lang w:val="en-AU"/>
        </w:rPr>
        <w:t xml:space="preserve"> </w:t>
      </w:r>
    </w:p>
    <w:p w14:paraId="6472DBD8" w14:textId="3971CD01" w:rsidR="00457C58" w:rsidRPr="007F6332" w:rsidRDefault="00976BCD" w:rsidP="00976BCD">
      <w:pPr>
        <w:rPr>
          <w:rFonts w:cs="Arial"/>
        </w:rPr>
        <w:sectPr w:rsidR="00457C58" w:rsidRPr="007F6332" w:rsidSect="00CE7E91">
          <w:pgSz w:w="11906" w:h="16838"/>
          <w:pgMar w:top="1440" w:right="1416" w:bottom="1440" w:left="1440" w:header="708" w:footer="850" w:gutter="0"/>
          <w:cols w:space="708"/>
          <w:titlePg/>
          <w:docGrid w:linePitch="360"/>
        </w:sectPr>
      </w:pPr>
      <w:r w:rsidRPr="007F6332">
        <w:rPr>
          <w:rFonts w:cs="Arial"/>
        </w:rPr>
        <w:t xml:space="preserve">The </w:t>
      </w:r>
      <w:r w:rsidR="002D6881" w:rsidRPr="007F6332">
        <w:rPr>
          <w:rFonts w:cs="Arial"/>
        </w:rPr>
        <w:t>Budget initiatives</w:t>
      </w:r>
      <w:r w:rsidRPr="007F6332">
        <w:rPr>
          <w:rFonts w:cs="Arial"/>
        </w:rPr>
        <w:t xml:space="preserve"> include a number of investments towards improving the NDIA’s workforce capability and systems and supporting participants to better manage their plan within budget. These changes are expected to reduce the levels of additional growth observed in payments, below historic levels. Table 5.27 shows the impact of the </w:t>
      </w:r>
      <w:r w:rsidR="002D6881" w:rsidRPr="007F6332">
        <w:rPr>
          <w:rFonts w:cs="Arial"/>
        </w:rPr>
        <w:t>Budget initiatives</w:t>
      </w:r>
      <w:r w:rsidRPr="007F6332">
        <w:rPr>
          <w:rFonts w:cs="Arial"/>
        </w:rPr>
        <w:t>, as well as a comparison to the assumptions in the June 2022 projections.</w:t>
      </w:r>
    </w:p>
    <w:p w14:paraId="261906CC" w14:textId="77777777" w:rsidR="00976BCD" w:rsidRPr="007F6332" w:rsidRDefault="00976BCD" w:rsidP="00976BCD">
      <w:pPr>
        <w:rPr>
          <w:rFonts w:cs="Arial"/>
        </w:rPr>
      </w:pPr>
    </w:p>
    <w:p w14:paraId="03A28CD1" w14:textId="3023F18F" w:rsidR="00723E93" w:rsidRPr="007F6332" w:rsidRDefault="00950565" w:rsidP="00446FB4">
      <w:pPr>
        <w:pStyle w:val="FiguresandTablesHeading5"/>
      </w:pPr>
      <w:r w:rsidRPr="007F6332">
        <w:t>Table 5.27:</w:t>
      </w:r>
      <w:r w:rsidR="0045717D" w:rsidRPr="007F6332">
        <w:t xml:space="preserve"> </w:t>
      </w:r>
      <w:r w:rsidR="00723E93" w:rsidRPr="007F6332">
        <w:t>Comparison of additional growth assumptions</w:t>
      </w:r>
    </w:p>
    <w:tbl>
      <w:tblPr>
        <w:tblW w:w="9072" w:type="dxa"/>
        <w:tblLayout w:type="fixed"/>
        <w:tblLook w:val="04A0" w:firstRow="1" w:lastRow="0" w:firstColumn="1" w:lastColumn="0" w:noHBand="0" w:noVBand="1"/>
      </w:tblPr>
      <w:tblGrid>
        <w:gridCol w:w="2835"/>
        <w:gridCol w:w="1247"/>
        <w:gridCol w:w="1247"/>
        <w:gridCol w:w="1248"/>
        <w:gridCol w:w="1247"/>
        <w:gridCol w:w="1248"/>
      </w:tblGrid>
      <w:tr w:rsidR="00723E93" w:rsidRPr="007F6332" w14:paraId="0DEF7183" w14:textId="77777777" w:rsidTr="00C1755E">
        <w:trPr>
          <w:trHeight w:val="479"/>
        </w:trPr>
        <w:tc>
          <w:tcPr>
            <w:tcW w:w="2835" w:type="dxa"/>
            <w:tcBorders>
              <w:top w:val="nil"/>
              <w:left w:val="nil"/>
              <w:right w:val="nil"/>
            </w:tcBorders>
            <w:shd w:val="clear" w:color="000000" w:fill="6B2976"/>
            <w:hideMark/>
          </w:tcPr>
          <w:p w14:paraId="0E00F08A" w14:textId="77777777" w:rsidR="00723E93" w:rsidRPr="007F6332" w:rsidRDefault="00723E93" w:rsidP="006C2D75">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 </w:t>
            </w:r>
          </w:p>
        </w:tc>
        <w:tc>
          <w:tcPr>
            <w:tcW w:w="1247" w:type="dxa"/>
            <w:tcBorders>
              <w:top w:val="nil"/>
              <w:left w:val="nil"/>
              <w:right w:val="nil"/>
            </w:tcBorders>
            <w:shd w:val="clear" w:color="000000" w:fill="6B2976"/>
            <w:noWrap/>
            <w:vAlign w:val="center"/>
            <w:hideMark/>
          </w:tcPr>
          <w:p w14:paraId="5518A3F7" w14:textId="77777777" w:rsidR="00723E93" w:rsidRPr="007F6332" w:rsidRDefault="00723E93" w:rsidP="006C2D75">
            <w:pPr>
              <w:spacing w:after="0" w:line="240" w:lineRule="auto"/>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2023-24</w:t>
            </w:r>
          </w:p>
        </w:tc>
        <w:tc>
          <w:tcPr>
            <w:tcW w:w="1247" w:type="dxa"/>
            <w:tcBorders>
              <w:top w:val="nil"/>
              <w:left w:val="nil"/>
              <w:right w:val="nil"/>
            </w:tcBorders>
            <w:shd w:val="clear" w:color="000000" w:fill="6B2976"/>
            <w:noWrap/>
            <w:vAlign w:val="center"/>
            <w:hideMark/>
          </w:tcPr>
          <w:p w14:paraId="2D571FA9" w14:textId="77777777" w:rsidR="00723E93" w:rsidRPr="007F6332" w:rsidRDefault="00723E93" w:rsidP="006C2D75">
            <w:pPr>
              <w:spacing w:after="0" w:line="240" w:lineRule="auto"/>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2024-25</w:t>
            </w:r>
          </w:p>
        </w:tc>
        <w:tc>
          <w:tcPr>
            <w:tcW w:w="1248" w:type="dxa"/>
            <w:tcBorders>
              <w:top w:val="nil"/>
              <w:left w:val="nil"/>
              <w:right w:val="nil"/>
            </w:tcBorders>
            <w:shd w:val="clear" w:color="000000" w:fill="6B2976"/>
            <w:noWrap/>
            <w:vAlign w:val="center"/>
            <w:hideMark/>
          </w:tcPr>
          <w:p w14:paraId="02666393" w14:textId="77777777" w:rsidR="00723E93" w:rsidRPr="007F6332" w:rsidRDefault="00723E93" w:rsidP="006C2D75">
            <w:pPr>
              <w:spacing w:after="0" w:line="240" w:lineRule="auto"/>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2025-26</w:t>
            </w:r>
          </w:p>
        </w:tc>
        <w:tc>
          <w:tcPr>
            <w:tcW w:w="1247" w:type="dxa"/>
            <w:tcBorders>
              <w:top w:val="nil"/>
              <w:left w:val="nil"/>
              <w:right w:val="dashed" w:sz="4" w:space="0" w:color="auto"/>
            </w:tcBorders>
            <w:shd w:val="clear" w:color="000000" w:fill="6B2976"/>
            <w:noWrap/>
            <w:vAlign w:val="center"/>
            <w:hideMark/>
          </w:tcPr>
          <w:p w14:paraId="2D06B554" w14:textId="77777777" w:rsidR="00723E93" w:rsidRPr="007F6332" w:rsidRDefault="00723E93" w:rsidP="006C2D75">
            <w:pPr>
              <w:spacing w:after="0" w:line="240" w:lineRule="auto"/>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2026-27</w:t>
            </w:r>
          </w:p>
        </w:tc>
        <w:tc>
          <w:tcPr>
            <w:tcW w:w="1248" w:type="dxa"/>
            <w:tcBorders>
              <w:top w:val="nil"/>
              <w:left w:val="dashed" w:sz="4" w:space="0" w:color="auto"/>
              <w:right w:val="nil"/>
            </w:tcBorders>
            <w:shd w:val="clear" w:color="000000" w:fill="6B2976"/>
            <w:noWrap/>
            <w:vAlign w:val="center"/>
            <w:hideMark/>
          </w:tcPr>
          <w:p w14:paraId="75671076" w14:textId="77777777" w:rsidR="00723E93" w:rsidRPr="007F6332" w:rsidRDefault="00723E93" w:rsidP="006C2D75">
            <w:pPr>
              <w:spacing w:after="0" w:line="240" w:lineRule="auto"/>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2032-33</w:t>
            </w:r>
          </w:p>
        </w:tc>
      </w:tr>
      <w:tr w:rsidR="00723E93" w:rsidRPr="007F6332" w14:paraId="7C997EEC" w14:textId="77777777" w:rsidTr="00C1755E">
        <w:trPr>
          <w:trHeight w:val="316"/>
        </w:trPr>
        <w:tc>
          <w:tcPr>
            <w:tcW w:w="2835" w:type="dxa"/>
            <w:tcBorders>
              <w:top w:val="nil"/>
              <w:left w:val="nil"/>
            </w:tcBorders>
            <w:shd w:val="clear" w:color="auto" w:fill="auto"/>
            <w:noWrap/>
            <w:vAlign w:val="center"/>
            <w:hideMark/>
          </w:tcPr>
          <w:p w14:paraId="2081A811" w14:textId="77777777" w:rsidR="006570F1" w:rsidRPr="007F6332" w:rsidRDefault="006570F1" w:rsidP="006570F1">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June 2023 projections</w:t>
            </w:r>
          </w:p>
          <w:p w14:paraId="485A7D8A" w14:textId="537636A3" w:rsidR="00723E93" w:rsidRPr="007F6332" w:rsidRDefault="00723E93" w:rsidP="006570F1">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 xml:space="preserve">(Before </w:t>
            </w:r>
            <w:r w:rsidR="002D6881" w:rsidRPr="007F6332">
              <w:rPr>
                <w:rFonts w:eastAsia="Times New Roman" w:cs="Arial"/>
                <w:color w:val="000000"/>
                <w:sz w:val="21"/>
                <w:szCs w:val="21"/>
                <w:lang w:eastAsia="en-AU"/>
              </w:rPr>
              <w:t>Budget initiatives</w:t>
            </w:r>
            <w:r w:rsidRPr="007F6332">
              <w:rPr>
                <w:rFonts w:eastAsia="Times New Roman" w:cs="Arial"/>
                <w:color w:val="000000"/>
                <w:sz w:val="21"/>
                <w:szCs w:val="21"/>
                <w:lang w:eastAsia="en-AU"/>
              </w:rPr>
              <w:t>)</w:t>
            </w:r>
          </w:p>
        </w:tc>
        <w:tc>
          <w:tcPr>
            <w:tcW w:w="1247" w:type="dxa"/>
            <w:tcBorders>
              <w:top w:val="nil"/>
            </w:tcBorders>
            <w:shd w:val="clear" w:color="auto" w:fill="auto"/>
            <w:noWrap/>
            <w:vAlign w:val="center"/>
            <w:hideMark/>
          </w:tcPr>
          <w:p w14:paraId="528EE608"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7.0%</w:t>
            </w:r>
          </w:p>
        </w:tc>
        <w:tc>
          <w:tcPr>
            <w:tcW w:w="1247" w:type="dxa"/>
            <w:tcBorders>
              <w:top w:val="nil"/>
            </w:tcBorders>
            <w:shd w:val="clear" w:color="auto" w:fill="auto"/>
            <w:noWrap/>
            <w:vAlign w:val="center"/>
            <w:hideMark/>
          </w:tcPr>
          <w:p w14:paraId="4F1BA503"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5.8%</w:t>
            </w:r>
          </w:p>
        </w:tc>
        <w:tc>
          <w:tcPr>
            <w:tcW w:w="1248" w:type="dxa"/>
            <w:tcBorders>
              <w:top w:val="nil"/>
            </w:tcBorders>
            <w:shd w:val="clear" w:color="auto" w:fill="auto"/>
            <w:noWrap/>
            <w:vAlign w:val="center"/>
            <w:hideMark/>
          </w:tcPr>
          <w:p w14:paraId="72963157"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4.0%</w:t>
            </w:r>
          </w:p>
        </w:tc>
        <w:tc>
          <w:tcPr>
            <w:tcW w:w="1247" w:type="dxa"/>
            <w:tcBorders>
              <w:top w:val="nil"/>
              <w:right w:val="dashed" w:sz="4" w:space="0" w:color="auto"/>
            </w:tcBorders>
            <w:shd w:val="clear" w:color="auto" w:fill="auto"/>
            <w:noWrap/>
            <w:vAlign w:val="center"/>
            <w:hideMark/>
          </w:tcPr>
          <w:p w14:paraId="06EFBADD"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2.0%</w:t>
            </w:r>
          </w:p>
        </w:tc>
        <w:tc>
          <w:tcPr>
            <w:tcW w:w="1248" w:type="dxa"/>
            <w:tcBorders>
              <w:top w:val="nil"/>
              <w:left w:val="dashed" w:sz="4" w:space="0" w:color="auto"/>
              <w:right w:val="nil"/>
            </w:tcBorders>
            <w:shd w:val="clear" w:color="auto" w:fill="auto"/>
            <w:noWrap/>
            <w:vAlign w:val="center"/>
            <w:hideMark/>
          </w:tcPr>
          <w:p w14:paraId="35E06543"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2.0%</w:t>
            </w:r>
          </w:p>
        </w:tc>
      </w:tr>
      <w:tr w:rsidR="00723E93" w:rsidRPr="007F6332" w14:paraId="63596055" w14:textId="77777777" w:rsidTr="00C1755E">
        <w:trPr>
          <w:trHeight w:val="316"/>
        </w:trPr>
        <w:tc>
          <w:tcPr>
            <w:tcW w:w="2835" w:type="dxa"/>
            <w:tcBorders>
              <w:left w:val="nil"/>
            </w:tcBorders>
            <w:shd w:val="clear" w:color="000000" w:fill="A7A9AC"/>
            <w:noWrap/>
            <w:vAlign w:val="center"/>
          </w:tcPr>
          <w:p w14:paraId="1E57B576" w14:textId="77777777" w:rsidR="006570F1" w:rsidRPr="007F6332" w:rsidRDefault="006570F1" w:rsidP="006570F1">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June 2023 projections</w:t>
            </w:r>
          </w:p>
          <w:p w14:paraId="512ECA8A" w14:textId="1F755B68" w:rsidR="00723E93" w:rsidRPr="007F6332" w:rsidRDefault="00723E93" w:rsidP="006570F1">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 xml:space="preserve">(After </w:t>
            </w:r>
            <w:r w:rsidR="002D6881" w:rsidRPr="007F6332">
              <w:rPr>
                <w:rFonts w:eastAsia="Times New Roman" w:cs="Arial"/>
                <w:color w:val="000000"/>
                <w:sz w:val="21"/>
                <w:szCs w:val="21"/>
                <w:lang w:eastAsia="en-AU"/>
              </w:rPr>
              <w:t>Budget initiatives</w:t>
            </w:r>
            <w:r w:rsidRPr="007F6332">
              <w:rPr>
                <w:rFonts w:eastAsia="Times New Roman" w:cs="Arial"/>
                <w:color w:val="000000"/>
                <w:sz w:val="21"/>
                <w:szCs w:val="21"/>
                <w:lang w:eastAsia="en-AU"/>
              </w:rPr>
              <w:t>)</w:t>
            </w:r>
          </w:p>
        </w:tc>
        <w:tc>
          <w:tcPr>
            <w:tcW w:w="1247" w:type="dxa"/>
            <w:shd w:val="clear" w:color="000000" w:fill="A7A9AC"/>
            <w:noWrap/>
            <w:vAlign w:val="center"/>
          </w:tcPr>
          <w:p w14:paraId="0B1CE927"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5.1%</w:t>
            </w:r>
          </w:p>
        </w:tc>
        <w:tc>
          <w:tcPr>
            <w:tcW w:w="1247" w:type="dxa"/>
            <w:shd w:val="clear" w:color="000000" w:fill="A7A9AC"/>
            <w:noWrap/>
            <w:vAlign w:val="center"/>
          </w:tcPr>
          <w:p w14:paraId="6F29288D"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2.8%</w:t>
            </w:r>
          </w:p>
        </w:tc>
        <w:tc>
          <w:tcPr>
            <w:tcW w:w="1248" w:type="dxa"/>
            <w:shd w:val="clear" w:color="000000" w:fill="A7A9AC"/>
            <w:noWrap/>
            <w:vAlign w:val="center"/>
          </w:tcPr>
          <w:p w14:paraId="19058995"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w:t>
            </w:r>
          </w:p>
        </w:tc>
        <w:tc>
          <w:tcPr>
            <w:tcW w:w="1247" w:type="dxa"/>
            <w:tcBorders>
              <w:right w:val="dashed" w:sz="4" w:space="0" w:color="auto"/>
            </w:tcBorders>
            <w:shd w:val="clear" w:color="000000" w:fill="A7A9AC"/>
            <w:noWrap/>
            <w:vAlign w:val="center"/>
          </w:tcPr>
          <w:p w14:paraId="047BE363"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0.9%</w:t>
            </w:r>
          </w:p>
        </w:tc>
        <w:tc>
          <w:tcPr>
            <w:tcW w:w="1248" w:type="dxa"/>
            <w:tcBorders>
              <w:left w:val="dashed" w:sz="4" w:space="0" w:color="auto"/>
              <w:right w:val="nil"/>
            </w:tcBorders>
            <w:shd w:val="clear" w:color="000000" w:fill="A7A9AC"/>
            <w:noWrap/>
            <w:vAlign w:val="center"/>
          </w:tcPr>
          <w:p w14:paraId="1FCF00AB"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1.6%</w:t>
            </w:r>
          </w:p>
        </w:tc>
      </w:tr>
      <w:tr w:rsidR="00723E93" w:rsidRPr="007F6332" w14:paraId="3D99EC41" w14:textId="77777777" w:rsidTr="00C1755E">
        <w:trPr>
          <w:trHeight w:val="316"/>
        </w:trPr>
        <w:tc>
          <w:tcPr>
            <w:tcW w:w="2835" w:type="dxa"/>
            <w:tcBorders>
              <w:top w:val="nil"/>
              <w:left w:val="nil"/>
            </w:tcBorders>
            <w:shd w:val="clear" w:color="000000" w:fill="auto"/>
            <w:noWrap/>
            <w:vAlign w:val="center"/>
            <w:hideMark/>
          </w:tcPr>
          <w:p w14:paraId="76D19044" w14:textId="17171C0A" w:rsidR="00723E93" w:rsidRPr="007F6332" w:rsidRDefault="006570F1" w:rsidP="006C2D75">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June 2022 projections</w:t>
            </w:r>
          </w:p>
        </w:tc>
        <w:tc>
          <w:tcPr>
            <w:tcW w:w="1247" w:type="dxa"/>
            <w:tcBorders>
              <w:top w:val="nil"/>
            </w:tcBorders>
            <w:shd w:val="clear" w:color="000000" w:fill="auto"/>
            <w:noWrap/>
            <w:vAlign w:val="center"/>
            <w:hideMark/>
          </w:tcPr>
          <w:p w14:paraId="6098766A"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3.0%</w:t>
            </w:r>
          </w:p>
        </w:tc>
        <w:tc>
          <w:tcPr>
            <w:tcW w:w="1247" w:type="dxa"/>
            <w:tcBorders>
              <w:top w:val="nil"/>
            </w:tcBorders>
            <w:shd w:val="clear" w:color="000000" w:fill="auto"/>
            <w:noWrap/>
            <w:vAlign w:val="center"/>
            <w:hideMark/>
          </w:tcPr>
          <w:p w14:paraId="5403A822"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6.0%</w:t>
            </w:r>
          </w:p>
        </w:tc>
        <w:tc>
          <w:tcPr>
            <w:tcW w:w="1248" w:type="dxa"/>
            <w:tcBorders>
              <w:top w:val="nil"/>
            </w:tcBorders>
            <w:shd w:val="clear" w:color="000000" w:fill="auto"/>
            <w:noWrap/>
            <w:vAlign w:val="center"/>
            <w:hideMark/>
          </w:tcPr>
          <w:p w14:paraId="2B560236"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5.0%</w:t>
            </w:r>
          </w:p>
        </w:tc>
        <w:tc>
          <w:tcPr>
            <w:tcW w:w="1247" w:type="dxa"/>
            <w:tcBorders>
              <w:top w:val="nil"/>
              <w:right w:val="dashed" w:sz="4" w:space="0" w:color="auto"/>
            </w:tcBorders>
            <w:shd w:val="clear" w:color="000000" w:fill="auto"/>
            <w:noWrap/>
            <w:vAlign w:val="center"/>
            <w:hideMark/>
          </w:tcPr>
          <w:p w14:paraId="1D9F8DA3"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2.0%</w:t>
            </w:r>
          </w:p>
        </w:tc>
        <w:tc>
          <w:tcPr>
            <w:tcW w:w="1248" w:type="dxa"/>
            <w:tcBorders>
              <w:top w:val="nil"/>
              <w:left w:val="dashed" w:sz="4" w:space="0" w:color="auto"/>
              <w:right w:val="nil"/>
            </w:tcBorders>
            <w:shd w:val="clear" w:color="000000" w:fill="auto"/>
            <w:noWrap/>
            <w:vAlign w:val="center"/>
            <w:hideMark/>
          </w:tcPr>
          <w:p w14:paraId="0D096CA7" w14:textId="77777777" w:rsidR="00723E93" w:rsidRPr="007F6332" w:rsidRDefault="00723E93" w:rsidP="006C2D75">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2.0%</w:t>
            </w:r>
          </w:p>
        </w:tc>
      </w:tr>
      <w:tr w:rsidR="00976BCD" w:rsidRPr="007F6332" w14:paraId="35F19F98" w14:textId="77777777" w:rsidTr="00C1755E">
        <w:trPr>
          <w:trHeight w:val="316"/>
        </w:trPr>
        <w:tc>
          <w:tcPr>
            <w:tcW w:w="2835" w:type="dxa"/>
            <w:tcBorders>
              <w:top w:val="nil"/>
              <w:left w:val="nil"/>
              <w:bottom w:val="single" w:sz="4" w:space="0" w:color="auto"/>
              <w:right w:val="nil"/>
            </w:tcBorders>
            <w:shd w:val="clear" w:color="000000" w:fill="B398B8"/>
            <w:noWrap/>
            <w:vAlign w:val="center"/>
            <w:hideMark/>
          </w:tcPr>
          <w:p w14:paraId="767E49D8" w14:textId="77777777" w:rsidR="00976BCD" w:rsidRPr="007F6332" w:rsidRDefault="00976BCD" w:rsidP="00976B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Difference (%)</w:t>
            </w:r>
          </w:p>
          <w:p w14:paraId="55094C2F" w14:textId="744068F7" w:rsidR="00A7111D" w:rsidRPr="007F6332" w:rsidRDefault="00A7111D" w:rsidP="00976B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 xml:space="preserve">June 2023 (After </w:t>
            </w:r>
            <w:r w:rsidR="002D6881" w:rsidRPr="007F6332">
              <w:rPr>
                <w:rFonts w:eastAsia="Times New Roman" w:cs="Arial"/>
                <w:b/>
                <w:bCs/>
                <w:color w:val="000000"/>
                <w:sz w:val="21"/>
                <w:szCs w:val="21"/>
                <w:lang w:eastAsia="en-AU"/>
              </w:rPr>
              <w:t>Budget initiatives</w:t>
            </w:r>
            <w:r w:rsidRPr="007F6332">
              <w:rPr>
                <w:rFonts w:eastAsia="Times New Roman" w:cs="Arial"/>
                <w:b/>
                <w:bCs/>
                <w:color w:val="000000"/>
                <w:sz w:val="21"/>
                <w:szCs w:val="21"/>
                <w:lang w:eastAsia="en-AU"/>
              </w:rPr>
              <w:t xml:space="preserve">) vs June 2022 projections </w:t>
            </w:r>
          </w:p>
        </w:tc>
        <w:tc>
          <w:tcPr>
            <w:tcW w:w="1247" w:type="dxa"/>
            <w:tcBorders>
              <w:top w:val="nil"/>
              <w:left w:val="nil"/>
              <w:bottom w:val="single" w:sz="4" w:space="0" w:color="auto"/>
              <w:right w:val="nil"/>
            </w:tcBorders>
            <w:shd w:val="clear" w:color="000000" w:fill="B398B8"/>
            <w:noWrap/>
            <w:vAlign w:val="center"/>
          </w:tcPr>
          <w:p w14:paraId="60BC875B" w14:textId="49A4EE22" w:rsidR="00976BCD" w:rsidRPr="007F6332" w:rsidRDefault="00976BCD" w:rsidP="00976B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2.1%</w:t>
            </w:r>
          </w:p>
        </w:tc>
        <w:tc>
          <w:tcPr>
            <w:tcW w:w="1247" w:type="dxa"/>
            <w:tcBorders>
              <w:top w:val="nil"/>
              <w:left w:val="nil"/>
              <w:bottom w:val="single" w:sz="4" w:space="0" w:color="auto"/>
              <w:right w:val="nil"/>
            </w:tcBorders>
            <w:shd w:val="clear" w:color="000000" w:fill="B398B8"/>
            <w:noWrap/>
            <w:vAlign w:val="center"/>
          </w:tcPr>
          <w:p w14:paraId="3BA1978F" w14:textId="414A0207" w:rsidR="00976BCD" w:rsidRPr="007F6332" w:rsidRDefault="00976BCD" w:rsidP="00976B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-3.2%</w:t>
            </w:r>
          </w:p>
        </w:tc>
        <w:tc>
          <w:tcPr>
            <w:tcW w:w="1248" w:type="dxa"/>
            <w:tcBorders>
              <w:top w:val="nil"/>
              <w:left w:val="nil"/>
              <w:bottom w:val="single" w:sz="4" w:space="0" w:color="auto"/>
              <w:right w:val="nil"/>
            </w:tcBorders>
            <w:shd w:val="clear" w:color="000000" w:fill="B398B8"/>
            <w:noWrap/>
            <w:vAlign w:val="center"/>
          </w:tcPr>
          <w:p w14:paraId="41401933" w14:textId="6260729A" w:rsidR="00976BCD" w:rsidRPr="007F6332" w:rsidRDefault="00976BCD" w:rsidP="00976B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-3.8%</w:t>
            </w:r>
          </w:p>
        </w:tc>
        <w:tc>
          <w:tcPr>
            <w:tcW w:w="1247" w:type="dxa"/>
            <w:tcBorders>
              <w:top w:val="nil"/>
              <w:left w:val="nil"/>
              <w:bottom w:val="single" w:sz="4" w:space="0" w:color="auto"/>
              <w:right w:val="dashed" w:sz="4" w:space="0" w:color="auto"/>
            </w:tcBorders>
            <w:shd w:val="clear" w:color="000000" w:fill="B398B8"/>
            <w:noWrap/>
            <w:vAlign w:val="center"/>
          </w:tcPr>
          <w:p w14:paraId="5313819C" w14:textId="4E7CF258" w:rsidR="00976BCD" w:rsidRPr="007F6332" w:rsidRDefault="00976BCD" w:rsidP="00976B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-1.1%</w:t>
            </w:r>
          </w:p>
        </w:tc>
        <w:tc>
          <w:tcPr>
            <w:tcW w:w="1248" w:type="dxa"/>
            <w:tcBorders>
              <w:top w:val="nil"/>
              <w:left w:val="dashed" w:sz="4" w:space="0" w:color="auto"/>
              <w:bottom w:val="single" w:sz="4" w:space="0" w:color="auto"/>
              <w:right w:val="nil"/>
            </w:tcBorders>
            <w:shd w:val="clear" w:color="000000" w:fill="B398B8"/>
            <w:noWrap/>
            <w:vAlign w:val="center"/>
          </w:tcPr>
          <w:p w14:paraId="2E600D79" w14:textId="3D596245" w:rsidR="00976BCD" w:rsidRPr="007F6332" w:rsidRDefault="00976BCD" w:rsidP="00976B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-0.4%</w:t>
            </w:r>
          </w:p>
        </w:tc>
      </w:tr>
    </w:tbl>
    <w:p w14:paraId="11844C62" w14:textId="0838B6F6" w:rsidR="00723E93" w:rsidRPr="007F6332" w:rsidRDefault="00723E93" w:rsidP="006570F1">
      <w:pPr>
        <w:pStyle w:val="Heading4"/>
        <w:ind w:left="851" w:hanging="851"/>
        <w:rPr>
          <w:rFonts w:cs="Arial"/>
        </w:rPr>
      </w:pPr>
      <w:r w:rsidRPr="007F6332">
        <w:rPr>
          <w:rFonts w:cs="Arial"/>
        </w:rPr>
        <w:t>Total expected growth in payments</w:t>
      </w:r>
    </w:p>
    <w:p w14:paraId="1B730DFE" w14:textId="4316DF9C" w:rsidR="00723E93" w:rsidRPr="007F6332" w:rsidRDefault="00853D47" w:rsidP="00723E93">
      <w:pPr>
        <w:spacing w:before="240"/>
        <w:rPr>
          <w:rFonts w:cs="Arial"/>
          <w:lang w:val="en-AU"/>
        </w:rPr>
      </w:pPr>
      <w:r w:rsidRPr="007F6332">
        <w:rPr>
          <w:rFonts w:cs="Arial"/>
          <w:lang w:val="en-AU"/>
        </w:rPr>
        <w:t>Table 5.28 presents the total rates of growth assumed for the June 2023 projections, combining both normal inflation and expected additional growth in payments. The future growth assumptions are also compared to historic experience, both including and excluding impact from changes in participant mix.</w:t>
      </w:r>
    </w:p>
    <w:p w14:paraId="27EC7A34" w14:textId="5016D063" w:rsidR="00723E93" w:rsidRPr="007F6332" w:rsidRDefault="00950565" w:rsidP="00945CBF">
      <w:pPr>
        <w:pStyle w:val="FiguresandTablesHeading5"/>
      </w:pPr>
      <w:r w:rsidRPr="007F6332">
        <w:t>Table 5.28</w:t>
      </w:r>
      <w:r w:rsidR="003623D9" w:rsidRPr="007F6332">
        <w:t>:</w:t>
      </w:r>
      <w:r w:rsidR="00723E93" w:rsidRPr="007F6332">
        <w:t xml:space="preserve"> Total growth after the impact of </w:t>
      </w:r>
      <w:r w:rsidR="002D6881" w:rsidRPr="007F6332">
        <w:t>Budget initiatives</w:t>
      </w:r>
    </w:p>
    <w:tbl>
      <w:tblPr>
        <w:tblW w:w="9072" w:type="dxa"/>
        <w:tblLook w:val="04A0" w:firstRow="1" w:lastRow="0" w:firstColumn="1" w:lastColumn="0" w:noHBand="0" w:noVBand="1"/>
      </w:tblPr>
      <w:tblGrid>
        <w:gridCol w:w="1985"/>
        <w:gridCol w:w="1045"/>
        <w:gridCol w:w="1243"/>
        <w:gridCol w:w="1243"/>
        <w:gridCol w:w="1243"/>
        <w:gridCol w:w="1038"/>
        <w:gridCol w:w="1275"/>
      </w:tblGrid>
      <w:tr w:rsidR="004B2DAA" w:rsidRPr="007F6332" w14:paraId="5F421670" w14:textId="77777777" w:rsidTr="004B2DAA">
        <w:trPr>
          <w:trHeight w:val="850"/>
        </w:trPr>
        <w:tc>
          <w:tcPr>
            <w:tcW w:w="1985" w:type="dxa"/>
            <w:tcBorders>
              <w:left w:val="nil"/>
            </w:tcBorders>
            <w:shd w:val="clear" w:color="000000" w:fill="6B2F76"/>
            <w:vAlign w:val="center"/>
            <w:hideMark/>
          </w:tcPr>
          <w:p w14:paraId="3618E7D2" w14:textId="33E66C79" w:rsidR="00C57F15" w:rsidRPr="007F6332" w:rsidRDefault="00C57F15" w:rsidP="006C2D75">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June 2023 projections</w:t>
            </w:r>
          </w:p>
        </w:tc>
        <w:tc>
          <w:tcPr>
            <w:tcW w:w="1045" w:type="dxa"/>
            <w:tcBorders>
              <w:right w:val="single" w:sz="6" w:space="0" w:color="auto"/>
            </w:tcBorders>
            <w:shd w:val="clear" w:color="000000" w:fill="6B2F76"/>
            <w:vAlign w:val="center"/>
            <w:hideMark/>
          </w:tcPr>
          <w:p w14:paraId="74822F57" w14:textId="31F17F60" w:rsidR="00C57F15" w:rsidRPr="007F6332" w:rsidRDefault="00C57F15" w:rsidP="00C57F15">
            <w:pPr>
              <w:spacing w:after="0" w:line="240" w:lineRule="auto"/>
              <w:rPr>
                <w:rFonts w:eastAsia="Times New Roman" w:cs="Arial"/>
                <w:b/>
                <w:bCs/>
                <w:i/>
                <w:iCs/>
                <w:color w:val="FFFFFF"/>
                <w:sz w:val="21"/>
                <w:szCs w:val="21"/>
                <w:lang w:eastAsia="en-AU"/>
              </w:rPr>
            </w:pPr>
            <w:r w:rsidRPr="007F6332">
              <w:rPr>
                <w:rFonts w:eastAsia="Times New Roman" w:cs="Arial"/>
                <w:b/>
                <w:bCs/>
                <w:i/>
                <w:iCs/>
                <w:color w:val="FFFFFF"/>
                <w:sz w:val="21"/>
                <w:szCs w:val="21"/>
                <w:lang w:eastAsia="en-AU"/>
              </w:rPr>
              <w:t xml:space="preserve"> Actual Average 2020-23</w:t>
            </w:r>
          </w:p>
        </w:tc>
        <w:tc>
          <w:tcPr>
            <w:tcW w:w="1243" w:type="dxa"/>
            <w:tcBorders>
              <w:left w:val="single" w:sz="6" w:space="0" w:color="auto"/>
              <w:bottom w:val="nil"/>
            </w:tcBorders>
            <w:shd w:val="clear" w:color="000000" w:fill="6B2F76"/>
            <w:noWrap/>
            <w:vAlign w:val="center"/>
            <w:hideMark/>
          </w:tcPr>
          <w:p w14:paraId="415F0475" w14:textId="0CC8173B" w:rsidR="00C57F15" w:rsidRPr="007F6332" w:rsidRDefault="00C57F15" w:rsidP="006C2D75">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2023-24</w:t>
            </w:r>
          </w:p>
        </w:tc>
        <w:tc>
          <w:tcPr>
            <w:tcW w:w="1243" w:type="dxa"/>
            <w:tcBorders>
              <w:bottom w:val="nil"/>
            </w:tcBorders>
            <w:shd w:val="clear" w:color="000000" w:fill="6B2F76"/>
            <w:noWrap/>
            <w:vAlign w:val="center"/>
            <w:hideMark/>
          </w:tcPr>
          <w:p w14:paraId="753ACD0D" w14:textId="732FF81D" w:rsidR="00C57F15" w:rsidRPr="007F6332" w:rsidRDefault="00C57F15" w:rsidP="006C2D75">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2024-25</w:t>
            </w:r>
          </w:p>
        </w:tc>
        <w:tc>
          <w:tcPr>
            <w:tcW w:w="1243" w:type="dxa"/>
            <w:tcBorders>
              <w:bottom w:val="nil"/>
            </w:tcBorders>
            <w:shd w:val="clear" w:color="000000" w:fill="6B2F76"/>
            <w:noWrap/>
            <w:vAlign w:val="center"/>
            <w:hideMark/>
          </w:tcPr>
          <w:p w14:paraId="6BD94FAD" w14:textId="124E6DE5" w:rsidR="00C57F15" w:rsidRPr="007F6332" w:rsidRDefault="00C57F15" w:rsidP="006C2D75">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2025-26</w:t>
            </w:r>
          </w:p>
        </w:tc>
        <w:tc>
          <w:tcPr>
            <w:tcW w:w="1038" w:type="dxa"/>
            <w:tcBorders>
              <w:bottom w:val="nil"/>
              <w:right w:val="dashed" w:sz="4" w:space="0" w:color="auto"/>
            </w:tcBorders>
            <w:shd w:val="clear" w:color="000000" w:fill="6B2F76"/>
            <w:noWrap/>
            <w:vAlign w:val="center"/>
            <w:hideMark/>
          </w:tcPr>
          <w:p w14:paraId="0AD285AE" w14:textId="65DA9952" w:rsidR="00C57F15" w:rsidRPr="007F6332" w:rsidRDefault="00C57F15" w:rsidP="006C2D75">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2026-27</w:t>
            </w:r>
          </w:p>
        </w:tc>
        <w:tc>
          <w:tcPr>
            <w:tcW w:w="1275" w:type="dxa"/>
            <w:tcBorders>
              <w:left w:val="dashed" w:sz="4" w:space="0" w:color="auto"/>
              <w:right w:val="nil"/>
            </w:tcBorders>
            <w:shd w:val="clear" w:color="000000" w:fill="6B2F76"/>
            <w:noWrap/>
            <w:vAlign w:val="center"/>
            <w:hideMark/>
          </w:tcPr>
          <w:p w14:paraId="495F11FE" w14:textId="0E38C24C" w:rsidR="00C57F15" w:rsidRPr="007F6332" w:rsidRDefault="00C57F15" w:rsidP="006C2D75">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2032-33</w:t>
            </w:r>
          </w:p>
        </w:tc>
      </w:tr>
      <w:tr w:rsidR="00796580" w:rsidRPr="007F6332" w14:paraId="7FCFB4AB" w14:textId="77777777" w:rsidTr="00C1755E">
        <w:trPr>
          <w:trHeight w:val="397"/>
        </w:trPr>
        <w:tc>
          <w:tcPr>
            <w:tcW w:w="1985" w:type="dxa"/>
            <w:tcBorders>
              <w:top w:val="nil"/>
              <w:left w:val="nil"/>
              <w:bottom w:val="nil"/>
              <w:right w:val="nil"/>
            </w:tcBorders>
            <w:shd w:val="clear" w:color="auto" w:fill="A6A6A6" w:themeFill="background1" w:themeFillShade="A6"/>
            <w:noWrap/>
            <w:vAlign w:val="center"/>
            <w:hideMark/>
          </w:tcPr>
          <w:p w14:paraId="78ADF5C2" w14:textId="77777777" w:rsidR="00723E93" w:rsidRPr="007F6332" w:rsidRDefault="00723E93" w:rsidP="006C2D75">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Normal inflation</w:t>
            </w:r>
          </w:p>
        </w:tc>
        <w:tc>
          <w:tcPr>
            <w:tcW w:w="1045" w:type="dxa"/>
            <w:tcBorders>
              <w:top w:val="nil"/>
              <w:left w:val="nil"/>
              <w:bottom w:val="nil"/>
              <w:right w:val="single" w:sz="6" w:space="0" w:color="auto"/>
            </w:tcBorders>
            <w:shd w:val="clear" w:color="auto" w:fill="A6A6A6" w:themeFill="background1" w:themeFillShade="A6"/>
            <w:noWrap/>
            <w:vAlign w:val="center"/>
            <w:hideMark/>
          </w:tcPr>
          <w:p w14:paraId="44BA030B"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3.7%</w:t>
            </w:r>
          </w:p>
        </w:tc>
        <w:tc>
          <w:tcPr>
            <w:tcW w:w="1243" w:type="dxa"/>
            <w:tcBorders>
              <w:top w:val="nil"/>
              <w:left w:val="single" w:sz="6" w:space="0" w:color="auto"/>
              <w:bottom w:val="nil"/>
              <w:right w:val="nil"/>
            </w:tcBorders>
            <w:shd w:val="clear" w:color="auto" w:fill="A6A6A6" w:themeFill="background1" w:themeFillShade="A6"/>
            <w:noWrap/>
            <w:vAlign w:val="center"/>
            <w:hideMark/>
          </w:tcPr>
          <w:p w14:paraId="2F13A8AB"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4.4%</w:t>
            </w:r>
          </w:p>
        </w:tc>
        <w:tc>
          <w:tcPr>
            <w:tcW w:w="1243" w:type="dxa"/>
            <w:tcBorders>
              <w:top w:val="nil"/>
              <w:left w:val="nil"/>
              <w:bottom w:val="nil"/>
              <w:right w:val="nil"/>
            </w:tcBorders>
            <w:shd w:val="clear" w:color="auto" w:fill="A6A6A6" w:themeFill="background1" w:themeFillShade="A6"/>
            <w:noWrap/>
            <w:vAlign w:val="center"/>
            <w:hideMark/>
          </w:tcPr>
          <w:p w14:paraId="203A82A3"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3.2%</w:t>
            </w:r>
          </w:p>
        </w:tc>
        <w:tc>
          <w:tcPr>
            <w:tcW w:w="1243" w:type="dxa"/>
            <w:tcBorders>
              <w:top w:val="nil"/>
              <w:left w:val="nil"/>
              <w:bottom w:val="nil"/>
              <w:right w:val="nil"/>
            </w:tcBorders>
            <w:shd w:val="clear" w:color="auto" w:fill="A6A6A6" w:themeFill="background1" w:themeFillShade="A6"/>
            <w:noWrap/>
            <w:vAlign w:val="center"/>
            <w:hideMark/>
          </w:tcPr>
          <w:p w14:paraId="7FB26ADF"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3.9%</w:t>
            </w:r>
          </w:p>
        </w:tc>
        <w:tc>
          <w:tcPr>
            <w:tcW w:w="1038" w:type="dxa"/>
            <w:tcBorders>
              <w:top w:val="nil"/>
              <w:left w:val="nil"/>
              <w:bottom w:val="nil"/>
              <w:right w:val="dashed" w:sz="4" w:space="0" w:color="auto"/>
            </w:tcBorders>
            <w:shd w:val="clear" w:color="auto" w:fill="A6A6A6" w:themeFill="background1" w:themeFillShade="A6"/>
            <w:noWrap/>
            <w:vAlign w:val="center"/>
            <w:hideMark/>
          </w:tcPr>
          <w:p w14:paraId="7ABAEE09"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3.5%</w:t>
            </w:r>
          </w:p>
        </w:tc>
        <w:tc>
          <w:tcPr>
            <w:tcW w:w="1275" w:type="dxa"/>
            <w:tcBorders>
              <w:top w:val="nil"/>
              <w:left w:val="dashed" w:sz="4" w:space="0" w:color="auto"/>
              <w:right w:val="nil"/>
            </w:tcBorders>
            <w:shd w:val="clear" w:color="auto" w:fill="A6A6A6" w:themeFill="background1" w:themeFillShade="A6"/>
            <w:noWrap/>
            <w:vAlign w:val="center"/>
            <w:hideMark/>
          </w:tcPr>
          <w:p w14:paraId="704AC761"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3.5%</w:t>
            </w:r>
          </w:p>
        </w:tc>
      </w:tr>
      <w:tr w:rsidR="00796580" w:rsidRPr="007F6332" w14:paraId="218F8A4B" w14:textId="77777777" w:rsidTr="00C1755E">
        <w:trPr>
          <w:trHeight w:val="397"/>
        </w:trPr>
        <w:tc>
          <w:tcPr>
            <w:tcW w:w="1985" w:type="dxa"/>
            <w:tcBorders>
              <w:top w:val="nil"/>
              <w:left w:val="nil"/>
              <w:right w:val="nil"/>
            </w:tcBorders>
            <w:shd w:val="clear" w:color="000000" w:fill="FFFFFF"/>
            <w:noWrap/>
            <w:vAlign w:val="center"/>
            <w:hideMark/>
          </w:tcPr>
          <w:p w14:paraId="5E52FBA1" w14:textId="77777777" w:rsidR="00723E93" w:rsidRPr="007F6332" w:rsidRDefault="00723E93" w:rsidP="006C2D75">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Additional growth</w:t>
            </w:r>
          </w:p>
        </w:tc>
        <w:tc>
          <w:tcPr>
            <w:tcW w:w="1045" w:type="dxa"/>
            <w:tcBorders>
              <w:top w:val="nil"/>
              <w:left w:val="nil"/>
              <w:right w:val="single" w:sz="6" w:space="0" w:color="auto"/>
            </w:tcBorders>
            <w:shd w:val="clear" w:color="000000" w:fill="FFFFFF"/>
            <w:noWrap/>
            <w:vAlign w:val="center"/>
            <w:hideMark/>
          </w:tcPr>
          <w:p w14:paraId="308C44E7"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8.9%</w:t>
            </w:r>
          </w:p>
        </w:tc>
        <w:tc>
          <w:tcPr>
            <w:tcW w:w="1243" w:type="dxa"/>
            <w:tcBorders>
              <w:top w:val="nil"/>
              <w:left w:val="single" w:sz="6" w:space="0" w:color="auto"/>
              <w:right w:val="nil"/>
            </w:tcBorders>
            <w:shd w:val="clear" w:color="000000" w:fill="FFFFFF"/>
            <w:noWrap/>
            <w:vAlign w:val="center"/>
            <w:hideMark/>
          </w:tcPr>
          <w:p w14:paraId="103C1D99"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5.1%</w:t>
            </w:r>
          </w:p>
        </w:tc>
        <w:tc>
          <w:tcPr>
            <w:tcW w:w="1243" w:type="dxa"/>
            <w:tcBorders>
              <w:top w:val="nil"/>
              <w:left w:val="nil"/>
              <w:right w:val="nil"/>
            </w:tcBorders>
            <w:shd w:val="clear" w:color="000000" w:fill="FFFFFF"/>
            <w:noWrap/>
            <w:vAlign w:val="center"/>
            <w:hideMark/>
          </w:tcPr>
          <w:p w14:paraId="6D483B97"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2.8%</w:t>
            </w:r>
          </w:p>
        </w:tc>
        <w:tc>
          <w:tcPr>
            <w:tcW w:w="1243" w:type="dxa"/>
            <w:tcBorders>
              <w:top w:val="nil"/>
              <w:left w:val="nil"/>
              <w:right w:val="nil"/>
            </w:tcBorders>
            <w:shd w:val="clear" w:color="000000" w:fill="FFFFFF"/>
            <w:noWrap/>
            <w:vAlign w:val="center"/>
            <w:hideMark/>
          </w:tcPr>
          <w:p w14:paraId="0722F4DD"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1.2%</w:t>
            </w:r>
          </w:p>
        </w:tc>
        <w:tc>
          <w:tcPr>
            <w:tcW w:w="1038" w:type="dxa"/>
            <w:tcBorders>
              <w:top w:val="nil"/>
              <w:left w:val="nil"/>
              <w:right w:val="dashed" w:sz="4" w:space="0" w:color="auto"/>
            </w:tcBorders>
            <w:shd w:val="clear" w:color="000000" w:fill="FFFFFF"/>
            <w:noWrap/>
            <w:vAlign w:val="center"/>
            <w:hideMark/>
          </w:tcPr>
          <w:p w14:paraId="63187011"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0.9%</w:t>
            </w:r>
          </w:p>
        </w:tc>
        <w:tc>
          <w:tcPr>
            <w:tcW w:w="1275" w:type="dxa"/>
            <w:tcBorders>
              <w:top w:val="nil"/>
              <w:left w:val="dashed" w:sz="4" w:space="0" w:color="auto"/>
              <w:right w:val="nil"/>
            </w:tcBorders>
            <w:shd w:val="clear" w:color="000000" w:fill="FFFFFF"/>
            <w:noWrap/>
            <w:vAlign w:val="center"/>
            <w:hideMark/>
          </w:tcPr>
          <w:p w14:paraId="3B901557"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1.6%</w:t>
            </w:r>
          </w:p>
        </w:tc>
      </w:tr>
      <w:tr w:rsidR="00796580" w:rsidRPr="007F6332" w14:paraId="66FD4459" w14:textId="77777777" w:rsidTr="00C1755E">
        <w:trPr>
          <w:trHeight w:val="397"/>
        </w:trPr>
        <w:tc>
          <w:tcPr>
            <w:tcW w:w="1985" w:type="dxa"/>
            <w:tcBorders>
              <w:top w:val="nil"/>
              <w:left w:val="nil"/>
              <w:right w:val="nil"/>
            </w:tcBorders>
            <w:shd w:val="clear" w:color="000000" w:fill="B398B8"/>
            <w:noWrap/>
            <w:vAlign w:val="center"/>
            <w:hideMark/>
          </w:tcPr>
          <w:p w14:paraId="1AB91100" w14:textId="77777777" w:rsidR="00723E93" w:rsidRPr="007F6332" w:rsidRDefault="00723E93" w:rsidP="006C2D75">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Total growth (exc</w:t>
            </w:r>
            <w:r w:rsidRPr="007F6332">
              <w:rPr>
                <w:rFonts w:eastAsia="Times New Roman" w:cs="Arial"/>
                <w:b/>
                <w:bCs/>
                <w:color w:val="000000"/>
                <w:sz w:val="21"/>
                <w:szCs w:val="21"/>
                <w:shd w:val="clear" w:color="auto" w:fill="B398B8"/>
                <w:lang w:eastAsia="en-AU"/>
              </w:rPr>
              <w:t xml:space="preserve">luding </w:t>
            </w:r>
            <w:r w:rsidRPr="007F6332">
              <w:rPr>
                <w:rFonts w:eastAsia="Times New Roman" w:cs="Arial"/>
                <w:b/>
                <w:bCs/>
                <w:color w:val="000000"/>
                <w:sz w:val="21"/>
                <w:szCs w:val="21"/>
                <w:lang w:eastAsia="en-AU"/>
              </w:rPr>
              <w:t>change in mix)</w:t>
            </w:r>
          </w:p>
        </w:tc>
        <w:tc>
          <w:tcPr>
            <w:tcW w:w="1045" w:type="dxa"/>
            <w:tcBorders>
              <w:top w:val="nil"/>
              <w:left w:val="nil"/>
              <w:bottom w:val="nil"/>
              <w:right w:val="single" w:sz="6" w:space="0" w:color="auto"/>
            </w:tcBorders>
            <w:shd w:val="clear" w:color="000000" w:fill="B398B8"/>
            <w:noWrap/>
            <w:vAlign w:val="center"/>
            <w:hideMark/>
          </w:tcPr>
          <w:p w14:paraId="48CDF7DA"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12.6%</w:t>
            </w:r>
          </w:p>
        </w:tc>
        <w:tc>
          <w:tcPr>
            <w:tcW w:w="1243" w:type="dxa"/>
            <w:tcBorders>
              <w:top w:val="nil"/>
              <w:left w:val="single" w:sz="6" w:space="0" w:color="auto"/>
              <w:bottom w:val="nil"/>
              <w:right w:val="nil"/>
            </w:tcBorders>
            <w:shd w:val="clear" w:color="000000" w:fill="B398B8"/>
            <w:noWrap/>
            <w:vAlign w:val="center"/>
            <w:hideMark/>
          </w:tcPr>
          <w:p w14:paraId="20AA51A5"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9.6%</w:t>
            </w:r>
          </w:p>
        </w:tc>
        <w:tc>
          <w:tcPr>
            <w:tcW w:w="1243" w:type="dxa"/>
            <w:tcBorders>
              <w:top w:val="nil"/>
              <w:left w:val="nil"/>
              <w:bottom w:val="nil"/>
              <w:right w:val="nil"/>
            </w:tcBorders>
            <w:shd w:val="clear" w:color="000000" w:fill="B398B8"/>
            <w:noWrap/>
            <w:vAlign w:val="center"/>
            <w:hideMark/>
          </w:tcPr>
          <w:p w14:paraId="410AEC8D"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6.1%</w:t>
            </w:r>
          </w:p>
        </w:tc>
        <w:tc>
          <w:tcPr>
            <w:tcW w:w="1243" w:type="dxa"/>
            <w:tcBorders>
              <w:top w:val="nil"/>
              <w:left w:val="nil"/>
              <w:bottom w:val="nil"/>
              <w:right w:val="nil"/>
            </w:tcBorders>
            <w:shd w:val="clear" w:color="000000" w:fill="B398B8"/>
            <w:noWrap/>
            <w:vAlign w:val="center"/>
            <w:hideMark/>
          </w:tcPr>
          <w:p w14:paraId="5B21AD3F"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5.1%</w:t>
            </w:r>
          </w:p>
        </w:tc>
        <w:tc>
          <w:tcPr>
            <w:tcW w:w="1038" w:type="dxa"/>
            <w:tcBorders>
              <w:top w:val="nil"/>
              <w:left w:val="nil"/>
              <w:bottom w:val="nil"/>
              <w:right w:val="dashed" w:sz="4" w:space="0" w:color="auto"/>
            </w:tcBorders>
            <w:shd w:val="clear" w:color="000000" w:fill="B398B8"/>
            <w:noWrap/>
            <w:vAlign w:val="center"/>
            <w:hideMark/>
          </w:tcPr>
          <w:p w14:paraId="3600236D"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4.4%</w:t>
            </w:r>
          </w:p>
        </w:tc>
        <w:tc>
          <w:tcPr>
            <w:tcW w:w="1275" w:type="dxa"/>
            <w:tcBorders>
              <w:top w:val="nil"/>
              <w:left w:val="dashed" w:sz="4" w:space="0" w:color="auto"/>
              <w:right w:val="nil"/>
            </w:tcBorders>
            <w:shd w:val="clear" w:color="000000" w:fill="B398B8"/>
            <w:noWrap/>
            <w:vAlign w:val="center"/>
            <w:hideMark/>
          </w:tcPr>
          <w:p w14:paraId="3E5BE8C3"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5.1%</w:t>
            </w:r>
          </w:p>
        </w:tc>
      </w:tr>
      <w:tr w:rsidR="00796580" w:rsidRPr="007F6332" w14:paraId="417FCAD7" w14:textId="77777777" w:rsidTr="00C1755E">
        <w:trPr>
          <w:trHeight w:val="397"/>
        </w:trPr>
        <w:tc>
          <w:tcPr>
            <w:tcW w:w="1985" w:type="dxa"/>
            <w:tcBorders>
              <w:top w:val="nil"/>
              <w:left w:val="nil"/>
              <w:right w:val="nil"/>
            </w:tcBorders>
            <w:shd w:val="clear" w:color="000000" w:fill="FFFFFF"/>
            <w:noWrap/>
            <w:vAlign w:val="center"/>
            <w:hideMark/>
          </w:tcPr>
          <w:p w14:paraId="1D33FD6D" w14:textId="77777777" w:rsidR="00723E93" w:rsidRPr="007F6332" w:rsidRDefault="00723E93" w:rsidP="006C2D75">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Change in mix</w:t>
            </w:r>
          </w:p>
        </w:tc>
        <w:tc>
          <w:tcPr>
            <w:tcW w:w="1045" w:type="dxa"/>
            <w:tcBorders>
              <w:top w:val="nil"/>
              <w:left w:val="nil"/>
              <w:right w:val="single" w:sz="6" w:space="0" w:color="auto"/>
            </w:tcBorders>
            <w:shd w:val="clear" w:color="000000" w:fill="FFFFFF"/>
            <w:noWrap/>
            <w:vAlign w:val="center"/>
            <w:hideMark/>
          </w:tcPr>
          <w:p w14:paraId="6E8DF212"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-6.6%</w:t>
            </w:r>
          </w:p>
        </w:tc>
        <w:tc>
          <w:tcPr>
            <w:tcW w:w="1243" w:type="dxa"/>
            <w:tcBorders>
              <w:top w:val="nil"/>
              <w:left w:val="single" w:sz="6" w:space="0" w:color="auto"/>
              <w:right w:val="nil"/>
            </w:tcBorders>
            <w:shd w:val="clear" w:color="000000" w:fill="FFFFFF"/>
            <w:noWrap/>
            <w:vAlign w:val="center"/>
            <w:hideMark/>
          </w:tcPr>
          <w:p w14:paraId="568C9493"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-4.1%</w:t>
            </w:r>
          </w:p>
        </w:tc>
        <w:tc>
          <w:tcPr>
            <w:tcW w:w="1243" w:type="dxa"/>
            <w:tcBorders>
              <w:top w:val="nil"/>
              <w:left w:val="nil"/>
              <w:right w:val="nil"/>
            </w:tcBorders>
            <w:shd w:val="clear" w:color="000000" w:fill="FFFFFF"/>
            <w:noWrap/>
            <w:vAlign w:val="center"/>
            <w:hideMark/>
          </w:tcPr>
          <w:p w14:paraId="6A2CA4F0"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-2.4%</w:t>
            </w:r>
          </w:p>
        </w:tc>
        <w:tc>
          <w:tcPr>
            <w:tcW w:w="1243" w:type="dxa"/>
            <w:tcBorders>
              <w:top w:val="nil"/>
              <w:left w:val="nil"/>
              <w:right w:val="nil"/>
            </w:tcBorders>
            <w:shd w:val="clear" w:color="000000" w:fill="FFFFFF"/>
            <w:noWrap/>
            <w:vAlign w:val="center"/>
            <w:hideMark/>
          </w:tcPr>
          <w:p w14:paraId="4DC08DB6"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-2.0%</w:t>
            </w:r>
          </w:p>
        </w:tc>
        <w:tc>
          <w:tcPr>
            <w:tcW w:w="1038" w:type="dxa"/>
            <w:tcBorders>
              <w:top w:val="nil"/>
              <w:left w:val="nil"/>
              <w:right w:val="dashed" w:sz="4" w:space="0" w:color="auto"/>
            </w:tcBorders>
            <w:shd w:val="clear" w:color="000000" w:fill="FFFFFF"/>
            <w:noWrap/>
            <w:vAlign w:val="center"/>
            <w:hideMark/>
          </w:tcPr>
          <w:p w14:paraId="6F0968FD"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-1.2%</w:t>
            </w:r>
          </w:p>
        </w:tc>
        <w:tc>
          <w:tcPr>
            <w:tcW w:w="1275" w:type="dxa"/>
            <w:tcBorders>
              <w:top w:val="nil"/>
              <w:left w:val="dashed" w:sz="4" w:space="0" w:color="auto"/>
              <w:right w:val="nil"/>
            </w:tcBorders>
            <w:shd w:val="clear" w:color="000000" w:fill="FFFFFF"/>
            <w:noWrap/>
            <w:vAlign w:val="center"/>
            <w:hideMark/>
          </w:tcPr>
          <w:p w14:paraId="570DA500" w14:textId="77777777" w:rsidR="00723E93" w:rsidRPr="007F6332" w:rsidRDefault="00723E93" w:rsidP="006C2D75">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-1.3%</w:t>
            </w:r>
          </w:p>
        </w:tc>
      </w:tr>
      <w:tr w:rsidR="00796580" w:rsidRPr="007F6332" w14:paraId="5CDA916B" w14:textId="77777777" w:rsidTr="00C1755E">
        <w:trPr>
          <w:trHeight w:val="397"/>
        </w:trPr>
        <w:tc>
          <w:tcPr>
            <w:tcW w:w="1985" w:type="dxa"/>
            <w:tcBorders>
              <w:top w:val="nil"/>
              <w:left w:val="nil"/>
            </w:tcBorders>
            <w:shd w:val="clear" w:color="000000" w:fill="B398B8"/>
            <w:noWrap/>
            <w:vAlign w:val="center"/>
            <w:hideMark/>
          </w:tcPr>
          <w:p w14:paraId="5E956BC7" w14:textId="77777777" w:rsidR="00723E93" w:rsidRPr="007F6332" w:rsidRDefault="00723E93" w:rsidP="006C2D75">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 xml:space="preserve">Total growth </w:t>
            </w:r>
          </w:p>
        </w:tc>
        <w:tc>
          <w:tcPr>
            <w:tcW w:w="1045" w:type="dxa"/>
            <w:vMerge w:val="restart"/>
            <w:tcBorders>
              <w:top w:val="nil"/>
              <w:bottom w:val="single" w:sz="4" w:space="0" w:color="auto"/>
              <w:right w:val="single" w:sz="6" w:space="0" w:color="auto"/>
            </w:tcBorders>
            <w:shd w:val="clear" w:color="000000" w:fill="B398B8"/>
            <w:noWrap/>
            <w:vAlign w:val="center"/>
            <w:hideMark/>
          </w:tcPr>
          <w:p w14:paraId="25548AAF"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6.0%</w:t>
            </w:r>
          </w:p>
        </w:tc>
        <w:tc>
          <w:tcPr>
            <w:tcW w:w="1243" w:type="dxa"/>
            <w:vMerge w:val="restart"/>
            <w:tcBorders>
              <w:top w:val="nil"/>
              <w:left w:val="single" w:sz="6" w:space="0" w:color="auto"/>
              <w:bottom w:val="single" w:sz="4" w:space="0" w:color="auto"/>
            </w:tcBorders>
            <w:shd w:val="clear" w:color="000000" w:fill="B398B8"/>
            <w:noWrap/>
            <w:vAlign w:val="center"/>
            <w:hideMark/>
          </w:tcPr>
          <w:p w14:paraId="375929CD"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5.5%</w:t>
            </w:r>
          </w:p>
        </w:tc>
        <w:tc>
          <w:tcPr>
            <w:tcW w:w="1243" w:type="dxa"/>
            <w:vMerge w:val="restart"/>
            <w:tcBorders>
              <w:top w:val="nil"/>
            </w:tcBorders>
            <w:shd w:val="clear" w:color="000000" w:fill="B398B8"/>
            <w:noWrap/>
            <w:vAlign w:val="center"/>
            <w:hideMark/>
          </w:tcPr>
          <w:p w14:paraId="72A56939"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3.7%</w:t>
            </w:r>
          </w:p>
        </w:tc>
        <w:tc>
          <w:tcPr>
            <w:tcW w:w="1243" w:type="dxa"/>
            <w:vMerge w:val="restart"/>
            <w:tcBorders>
              <w:top w:val="nil"/>
            </w:tcBorders>
            <w:shd w:val="clear" w:color="000000" w:fill="B398B8"/>
            <w:noWrap/>
            <w:vAlign w:val="center"/>
            <w:hideMark/>
          </w:tcPr>
          <w:p w14:paraId="4EC2A20C"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3.2%</w:t>
            </w:r>
          </w:p>
        </w:tc>
        <w:tc>
          <w:tcPr>
            <w:tcW w:w="1038" w:type="dxa"/>
            <w:vMerge w:val="restart"/>
            <w:tcBorders>
              <w:top w:val="nil"/>
              <w:right w:val="dashed" w:sz="4" w:space="0" w:color="auto"/>
            </w:tcBorders>
            <w:shd w:val="clear" w:color="000000" w:fill="B398B8"/>
            <w:noWrap/>
            <w:vAlign w:val="center"/>
            <w:hideMark/>
          </w:tcPr>
          <w:p w14:paraId="1BCF8765"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3.3%</w:t>
            </w:r>
          </w:p>
        </w:tc>
        <w:tc>
          <w:tcPr>
            <w:tcW w:w="1275" w:type="dxa"/>
            <w:vMerge w:val="restart"/>
            <w:tcBorders>
              <w:left w:val="dashed" w:sz="4" w:space="0" w:color="auto"/>
              <w:bottom w:val="single" w:sz="4" w:space="0" w:color="auto"/>
              <w:right w:val="nil"/>
            </w:tcBorders>
            <w:shd w:val="clear" w:color="000000" w:fill="B398B8"/>
            <w:noWrap/>
            <w:vAlign w:val="center"/>
            <w:hideMark/>
          </w:tcPr>
          <w:p w14:paraId="0389E9CA" w14:textId="77777777" w:rsidR="00723E93" w:rsidRPr="007F6332" w:rsidRDefault="00723E93" w:rsidP="006C2D75">
            <w:pPr>
              <w:spacing w:after="0" w:line="240" w:lineRule="auto"/>
              <w:jc w:val="center"/>
              <w:rPr>
                <w:rFonts w:eastAsia="Times New Roman" w:cs="Arial"/>
                <w:b/>
                <w:bCs/>
                <w:color w:val="000000"/>
                <w:sz w:val="21"/>
                <w:szCs w:val="21"/>
                <w:lang w:eastAsia="en-AU"/>
              </w:rPr>
            </w:pPr>
            <w:r w:rsidRPr="007F6332">
              <w:rPr>
                <w:rFonts w:eastAsia="Times New Roman" w:cs="Arial"/>
                <w:b/>
                <w:bCs/>
                <w:color w:val="000000"/>
                <w:sz w:val="21"/>
                <w:szCs w:val="21"/>
                <w:lang w:eastAsia="en-AU"/>
              </w:rPr>
              <w:t>3.8%</w:t>
            </w:r>
          </w:p>
        </w:tc>
      </w:tr>
      <w:tr w:rsidR="00796580" w:rsidRPr="007F6332" w14:paraId="01F8A959" w14:textId="77777777" w:rsidTr="00C1755E">
        <w:trPr>
          <w:trHeight w:val="285"/>
        </w:trPr>
        <w:tc>
          <w:tcPr>
            <w:tcW w:w="1985" w:type="dxa"/>
            <w:tcBorders>
              <w:top w:val="nil"/>
              <w:left w:val="nil"/>
              <w:bottom w:val="single" w:sz="4" w:space="0" w:color="auto"/>
            </w:tcBorders>
            <w:shd w:val="clear" w:color="000000" w:fill="B398B8"/>
            <w:noWrap/>
            <w:vAlign w:val="center"/>
            <w:hideMark/>
          </w:tcPr>
          <w:p w14:paraId="4809A810" w14:textId="77777777" w:rsidR="00723E93" w:rsidRPr="007F6332" w:rsidRDefault="00723E93" w:rsidP="006C2D75">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(including change in mix)</w:t>
            </w:r>
          </w:p>
        </w:tc>
        <w:tc>
          <w:tcPr>
            <w:tcW w:w="1045" w:type="dxa"/>
            <w:vMerge/>
            <w:tcBorders>
              <w:top w:val="single" w:sz="6" w:space="0" w:color="auto"/>
              <w:bottom w:val="single" w:sz="4" w:space="0" w:color="auto"/>
              <w:right w:val="single" w:sz="6" w:space="0" w:color="auto"/>
            </w:tcBorders>
            <w:shd w:val="clear" w:color="000000" w:fill="B398B8"/>
            <w:vAlign w:val="center"/>
            <w:hideMark/>
          </w:tcPr>
          <w:p w14:paraId="358140C2" w14:textId="77777777" w:rsidR="00723E93" w:rsidRPr="007F6332" w:rsidRDefault="00723E93" w:rsidP="006C2D75">
            <w:pPr>
              <w:spacing w:after="0" w:line="240" w:lineRule="auto"/>
              <w:rPr>
                <w:rFonts w:eastAsia="Times New Roman" w:cs="Arial"/>
                <w:b/>
                <w:bCs/>
                <w:color w:val="000000"/>
                <w:sz w:val="20"/>
                <w:szCs w:val="20"/>
                <w:lang w:eastAsia="en-AU"/>
              </w:rPr>
            </w:pPr>
          </w:p>
        </w:tc>
        <w:tc>
          <w:tcPr>
            <w:tcW w:w="1243" w:type="dxa"/>
            <w:vMerge/>
            <w:tcBorders>
              <w:top w:val="single" w:sz="6" w:space="0" w:color="auto"/>
              <w:left w:val="single" w:sz="6" w:space="0" w:color="auto"/>
              <w:bottom w:val="single" w:sz="4" w:space="0" w:color="auto"/>
            </w:tcBorders>
            <w:vAlign w:val="center"/>
            <w:hideMark/>
          </w:tcPr>
          <w:p w14:paraId="3A9E2F3D" w14:textId="77777777" w:rsidR="00723E93" w:rsidRPr="007F6332" w:rsidRDefault="00723E93" w:rsidP="006C2D75">
            <w:pPr>
              <w:spacing w:after="0" w:line="240" w:lineRule="auto"/>
              <w:rPr>
                <w:rFonts w:eastAsia="Times New Roman" w:cs="Arial"/>
                <w:b/>
                <w:bCs/>
                <w:color w:val="000000"/>
                <w:sz w:val="20"/>
                <w:szCs w:val="20"/>
                <w:lang w:eastAsia="en-AU"/>
              </w:rPr>
            </w:pPr>
          </w:p>
        </w:tc>
        <w:tc>
          <w:tcPr>
            <w:tcW w:w="1243" w:type="dxa"/>
            <w:vMerge/>
            <w:tcBorders>
              <w:top w:val="nil"/>
              <w:bottom w:val="single" w:sz="4" w:space="0" w:color="auto"/>
            </w:tcBorders>
            <w:vAlign w:val="center"/>
            <w:hideMark/>
          </w:tcPr>
          <w:p w14:paraId="61870C0D" w14:textId="77777777" w:rsidR="00723E93" w:rsidRPr="007F6332" w:rsidRDefault="00723E93" w:rsidP="006C2D75">
            <w:pPr>
              <w:spacing w:after="0" w:line="240" w:lineRule="auto"/>
              <w:rPr>
                <w:rFonts w:eastAsia="Times New Roman" w:cs="Arial"/>
                <w:b/>
                <w:bCs/>
                <w:color w:val="000000"/>
                <w:sz w:val="20"/>
                <w:szCs w:val="20"/>
                <w:lang w:eastAsia="en-AU"/>
              </w:rPr>
            </w:pPr>
          </w:p>
        </w:tc>
        <w:tc>
          <w:tcPr>
            <w:tcW w:w="1243" w:type="dxa"/>
            <w:vMerge/>
            <w:tcBorders>
              <w:top w:val="nil"/>
              <w:bottom w:val="single" w:sz="4" w:space="0" w:color="auto"/>
            </w:tcBorders>
            <w:vAlign w:val="center"/>
            <w:hideMark/>
          </w:tcPr>
          <w:p w14:paraId="14E64736" w14:textId="77777777" w:rsidR="00723E93" w:rsidRPr="007F6332" w:rsidRDefault="00723E93" w:rsidP="006C2D75">
            <w:pPr>
              <w:spacing w:after="0" w:line="240" w:lineRule="auto"/>
              <w:rPr>
                <w:rFonts w:eastAsia="Times New Roman" w:cs="Arial"/>
                <w:b/>
                <w:bCs/>
                <w:color w:val="000000"/>
                <w:sz w:val="20"/>
                <w:szCs w:val="20"/>
                <w:lang w:eastAsia="en-AU"/>
              </w:rPr>
            </w:pPr>
          </w:p>
        </w:tc>
        <w:tc>
          <w:tcPr>
            <w:tcW w:w="1038" w:type="dxa"/>
            <w:vMerge/>
            <w:tcBorders>
              <w:top w:val="nil"/>
              <w:bottom w:val="single" w:sz="4" w:space="0" w:color="auto"/>
              <w:right w:val="dashed" w:sz="4" w:space="0" w:color="auto"/>
            </w:tcBorders>
            <w:vAlign w:val="center"/>
            <w:hideMark/>
          </w:tcPr>
          <w:p w14:paraId="61469917" w14:textId="77777777" w:rsidR="00723E93" w:rsidRPr="007F6332" w:rsidRDefault="00723E93" w:rsidP="006C2D75">
            <w:pPr>
              <w:spacing w:after="0" w:line="240" w:lineRule="auto"/>
              <w:rPr>
                <w:rFonts w:eastAsia="Times New Roman" w:cs="Arial"/>
                <w:b/>
                <w:bCs/>
                <w:color w:val="000000"/>
                <w:sz w:val="20"/>
                <w:szCs w:val="20"/>
                <w:lang w:eastAsia="en-AU"/>
              </w:rPr>
            </w:pPr>
          </w:p>
        </w:tc>
        <w:tc>
          <w:tcPr>
            <w:tcW w:w="1275" w:type="dxa"/>
            <w:vMerge/>
            <w:tcBorders>
              <w:top w:val="nil"/>
              <w:left w:val="dashed" w:sz="4" w:space="0" w:color="auto"/>
              <w:bottom w:val="single" w:sz="4" w:space="0" w:color="auto"/>
              <w:right w:val="nil"/>
            </w:tcBorders>
            <w:vAlign w:val="center"/>
            <w:hideMark/>
          </w:tcPr>
          <w:p w14:paraId="6C6BE337" w14:textId="77777777" w:rsidR="00723E93" w:rsidRPr="007F6332" w:rsidRDefault="00723E93" w:rsidP="006C2D75">
            <w:pPr>
              <w:spacing w:after="0" w:line="240" w:lineRule="auto"/>
              <w:rPr>
                <w:rFonts w:eastAsia="Times New Roman" w:cs="Arial"/>
                <w:b/>
                <w:bCs/>
                <w:color w:val="000000"/>
                <w:sz w:val="20"/>
                <w:szCs w:val="20"/>
                <w:lang w:eastAsia="en-AU"/>
              </w:rPr>
            </w:pPr>
          </w:p>
        </w:tc>
      </w:tr>
    </w:tbl>
    <w:p w14:paraId="7539BD37" w14:textId="164541FB" w:rsidR="00365D64" w:rsidRPr="007F6332" w:rsidRDefault="00723E93" w:rsidP="00723E93">
      <w:pPr>
        <w:spacing w:before="240"/>
        <w:rPr>
          <w:rFonts w:cs="Arial"/>
          <w:lang w:val="en-AU"/>
        </w:rPr>
        <w:sectPr w:rsidR="00365D64" w:rsidRPr="007F6332" w:rsidSect="00CE7E91">
          <w:pgSz w:w="11906" w:h="16838"/>
          <w:pgMar w:top="1440" w:right="1416" w:bottom="1440" w:left="1440" w:header="708" w:footer="850" w:gutter="0"/>
          <w:cols w:space="708"/>
          <w:titlePg/>
          <w:docGrid w:linePitch="360"/>
        </w:sectPr>
      </w:pPr>
      <w:r w:rsidRPr="007F6332">
        <w:rPr>
          <w:rFonts w:cs="Arial"/>
          <w:lang w:val="en-AU"/>
        </w:rPr>
        <w:t>Additionally,</w:t>
      </w:r>
      <w:r w:rsidR="003623D9" w:rsidRPr="007F6332">
        <w:rPr>
          <w:rFonts w:cs="Arial"/>
          <w:lang w:val="en-AU"/>
        </w:rPr>
        <w:t xml:space="preserve"> Figure 5.12</w:t>
      </w:r>
      <w:r w:rsidRPr="007F6332">
        <w:rPr>
          <w:rFonts w:cs="Arial"/>
          <w:lang w:val="en-AU"/>
        </w:rPr>
        <w:t xml:space="preserve"> compares the total assumed growth in payments per participant with and without the impact of </w:t>
      </w:r>
      <w:r w:rsidR="002D6881" w:rsidRPr="007F6332">
        <w:rPr>
          <w:rFonts w:cs="Arial"/>
          <w:lang w:val="en-AU"/>
        </w:rPr>
        <w:t>Budget initiatives</w:t>
      </w:r>
      <w:r w:rsidRPr="007F6332">
        <w:rPr>
          <w:rFonts w:cs="Arial"/>
          <w:lang w:val="en-AU"/>
        </w:rPr>
        <w:t>.</w:t>
      </w:r>
    </w:p>
    <w:p w14:paraId="097D06EE" w14:textId="10FABA73" w:rsidR="00723E93" w:rsidRPr="007F6332" w:rsidRDefault="00950565" w:rsidP="00945CBF">
      <w:pPr>
        <w:pStyle w:val="FiguresandTablesHeading5"/>
      </w:pPr>
      <w:r w:rsidRPr="007F6332">
        <w:lastRenderedPageBreak/>
        <w:t>Figure 5.12</w:t>
      </w:r>
      <w:r w:rsidR="003623D9" w:rsidRPr="007F6332">
        <w:t xml:space="preserve">: </w:t>
      </w:r>
      <w:r w:rsidR="00723E93" w:rsidRPr="007F6332">
        <w:t xml:space="preserve">Comparison of total expected growth with and without the impact of </w:t>
      </w:r>
      <w:r w:rsidR="002D6881" w:rsidRPr="007F6332">
        <w:t>Budget initiatives</w:t>
      </w:r>
    </w:p>
    <w:p w14:paraId="136C55D4" w14:textId="74CDC394" w:rsidR="00D54F4F" w:rsidRPr="007F6332" w:rsidRDefault="008B36A5" w:rsidP="00D54F4F">
      <w:pPr>
        <w:rPr>
          <w:rFonts w:cs="Arial"/>
        </w:rPr>
      </w:pPr>
      <w:r w:rsidRPr="007F6332">
        <w:rPr>
          <w:rFonts w:cs="Arial"/>
          <w:noProof/>
        </w:rPr>
        <w:drawing>
          <wp:inline distT="0" distB="0" distL="0" distR="0" wp14:anchorId="32F7B5EF" wp14:editId="3A40E828">
            <wp:extent cx="5813167" cy="2781300"/>
            <wp:effectExtent l="0" t="0" r="0" b="0"/>
            <wp:docPr id="177463731" name="Picture 177463731" descr="Figure 5.12: Comparison of June 2023 projections, assumed normal inflation and additional growth, before and after allowance for Budget initiatives.&#10;2023-24 - Normal Inflation and additional growth (before Budget initiatives) comparison total 11.4%.&#10;2023-24 - Normal inflation and additional growth (after Budget initiatives) comparison total 9.6%.&#10;2024-25 - Normal Inflation and additional growth (before Budget initiatives) comparison total 9.0%.&#10;2024-25 - Normal Inflation and additional growth (after Budget initiatives) comparison total 6.1%.&#10;2025-26 - Normal Inflation and additional growth (before Budget initiatives) comparison total 7.9%.&#10;2025-26 - Normal Inflation and additional growth (after Budget initiatives) comparison total 5.1%.&#10;2026-27 - Normal Inflation and additional growth (before Budget initiatives) comparison total 5.5%.&#10;2026-27 - Normal Inflation and additional growth (after Budget initiatives) comparison total 4.4%.&#10;2032-33 - Normal Inflation and additional growth (before Budget initiatives) comparison total 5.5%.&#10;2032-33 - Normal Inflation and additional growth (before Budget initiatives) comparison total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3731" name="Picture 177463731" descr="Figure 5.12: Comparison of June 2023 projections, assumed normal inflation and additional growth, before and after allowance for Budget initiatives.&#10;2023-24 - Normal Inflation and additional growth (before Budget initiatives) comparison total 11.4%.&#10;2023-24 - Normal inflation and additional growth (after Budget initiatives) comparison total 9.6%.&#10;2024-25 - Normal Inflation and additional growth (before Budget initiatives) comparison total 9.0%.&#10;2024-25 - Normal Inflation and additional growth (after Budget initiatives) comparison total 6.1%.&#10;2025-26 - Normal Inflation and additional growth (before Budget initiatives) comparison total 7.9%.&#10;2025-26 - Normal Inflation and additional growth (after Budget initiatives) comparison total 5.1%.&#10;2026-27 - Normal Inflation and additional growth (before Budget initiatives) comparison total 5.5%.&#10;2026-27 - Normal Inflation and additional growth (after Budget initiatives) comparison total 4.4%.&#10;2032-33 - Normal Inflation and additional growth (before Budget initiatives) comparison total 5.5%.&#10;2032-33 - Normal Inflation and additional growth (before Budget initiatives) comparison total 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16201" cy="2782752"/>
                    </a:xfrm>
                    <a:prstGeom prst="rect">
                      <a:avLst/>
                    </a:prstGeom>
                    <a:noFill/>
                    <a:ln>
                      <a:noFill/>
                    </a:ln>
                  </pic:spPr>
                </pic:pic>
              </a:graphicData>
            </a:graphic>
          </wp:inline>
        </w:drawing>
      </w:r>
    </w:p>
    <w:p w14:paraId="621FFF44" w14:textId="2606D0E9" w:rsidR="00723E93" w:rsidRPr="007F6332" w:rsidRDefault="00723E93" w:rsidP="001D062D">
      <w:pPr>
        <w:pStyle w:val="Heading3"/>
        <w:ind w:left="709" w:hanging="709"/>
        <w:rPr>
          <w:rFonts w:cs="Arial"/>
        </w:rPr>
      </w:pPr>
      <w:bookmarkStart w:id="184" w:name="_Toc146286164"/>
      <w:bookmarkStart w:id="185" w:name="_Toc146286500"/>
      <w:bookmarkStart w:id="186" w:name="_Toc152614990"/>
      <w:r w:rsidRPr="007F6332">
        <w:rPr>
          <w:rFonts w:cs="Arial"/>
        </w:rPr>
        <w:t>Average payment</w:t>
      </w:r>
      <w:r w:rsidR="00853D47" w:rsidRPr="007F6332">
        <w:rPr>
          <w:rFonts w:cs="Arial"/>
        </w:rPr>
        <w:t xml:space="preserve">s </w:t>
      </w:r>
      <w:r w:rsidRPr="007F6332">
        <w:rPr>
          <w:rFonts w:cs="Arial"/>
        </w:rPr>
        <w:t>per participant after inflation</w:t>
      </w:r>
      <w:bookmarkEnd w:id="184"/>
      <w:bookmarkEnd w:id="185"/>
      <w:bookmarkEnd w:id="186"/>
    </w:p>
    <w:p w14:paraId="0090BE1B" w14:textId="2524CBE9" w:rsidR="00723E93" w:rsidRPr="007F6332" w:rsidRDefault="00950565" w:rsidP="00723E93">
      <w:pPr>
        <w:rPr>
          <w:rFonts w:cs="Arial"/>
        </w:rPr>
      </w:pPr>
      <w:r w:rsidRPr="007F6332">
        <w:rPr>
          <w:rFonts w:cs="Arial"/>
        </w:rPr>
        <w:t>Table 5.29</w:t>
      </w:r>
      <w:r w:rsidR="00976BCD" w:rsidRPr="007F6332">
        <w:rPr>
          <w:rFonts w:cs="Arial"/>
        </w:rPr>
        <w:t xml:space="preserve"> shows the projected average payments and yearly growth rates by SIL status. Average payments are expected to grow by 5.5% over the next financial </w:t>
      </w:r>
      <w:r w:rsidR="00AB25E8" w:rsidRPr="007F6332">
        <w:rPr>
          <w:rFonts w:cs="Arial"/>
        </w:rPr>
        <w:t xml:space="preserve">year </w:t>
      </w:r>
      <w:r w:rsidR="00976BCD" w:rsidRPr="007F6332">
        <w:rPr>
          <w:rFonts w:cs="Arial"/>
        </w:rPr>
        <w:t>and continue to experience an upward trend with yearly average growth of 3% to 4% thereafter</w:t>
      </w:r>
      <w:r w:rsidR="00723E93" w:rsidRPr="007F6332">
        <w:rPr>
          <w:rFonts w:cs="Arial"/>
        </w:rPr>
        <w:t>.</w:t>
      </w:r>
    </w:p>
    <w:p w14:paraId="4BD9C296" w14:textId="21C9FEAA" w:rsidR="00723E93" w:rsidRPr="007F6332" w:rsidRDefault="00950565" w:rsidP="00945CBF">
      <w:pPr>
        <w:pStyle w:val="FiguresandTablesHeading4"/>
      </w:pPr>
      <w:r w:rsidRPr="007F6332">
        <w:t xml:space="preserve">Table 5.29: </w:t>
      </w:r>
      <w:r w:rsidR="00723E93" w:rsidRPr="007F6332">
        <w:t>Average annual payments ($) and yearly growth rates by SIL status</w:t>
      </w:r>
    </w:p>
    <w:tbl>
      <w:tblPr>
        <w:tblW w:w="8974" w:type="dxa"/>
        <w:tblLayout w:type="fixed"/>
        <w:tblLook w:val="04A0" w:firstRow="1" w:lastRow="0" w:firstColumn="1" w:lastColumn="0" w:noHBand="0" w:noVBand="1"/>
      </w:tblPr>
      <w:tblGrid>
        <w:gridCol w:w="2268"/>
        <w:gridCol w:w="1070"/>
        <w:gridCol w:w="1070"/>
        <w:gridCol w:w="1070"/>
        <w:gridCol w:w="1070"/>
        <w:gridCol w:w="1070"/>
        <w:gridCol w:w="1356"/>
      </w:tblGrid>
      <w:tr w:rsidR="00723E93" w:rsidRPr="007F6332" w14:paraId="00F97C10" w14:textId="77777777" w:rsidTr="0034641E">
        <w:trPr>
          <w:trHeight w:val="596"/>
        </w:trPr>
        <w:tc>
          <w:tcPr>
            <w:tcW w:w="2268" w:type="dxa"/>
            <w:shd w:val="clear" w:color="auto" w:fill="6B2F76"/>
            <w:vAlign w:val="center"/>
            <w:hideMark/>
          </w:tcPr>
          <w:p w14:paraId="2724F6C6" w14:textId="77777777" w:rsidR="00853D47" w:rsidRPr="007F6332" w:rsidRDefault="00723E93" w:rsidP="006C2D75">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Total Growth</w:t>
            </w:r>
            <w:r w:rsidR="00853D47" w:rsidRPr="007F6332">
              <w:rPr>
                <w:rFonts w:eastAsia="Times New Roman" w:cs="Arial"/>
                <w:b/>
                <w:bCs/>
                <w:color w:val="FFFFFF"/>
                <w:szCs w:val="22"/>
                <w:lang w:eastAsia="en-AU"/>
              </w:rPr>
              <w:t xml:space="preserve"> June </w:t>
            </w:r>
          </w:p>
          <w:p w14:paraId="7C0AD7D8" w14:textId="17295169" w:rsidR="00723E93" w:rsidRPr="007F6332" w:rsidRDefault="00853D47" w:rsidP="006C2D75">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2023 projections</w:t>
            </w:r>
          </w:p>
        </w:tc>
        <w:tc>
          <w:tcPr>
            <w:tcW w:w="1070" w:type="dxa"/>
            <w:shd w:val="clear" w:color="auto" w:fill="6B2F76"/>
            <w:noWrap/>
            <w:vAlign w:val="center"/>
            <w:hideMark/>
          </w:tcPr>
          <w:p w14:paraId="47077F97"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2022-23</w:t>
            </w:r>
          </w:p>
        </w:tc>
        <w:tc>
          <w:tcPr>
            <w:tcW w:w="1070" w:type="dxa"/>
            <w:shd w:val="clear" w:color="auto" w:fill="6B2F76"/>
            <w:noWrap/>
            <w:vAlign w:val="center"/>
            <w:hideMark/>
          </w:tcPr>
          <w:p w14:paraId="05B6A318"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070" w:type="dxa"/>
            <w:shd w:val="clear" w:color="auto" w:fill="6B2F76"/>
            <w:noWrap/>
            <w:vAlign w:val="center"/>
            <w:hideMark/>
          </w:tcPr>
          <w:p w14:paraId="4A9B7E06"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070" w:type="dxa"/>
            <w:shd w:val="clear" w:color="auto" w:fill="6B2F76"/>
            <w:noWrap/>
            <w:vAlign w:val="center"/>
            <w:hideMark/>
          </w:tcPr>
          <w:p w14:paraId="4A3E8FC2"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070" w:type="dxa"/>
            <w:shd w:val="clear" w:color="auto" w:fill="6B2F76"/>
            <w:noWrap/>
            <w:vAlign w:val="center"/>
            <w:hideMark/>
          </w:tcPr>
          <w:p w14:paraId="5D1DEEAD"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356" w:type="dxa"/>
            <w:shd w:val="clear" w:color="auto" w:fill="6B2F76"/>
            <w:noWrap/>
            <w:vAlign w:val="center"/>
            <w:hideMark/>
          </w:tcPr>
          <w:p w14:paraId="605A3D96" w14:textId="77777777" w:rsidR="00723E93" w:rsidRPr="007F6332" w:rsidRDefault="00723E93" w:rsidP="006C2D75">
            <w:pPr>
              <w:spacing w:after="0" w:line="240" w:lineRule="auto"/>
              <w:ind w:left="-216"/>
              <w:jc w:val="center"/>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7F0F5330" w14:textId="77777777" w:rsidTr="0034641E">
        <w:trPr>
          <w:trHeight w:val="397"/>
        </w:trPr>
        <w:tc>
          <w:tcPr>
            <w:tcW w:w="2268" w:type="dxa"/>
            <w:shd w:val="clear" w:color="auto" w:fill="FFFFFF" w:themeFill="background1"/>
            <w:noWrap/>
            <w:vAlign w:val="center"/>
          </w:tcPr>
          <w:p w14:paraId="42A502E2"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Non SIL</w:t>
            </w:r>
          </w:p>
        </w:tc>
        <w:tc>
          <w:tcPr>
            <w:tcW w:w="1070" w:type="dxa"/>
            <w:shd w:val="clear" w:color="auto" w:fill="FFFFFF" w:themeFill="background1"/>
            <w:noWrap/>
            <w:vAlign w:val="center"/>
          </w:tcPr>
          <w:p w14:paraId="4F6C7EC1"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42,700</w:t>
            </w:r>
          </w:p>
        </w:tc>
        <w:tc>
          <w:tcPr>
            <w:tcW w:w="1070" w:type="dxa"/>
            <w:shd w:val="clear" w:color="auto" w:fill="FFFFFF" w:themeFill="background1"/>
            <w:noWrap/>
            <w:vAlign w:val="center"/>
          </w:tcPr>
          <w:p w14:paraId="1047861C"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44,200</w:t>
            </w:r>
          </w:p>
        </w:tc>
        <w:tc>
          <w:tcPr>
            <w:tcW w:w="1070" w:type="dxa"/>
            <w:shd w:val="clear" w:color="auto" w:fill="FFFFFF" w:themeFill="background1"/>
            <w:noWrap/>
            <w:vAlign w:val="center"/>
          </w:tcPr>
          <w:p w14:paraId="22F0AB67"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45,000</w:t>
            </w:r>
          </w:p>
        </w:tc>
        <w:tc>
          <w:tcPr>
            <w:tcW w:w="1070" w:type="dxa"/>
            <w:shd w:val="clear" w:color="auto" w:fill="FFFFFF" w:themeFill="background1"/>
            <w:noWrap/>
            <w:vAlign w:val="center"/>
          </w:tcPr>
          <w:p w14:paraId="05EC4FFC"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46,000</w:t>
            </w:r>
          </w:p>
        </w:tc>
        <w:tc>
          <w:tcPr>
            <w:tcW w:w="1070" w:type="dxa"/>
            <w:shd w:val="clear" w:color="auto" w:fill="FFFFFF" w:themeFill="background1"/>
            <w:noWrap/>
            <w:vAlign w:val="center"/>
          </w:tcPr>
          <w:p w14:paraId="55C5278D"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47,500</w:t>
            </w:r>
          </w:p>
        </w:tc>
        <w:tc>
          <w:tcPr>
            <w:tcW w:w="1356" w:type="dxa"/>
            <w:shd w:val="clear" w:color="auto" w:fill="FFFFFF" w:themeFill="background1"/>
            <w:noWrap/>
            <w:vAlign w:val="center"/>
          </w:tcPr>
          <w:p w14:paraId="078B1E20"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61,300</w:t>
            </w:r>
          </w:p>
        </w:tc>
      </w:tr>
      <w:tr w:rsidR="00723E93" w:rsidRPr="007F6332" w14:paraId="463A02C5" w14:textId="77777777" w:rsidTr="0034641E">
        <w:trPr>
          <w:trHeight w:val="397"/>
        </w:trPr>
        <w:tc>
          <w:tcPr>
            <w:tcW w:w="2268" w:type="dxa"/>
            <w:shd w:val="clear" w:color="auto" w:fill="A7A9AC"/>
            <w:noWrap/>
            <w:vAlign w:val="center"/>
          </w:tcPr>
          <w:p w14:paraId="09F76708"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SIL</w:t>
            </w:r>
          </w:p>
        </w:tc>
        <w:tc>
          <w:tcPr>
            <w:tcW w:w="1070" w:type="dxa"/>
            <w:shd w:val="clear" w:color="auto" w:fill="A7A9AC"/>
            <w:noWrap/>
            <w:vAlign w:val="center"/>
          </w:tcPr>
          <w:p w14:paraId="7338447E"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392,800</w:t>
            </w:r>
          </w:p>
        </w:tc>
        <w:tc>
          <w:tcPr>
            <w:tcW w:w="1070" w:type="dxa"/>
            <w:shd w:val="clear" w:color="auto" w:fill="A7A9AC"/>
            <w:noWrap/>
            <w:vAlign w:val="center"/>
          </w:tcPr>
          <w:p w14:paraId="50A88484"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420,300</w:t>
            </w:r>
          </w:p>
        </w:tc>
        <w:tc>
          <w:tcPr>
            <w:tcW w:w="1070" w:type="dxa"/>
            <w:shd w:val="clear" w:color="auto" w:fill="A7A9AC"/>
            <w:noWrap/>
            <w:vAlign w:val="center"/>
          </w:tcPr>
          <w:p w14:paraId="6BF0A7C6"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447,400</w:t>
            </w:r>
          </w:p>
        </w:tc>
        <w:tc>
          <w:tcPr>
            <w:tcW w:w="1070" w:type="dxa"/>
            <w:shd w:val="clear" w:color="auto" w:fill="A7A9AC"/>
            <w:noWrap/>
            <w:vAlign w:val="center"/>
          </w:tcPr>
          <w:p w14:paraId="0A613F62"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470,800</w:t>
            </w:r>
          </w:p>
        </w:tc>
        <w:tc>
          <w:tcPr>
            <w:tcW w:w="1070" w:type="dxa"/>
            <w:shd w:val="clear" w:color="auto" w:fill="A7A9AC"/>
            <w:noWrap/>
            <w:vAlign w:val="center"/>
          </w:tcPr>
          <w:p w14:paraId="4FC94E2B"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491,200</w:t>
            </w:r>
          </w:p>
        </w:tc>
        <w:tc>
          <w:tcPr>
            <w:tcW w:w="1356" w:type="dxa"/>
            <w:shd w:val="clear" w:color="auto" w:fill="A7A9AC"/>
            <w:noWrap/>
            <w:vAlign w:val="center"/>
          </w:tcPr>
          <w:p w14:paraId="78C8B0F8"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656,200</w:t>
            </w:r>
          </w:p>
        </w:tc>
      </w:tr>
      <w:tr w:rsidR="00723E93" w:rsidRPr="007F6332" w14:paraId="604F3EA0" w14:textId="77777777" w:rsidTr="0034641E">
        <w:trPr>
          <w:trHeight w:val="397"/>
        </w:trPr>
        <w:tc>
          <w:tcPr>
            <w:tcW w:w="2268" w:type="dxa"/>
            <w:tcBorders>
              <w:bottom w:val="single" w:sz="4" w:space="0" w:color="auto"/>
            </w:tcBorders>
            <w:shd w:val="clear" w:color="auto" w:fill="B398B8"/>
            <w:noWrap/>
            <w:vAlign w:val="center"/>
          </w:tcPr>
          <w:p w14:paraId="3A890FF7" w14:textId="77777777" w:rsidR="00723E93" w:rsidRPr="007F6332" w:rsidRDefault="00723E93" w:rsidP="006C2D75">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1070" w:type="dxa"/>
            <w:tcBorders>
              <w:bottom w:val="single" w:sz="4" w:space="0" w:color="auto"/>
            </w:tcBorders>
            <w:shd w:val="clear" w:color="auto" w:fill="B398B8"/>
            <w:noWrap/>
            <w:vAlign w:val="center"/>
          </w:tcPr>
          <w:p w14:paraId="37364CC0"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60,600</w:t>
            </w:r>
          </w:p>
        </w:tc>
        <w:tc>
          <w:tcPr>
            <w:tcW w:w="1070" w:type="dxa"/>
            <w:tcBorders>
              <w:bottom w:val="single" w:sz="4" w:space="0" w:color="auto"/>
            </w:tcBorders>
            <w:shd w:val="clear" w:color="auto" w:fill="B398B8"/>
            <w:noWrap/>
            <w:vAlign w:val="center"/>
          </w:tcPr>
          <w:p w14:paraId="392B294F"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64,000</w:t>
            </w:r>
          </w:p>
        </w:tc>
        <w:tc>
          <w:tcPr>
            <w:tcW w:w="1070" w:type="dxa"/>
            <w:tcBorders>
              <w:bottom w:val="single" w:sz="4" w:space="0" w:color="auto"/>
            </w:tcBorders>
            <w:shd w:val="clear" w:color="auto" w:fill="B398B8"/>
            <w:noWrap/>
            <w:vAlign w:val="center"/>
          </w:tcPr>
          <w:p w14:paraId="47DC8115"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66,300</w:t>
            </w:r>
          </w:p>
        </w:tc>
        <w:tc>
          <w:tcPr>
            <w:tcW w:w="1070" w:type="dxa"/>
            <w:tcBorders>
              <w:bottom w:val="single" w:sz="4" w:space="0" w:color="auto"/>
            </w:tcBorders>
            <w:shd w:val="clear" w:color="auto" w:fill="B398B8"/>
            <w:noWrap/>
            <w:vAlign w:val="center"/>
          </w:tcPr>
          <w:p w14:paraId="7150E41C"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68,400</w:t>
            </w:r>
          </w:p>
        </w:tc>
        <w:tc>
          <w:tcPr>
            <w:tcW w:w="1070" w:type="dxa"/>
            <w:tcBorders>
              <w:bottom w:val="single" w:sz="4" w:space="0" w:color="auto"/>
            </w:tcBorders>
            <w:shd w:val="clear" w:color="auto" w:fill="B398B8"/>
            <w:noWrap/>
            <w:vAlign w:val="center"/>
          </w:tcPr>
          <w:p w14:paraId="474BEC13"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70,600</w:t>
            </w:r>
          </w:p>
        </w:tc>
        <w:tc>
          <w:tcPr>
            <w:tcW w:w="1356" w:type="dxa"/>
            <w:tcBorders>
              <w:bottom w:val="single" w:sz="4" w:space="0" w:color="auto"/>
            </w:tcBorders>
            <w:shd w:val="clear" w:color="auto" w:fill="B398B8"/>
            <w:noWrap/>
            <w:vAlign w:val="center"/>
          </w:tcPr>
          <w:p w14:paraId="46AC6FF1"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eastAsia="Times New Roman" w:cs="Arial"/>
                <w:b/>
                <w:bCs/>
                <w:color w:val="000000"/>
                <w:szCs w:val="22"/>
                <w:lang w:eastAsia="en-AU"/>
              </w:rPr>
              <w:t>90,400</w:t>
            </w:r>
          </w:p>
        </w:tc>
      </w:tr>
      <w:tr w:rsidR="00723E93" w:rsidRPr="007F6332" w14:paraId="706494A0" w14:textId="77777777" w:rsidTr="0034641E">
        <w:trPr>
          <w:trHeight w:val="640"/>
        </w:trPr>
        <w:tc>
          <w:tcPr>
            <w:tcW w:w="2268" w:type="dxa"/>
            <w:shd w:val="clear" w:color="auto" w:fill="auto"/>
            <w:noWrap/>
            <w:vAlign w:val="center"/>
            <w:hideMark/>
          </w:tcPr>
          <w:p w14:paraId="0FCCF112" w14:textId="4402F750" w:rsidR="00723E93" w:rsidRPr="007F6332" w:rsidRDefault="00853D47" w:rsidP="006C2D75">
            <w:pPr>
              <w:spacing w:after="0" w:line="240" w:lineRule="auto"/>
              <w:rPr>
                <w:rFonts w:eastAsia="Times New Roman" w:cs="Arial"/>
                <w:szCs w:val="22"/>
                <w:lang w:eastAsia="en-AU"/>
              </w:rPr>
            </w:pPr>
            <w:r w:rsidRPr="007F6332">
              <w:rPr>
                <w:rFonts w:eastAsia="Times New Roman" w:cs="Arial"/>
                <w:b/>
                <w:bCs/>
                <w:color w:val="000000"/>
                <w:szCs w:val="22"/>
                <w:lang w:eastAsia="en-AU"/>
              </w:rPr>
              <w:t>Yearly growth rates</w:t>
            </w:r>
            <w:r w:rsidRPr="007F6332">
              <w:rPr>
                <w:rFonts w:eastAsia="Times New Roman" w:cs="Arial"/>
                <w:szCs w:val="22"/>
                <w:lang w:eastAsia="en-AU"/>
              </w:rPr>
              <w:t xml:space="preserve"> </w:t>
            </w:r>
            <w:r w:rsidR="00723E93" w:rsidRPr="007F6332">
              <w:rPr>
                <w:rFonts w:eastAsia="Times New Roman" w:cs="Arial"/>
                <w:szCs w:val="22"/>
                <w:lang w:eastAsia="en-AU"/>
              </w:rPr>
              <w:t>Non SIL</w:t>
            </w:r>
          </w:p>
        </w:tc>
        <w:tc>
          <w:tcPr>
            <w:tcW w:w="1070" w:type="dxa"/>
            <w:shd w:val="clear" w:color="auto" w:fill="auto"/>
            <w:noWrap/>
            <w:vAlign w:val="center"/>
            <w:hideMark/>
          </w:tcPr>
          <w:p w14:paraId="4448FB42" w14:textId="77777777" w:rsidR="00723E93" w:rsidRPr="007F6332" w:rsidRDefault="00723E93" w:rsidP="006C2D75">
            <w:pPr>
              <w:spacing w:after="0" w:line="240" w:lineRule="auto"/>
              <w:rPr>
                <w:rFonts w:eastAsia="Times New Roman" w:cs="Arial"/>
                <w:szCs w:val="22"/>
                <w:lang w:eastAsia="en-AU"/>
              </w:rPr>
            </w:pPr>
          </w:p>
        </w:tc>
        <w:tc>
          <w:tcPr>
            <w:tcW w:w="1070" w:type="dxa"/>
            <w:shd w:val="clear" w:color="auto" w:fill="auto"/>
            <w:noWrap/>
            <w:vAlign w:val="center"/>
            <w:hideMark/>
          </w:tcPr>
          <w:p w14:paraId="3EDBE3E6"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3.6%</w:t>
            </w:r>
          </w:p>
        </w:tc>
        <w:tc>
          <w:tcPr>
            <w:tcW w:w="1070" w:type="dxa"/>
            <w:shd w:val="clear" w:color="auto" w:fill="auto"/>
            <w:noWrap/>
            <w:vAlign w:val="center"/>
            <w:hideMark/>
          </w:tcPr>
          <w:p w14:paraId="14C2CEFE"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1.9%</w:t>
            </w:r>
          </w:p>
        </w:tc>
        <w:tc>
          <w:tcPr>
            <w:tcW w:w="1070" w:type="dxa"/>
            <w:shd w:val="clear" w:color="auto" w:fill="auto"/>
            <w:noWrap/>
            <w:vAlign w:val="center"/>
            <w:hideMark/>
          </w:tcPr>
          <w:p w14:paraId="108B90FC"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2.2%</w:t>
            </w:r>
          </w:p>
        </w:tc>
        <w:tc>
          <w:tcPr>
            <w:tcW w:w="1070" w:type="dxa"/>
            <w:shd w:val="clear" w:color="auto" w:fill="auto"/>
            <w:noWrap/>
            <w:vAlign w:val="center"/>
            <w:hideMark/>
          </w:tcPr>
          <w:p w14:paraId="5545DB8D"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3.2%</w:t>
            </w:r>
          </w:p>
        </w:tc>
        <w:tc>
          <w:tcPr>
            <w:tcW w:w="1356" w:type="dxa"/>
            <w:shd w:val="clear" w:color="auto" w:fill="auto"/>
            <w:noWrap/>
            <w:vAlign w:val="center"/>
            <w:hideMark/>
          </w:tcPr>
          <w:p w14:paraId="74049F6A"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szCs w:val="22"/>
              </w:rPr>
              <w:t>4.7%</w:t>
            </w:r>
          </w:p>
        </w:tc>
      </w:tr>
      <w:tr w:rsidR="00723E93" w:rsidRPr="007F6332" w14:paraId="42D64F0F" w14:textId="77777777" w:rsidTr="0034641E">
        <w:trPr>
          <w:trHeight w:val="397"/>
        </w:trPr>
        <w:tc>
          <w:tcPr>
            <w:tcW w:w="2268" w:type="dxa"/>
            <w:shd w:val="clear" w:color="auto" w:fill="A7A9AC"/>
            <w:noWrap/>
            <w:vAlign w:val="center"/>
            <w:hideMark/>
          </w:tcPr>
          <w:p w14:paraId="5DA6A659" w14:textId="04B624ED" w:rsidR="00723E93" w:rsidRPr="007F6332" w:rsidRDefault="00853D47" w:rsidP="006C2D75">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Yearly growth rates</w:t>
            </w:r>
            <w:r w:rsidRPr="007F6332">
              <w:rPr>
                <w:rFonts w:eastAsia="Times New Roman" w:cs="Arial"/>
                <w:color w:val="000000"/>
                <w:szCs w:val="22"/>
                <w:lang w:eastAsia="en-AU"/>
              </w:rPr>
              <w:t xml:space="preserve"> </w:t>
            </w:r>
            <w:r w:rsidR="00723E93" w:rsidRPr="007F6332">
              <w:rPr>
                <w:rFonts w:eastAsia="Times New Roman" w:cs="Arial"/>
                <w:color w:val="000000"/>
                <w:szCs w:val="22"/>
                <w:lang w:eastAsia="en-AU"/>
              </w:rPr>
              <w:t>SIL</w:t>
            </w:r>
          </w:p>
        </w:tc>
        <w:tc>
          <w:tcPr>
            <w:tcW w:w="1070" w:type="dxa"/>
            <w:shd w:val="clear" w:color="auto" w:fill="A7A9AC"/>
            <w:noWrap/>
            <w:vAlign w:val="center"/>
            <w:hideMark/>
          </w:tcPr>
          <w:p w14:paraId="5D4897A5"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w:t>
            </w:r>
          </w:p>
        </w:tc>
        <w:tc>
          <w:tcPr>
            <w:tcW w:w="1070" w:type="dxa"/>
            <w:shd w:val="clear" w:color="auto" w:fill="A7A9AC"/>
            <w:noWrap/>
            <w:vAlign w:val="center"/>
            <w:hideMark/>
          </w:tcPr>
          <w:p w14:paraId="44EE83AF"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7.0%</w:t>
            </w:r>
          </w:p>
        </w:tc>
        <w:tc>
          <w:tcPr>
            <w:tcW w:w="1070" w:type="dxa"/>
            <w:shd w:val="clear" w:color="auto" w:fill="A7A9AC"/>
            <w:noWrap/>
            <w:vAlign w:val="center"/>
            <w:hideMark/>
          </w:tcPr>
          <w:p w14:paraId="0D3EBC40"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6.4%</w:t>
            </w:r>
          </w:p>
        </w:tc>
        <w:tc>
          <w:tcPr>
            <w:tcW w:w="1070" w:type="dxa"/>
            <w:shd w:val="clear" w:color="auto" w:fill="A7A9AC"/>
            <w:noWrap/>
            <w:vAlign w:val="center"/>
            <w:hideMark/>
          </w:tcPr>
          <w:p w14:paraId="3AC89767"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5.2%</w:t>
            </w:r>
          </w:p>
        </w:tc>
        <w:tc>
          <w:tcPr>
            <w:tcW w:w="1070" w:type="dxa"/>
            <w:shd w:val="clear" w:color="auto" w:fill="A7A9AC"/>
            <w:noWrap/>
            <w:vAlign w:val="center"/>
            <w:hideMark/>
          </w:tcPr>
          <w:p w14:paraId="3C650E14"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4.3%</w:t>
            </w:r>
          </w:p>
        </w:tc>
        <w:tc>
          <w:tcPr>
            <w:tcW w:w="1313" w:type="dxa"/>
            <w:shd w:val="clear" w:color="auto" w:fill="A7A9AC"/>
            <w:noWrap/>
            <w:vAlign w:val="center"/>
            <w:hideMark/>
          </w:tcPr>
          <w:p w14:paraId="0BD9EFEF"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szCs w:val="22"/>
              </w:rPr>
              <w:t>5.0%</w:t>
            </w:r>
          </w:p>
        </w:tc>
      </w:tr>
      <w:tr w:rsidR="00723E93" w:rsidRPr="007F6332" w14:paraId="055DC5F7" w14:textId="77777777" w:rsidTr="0034641E">
        <w:trPr>
          <w:trHeight w:val="397"/>
        </w:trPr>
        <w:tc>
          <w:tcPr>
            <w:tcW w:w="2268" w:type="dxa"/>
            <w:tcBorders>
              <w:bottom w:val="single" w:sz="4" w:space="0" w:color="auto"/>
            </w:tcBorders>
            <w:shd w:val="clear" w:color="auto" w:fill="B398B8"/>
            <w:noWrap/>
            <w:vAlign w:val="center"/>
            <w:hideMark/>
          </w:tcPr>
          <w:p w14:paraId="32A3C4DF" w14:textId="77777777" w:rsidR="00723E93" w:rsidRPr="007F6332" w:rsidRDefault="00723E93" w:rsidP="006C2D75">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1070" w:type="dxa"/>
            <w:tcBorders>
              <w:bottom w:val="single" w:sz="4" w:space="0" w:color="auto"/>
            </w:tcBorders>
            <w:shd w:val="clear" w:color="auto" w:fill="B398B8"/>
            <w:noWrap/>
            <w:vAlign w:val="center"/>
            <w:hideMark/>
          </w:tcPr>
          <w:p w14:paraId="4FC4715B" w14:textId="77777777" w:rsidR="00723E93" w:rsidRPr="007F6332" w:rsidRDefault="00723E93" w:rsidP="006C2D75">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 </w:t>
            </w:r>
          </w:p>
        </w:tc>
        <w:tc>
          <w:tcPr>
            <w:tcW w:w="1070" w:type="dxa"/>
            <w:tcBorders>
              <w:bottom w:val="single" w:sz="4" w:space="0" w:color="auto"/>
            </w:tcBorders>
            <w:shd w:val="clear" w:color="auto" w:fill="B398B8"/>
            <w:noWrap/>
            <w:vAlign w:val="center"/>
            <w:hideMark/>
          </w:tcPr>
          <w:p w14:paraId="3E3DA1CD"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5.5%</w:t>
            </w:r>
          </w:p>
        </w:tc>
        <w:tc>
          <w:tcPr>
            <w:tcW w:w="1070" w:type="dxa"/>
            <w:tcBorders>
              <w:bottom w:val="single" w:sz="4" w:space="0" w:color="auto"/>
            </w:tcBorders>
            <w:shd w:val="clear" w:color="auto" w:fill="B398B8"/>
            <w:noWrap/>
            <w:vAlign w:val="center"/>
            <w:hideMark/>
          </w:tcPr>
          <w:p w14:paraId="5D7504F8"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3.</w:t>
            </w:r>
            <w:r w:rsidRPr="007F6332">
              <w:rPr>
                <w:rFonts w:cs="Arial"/>
                <w:b/>
                <w:bCs/>
                <w:color w:val="000000"/>
                <w:szCs w:val="22"/>
              </w:rPr>
              <w:t>7</w:t>
            </w:r>
            <w:r w:rsidRPr="007F6332">
              <w:rPr>
                <w:rFonts w:cs="Arial"/>
                <w:b/>
                <w:color w:val="000000"/>
                <w:szCs w:val="22"/>
              </w:rPr>
              <w:t>%</w:t>
            </w:r>
          </w:p>
        </w:tc>
        <w:tc>
          <w:tcPr>
            <w:tcW w:w="1070" w:type="dxa"/>
            <w:tcBorders>
              <w:bottom w:val="single" w:sz="4" w:space="0" w:color="auto"/>
            </w:tcBorders>
            <w:shd w:val="clear" w:color="auto" w:fill="B398B8"/>
            <w:noWrap/>
            <w:vAlign w:val="center"/>
            <w:hideMark/>
          </w:tcPr>
          <w:p w14:paraId="6D4C9394"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bCs/>
                <w:color w:val="000000"/>
                <w:szCs w:val="22"/>
              </w:rPr>
              <w:t>3.</w:t>
            </w:r>
            <w:r w:rsidRPr="007F6332">
              <w:rPr>
                <w:rFonts w:cs="Arial"/>
                <w:b/>
                <w:color w:val="000000"/>
                <w:szCs w:val="22"/>
              </w:rPr>
              <w:t>2%</w:t>
            </w:r>
          </w:p>
        </w:tc>
        <w:tc>
          <w:tcPr>
            <w:tcW w:w="1070" w:type="dxa"/>
            <w:tcBorders>
              <w:bottom w:val="single" w:sz="4" w:space="0" w:color="auto"/>
            </w:tcBorders>
            <w:shd w:val="clear" w:color="auto" w:fill="B398B8"/>
            <w:noWrap/>
            <w:vAlign w:val="center"/>
            <w:hideMark/>
          </w:tcPr>
          <w:p w14:paraId="2DC68DC7"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bCs/>
                <w:color w:val="000000"/>
                <w:szCs w:val="22"/>
              </w:rPr>
              <w:t>3.3</w:t>
            </w:r>
            <w:r w:rsidRPr="007F6332">
              <w:rPr>
                <w:rFonts w:cs="Arial"/>
                <w:b/>
                <w:color w:val="000000"/>
                <w:szCs w:val="22"/>
              </w:rPr>
              <w:t>%</w:t>
            </w:r>
          </w:p>
        </w:tc>
        <w:tc>
          <w:tcPr>
            <w:tcW w:w="1313" w:type="dxa"/>
            <w:tcBorders>
              <w:bottom w:val="single" w:sz="4" w:space="0" w:color="auto"/>
            </w:tcBorders>
            <w:shd w:val="clear" w:color="auto" w:fill="B398B8"/>
            <w:noWrap/>
            <w:vAlign w:val="center"/>
            <w:hideMark/>
          </w:tcPr>
          <w:p w14:paraId="3539CC42"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4.6%</w:t>
            </w:r>
          </w:p>
        </w:tc>
      </w:tr>
    </w:tbl>
    <w:p w14:paraId="5777494D" w14:textId="378A6AF4" w:rsidR="00365D64" w:rsidRPr="007F6332" w:rsidRDefault="00950565" w:rsidP="00976BCD">
      <w:pPr>
        <w:spacing w:before="240"/>
        <w:rPr>
          <w:rFonts w:cs="Arial"/>
        </w:rPr>
      </w:pPr>
      <w:bookmarkStart w:id="187" w:name="_Ref144922958"/>
      <w:r w:rsidRPr="007F6332">
        <w:rPr>
          <w:rFonts w:cs="Arial"/>
        </w:rPr>
        <w:t xml:space="preserve">Table 5.30 </w:t>
      </w:r>
      <w:r w:rsidR="00976BCD" w:rsidRPr="007F6332">
        <w:rPr>
          <w:rFonts w:cs="Arial"/>
        </w:rPr>
        <w:t xml:space="preserve">details the projected average annual payments by age group. Older participants are linked to lower levels of function, higher support needs and less access to informal supports, and therefore higher payments on average. </w:t>
      </w:r>
    </w:p>
    <w:p w14:paraId="4A075A0A" w14:textId="77777777" w:rsidR="00365D64" w:rsidRPr="007F6332" w:rsidRDefault="00365D64" w:rsidP="00976BCD">
      <w:pPr>
        <w:spacing w:before="240"/>
        <w:rPr>
          <w:rFonts w:cs="Arial"/>
        </w:rPr>
      </w:pPr>
    </w:p>
    <w:p w14:paraId="78D75A1C" w14:textId="77777777" w:rsidR="00365D64" w:rsidRPr="007F6332" w:rsidRDefault="00365D64" w:rsidP="00976BCD">
      <w:pPr>
        <w:spacing w:before="240"/>
        <w:rPr>
          <w:rFonts w:cs="Arial"/>
        </w:rPr>
        <w:sectPr w:rsidR="00365D64" w:rsidRPr="007F6332" w:rsidSect="00CE7E91">
          <w:pgSz w:w="11906" w:h="16838"/>
          <w:pgMar w:top="1440" w:right="1416" w:bottom="1440" w:left="1440" w:header="708" w:footer="850" w:gutter="0"/>
          <w:cols w:space="708"/>
          <w:titlePg/>
          <w:docGrid w:linePitch="360"/>
        </w:sectPr>
      </w:pPr>
    </w:p>
    <w:bookmarkEnd w:id="187"/>
    <w:p w14:paraId="475F41F2" w14:textId="386B1509" w:rsidR="00723E93" w:rsidRPr="007F6332" w:rsidRDefault="00950565" w:rsidP="00945CBF">
      <w:pPr>
        <w:pStyle w:val="FiguresandTablesHeading4"/>
      </w:pPr>
      <w:r w:rsidRPr="007F6332">
        <w:rPr>
          <w:rStyle w:val="Heading7Char"/>
          <w:rFonts w:cs="Arial"/>
          <w:b/>
          <w:iCs/>
        </w:rPr>
        <w:lastRenderedPageBreak/>
        <w:t xml:space="preserve">Table 5.30: </w:t>
      </w:r>
      <w:r w:rsidR="00723E93" w:rsidRPr="007F6332">
        <w:rPr>
          <w:rStyle w:val="Heading7Char"/>
          <w:rFonts w:cs="Arial"/>
          <w:b/>
          <w:iCs/>
        </w:rPr>
        <w:t>Average annua</w:t>
      </w:r>
      <w:r w:rsidR="00723E93" w:rsidRPr="007F6332">
        <w:t>l payments ($) by age group and projection year</w:t>
      </w:r>
    </w:p>
    <w:tbl>
      <w:tblPr>
        <w:tblpPr w:leftFromText="180" w:rightFromText="180" w:vertAnchor="text" w:horzAnchor="margin" w:tblpXSpec="center" w:tblpY="220"/>
        <w:tblW w:w="9003" w:type="dxa"/>
        <w:tblLook w:val="04A0" w:firstRow="1" w:lastRow="0" w:firstColumn="1" w:lastColumn="0" w:noHBand="0" w:noVBand="1"/>
      </w:tblPr>
      <w:tblGrid>
        <w:gridCol w:w="2299"/>
        <w:gridCol w:w="1345"/>
        <w:gridCol w:w="1345"/>
        <w:gridCol w:w="1345"/>
        <w:gridCol w:w="1338"/>
        <w:gridCol w:w="1331"/>
      </w:tblGrid>
      <w:tr w:rsidR="00723E93" w:rsidRPr="007F6332" w14:paraId="297A1DE5" w14:textId="77777777" w:rsidTr="0034641E">
        <w:trPr>
          <w:trHeight w:val="429"/>
        </w:trPr>
        <w:tc>
          <w:tcPr>
            <w:tcW w:w="2299" w:type="dxa"/>
            <w:shd w:val="clear" w:color="auto" w:fill="6B2976"/>
            <w:noWrap/>
            <w:vAlign w:val="center"/>
            <w:hideMark/>
          </w:tcPr>
          <w:p w14:paraId="2C71BEF3" w14:textId="77777777" w:rsidR="00723E93" w:rsidRPr="007F6332" w:rsidRDefault="00723E93" w:rsidP="006C2D75">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Age group</w:t>
            </w:r>
          </w:p>
        </w:tc>
        <w:tc>
          <w:tcPr>
            <w:tcW w:w="1345" w:type="dxa"/>
            <w:shd w:val="clear" w:color="auto" w:fill="6B2976"/>
            <w:noWrap/>
            <w:vAlign w:val="center"/>
            <w:hideMark/>
          </w:tcPr>
          <w:p w14:paraId="22B7488C"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345" w:type="dxa"/>
            <w:shd w:val="clear" w:color="auto" w:fill="6B2976"/>
            <w:noWrap/>
            <w:vAlign w:val="center"/>
            <w:hideMark/>
          </w:tcPr>
          <w:p w14:paraId="6C66D549"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345" w:type="dxa"/>
            <w:shd w:val="clear" w:color="auto" w:fill="6B2976"/>
            <w:noWrap/>
            <w:vAlign w:val="center"/>
            <w:hideMark/>
          </w:tcPr>
          <w:p w14:paraId="401134BA"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338" w:type="dxa"/>
            <w:shd w:val="clear" w:color="auto" w:fill="6B2976"/>
            <w:noWrap/>
            <w:vAlign w:val="center"/>
            <w:hideMark/>
          </w:tcPr>
          <w:p w14:paraId="6F2089ED"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331" w:type="dxa"/>
            <w:shd w:val="clear" w:color="auto" w:fill="6B2976"/>
            <w:noWrap/>
            <w:vAlign w:val="center"/>
            <w:hideMark/>
          </w:tcPr>
          <w:p w14:paraId="4E583871" w14:textId="77777777" w:rsidR="00723E93" w:rsidRPr="007F6332" w:rsidRDefault="00723E93" w:rsidP="006C2D75">
            <w:pPr>
              <w:spacing w:after="0" w:line="240" w:lineRule="auto"/>
              <w:jc w:val="center"/>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723E93" w:rsidRPr="007F6332" w14:paraId="2CA83730" w14:textId="77777777" w:rsidTr="0034641E">
        <w:trPr>
          <w:trHeight w:val="397"/>
        </w:trPr>
        <w:tc>
          <w:tcPr>
            <w:tcW w:w="2299" w:type="dxa"/>
            <w:shd w:val="clear" w:color="auto" w:fill="auto"/>
            <w:noWrap/>
            <w:vAlign w:val="center"/>
            <w:hideMark/>
          </w:tcPr>
          <w:p w14:paraId="4CD9A1AC"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Children (0 to 14)</w:t>
            </w:r>
          </w:p>
        </w:tc>
        <w:tc>
          <w:tcPr>
            <w:tcW w:w="1345" w:type="dxa"/>
            <w:shd w:val="clear" w:color="auto" w:fill="auto"/>
            <w:noWrap/>
            <w:vAlign w:val="center"/>
            <w:hideMark/>
          </w:tcPr>
          <w:p w14:paraId="541C2843"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szCs w:val="22"/>
              </w:rPr>
              <w:t>19,700</w:t>
            </w:r>
          </w:p>
        </w:tc>
        <w:tc>
          <w:tcPr>
            <w:tcW w:w="1345" w:type="dxa"/>
            <w:shd w:val="clear" w:color="auto" w:fill="auto"/>
            <w:noWrap/>
            <w:vAlign w:val="center"/>
            <w:hideMark/>
          </w:tcPr>
          <w:p w14:paraId="574177F1"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19,900</w:t>
            </w:r>
          </w:p>
        </w:tc>
        <w:tc>
          <w:tcPr>
            <w:tcW w:w="1345" w:type="dxa"/>
            <w:shd w:val="clear" w:color="auto" w:fill="auto"/>
            <w:noWrap/>
            <w:vAlign w:val="center"/>
            <w:hideMark/>
          </w:tcPr>
          <w:p w14:paraId="05A33E15"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20,400</w:t>
            </w:r>
          </w:p>
        </w:tc>
        <w:tc>
          <w:tcPr>
            <w:tcW w:w="1338" w:type="dxa"/>
            <w:shd w:val="clear" w:color="auto" w:fill="auto"/>
            <w:noWrap/>
            <w:vAlign w:val="center"/>
            <w:hideMark/>
          </w:tcPr>
          <w:p w14:paraId="629163D3"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21,000</w:t>
            </w:r>
          </w:p>
        </w:tc>
        <w:tc>
          <w:tcPr>
            <w:tcW w:w="1331" w:type="dxa"/>
            <w:shd w:val="clear" w:color="auto" w:fill="auto"/>
            <w:noWrap/>
            <w:vAlign w:val="center"/>
            <w:hideMark/>
          </w:tcPr>
          <w:p w14:paraId="7EAF7854"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25,400</w:t>
            </w:r>
          </w:p>
        </w:tc>
      </w:tr>
      <w:tr w:rsidR="00723E93" w:rsidRPr="007F6332" w14:paraId="60121ECF" w14:textId="77777777" w:rsidTr="0034641E">
        <w:trPr>
          <w:trHeight w:val="397"/>
        </w:trPr>
        <w:tc>
          <w:tcPr>
            <w:tcW w:w="2299" w:type="dxa"/>
            <w:shd w:val="clear" w:color="auto" w:fill="A7A9AC"/>
            <w:noWrap/>
            <w:vAlign w:val="center"/>
            <w:hideMark/>
          </w:tcPr>
          <w:p w14:paraId="4C59EBE7"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Young adults (15 to 24)</w:t>
            </w:r>
          </w:p>
        </w:tc>
        <w:tc>
          <w:tcPr>
            <w:tcW w:w="1345" w:type="dxa"/>
            <w:shd w:val="clear" w:color="auto" w:fill="A7A9AC"/>
            <w:noWrap/>
            <w:vAlign w:val="center"/>
            <w:hideMark/>
          </w:tcPr>
          <w:p w14:paraId="30BBD0FD"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57,600</w:t>
            </w:r>
          </w:p>
        </w:tc>
        <w:tc>
          <w:tcPr>
            <w:tcW w:w="1345" w:type="dxa"/>
            <w:shd w:val="clear" w:color="auto" w:fill="A7A9AC"/>
            <w:noWrap/>
            <w:vAlign w:val="center"/>
            <w:hideMark/>
          </w:tcPr>
          <w:p w14:paraId="304D4C1C"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57,700</w:t>
            </w:r>
          </w:p>
        </w:tc>
        <w:tc>
          <w:tcPr>
            <w:tcW w:w="1345" w:type="dxa"/>
            <w:shd w:val="clear" w:color="auto" w:fill="A7A9AC"/>
            <w:noWrap/>
            <w:vAlign w:val="center"/>
            <w:hideMark/>
          </w:tcPr>
          <w:p w14:paraId="206D8B9E"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57,000</w:t>
            </w:r>
          </w:p>
        </w:tc>
        <w:tc>
          <w:tcPr>
            <w:tcW w:w="1338" w:type="dxa"/>
            <w:shd w:val="clear" w:color="auto" w:fill="A7A9AC"/>
            <w:noWrap/>
            <w:vAlign w:val="center"/>
            <w:hideMark/>
          </w:tcPr>
          <w:p w14:paraId="2591DDC7"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56,500</w:t>
            </w:r>
          </w:p>
        </w:tc>
        <w:tc>
          <w:tcPr>
            <w:tcW w:w="1331" w:type="dxa"/>
            <w:shd w:val="clear" w:color="auto" w:fill="A7A9AC"/>
            <w:noWrap/>
            <w:vAlign w:val="center"/>
            <w:hideMark/>
          </w:tcPr>
          <w:p w14:paraId="67F5E9AA"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66,200</w:t>
            </w:r>
          </w:p>
        </w:tc>
      </w:tr>
      <w:tr w:rsidR="00723E93" w:rsidRPr="007F6332" w14:paraId="1DDB47BE" w14:textId="77777777" w:rsidTr="0034641E">
        <w:trPr>
          <w:trHeight w:val="397"/>
        </w:trPr>
        <w:tc>
          <w:tcPr>
            <w:tcW w:w="2299" w:type="dxa"/>
            <w:shd w:val="clear" w:color="auto" w:fill="auto"/>
            <w:noWrap/>
            <w:vAlign w:val="center"/>
            <w:hideMark/>
          </w:tcPr>
          <w:p w14:paraId="3234D54D"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Adults (25 to 64)</w:t>
            </w:r>
          </w:p>
        </w:tc>
        <w:tc>
          <w:tcPr>
            <w:tcW w:w="1345" w:type="dxa"/>
            <w:shd w:val="clear" w:color="auto" w:fill="auto"/>
            <w:noWrap/>
            <w:vAlign w:val="center"/>
            <w:hideMark/>
          </w:tcPr>
          <w:p w14:paraId="2FE7A63E"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112,500</w:t>
            </w:r>
          </w:p>
        </w:tc>
        <w:tc>
          <w:tcPr>
            <w:tcW w:w="1345" w:type="dxa"/>
            <w:shd w:val="clear" w:color="auto" w:fill="auto"/>
            <w:noWrap/>
            <w:vAlign w:val="center"/>
            <w:hideMark/>
          </w:tcPr>
          <w:p w14:paraId="64E165FF"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117,600</w:t>
            </w:r>
          </w:p>
        </w:tc>
        <w:tc>
          <w:tcPr>
            <w:tcW w:w="1345" w:type="dxa"/>
            <w:shd w:val="clear" w:color="auto" w:fill="auto"/>
            <w:noWrap/>
            <w:vAlign w:val="center"/>
            <w:hideMark/>
          </w:tcPr>
          <w:p w14:paraId="3612E0CC"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121,300</w:t>
            </w:r>
          </w:p>
        </w:tc>
        <w:tc>
          <w:tcPr>
            <w:tcW w:w="1338" w:type="dxa"/>
            <w:shd w:val="clear" w:color="auto" w:fill="auto"/>
            <w:noWrap/>
            <w:vAlign w:val="center"/>
            <w:hideMark/>
          </w:tcPr>
          <w:p w14:paraId="0D46C0F0"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124,900</w:t>
            </w:r>
          </w:p>
        </w:tc>
        <w:tc>
          <w:tcPr>
            <w:tcW w:w="1331" w:type="dxa"/>
            <w:shd w:val="clear" w:color="auto" w:fill="auto"/>
            <w:noWrap/>
            <w:vAlign w:val="center"/>
            <w:hideMark/>
          </w:tcPr>
          <w:p w14:paraId="6E646DF5"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151,300</w:t>
            </w:r>
          </w:p>
        </w:tc>
      </w:tr>
      <w:tr w:rsidR="00723E93" w:rsidRPr="007F6332" w14:paraId="5FAB4F8D" w14:textId="77777777" w:rsidTr="0034641E">
        <w:trPr>
          <w:trHeight w:val="397"/>
        </w:trPr>
        <w:tc>
          <w:tcPr>
            <w:tcW w:w="2299" w:type="dxa"/>
            <w:shd w:val="clear" w:color="auto" w:fill="A7A9AC"/>
            <w:noWrap/>
            <w:vAlign w:val="center"/>
            <w:hideMark/>
          </w:tcPr>
          <w:p w14:paraId="005C01B2" w14:textId="77777777" w:rsidR="00723E93" w:rsidRPr="007F6332" w:rsidRDefault="00723E93" w:rsidP="006C2D75">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Older adults (65+)</w:t>
            </w:r>
          </w:p>
        </w:tc>
        <w:tc>
          <w:tcPr>
            <w:tcW w:w="1345" w:type="dxa"/>
            <w:shd w:val="clear" w:color="auto" w:fill="A7A9AC"/>
            <w:noWrap/>
            <w:vAlign w:val="center"/>
            <w:hideMark/>
          </w:tcPr>
          <w:p w14:paraId="64B9A995"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122,300</w:t>
            </w:r>
          </w:p>
        </w:tc>
        <w:tc>
          <w:tcPr>
            <w:tcW w:w="1345" w:type="dxa"/>
            <w:shd w:val="clear" w:color="auto" w:fill="A7A9AC"/>
            <w:noWrap/>
            <w:vAlign w:val="center"/>
            <w:hideMark/>
          </w:tcPr>
          <w:p w14:paraId="41ABA181"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131,600</w:t>
            </w:r>
          </w:p>
        </w:tc>
        <w:tc>
          <w:tcPr>
            <w:tcW w:w="1345" w:type="dxa"/>
            <w:shd w:val="clear" w:color="auto" w:fill="A7A9AC"/>
            <w:noWrap/>
            <w:vAlign w:val="center"/>
            <w:hideMark/>
          </w:tcPr>
          <w:p w14:paraId="705FBB0F"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138,300</w:t>
            </w:r>
          </w:p>
        </w:tc>
        <w:tc>
          <w:tcPr>
            <w:tcW w:w="1338" w:type="dxa"/>
            <w:shd w:val="clear" w:color="auto" w:fill="A7A9AC"/>
            <w:noWrap/>
            <w:vAlign w:val="center"/>
            <w:hideMark/>
          </w:tcPr>
          <w:p w14:paraId="23982F8D"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144,400</w:t>
            </w:r>
          </w:p>
        </w:tc>
        <w:tc>
          <w:tcPr>
            <w:tcW w:w="1331" w:type="dxa"/>
            <w:shd w:val="clear" w:color="auto" w:fill="A7A9AC"/>
            <w:noWrap/>
            <w:vAlign w:val="center"/>
            <w:hideMark/>
          </w:tcPr>
          <w:p w14:paraId="20650CDD" w14:textId="77777777" w:rsidR="00723E93" w:rsidRPr="007F6332" w:rsidRDefault="00723E93" w:rsidP="006C2D75">
            <w:pPr>
              <w:spacing w:after="0" w:line="240" w:lineRule="auto"/>
              <w:jc w:val="center"/>
              <w:rPr>
                <w:rFonts w:eastAsia="Times New Roman" w:cs="Arial"/>
                <w:color w:val="000000"/>
                <w:szCs w:val="22"/>
                <w:lang w:eastAsia="en-AU"/>
              </w:rPr>
            </w:pPr>
            <w:r w:rsidRPr="007F6332">
              <w:rPr>
                <w:rFonts w:cs="Arial"/>
                <w:color w:val="000000"/>
                <w:szCs w:val="22"/>
              </w:rPr>
              <w:t>188,600</w:t>
            </w:r>
          </w:p>
        </w:tc>
      </w:tr>
      <w:tr w:rsidR="00723E93" w:rsidRPr="007F6332" w14:paraId="5F37BFB8" w14:textId="77777777" w:rsidTr="0034641E">
        <w:trPr>
          <w:trHeight w:val="397"/>
        </w:trPr>
        <w:tc>
          <w:tcPr>
            <w:tcW w:w="2299" w:type="dxa"/>
            <w:tcBorders>
              <w:bottom w:val="single" w:sz="4" w:space="0" w:color="auto"/>
            </w:tcBorders>
            <w:shd w:val="clear" w:color="auto" w:fill="B398B8"/>
            <w:noWrap/>
            <w:vAlign w:val="center"/>
            <w:hideMark/>
          </w:tcPr>
          <w:p w14:paraId="4A17C92F" w14:textId="77777777" w:rsidR="00723E93" w:rsidRPr="007F6332" w:rsidRDefault="00723E93" w:rsidP="006C2D75">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1345" w:type="dxa"/>
            <w:tcBorders>
              <w:bottom w:val="single" w:sz="4" w:space="0" w:color="auto"/>
            </w:tcBorders>
            <w:shd w:val="clear" w:color="auto" w:fill="B398B8"/>
            <w:noWrap/>
            <w:vAlign w:val="center"/>
            <w:hideMark/>
          </w:tcPr>
          <w:p w14:paraId="0D8DFEAC"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64,000</w:t>
            </w:r>
          </w:p>
        </w:tc>
        <w:tc>
          <w:tcPr>
            <w:tcW w:w="1345" w:type="dxa"/>
            <w:tcBorders>
              <w:bottom w:val="single" w:sz="4" w:space="0" w:color="auto"/>
            </w:tcBorders>
            <w:shd w:val="clear" w:color="auto" w:fill="B398B8"/>
            <w:noWrap/>
            <w:vAlign w:val="center"/>
            <w:hideMark/>
          </w:tcPr>
          <w:p w14:paraId="1B6FC3DC"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66,300</w:t>
            </w:r>
          </w:p>
        </w:tc>
        <w:tc>
          <w:tcPr>
            <w:tcW w:w="1345" w:type="dxa"/>
            <w:tcBorders>
              <w:bottom w:val="single" w:sz="4" w:space="0" w:color="auto"/>
            </w:tcBorders>
            <w:shd w:val="clear" w:color="auto" w:fill="B398B8"/>
            <w:noWrap/>
            <w:vAlign w:val="center"/>
            <w:hideMark/>
          </w:tcPr>
          <w:p w14:paraId="29B98B51"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68,400</w:t>
            </w:r>
          </w:p>
        </w:tc>
        <w:tc>
          <w:tcPr>
            <w:tcW w:w="1338" w:type="dxa"/>
            <w:tcBorders>
              <w:bottom w:val="single" w:sz="4" w:space="0" w:color="auto"/>
            </w:tcBorders>
            <w:shd w:val="clear" w:color="auto" w:fill="B398B8"/>
            <w:noWrap/>
            <w:vAlign w:val="center"/>
            <w:hideMark/>
          </w:tcPr>
          <w:p w14:paraId="4E226556"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70,600</w:t>
            </w:r>
          </w:p>
        </w:tc>
        <w:tc>
          <w:tcPr>
            <w:tcW w:w="1331" w:type="dxa"/>
            <w:tcBorders>
              <w:bottom w:val="single" w:sz="4" w:space="0" w:color="auto"/>
            </w:tcBorders>
            <w:shd w:val="clear" w:color="auto" w:fill="B398B8"/>
            <w:noWrap/>
            <w:vAlign w:val="center"/>
            <w:hideMark/>
          </w:tcPr>
          <w:p w14:paraId="189675F4" w14:textId="77777777" w:rsidR="00723E93" w:rsidRPr="007F6332" w:rsidRDefault="00723E93" w:rsidP="006C2D75">
            <w:pPr>
              <w:spacing w:after="0" w:line="240" w:lineRule="auto"/>
              <w:jc w:val="center"/>
              <w:rPr>
                <w:rFonts w:eastAsia="Times New Roman" w:cs="Arial"/>
                <w:b/>
                <w:bCs/>
                <w:color w:val="000000"/>
                <w:szCs w:val="22"/>
                <w:lang w:eastAsia="en-AU"/>
              </w:rPr>
            </w:pPr>
            <w:r w:rsidRPr="007F6332">
              <w:rPr>
                <w:rFonts w:cs="Arial"/>
                <w:b/>
                <w:color w:val="000000"/>
                <w:szCs w:val="22"/>
              </w:rPr>
              <w:t>90,400</w:t>
            </w:r>
          </w:p>
        </w:tc>
      </w:tr>
    </w:tbl>
    <w:p w14:paraId="087629FF" w14:textId="1D3B08B6" w:rsidR="00976BCD" w:rsidRPr="007F6332" w:rsidRDefault="00950565" w:rsidP="00950565">
      <w:pPr>
        <w:spacing w:before="120"/>
        <w:rPr>
          <w:rFonts w:cs="Arial"/>
        </w:rPr>
      </w:pPr>
      <w:r w:rsidRPr="007F6332">
        <w:rPr>
          <w:rFonts w:cs="Arial"/>
        </w:rPr>
        <w:t xml:space="preserve">Table 5.31 </w:t>
      </w:r>
      <w:r w:rsidR="00976BCD" w:rsidRPr="007F6332">
        <w:rPr>
          <w:rFonts w:cs="Arial"/>
        </w:rPr>
        <w:t>displays the projected average annual payments for 2026-27, after inflation, by disability group and age band. The expected average annual payment amount for all Scheme participants in 2026-27 is about $70,600. Children have lower average annualised payments than adults and participants with intellectual disability and other neurological have the largest average payments. Participants with autism and developmental delay have the lowest average payments across all ages.</w:t>
      </w:r>
    </w:p>
    <w:p w14:paraId="72B19B7D" w14:textId="0BF28564" w:rsidR="00723E93" w:rsidRPr="007F6332" w:rsidRDefault="00950565" w:rsidP="00945CBF">
      <w:pPr>
        <w:pStyle w:val="FiguresandTablesHeading4"/>
        <w:rPr>
          <w:rStyle w:val="Heading7Char"/>
          <w:rFonts w:cs="Arial"/>
        </w:rPr>
      </w:pPr>
      <w:r w:rsidRPr="007F6332">
        <w:rPr>
          <w:rStyle w:val="Heading7Char"/>
          <w:rFonts w:cs="Arial"/>
          <w:b/>
          <w:iCs/>
        </w:rPr>
        <w:t>Table 5.31:</w:t>
      </w:r>
      <w:r w:rsidR="00723E93" w:rsidRPr="007F6332">
        <w:rPr>
          <w:rStyle w:val="Heading7Char"/>
          <w:rFonts w:cs="Arial"/>
          <w:b/>
          <w:iCs/>
        </w:rPr>
        <w:t xml:space="preserve"> Average annual payments ($) by age band and disability group in 2026-27 </w:t>
      </w:r>
      <w:bookmarkStart w:id="188" w:name="_Ref144923030"/>
      <w:r w:rsidR="00853D47" w:rsidRPr="007F6332">
        <w:rPr>
          <w:rStyle w:val="Heading7Char"/>
          <w:rFonts w:cs="Arial"/>
          <w:b/>
          <w:iCs/>
        </w:rPr>
        <w:t>after inflation</w:t>
      </w:r>
      <w:r w:rsidR="00853D47" w:rsidRPr="007F6332">
        <w:rPr>
          <w:rStyle w:val="Heading7Char"/>
          <w:rFonts w:cs="Arial"/>
          <w:vertAlign w:val="superscript"/>
        </w:rPr>
        <w:t xml:space="preserve"> </w:t>
      </w:r>
      <w:bookmarkEnd w:id="188"/>
      <w:r w:rsidR="00853D47" w:rsidRPr="007F6332">
        <w:rPr>
          <w:rStyle w:val="Heading7Char"/>
          <w:rFonts w:cs="Arial"/>
          <w:vertAlign w:val="superscript"/>
        </w:rPr>
        <w:footnoteReference w:id="103"/>
      </w:r>
    </w:p>
    <w:tbl>
      <w:tblPr>
        <w:tblW w:w="8931" w:type="dxa"/>
        <w:tblLook w:val="04A0" w:firstRow="1" w:lastRow="0" w:firstColumn="1" w:lastColumn="0" w:noHBand="0" w:noVBand="1"/>
      </w:tblPr>
      <w:tblGrid>
        <w:gridCol w:w="2893"/>
        <w:gridCol w:w="1168"/>
        <w:gridCol w:w="1168"/>
        <w:gridCol w:w="1168"/>
        <w:gridCol w:w="1168"/>
        <w:gridCol w:w="1366"/>
      </w:tblGrid>
      <w:tr w:rsidR="00723E93" w:rsidRPr="007F6332" w14:paraId="35C094F4" w14:textId="77777777" w:rsidTr="0034641E">
        <w:trPr>
          <w:trHeight w:val="427"/>
        </w:trPr>
        <w:tc>
          <w:tcPr>
            <w:tcW w:w="2893" w:type="dxa"/>
            <w:tcBorders>
              <w:top w:val="single" w:sz="4" w:space="0" w:color="auto"/>
              <w:left w:val="nil"/>
              <w:bottom w:val="nil"/>
              <w:right w:val="nil"/>
            </w:tcBorders>
            <w:shd w:val="clear" w:color="000000" w:fill="6B2976"/>
            <w:noWrap/>
            <w:vAlign w:val="center"/>
            <w:hideMark/>
          </w:tcPr>
          <w:p w14:paraId="22A71268" w14:textId="77777777" w:rsidR="00723E93" w:rsidRPr="007F6332" w:rsidRDefault="00723E93"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Disability Group</w:t>
            </w:r>
          </w:p>
        </w:tc>
        <w:tc>
          <w:tcPr>
            <w:tcW w:w="1168" w:type="dxa"/>
            <w:tcBorders>
              <w:top w:val="single" w:sz="4" w:space="0" w:color="auto"/>
              <w:left w:val="nil"/>
              <w:bottom w:val="nil"/>
              <w:right w:val="nil"/>
            </w:tcBorders>
            <w:shd w:val="clear" w:color="000000" w:fill="6B2976"/>
            <w:noWrap/>
            <w:vAlign w:val="center"/>
            <w:hideMark/>
          </w:tcPr>
          <w:p w14:paraId="7E79ED54"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0 to 14</w:t>
            </w:r>
          </w:p>
        </w:tc>
        <w:tc>
          <w:tcPr>
            <w:tcW w:w="1168" w:type="dxa"/>
            <w:tcBorders>
              <w:top w:val="single" w:sz="4" w:space="0" w:color="auto"/>
              <w:left w:val="nil"/>
              <w:bottom w:val="nil"/>
              <w:right w:val="nil"/>
            </w:tcBorders>
            <w:shd w:val="clear" w:color="000000" w:fill="6B2976"/>
            <w:noWrap/>
            <w:vAlign w:val="center"/>
            <w:hideMark/>
          </w:tcPr>
          <w:p w14:paraId="2692AFA5"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15 to 24</w:t>
            </w:r>
          </w:p>
        </w:tc>
        <w:tc>
          <w:tcPr>
            <w:tcW w:w="1168" w:type="dxa"/>
            <w:tcBorders>
              <w:top w:val="single" w:sz="4" w:space="0" w:color="auto"/>
              <w:left w:val="nil"/>
              <w:bottom w:val="nil"/>
              <w:right w:val="nil"/>
            </w:tcBorders>
            <w:shd w:val="clear" w:color="000000" w:fill="6B2976"/>
            <w:noWrap/>
            <w:vAlign w:val="center"/>
            <w:hideMark/>
          </w:tcPr>
          <w:p w14:paraId="646917CB"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25 to 64</w:t>
            </w:r>
          </w:p>
        </w:tc>
        <w:tc>
          <w:tcPr>
            <w:tcW w:w="1168" w:type="dxa"/>
            <w:tcBorders>
              <w:top w:val="single" w:sz="4" w:space="0" w:color="auto"/>
              <w:left w:val="nil"/>
              <w:bottom w:val="nil"/>
              <w:right w:val="nil"/>
            </w:tcBorders>
            <w:shd w:val="clear" w:color="000000" w:fill="6B2976"/>
            <w:noWrap/>
            <w:vAlign w:val="center"/>
            <w:hideMark/>
          </w:tcPr>
          <w:p w14:paraId="2EC2B232"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65+</w:t>
            </w:r>
          </w:p>
        </w:tc>
        <w:tc>
          <w:tcPr>
            <w:tcW w:w="1366" w:type="dxa"/>
            <w:tcBorders>
              <w:top w:val="single" w:sz="4" w:space="0" w:color="auto"/>
              <w:left w:val="nil"/>
              <w:bottom w:val="nil"/>
              <w:right w:val="nil"/>
            </w:tcBorders>
            <w:shd w:val="clear" w:color="000000" w:fill="6B2976"/>
            <w:noWrap/>
            <w:vAlign w:val="center"/>
            <w:hideMark/>
          </w:tcPr>
          <w:p w14:paraId="7E3AEDC5"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Total</w:t>
            </w:r>
          </w:p>
        </w:tc>
      </w:tr>
      <w:tr w:rsidR="00723E93" w:rsidRPr="007F6332" w14:paraId="3A3681CA" w14:textId="77777777" w:rsidTr="0034641E">
        <w:trPr>
          <w:trHeight w:val="397"/>
        </w:trPr>
        <w:tc>
          <w:tcPr>
            <w:tcW w:w="2893" w:type="dxa"/>
            <w:tcBorders>
              <w:top w:val="nil"/>
              <w:left w:val="nil"/>
              <w:bottom w:val="nil"/>
              <w:right w:val="nil"/>
            </w:tcBorders>
            <w:shd w:val="clear" w:color="auto" w:fill="auto"/>
            <w:noWrap/>
            <w:vAlign w:val="center"/>
            <w:hideMark/>
          </w:tcPr>
          <w:p w14:paraId="381F2E2E"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Autism</w:t>
            </w:r>
          </w:p>
        </w:tc>
        <w:tc>
          <w:tcPr>
            <w:tcW w:w="1168" w:type="dxa"/>
            <w:tcBorders>
              <w:top w:val="nil"/>
              <w:left w:val="nil"/>
              <w:bottom w:val="nil"/>
              <w:right w:val="nil"/>
            </w:tcBorders>
            <w:shd w:val="clear" w:color="auto" w:fill="auto"/>
            <w:noWrap/>
            <w:vAlign w:val="center"/>
            <w:hideMark/>
          </w:tcPr>
          <w:p w14:paraId="1F3B76E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22,100</w:t>
            </w:r>
          </w:p>
        </w:tc>
        <w:tc>
          <w:tcPr>
            <w:tcW w:w="1168" w:type="dxa"/>
            <w:tcBorders>
              <w:top w:val="nil"/>
              <w:left w:val="nil"/>
              <w:bottom w:val="nil"/>
              <w:right w:val="nil"/>
            </w:tcBorders>
            <w:shd w:val="clear" w:color="auto" w:fill="auto"/>
            <w:noWrap/>
            <w:vAlign w:val="center"/>
            <w:hideMark/>
          </w:tcPr>
          <w:p w14:paraId="474C32E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47,100</w:t>
            </w:r>
          </w:p>
        </w:tc>
        <w:tc>
          <w:tcPr>
            <w:tcW w:w="1168" w:type="dxa"/>
            <w:tcBorders>
              <w:top w:val="nil"/>
              <w:left w:val="nil"/>
              <w:bottom w:val="nil"/>
              <w:right w:val="nil"/>
            </w:tcBorders>
            <w:shd w:val="clear" w:color="auto" w:fill="auto"/>
            <w:noWrap/>
            <w:vAlign w:val="center"/>
            <w:hideMark/>
          </w:tcPr>
          <w:p w14:paraId="5148FB3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101,000</w:t>
            </w:r>
          </w:p>
        </w:tc>
        <w:tc>
          <w:tcPr>
            <w:tcW w:w="1168" w:type="dxa"/>
            <w:tcBorders>
              <w:top w:val="nil"/>
              <w:left w:val="nil"/>
              <w:bottom w:val="nil"/>
              <w:right w:val="nil"/>
            </w:tcBorders>
            <w:shd w:val="clear" w:color="auto" w:fill="auto"/>
            <w:noWrap/>
            <w:vAlign w:val="center"/>
            <w:hideMark/>
          </w:tcPr>
          <w:p w14:paraId="77D960A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177,200</w:t>
            </w:r>
          </w:p>
        </w:tc>
        <w:tc>
          <w:tcPr>
            <w:tcW w:w="1366" w:type="dxa"/>
            <w:tcBorders>
              <w:top w:val="nil"/>
              <w:left w:val="nil"/>
              <w:bottom w:val="nil"/>
              <w:right w:val="nil"/>
            </w:tcBorders>
            <w:shd w:val="clear" w:color="auto" w:fill="auto"/>
            <w:noWrap/>
            <w:vAlign w:val="center"/>
            <w:hideMark/>
          </w:tcPr>
          <w:p w14:paraId="695D453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41,000</w:t>
            </w:r>
          </w:p>
        </w:tc>
      </w:tr>
      <w:tr w:rsidR="00723E93" w:rsidRPr="007F6332" w14:paraId="00D4FE58" w14:textId="77777777" w:rsidTr="0034641E">
        <w:trPr>
          <w:trHeight w:val="397"/>
        </w:trPr>
        <w:tc>
          <w:tcPr>
            <w:tcW w:w="2893" w:type="dxa"/>
            <w:tcBorders>
              <w:top w:val="nil"/>
              <w:left w:val="nil"/>
              <w:bottom w:val="nil"/>
              <w:right w:val="nil"/>
            </w:tcBorders>
            <w:shd w:val="clear" w:color="000000" w:fill="A7A9AC"/>
            <w:noWrap/>
            <w:vAlign w:val="center"/>
            <w:hideMark/>
          </w:tcPr>
          <w:p w14:paraId="581DFE8B"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Intellectual Disability</w:t>
            </w:r>
          </w:p>
        </w:tc>
        <w:tc>
          <w:tcPr>
            <w:tcW w:w="1168" w:type="dxa"/>
            <w:tcBorders>
              <w:top w:val="nil"/>
              <w:left w:val="nil"/>
              <w:bottom w:val="nil"/>
              <w:right w:val="nil"/>
            </w:tcBorders>
            <w:shd w:val="clear" w:color="000000" w:fill="A7A9AC"/>
            <w:noWrap/>
            <w:vAlign w:val="center"/>
            <w:hideMark/>
          </w:tcPr>
          <w:p w14:paraId="11BB045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34,600</w:t>
            </w:r>
          </w:p>
        </w:tc>
        <w:tc>
          <w:tcPr>
            <w:tcW w:w="1168" w:type="dxa"/>
            <w:tcBorders>
              <w:top w:val="nil"/>
              <w:left w:val="nil"/>
              <w:bottom w:val="nil"/>
              <w:right w:val="nil"/>
            </w:tcBorders>
            <w:shd w:val="clear" w:color="000000" w:fill="A7A9AC"/>
            <w:noWrap/>
            <w:vAlign w:val="center"/>
            <w:hideMark/>
          </w:tcPr>
          <w:p w14:paraId="4EA37D3D"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83,500</w:t>
            </w:r>
          </w:p>
        </w:tc>
        <w:tc>
          <w:tcPr>
            <w:tcW w:w="1168" w:type="dxa"/>
            <w:tcBorders>
              <w:top w:val="nil"/>
              <w:left w:val="nil"/>
              <w:bottom w:val="nil"/>
              <w:right w:val="nil"/>
            </w:tcBorders>
            <w:shd w:val="clear" w:color="000000" w:fill="A7A9AC"/>
            <w:noWrap/>
            <w:vAlign w:val="center"/>
            <w:hideMark/>
          </w:tcPr>
          <w:p w14:paraId="710866F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164,400</w:t>
            </w:r>
          </w:p>
        </w:tc>
        <w:tc>
          <w:tcPr>
            <w:tcW w:w="1168" w:type="dxa"/>
            <w:tcBorders>
              <w:top w:val="nil"/>
              <w:left w:val="nil"/>
              <w:bottom w:val="nil"/>
              <w:right w:val="nil"/>
            </w:tcBorders>
            <w:shd w:val="clear" w:color="000000" w:fill="A7A9AC"/>
            <w:noWrap/>
            <w:vAlign w:val="center"/>
            <w:hideMark/>
          </w:tcPr>
          <w:p w14:paraId="6A643CAB"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235,600</w:t>
            </w:r>
          </w:p>
        </w:tc>
        <w:tc>
          <w:tcPr>
            <w:tcW w:w="1366" w:type="dxa"/>
            <w:tcBorders>
              <w:top w:val="nil"/>
              <w:left w:val="nil"/>
              <w:bottom w:val="nil"/>
              <w:right w:val="nil"/>
            </w:tcBorders>
            <w:shd w:val="clear" w:color="000000" w:fill="A7A9AC"/>
            <w:noWrap/>
            <w:vAlign w:val="center"/>
            <w:hideMark/>
          </w:tcPr>
          <w:p w14:paraId="22786C07"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121,300</w:t>
            </w:r>
          </w:p>
        </w:tc>
      </w:tr>
      <w:tr w:rsidR="00723E93" w:rsidRPr="007F6332" w14:paraId="5DA34453" w14:textId="77777777" w:rsidTr="0034641E">
        <w:trPr>
          <w:trHeight w:val="397"/>
        </w:trPr>
        <w:tc>
          <w:tcPr>
            <w:tcW w:w="2893" w:type="dxa"/>
            <w:tcBorders>
              <w:top w:val="nil"/>
              <w:left w:val="nil"/>
              <w:bottom w:val="nil"/>
              <w:right w:val="nil"/>
            </w:tcBorders>
            <w:shd w:val="clear" w:color="auto" w:fill="auto"/>
            <w:noWrap/>
            <w:vAlign w:val="center"/>
            <w:hideMark/>
          </w:tcPr>
          <w:p w14:paraId="062E397C"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Psychosocial Disability</w:t>
            </w:r>
          </w:p>
        </w:tc>
        <w:tc>
          <w:tcPr>
            <w:tcW w:w="1168" w:type="dxa"/>
            <w:tcBorders>
              <w:top w:val="nil"/>
              <w:left w:val="nil"/>
              <w:bottom w:val="nil"/>
              <w:right w:val="nil"/>
            </w:tcBorders>
            <w:shd w:val="clear" w:color="auto" w:fill="auto"/>
            <w:noWrap/>
            <w:vAlign w:val="center"/>
            <w:hideMark/>
          </w:tcPr>
          <w:p w14:paraId="365FF06A"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35,400</w:t>
            </w:r>
          </w:p>
        </w:tc>
        <w:tc>
          <w:tcPr>
            <w:tcW w:w="1168" w:type="dxa"/>
            <w:tcBorders>
              <w:top w:val="nil"/>
              <w:left w:val="nil"/>
              <w:bottom w:val="nil"/>
              <w:right w:val="nil"/>
            </w:tcBorders>
            <w:shd w:val="clear" w:color="auto" w:fill="auto"/>
            <w:noWrap/>
            <w:vAlign w:val="center"/>
            <w:hideMark/>
          </w:tcPr>
          <w:p w14:paraId="1996D17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89,400</w:t>
            </w:r>
          </w:p>
        </w:tc>
        <w:tc>
          <w:tcPr>
            <w:tcW w:w="1168" w:type="dxa"/>
            <w:tcBorders>
              <w:top w:val="nil"/>
              <w:left w:val="nil"/>
              <w:bottom w:val="nil"/>
              <w:right w:val="nil"/>
            </w:tcBorders>
            <w:shd w:val="clear" w:color="auto" w:fill="auto"/>
            <w:noWrap/>
            <w:vAlign w:val="center"/>
            <w:hideMark/>
          </w:tcPr>
          <w:p w14:paraId="49EF346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90,800</w:t>
            </w:r>
          </w:p>
        </w:tc>
        <w:tc>
          <w:tcPr>
            <w:tcW w:w="1168" w:type="dxa"/>
            <w:tcBorders>
              <w:top w:val="nil"/>
              <w:left w:val="nil"/>
              <w:bottom w:val="nil"/>
              <w:right w:val="nil"/>
            </w:tcBorders>
            <w:shd w:val="clear" w:color="auto" w:fill="auto"/>
            <w:noWrap/>
            <w:vAlign w:val="center"/>
            <w:hideMark/>
          </w:tcPr>
          <w:p w14:paraId="78BA094A"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100,400</w:t>
            </w:r>
          </w:p>
        </w:tc>
        <w:tc>
          <w:tcPr>
            <w:tcW w:w="1366" w:type="dxa"/>
            <w:tcBorders>
              <w:top w:val="nil"/>
              <w:left w:val="nil"/>
              <w:bottom w:val="nil"/>
              <w:right w:val="nil"/>
            </w:tcBorders>
            <w:shd w:val="clear" w:color="auto" w:fill="auto"/>
            <w:noWrap/>
            <w:vAlign w:val="center"/>
            <w:hideMark/>
          </w:tcPr>
          <w:p w14:paraId="14034CBA"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91,900</w:t>
            </w:r>
          </w:p>
        </w:tc>
      </w:tr>
      <w:tr w:rsidR="00723E93" w:rsidRPr="007F6332" w14:paraId="3A7411CE" w14:textId="77777777" w:rsidTr="0034641E">
        <w:trPr>
          <w:trHeight w:val="397"/>
        </w:trPr>
        <w:tc>
          <w:tcPr>
            <w:tcW w:w="2893" w:type="dxa"/>
            <w:tcBorders>
              <w:top w:val="nil"/>
              <w:left w:val="nil"/>
              <w:bottom w:val="nil"/>
              <w:right w:val="nil"/>
            </w:tcBorders>
            <w:shd w:val="clear" w:color="000000" w:fill="A7A9AC"/>
            <w:noWrap/>
            <w:vAlign w:val="center"/>
            <w:hideMark/>
          </w:tcPr>
          <w:p w14:paraId="5B810C4D" w14:textId="77777777" w:rsidR="00723E93" w:rsidRPr="007F6332" w:rsidRDefault="00723E93" w:rsidP="00651A1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Developmental Delay</w:t>
            </w:r>
          </w:p>
        </w:tc>
        <w:tc>
          <w:tcPr>
            <w:tcW w:w="1168" w:type="dxa"/>
            <w:tcBorders>
              <w:top w:val="nil"/>
              <w:left w:val="nil"/>
              <w:bottom w:val="nil"/>
              <w:right w:val="nil"/>
            </w:tcBorders>
            <w:shd w:val="clear" w:color="000000" w:fill="A7A9AC"/>
            <w:noWrap/>
            <w:vAlign w:val="center"/>
            <w:hideMark/>
          </w:tcPr>
          <w:p w14:paraId="00C1D24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12,700</w:t>
            </w:r>
          </w:p>
        </w:tc>
        <w:tc>
          <w:tcPr>
            <w:tcW w:w="1168" w:type="dxa"/>
            <w:tcBorders>
              <w:top w:val="nil"/>
              <w:left w:val="nil"/>
              <w:bottom w:val="nil"/>
              <w:right w:val="nil"/>
            </w:tcBorders>
            <w:shd w:val="clear" w:color="000000" w:fill="A7A9AC"/>
            <w:noWrap/>
            <w:vAlign w:val="center"/>
            <w:hideMark/>
          </w:tcPr>
          <w:p w14:paraId="26AB806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11,500</w:t>
            </w:r>
          </w:p>
        </w:tc>
        <w:tc>
          <w:tcPr>
            <w:tcW w:w="1168" w:type="dxa"/>
            <w:tcBorders>
              <w:top w:val="nil"/>
              <w:left w:val="nil"/>
              <w:bottom w:val="nil"/>
              <w:right w:val="nil"/>
            </w:tcBorders>
            <w:shd w:val="clear" w:color="000000" w:fill="A7A9AC"/>
            <w:noWrap/>
            <w:vAlign w:val="center"/>
            <w:hideMark/>
          </w:tcPr>
          <w:p w14:paraId="1C6A784B"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8,800</w:t>
            </w:r>
          </w:p>
        </w:tc>
        <w:tc>
          <w:tcPr>
            <w:tcW w:w="1168" w:type="dxa"/>
            <w:tcBorders>
              <w:top w:val="nil"/>
              <w:left w:val="nil"/>
              <w:bottom w:val="nil"/>
              <w:right w:val="nil"/>
            </w:tcBorders>
            <w:shd w:val="clear" w:color="000000" w:fill="A7A9AC"/>
            <w:noWrap/>
            <w:vAlign w:val="center"/>
            <w:hideMark/>
          </w:tcPr>
          <w:p w14:paraId="3B95980C" w14:textId="68714DDD" w:rsidR="00723E93" w:rsidRPr="007F6332" w:rsidRDefault="007D5444"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w:t>
            </w:r>
          </w:p>
        </w:tc>
        <w:tc>
          <w:tcPr>
            <w:tcW w:w="1366" w:type="dxa"/>
            <w:tcBorders>
              <w:top w:val="nil"/>
              <w:left w:val="nil"/>
              <w:bottom w:val="nil"/>
              <w:right w:val="nil"/>
            </w:tcBorders>
            <w:shd w:val="clear" w:color="000000" w:fill="A7A9AC"/>
            <w:noWrap/>
            <w:vAlign w:val="center"/>
            <w:hideMark/>
          </w:tcPr>
          <w:p w14:paraId="74F6C86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12,700</w:t>
            </w:r>
          </w:p>
        </w:tc>
      </w:tr>
      <w:tr w:rsidR="00723E93" w:rsidRPr="007F6332" w14:paraId="6BC91CFF" w14:textId="77777777" w:rsidTr="0034641E">
        <w:trPr>
          <w:trHeight w:val="397"/>
        </w:trPr>
        <w:tc>
          <w:tcPr>
            <w:tcW w:w="2893" w:type="dxa"/>
            <w:tcBorders>
              <w:top w:val="nil"/>
              <w:left w:val="nil"/>
              <w:bottom w:val="nil"/>
              <w:right w:val="nil"/>
            </w:tcBorders>
            <w:shd w:val="clear" w:color="auto" w:fill="auto"/>
            <w:noWrap/>
            <w:vAlign w:val="center"/>
            <w:hideMark/>
          </w:tcPr>
          <w:p w14:paraId="11DBF0C4"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Other Neurological</w:t>
            </w:r>
          </w:p>
        </w:tc>
        <w:tc>
          <w:tcPr>
            <w:tcW w:w="1168" w:type="dxa"/>
            <w:tcBorders>
              <w:top w:val="nil"/>
              <w:left w:val="nil"/>
              <w:bottom w:val="nil"/>
              <w:right w:val="nil"/>
            </w:tcBorders>
            <w:shd w:val="clear" w:color="auto" w:fill="auto"/>
            <w:noWrap/>
            <w:vAlign w:val="center"/>
            <w:hideMark/>
          </w:tcPr>
          <w:p w14:paraId="3DB05C6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61,000</w:t>
            </w:r>
          </w:p>
        </w:tc>
        <w:tc>
          <w:tcPr>
            <w:tcW w:w="1168" w:type="dxa"/>
            <w:tcBorders>
              <w:top w:val="nil"/>
              <w:left w:val="nil"/>
              <w:bottom w:val="nil"/>
              <w:right w:val="nil"/>
            </w:tcBorders>
            <w:shd w:val="clear" w:color="auto" w:fill="auto"/>
            <w:noWrap/>
            <w:vAlign w:val="center"/>
            <w:hideMark/>
          </w:tcPr>
          <w:p w14:paraId="31D4D28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120,800</w:t>
            </w:r>
          </w:p>
        </w:tc>
        <w:tc>
          <w:tcPr>
            <w:tcW w:w="1168" w:type="dxa"/>
            <w:tcBorders>
              <w:top w:val="nil"/>
              <w:left w:val="nil"/>
              <w:bottom w:val="nil"/>
              <w:right w:val="nil"/>
            </w:tcBorders>
            <w:shd w:val="clear" w:color="auto" w:fill="auto"/>
            <w:noWrap/>
            <w:vAlign w:val="center"/>
            <w:hideMark/>
          </w:tcPr>
          <w:p w14:paraId="4C9D3DFD"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169,200</w:t>
            </w:r>
          </w:p>
        </w:tc>
        <w:tc>
          <w:tcPr>
            <w:tcW w:w="1168" w:type="dxa"/>
            <w:tcBorders>
              <w:top w:val="nil"/>
              <w:left w:val="nil"/>
              <w:bottom w:val="nil"/>
              <w:right w:val="nil"/>
            </w:tcBorders>
            <w:shd w:val="clear" w:color="auto" w:fill="auto"/>
            <w:noWrap/>
            <w:vAlign w:val="center"/>
            <w:hideMark/>
          </w:tcPr>
          <w:p w14:paraId="475FEE8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160,700</w:t>
            </w:r>
          </w:p>
        </w:tc>
        <w:tc>
          <w:tcPr>
            <w:tcW w:w="1366" w:type="dxa"/>
            <w:tcBorders>
              <w:top w:val="nil"/>
              <w:left w:val="nil"/>
              <w:bottom w:val="nil"/>
              <w:right w:val="nil"/>
            </w:tcBorders>
            <w:shd w:val="clear" w:color="auto" w:fill="auto"/>
            <w:noWrap/>
            <w:vAlign w:val="center"/>
            <w:hideMark/>
          </w:tcPr>
          <w:p w14:paraId="464F505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154,200</w:t>
            </w:r>
          </w:p>
        </w:tc>
      </w:tr>
      <w:tr w:rsidR="00723E93" w:rsidRPr="007F6332" w14:paraId="556219E9" w14:textId="77777777" w:rsidTr="0034641E">
        <w:trPr>
          <w:trHeight w:val="397"/>
        </w:trPr>
        <w:tc>
          <w:tcPr>
            <w:tcW w:w="2893" w:type="dxa"/>
            <w:tcBorders>
              <w:top w:val="nil"/>
              <w:left w:val="nil"/>
              <w:right w:val="nil"/>
            </w:tcBorders>
            <w:shd w:val="clear" w:color="000000" w:fill="A7A9AC"/>
            <w:noWrap/>
            <w:vAlign w:val="center"/>
            <w:hideMark/>
          </w:tcPr>
          <w:p w14:paraId="1D6A6038"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Other</w:t>
            </w:r>
          </w:p>
        </w:tc>
        <w:tc>
          <w:tcPr>
            <w:tcW w:w="1168" w:type="dxa"/>
            <w:tcBorders>
              <w:top w:val="nil"/>
              <w:left w:val="nil"/>
              <w:right w:val="nil"/>
            </w:tcBorders>
            <w:shd w:val="clear" w:color="000000" w:fill="A7A9AC"/>
            <w:noWrap/>
            <w:vAlign w:val="center"/>
            <w:hideMark/>
          </w:tcPr>
          <w:p w14:paraId="14FA084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25,300</w:t>
            </w:r>
          </w:p>
        </w:tc>
        <w:tc>
          <w:tcPr>
            <w:tcW w:w="1168" w:type="dxa"/>
            <w:tcBorders>
              <w:top w:val="nil"/>
              <w:left w:val="nil"/>
              <w:right w:val="nil"/>
            </w:tcBorders>
            <w:shd w:val="clear" w:color="000000" w:fill="A7A9AC"/>
            <w:noWrap/>
            <w:vAlign w:val="center"/>
            <w:hideMark/>
          </w:tcPr>
          <w:p w14:paraId="571D6882"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61,900</w:t>
            </w:r>
          </w:p>
        </w:tc>
        <w:tc>
          <w:tcPr>
            <w:tcW w:w="1168" w:type="dxa"/>
            <w:tcBorders>
              <w:top w:val="nil"/>
              <w:left w:val="nil"/>
              <w:right w:val="nil"/>
            </w:tcBorders>
            <w:shd w:val="clear" w:color="000000" w:fill="A7A9AC"/>
            <w:noWrap/>
            <w:vAlign w:val="center"/>
            <w:hideMark/>
          </w:tcPr>
          <w:p w14:paraId="1E3F2AB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127,600</w:t>
            </w:r>
          </w:p>
        </w:tc>
        <w:tc>
          <w:tcPr>
            <w:tcW w:w="1168" w:type="dxa"/>
            <w:tcBorders>
              <w:top w:val="nil"/>
              <w:left w:val="nil"/>
              <w:right w:val="nil"/>
            </w:tcBorders>
            <w:shd w:val="clear" w:color="000000" w:fill="A7A9AC"/>
            <w:noWrap/>
            <w:vAlign w:val="center"/>
            <w:hideMark/>
          </w:tcPr>
          <w:p w14:paraId="78560F4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135,200</w:t>
            </w:r>
          </w:p>
        </w:tc>
        <w:tc>
          <w:tcPr>
            <w:tcW w:w="1366" w:type="dxa"/>
            <w:tcBorders>
              <w:top w:val="nil"/>
              <w:left w:val="nil"/>
              <w:right w:val="nil"/>
            </w:tcBorders>
            <w:shd w:val="clear" w:color="000000" w:fill="A7A9AC"/>
            <w:noWrap/>
            <w:vAlign w:val="center"/>
            <w:hideMark/>
          </w:tcPr>
          <w:p w14:paraId="1896345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105,700</w:t>
            </w:r>
          </w:p>
        </w:tc>
      </w:tr>
      <w:tr w:rsidR="00723E93" w:rsidRPr="007F6332" w14:paraId="3FCC0DAB" w14:textId="77777777" w:rsidTr="0034641E">
        <w:trPr>
          <w:trHeight w:val="397"/>
        </w:trPr>
        <w:tc>
          <w:tcPr>
            <w:tcW w:w="2893" w:type="dxa"/>
            <w:tcBorders>
              <w:left w:val="nil"/>
              <w:bottom w:val="single" w:sz="4" w:space="0" w:color="auto"/>
              <w:right w:val="nil"/>
            </w:tcBorders>
            <w:shd w:val="clear" w:color="000000" w:fill="B398B8"/>
            <w:noWrap/>
            <w:vAlign w:val="center"/>
            <w:hideMark/>
          </w:tcPr>
          <w:p w14:paraId="2F88DD9B" w14:textId="77777777" w:rsidR="00723E93" w:rsidRPr="007F6332" w:rsidRDefault="00723E93" w:rsidP="006C2D7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1168" w:type="dxa"/>
            <w:tcBorders>
              <w:left w:val="nil"/>
              <w:bottom w:val="single" w:sz="4" w:space="0" w:color="auto"/>
              <w:right w:val="nil"/>
            </w:tcBorders>
            <w:shd w:val="clear" w:color="000000" w:fill="B398B8"/>
            <w:noWrap/>
            <w:vAlign w:val="center"/>
            <w:hideMark/>
          </w:tcPr>
          <w:p w14:paraId="30AA549B"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21,000</w:t>
            </w:r>
          </w:p>
        </w:tc>
        <w:tc>
          <w:tcPr>
            <w:tcW w:w="1168" w:type="dxa"/>
            <w:tcBorders>
              <w:left w:val="nil"/>
              <w:bottom w:val="single" w:sz="4" w:space="0" w:color="auto"/>
              <w:right w:val="nil"/>
            </w:tcBorders>
            <w:shd w:val="clear" w:color="000000" w:fill="B398B8"/>
            <w:noWrap/>
            <w:vAlign w:val="center"/>
            <w:hideMark/>
          </w:tcPr>
          <w:p w14:paraId="117C9B39"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56,500</w:t>
            </w:r>
          </w:p>
        </w:tc>
        <w:tc>
          <w:tcPr>
            <w:tcW w:w="1168" w:type="dxa"/>
            <w:tcBorders>
              <w:left w:val="nil"/>
              <w:bottom w:val="single" w:sz="4" w:space="0" w:color="auto"/>
              <w:right w:val="nil"/>
            </w:tcBorders>
            <w:shd w:val="clear" w:color="000000" w:fill="B398B8"/>
            <w:noWrap/>
            <w:vAlign w:val="center"/>
            <w:hideMark/>
          </w:tcPr>
          <w:p w14:paraId="745B962C"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124,900</w:t>
            </w:r>
          </w:p>
        </w:tc>
        <w:tc>
          <w:tcPr>
            <w:tcW w:w="1168" w:type="dxa"/>
            <w:tcBorders>
              <w:left w:val="nil"/>
              <w:bottom w:val="single" w:sz="4" w:space="0" w:color="auto"/>
              <w:right w:val="nil"/>
            </w:tcBorders>
            <w:shd w:val="clear" w:color="000000" w:fill="B398B8"/>
            <w:noWrap/>
            <w:vAlign w:val="center"/>
            <w:hideMark/>
          </w:tcPr>
          <w:p w14:paraId="789D0639"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144,400</w:t>
            </w:r>
          </w:p>
        </w:tc>
        <w:tc>
          <w:tcPr>
            <w:tcW w:w="1366" w:type="dxa"/>
            <w:tcBorders>
              <w:left w:val="nil"/>
              <w:bottom w:val="single" w:sz="4" w:space="0" w:color="auto"/>
              <w:right w:val="nil"/>
            </w:tcBorders>
            <w:shd w:val="clear" w:color="000000" w:fill="B398B8"/>
            <w:noWrap/>
            <w:vAlign w:val="center"/>
            <w:hideMark/>
          </w:tcPr>
          <w:p w14:paraId="3B04BCCE" w14:textId="77777777" w:rsidR="00723E93" w:rsidRPr="007F6332" w:rsidRDefault="00723E93" w:rsidP="006C2D7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70,600</w:t>
            </w:r>
          </w:p>
        </w:tc>
      </w:tr>
    </w:tbl>
    <w:p w14:paraId="21518E48" w14:textId="77777777" w:rsidR="00365D64" w:rsidRPr="007F6332" w:rsidRDefault="00976BCD" w:rsidP="00950565">
      <w:pPr>
        <w:spacing w:before="120"/>
        <w:rPr>
          <w:rFonts w:cs="Arial"/>
        </w:rPr>
      </w:pPr>
      <w:r w:rsidRPr="007F6332">
        <w:rPr>
          <w:rFonts w:cs="Arial"/>
        </w:rPr>
        <w:t>Table 5.32 shows the projected average annual payments for 2026-27, after inflation, by support category and age band. At Scheme level, average payments per participant for Core Daily Activities and Social Community Civic are the largest by support category and are expected to comprise over 75% of total payments by 2026-27. For participants aged 0 to 14 years, Capacity Building Daily Activities is the largest support category by average payment.</w:t>
      </w:r>
    </w:p>
    <w:p w14:paraId="0FB7E05A" w14:textId="77777777" w:rsidR="0034641E" w:rsidRPr="007F6332" w:rsidRDefault="0034641E" w:rsidP="00950565">
      <w:pPr>
        <w:spacing w:before="120"/>
        <w:rPr>
          <w:rFonts w:cs="Arial"/>
        </w:rPr>
        <w:sectPr w:rsidR="0034641E" w:rsidRPr="007F6332" w:rsidSect="00CE7E91">
          <w:headerReference w:type="even" r:id="rId86"/>
          <w:headerReference w:type="default" r:id="rId87"/>
          <w:footerReference w:type="default" r:id="rId88"/>
          <w:headerReference w:type="first" r:id="rId89"/>
          <w:pgSz w:w="11906" w:h="16838"/>
          <w:pgMar w:top="1440" w:right="1416" w:bottom="1440" w:left="1440" w:header="708" w:footer="850" w:gutter="0"/>
          <w:cols w:space="708"/>
          <w:titlePg/>
          <w:docGrid w:linePitch="360"/>
        </w:sectPr>
      </w:pPr>
    </w:p>
    <w:p w14:paraId="1B8C9497" w14:textId="4EECAF89" w:rsidR="00723E93" w:rsidRPr="007F6332" w:rsidRDefault="00723E93" w:rsidP="00945CBF">
      <w:pPr>
        <w:pStyle w:val="FiguresandTablesHeading4"/>
        <w:rPr>
          <w:rStyle w:val="Heading7Char"/>
          <w:rFonts w:cs="Arial"/>
          <w:b/>
          <w:iCs/>
        </w:rPr>
      </w:pPr>
      <w:r w:rsidRPr="007F6332">
        <w:rPr>
          <w:rStyle w:val="Heading7Char"/>
          <w:rFonts w:cs="Arial"/>
          <w:b/>
          <w:iCs/>
        </w:rPr>
        <w:lastRenderedPageBreak/>
        <w:t xml:space="preserve">Table </w:t>
      </w:r>
      <w:r w:rsidR="0045717D" w:rsidRPr="007F6332">
        <w:rPr>
          <w:rStyle w:val="Heading7Char"/>
          <w:rFonts w:cs="Arial"/>
          <w:b/>
          <w:iCs/>
        </w:rPr>
        <w:t>5.32:</w:t>
      </w:r>
      <w:r w:rsidRPr="007F6332">
        <w:rPr>
          <w:rStyle w:val="Heading7Char"/>
          <w:rFonts w:cs="Arial"/>
          <w:b/>
          <w:iCs/>
        </w:rPr>
        <w:t xml:space="preserve"> Average annual payments ($) by age band and support category in 2026-27 </w:t>
      </w:r>
      <w:r w:rsidR="008F5358" w:rsidRPr="007F6332">
        <w:rPr>
          <w:rStyle w:val="Heading7Char"/>
          <w:rFonts w:cs="Arial"/>
          <w:b/>
          <w:iCs/>
        </w:rPr>
        <w:t>after inflation</w:t>
      </w:r>
    </w:p>
    <w:tbl>
      <w:tblPr>
        <w:tblW w:w="9052" w:type="dxa"/>
        <w:tblLook w:val="04A0" w:firstRow="1" w:lastRow="0" w:firstColumn="1" w:lastColumn="0" w:noHBand="0" w:noVBand="1"/>
      </w:tblPr>
      <w:tblGrid>
        <w:gridCol w:w="2997"/>
        <w:gridCol w:w="1211"/>
        <w:gridCol w:w="1211"/>
        <w:gridCol w:w="1211"/>
        <w:gridCol w:w="1211"/>
        <w:gridCol w:w="1211"/>
      </w:tblGrid>
      <w:tr w:rsidR="00723E93" w:rsidRPr="007F6332" w14:paraId="075B0592" w14:textId="77777777" w:rsidTr="00924D86">
        <w:trPr>
          <w:trHeight w:val="510"/>
        </w:trPr>
        <w:tc>
          <w:tcPr>
            <w:tcW w:w="2997" w:type="dxa"/>
            <w:tcBorders>
              <w:top w:val="single" w:sz="4" w:space="0" w:color="auto"/>
              <w:left w:val="nil"/>
              <w:bottom w:val="nil"/>
              <w:right w:val="nil"/>
            </w:tcBorders>
            <w:shd w:val="clear" w:color="000000" w:fill="6B2F76"/>
            <w:noWrap/>
            <w:vAlign w:val="center"/>
            <w:hideMark/>
          </w:tcPr>
          <w:p w14:paraId="7B2D134F" w14:textId="77777777" w:rsidR="00723E93" w:rsidRPr="007F6332" w:rsidRDefault="00723E93" w:rsidP="006C2D7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Support Category</w:t>
            </w:r>
          </w:p>
        </w:tc>
        <w:tc>
          <w:tcPr>
            <w:tcW w:w="1211" w:type="dxa"/>
            <w:tcBorders>
              <w:top w:val="single" w:sz="4" w:space="0" w:color="auto"/>
              <w:left w:val="nil"/>
              <w:bottom w:val="nil"/>
              <w:right w:val="nil"/>
            </w:tcBorders>
            <w:shd w:val="clear" w:color="000000" w:fill="6B2976"/>
            <w:noWrap/>
            <w:vAlign w:val="center"/>
            <w:hideMark/>
          </w:tcPr>
          <w:p w14:paraId="0B4AAF38"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0 to 14</w:t>
            </w:r>
          </w:p>
        </w:tc>
        <w:tc>
          <w:tcPr>
            <w:tcW w:w="1211" w:type="dxa"/>
            <w:tcBorders>
              <w:top w:val="single" w:sz="4" w:space="0" w:color="auto"/>
              <w:left w:val="nil"/>
              <w:bottom w:val="nil"/>
              <w:right w:val="nil"/>
            </w:tcBorders>
            <w:shd w:val="clear" w:color="000000" w:fill="6B2976"/>
            <w:noWrap/>
            <w:vAlign w:val="center"/>
            <w:hideMark/>
          </w:tcPr>
          <w:p w14:paraId="4B30B203"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15 to 24</w:t>
            </w:r>
          </w:p>
        </w:tc>
        <w:tc>
          <w:tcPr>
            <w:tcW w:w="1211" w:type="dxa"/>
            <w:tcBorders>
              <w:top w:val="single" w:sz="4" w:space="0" w:color="auto"/>
              <w:left w:val="nil"/>
              <w:bottom w:val="nil"/>
              <w:right w:val="nil"/>
            </w:tcBorders>
            <w:shd w:val="clear" w:color="000000" w:fill="6B2976"/>
            <w:noWrap/>
            <w:vAlign w:val="center"/>
            <w:hideMark/>
          </w:tcPr>
          <w:p w14:paraId="2629FF8C"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25 to 64</w:t>
            </w:r>
          </w:p>
        </w:tc>
        <w:tc>
          <w:tcPr>
            <w:tcW w:w="1211" w:type="dxa"/>
            <w:tcBorders>
              <w:top w:val="single" w:sz="4" w:space="0" w:color="auto"/>
              <w:left w:val="nil"/>
              <w:bottom w:val="nil"/>
              <w:right w:val="nil"/>
            </w:tcBorders>
            <w:shd w:val="clear" w:color="000000" w:fill="6B2976"/>
            <w:noWrap/>
            <w:vAlign w:val="center"/>
            <w:hideMark/>
          </w:tcPr>
          <w:p w14:paraId="343D6B43"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65+</w:t>
            </w:r>
          </w:p>
        </w:tc>
        <w:tc>
          <w:tcPr>
            <w:tcW w:w="1211" w:type="dxa"/>
            <w:tcBorders>
              <w:top w:val="single" w:sz="4" w:space="0" w:color="auto"/>
              <w:left w:val="nil"/>
              <w:bottom w:val="nil"/>
              <w:right w:val="nil"/>
            </w:tcBorders>
            <w:shd w:val="clear" w:color="000000" w:fill="6B2976"/>
            <w:noWrap/>
            <w:vAlign w:val="center"/>
            <w:hideMark/>
          </w:tcPr>
          <w:p w14:paraId="3348B52B" w14:textId="77777777" w:rsidR="00723E93" w:rsidRPr="007F6332" w:rsidRDefault="00723E93" w:rsidP="006C2D7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Total</w:t>
            </w:r>
          </w:p>
        </w:tc>
      </w:tr>
      <w:tr w:rsidR="00723E93" w:rsidRPr="007F6332" w14:paraId="349E783C" w14:textId="77777777" w:rsidTr="00924D86">
        <w:trPr>
          <w:trHeight w:val="397"/>
        </w:trPr>
        <w:tc>
          <w:tcPr>
            <w:tcW w:w="2997" w:type="dxa"/>
            <w:tcBorders>
              <w:top w:val="nil"/>
              <w:left w:val="nil"/>
              <w:bottom w:val="nil"/>
              <w:right w:val="nil"/>
            </w:tcBorders>
            <w:shd w:val="clear" w:color="auto" w:fill="auto"/>
            <w:noWrap/>
            <w:vAlign w:val="center"/>
            <w:hideMark/>
          </w:tcPr>
          <w:p w14:paraId="49F16870"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Daily Activities</w:t>
            </w:r>
          </w:p>
        </w:tc>
        <w:tc>
          <w:tcPr>
            <w:tcW w:w="1211" w:type="dxa"/>
            <w:tcBorders>
              <w:top w:val="nil"/>
              <w:left w:val="nil"/>
              <w:bottom w:val="nil"/>
              <w:right w:val="nil"/>
            </w:tcBorders>
            <w:shd w:val="clear" w:color="auto" w:fill="auto"/>
            <w:noWrap/>
            <w:vAlign w:val="center"/>
            <w:hideMark/>
          </w:tcPr>
          <w:p w14:paraId="4D406595"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5,900</w:t>
            </w:r>
          </w:p>
        </w:tc>
        <w:tc>
          <w:tcPr>
            <w:tcW w:w="1211" w:type="dxa"/>
            <w:tcBorders>
              <w:top w:val="nil"/>
              <w:left w:val="nil"/>
              <w:bottom w:val="nil"/>
              <w:right w:val="nil"/>
            </w:tcBorders>
            <w:shd w:val="clear" w:color="auto" w:fill="auto"/>
            <w:noWrap/>
            <w:vAlign w:val="center"/>
            <w:hideMark/>
          </w:tcPr>
          <w:p w14:paraId="3A85D74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26,900</w:t>
            </w:r>
          </w:p>
        </w:tc>
        <w:tc>
          <w:tcPr>
            <w:tcW w:w="1211" w:type="dxa"/>
            <w:tcBorders>
              <w:top w:val="nil"/>
              <w:left w:val="nil"/>
              <w:bottom w:val="nil"/>
              <w:right w:val="nil"/>
            </w:tcBorders>
            <w:shd w:val="clear" w:color="auto" w:fill="auto"/>
            <w:noWrap/>
            <w:vAlign w:val="center"/>
            <w:hideMark/>
          </w:tcPr>
          <w:p w14:paraId="3B9F8F1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76,800</w:t>
            </w:r>
          </w:p>
        </w:tc>
        <w:tc>
          <w:tcPr>
            <w:tcW w:w="1211" w:type="dxa"/>
            <w:tcBorders>
              <w:top w:val="nil"/>
              <w:left w:val="nil"/>
              <w:bottom w:val="nil"/>
              <w:right w:val="nil"/>
            </w:tcBorders>
            <w:shd w:val="clear" w:color="auto" w:fill="auto"/>
            <w:noWrap/>
            <w:vAlign w:val="center"/>
            <w:hideMark/>
          </w:tcPr>
          <w:p w14:paraId="73411ADA"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94,900</w:t>
            </w:r>
          </w:p>
        </w:tc>
        <w:tc>
          <w:tcPr>
            <w:tcW w:w="1211" w:type="dxa"/>
            <w:tcBorders>
              <w:top w:val="nil"/>
              <w:left w:val="nil"/>
              <w:bottom w:val="nil"/>
              <w:right w:val="nil"/>
            </w:tcBorders>
            <w:shd w:val="clear" w:color="auto" w:fill="auto"/>
            <w:noWrap/>
            <w:vAlign w:val="center"/>
            <w:hideMark/>
          </w:tcPr>
          <w:p w14:paraId="23B0119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39,400</w:t>
            </w:r>
          </w:p>
        </w:tc>
      </w:tr>
      <w:tr w:rsidR="00723E93" w:rsidRPr="007F6332" w14:paraId="3B147433" w14:textId="77777777" w:rsidTr="00924D86">
        <w:trPr>
          <w:trHeight w:val="397"/>
        </w:trPr>
        <w:tc>
          <w:tcPr>
            <w:tcW w:w="2997" w:type="dxa"/>
            <w:tcBorders>
              <w:top w:val="nil"/>
              <w:left w:val="nil"/>
              <w:bottom w:val="nil"/>
              <w:right w:val="nil"/>
            </w:tcBorders>
            <w:shd w:val="clear" w:color="000000" w:fill="A7A9AC"/>
            <w:noWrap/>
            <w:vAlign w:val="center"/>
            <w:hideMark/>
          </w:tcPr>
          <w:p w14:paraId="3E77751B"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CB Daily Activities</w:t>
            </w:r>
          </w:p>
        </w:tc>
        <w:tc>
          <w:tcPr>
            <w:tcW w:w="1211" w:type="dxa"/>
            <w:tcBorders>
              <w:top w:val="nil"/>
              <w:left w:val="nil"/>
              <w:bottom w:val="nil"/>
              <w:right w:val="nil"/>
            </w:tcBorders>
            <w:shd w:val="clear" w:color="000000" w:fill="A7A9AC"/>
            <w:noWrap/>
            <w:vAlign w:val="center"/>
            <w:hideMark/>
          </w:tcPr>
          <w:p w14:paraId="07D4687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9,300</w:t>
            </w:r>
          </w:p>
        </w:tc>
        <w:tc>
          <w:tcPr>
            <w:tcW w:w="1211" w:type="dxa"/>
            <w:tcBorders>
              <w:top w:val="nil"/>
              <w:left w:val="nil"/>
              <w:bottom w:val="nil"/>
              <w:right w:val="nil"/>
            </w:tcBorders>
            <w:shd w:val="clear" w:color="000000" w:fill="A7A9AC"/>
            <w:noWrap/>
            <w:vAlign w:val="center"/>
            <w:hideMark/>
          </w:tcPr>
          <w:p w14:paraId="7AB7BCD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5,600</w:t>
            </w:r>
          </w:p>
        </w:tc>
        <w:tc>
          <w:tcPr>
            <w:tcW w:w="1211" w:type="dxa"/>
            <w:tcBorders>
              <w:top w:val="nil"/>
              <w:left w:val="nil"/>
              <w:bottom w:val="nil"/>
              <w:right w:val="nil"/>
            </w:tcBorders>
            <w:shd w:val="clear" w:color="000000" w:fill="A7A9AC"/>
            <w:noWrap/>
            <w:vAlign w:val="center"/>
            <w:hideMark/>
          </w:tcPr>
          <w:p w14:paraId="75D5A095"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5,800</w:t>
            </w:r>
          </w:p>
        </w:tc>
        <w:tc>
          <w:tcPr>
            <w:tcW w:w="1211" w:type="dxa"/>
            <w:tcBorders>
              <w:top w:val="nil"/>
              <w:left w:val="nil"/>
              <w:bottom w:val="nil"/>
              <w:right w:val="nil"/>
            </w:tcBorders>
            <w:shd w:val="clear" w:color="000000" w:fill="A7A9AC"/>
            <w:noWrap/>
            <w:vAlign w:val="center"/>
            <w:hideMark/>
          </w:tcPr>
          <w:p w14:paraId="1F7E71C9"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7,000</w:t>
            </w:r>
          </w:p>
        </w:tc>
        <w:tc>
          <w:tcPr>
            <w:tcW w:w="1211" w:type="dxa"/>
            <w:tcBorders>
              <w:top w:val="nil"/>
              <w:left w:val="nil"/>
              <w:bottom w:val="nil"/>
              <w:right w:val="nil"/>
            </w:tcBorders>
            <w:shd w:val="clear" w:color="000000" w:fill="A7A9AC"/>
            <w:noWrap/>
            <w:vAlign w:val="center"/>
            <w:hideMark/>
          </w:tcPr>
          <w:p w14:paraId="50DFF70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7,200</w:t>
            </w:r>
          </w:p>
        </w:tc>
      </w:tr>
      <w:tr w:rsidR="00723E93" w:rsidRPr="007F6332" w14:paraId="258257D1" w14:textId="77777777" w:rsidTr="00924D86">
        <w:trPr>
          <w:trHeight w:val="397"/>
        </w:trPr>
        <w:tc>
          <w:tcPr>
            <w:tcW w:w="2997" w:type="dxa"/>
            <w:tcBorders>
              <w:top w:val="nil"/>
              <w:left w:val="nil"/>
              <w:bottom w:val="nil"/>
              <w:right w:val="nil"/>
            </w:tcBorders>
            <w:shd w:val="clear" w:color="auto" w:fill="auto"/>
            <w:noWrap/>
            <w:vAlign w:val="center"/>
            <w:hideMark/>
          </w:tcPr>
          <w:p w14:paraId="1ABAAC42"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Social Community Civic</w:t>
            </w:r>
          </w:p>
        </w:tc>
        <w:tc>
          <w:tcPr>
            <w:tcW w:w="1211" w:type="dxa"/>
            <w:tcBorders>
              <w:top w:val="nil"/>
              <w:left w:val="nil"/>
              <w:bottom w:val="nil"/>
              <w:right w:val="nil"/>
            </w:tcBorders>
            <w:shd w:val="clear" w:color="auto" w:fill="auto"/>
            <w:noWrap/>
            <w:vAlign w:val="center"/>
            <w:hideMark/>
          </w:tcPr>
          <w:p w14:paraId="066F30C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1,800</w:t>
            </w:r>
          </w:p>
        </w:tc>
        <w:tc>
          <w:tcPr>
            <w:tcW w:w="1211" w:type="dxa"/>
            <w:tcBorders>
              <w:top w:val="nil"/>
              <w:left w:val="nil"/>
              <w:bottom w:val="nil"/>
              <w:right w:val="nil"/>
            </w:tcBorders>
            <w:shd w:val="clear" w:color="auto" w:fill="auto"/>
            <w:noWrap/>
            <w:vAlign w:val="center"/>
            <w:hideMark/>
          </w:tcPr>
          <w:p w14:paraId="72AE083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16,000</w:t>
            </w:r>
          </w:p>
        </w:tc>
        <w:tc>
          <w:tcPr>
            <w:tcW w:w="1211" w:type="dxa"/>
            <w:tcBorders>
              <w:top w:val="nil"/>
              <w:left w:val="nil"/>
              <w:bottom w:val="nil"/>
              <w:right w:val="nil"/>
            </w:tcBorders>
            <w:shd w:val="clear" w:color="auto" w:fill="auto"/>
            <w:noWrap/>
            <w:vAlign w:val="center"/>
            <w:hideMark/>
          </w:tcPr>
          <w:p w14:paraId="197F323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31,300</w:t>
            </w:r>
          </w:p>
        </w:tc>
        <w:tc>
          <w:tcPr>
            <w:tcW w:w="1211" w:type="dxa"/>
            <w:tcBorders>
              <w:top w:val="nil"/>
              <w:left w:val="nil"/>
              <w:bottom w:val="nil"/>
              <w:right w:val="nil"/>
            </w:tcBorders>
            <w:shd w:val="clear" w:color="auto" w:fill="auto"/>
            <w:noWrap/>
            <w:vAlign w:val="center"/>
            <w:hideMark/>
          </w:tcPr>
          <w:p w14:paraId="3FB5BC2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28,500</w:t>
            </w:r>
          </w:p>
        </w:tc>
        <w:tc>
          <w:tcPr>
            <w:tcW w:w="1211" w:type="dxa"/>
            <w:tcBorders>
              <w:top w:val="nil"/>
              <w:left w:val="nil"/>
              <w:bottom w:val="nil"/>
              <w:right w:val="nil"/>
            </w:tcBorders>
            <w:shd w:val="clear" w:color="auto" w:fill="auto"/>
            <w:noWrap/>
            <w:vAlign w:val="center"/>
            <w:hideMark/>
          </w:tcPr>
          <w:p w14:paraId="39FFCDA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16,300</w:t>
            </w:r>
          </w:p>
        </w:tc>
      </w:tr>
      <w:tr w:rsidR="00723E93" w:rsidRPr="007F6332" w14:paraId="10FE3816" w14:textId="77777777" w:rsidTr="00924D86">
        <w:trPr>
          <w:trHeight w:val="397"/>
        </w:trPr>
        <w:tc>
          <w:tcPr>
            <w:tcW w:w="2997" w:type="dxa"/>
            <w:tcBorders>
              <w:top w:val="nil"/>
              <w:left w:val="nil"/>
              <w:bottom w:val="nil"/>
              <w:right w:val="nil"/>
            </w:tcBorders>
            <w:shd w:val="clear" w:color="000000" w:fill="A7A9AC"/>
            <w:noWrap/>
            <w:vAlign w:val="center"/>
            <w:hideMark/>
          </w:tcPr>
          <w:p w14:paraId="146FAAF8"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Transport</w:t>
            </w:r>
          </w:p>
        </w:tc>
        <w:tc>
          <w:tcPr>
            <w:tcW w:w="1211" w:type="dxa"/>
            <w:tcBorders>
              <w:top w:val="nil"/>
              <w:left w:val="nil"/>
              <w:bottom w:val="nil"/>
              <w:right w:val="nil"/>
            </w:tcBorders>
            <w:shd w:val="clear" w:color="000000" w:fill="A7A9AC"/>
            <w:noWrap/>
            <w:vAlign w:val="center"/>
            <w:hideMark/>
          </w:tcPr>
          <w:p w14:paraId="1AFEAEDC"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1,400</w:t>
            </w:r>
          </w:p>
        </w:tc>
        <w:tc>
          <w:tcPr>
            <w:tcW w:w="1211" w:type="dxa"/>
            <w:tcBorders>
              <w:top w:val="nil"/>
              <w:left w:val="nil"/>
              <w:bottom w:val="nil"/>
              <w:right w:val="nil"/>
            </w:tcBorders>
            <w:shd w:val="clear" w:color="000000" w:fill="A7A9AC"/>
            <w:noWrap/>
            <w:vAlign w:val="center"/>
            <w:hideMark/>
          </w:tcPr>
          <w:p w14:paraId="3786DB5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2,100</w:t>
            </w:r>
          </w:p>
        </w:tc>
        <w:tc>
          <w:tcPr>
            <w:tcW w:w="1211" w:type="dxa"/>
            <w:tcBorders>
              <w:top w:val="nil"/>
              <w:left w:val="nil"/>
              <w:bottom w:val="nil"/>
              <w:right w:val="nil"/>
            </w:tcBorders>
            <w:shd w:val="clear" w:color="000000" w:fill="A7A9AC"/>
            <w:noWrap/>
            <w:vAlign w:val="center"/>
            <w:hideMark/>
          </w:tcPr>
          <w:p w14:paraId="4B990234"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1,800</w:t>
            </w:r>
          </w:p>
        </w:tc>
        <w:tc>
          <w:tcPr>
            <w:tcW w:w="1211" w:type="dxa"/>
            <w:tcBorders>
              <w:top w:val="nil"/>
              <w:left w:val="nil"/>
              <w:bottom w:val="nil"/>
              <w:right w:val="nil"/>
            </w:tcBorders>
            <w:shd w:val="clear" w:color="000000" w:fill="A7A9AC"/>
            <w:noWrap/>
            <w:vAlign w:val="center"/>
            <w:hideMark/>
          </w:tcPr>
          <w:p w14:paraId="47F652D1"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1,800</w:t>
            </w:r>
          </w:p>
        </w:tc>
        <w:tc>
          <w:tcPr>
            <w:tcW w:w="1211" w:type="dxa"/>
            <w:tcBorders>
              <w:top w:val="nil"/>
              <w:left w:val="nil"/>
              <w:bottom w:val="nil"/>
              <w:right w:val="nil"/>
            </w:tcBorders>
            <w:shd w:val="clear" w:color="000000" w:fill="A7A9AC"/>
            <w:noWrap/>
            <w:vAlign w:val="center"/>
            <w:hideMark/>
          </w:tcPr>
          <w:p w14:paraId="4FD3F22B"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1,700</w:t>
            </w:r>
          </w:p>
        </w:tc>
      </w:tr>
      <w:tr w:rsidR="00723E93" w:rsidRPr="007F6332" w14:paraId="156E9E66" w14:textId="77777777" w:rsidTr="00924D86">
        <w:trPr>
          <w:trHeight w:val="397"/>
        </w:trPr>
        <w:tc>
          <w:tcPr>
            <w:tcW w:w="2997" w:type="dxa"/>
            <w:tcBorders>
              <w:top w:val="nil"/>
              <w:left w:val="nil"/>
              <w:bottom w:val="nil"/>
              <w:right w:val="nil"/>
            </w:tcBorders>
            <w:shd w:val="clear" w:color="auto" w:fill="auto"/>
            <w:noWrap/>
            <w:vAlign w:val="center"/>
            <w:hideMark/>
          </w:tcPr>
          <w:p w14:paraId="03BA5D04"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Support Coordination</w:t>
            </w:r>
          </w:p>
        </w:tc>
        <w:tc>
          <w:tcPr>
            <w:tcW w:w="1211" w:type="dxa"/>
            <w:tcBorders>
              <w:top w:val="nil"/>
              <w:left w:val="nil"/>
              <w:bottom w:val="nil"/>
              <w:right w:val="nil"/>
            </w:tcBorders>
            <w:shd w:val="clear" w:color="auto" w:fill="auto"/>
            <w:noWrap/>
            <w:vAlign w:val="center"/>
            <w:hideMark/>
          </w:tcPr>
          <w:p w14:paraId="1F8F1EB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200</w:t>
            </w:r>
          </w:p>
        </w:tc>
        <w:tc>
          <w:tcPr>
            <w:tcW w:w="1211" w:type="dxa"/>
            <w:tcBorders>
              <w:top w:val="nil"/>
              <w:left w:val="nil"/>
              <w:bottom w:val="nil"/>
              <w:right w:val="nil"/>
            </w:tcBorders>
            <w:shd w:val="clear" w:color="auto" w:fill="auto"/>
            <w:noWrap/>
            <w:vAlign w:val="center"/>
            <w:hideMark/>
          </w:tcPr>
          <w:p w14:paraId="50996E0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700</w:t>
            </w:r>
          </w:p>
        </w:tc>
        <w:tc>
          <w:tcPr>
            <w:tcW w:w="1211" w:type="dxa"/>
            <w:tcBorders>
              <w:top w:val="nil"/>
              <w:left w:val="nil"/>
              <w:bottom w:val="nil"/>
              <w:right w:val="nil"/>
            </w:tcBorders>
            <w:shd w:val="clear" w:color="auto" w:fill="auto"/>
            <w:noWrap/>
            <w:vAlign w:val="center"/>
            <w:hideMark/>
          </w:tcPr>
          <w:p w14:paraId="291DDFF3"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1,600</w:t>
            </w:r>
          </w:p>
        </w:tc>
        <w:tc>
          <w:tcPr>
            <w:tcW w:w="1211" w:type="dxa"/>
            <w:tcBorders>
              <w:top w:val="nil"/>
              <w:left w:val="nil"/>
              <w:bottom w:val="nil"/>
              <w:right w:val="nil"/>
            </w:tcBorders>
            <w:shd w:val="clear" w:color="auto" w:fill="auto"/>
            <w:noWrap/>
            <w:vAlign w:val="center"/>
            <w:hideMark/>
          </w:tcPr>
          <w:p w14:paraId="7A2540F8"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1,800</w:t>
            </w:r>
          </w:p>
        </w:tc>
        <w:tc>
          <w:tcPr>
            <w:tcW w:w="1211" w:type="dxa"/>
            <w:tcBorders>
              <w:top w:val="nil"/>
              <w:left w:val="nil"/>
              <w:bottom w:val="nil"/>
              <w:right w:val="nil"/>
            </w:tcBorders>
            <w:shd w:val="clear" w:color="auto" w:fill="auto"/>
            <w:noWrap/>
            <w:vAlign w:val="center"/>
            <w:hideMark/>
          </w:tcPr>
          <w:p w14:paraId="023A662E"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900</w:t>
            </w:r>
          </w:p>
        </w:tc>
      </w:tr>
      <w:tr w:rsidR="00723E93" w:rsidRPr="007F6332" w14:paraId="60DCEBD2" w14:textId="77777777" w:rsidTr="00924D86">
        <w:trPr>
          <w:trHeight w:val="397"/>
        </w:trPr>
        <w:tc>
          <w:tcPr>
            <w:tcW w:w="2997" w:type="dxa"/>
            <w:tcBorders>
              <w:top w:val="nil"/>
              <w:left w:val="nil"/>
              <w:right w:val="nil"/>
            </w:tcBorders>
            <w:shd w:val="clear" w:color="000000" w:fill="A7A9AC"/>
            <w:noWrap/>
            <w:vAlign w:val="center"/>
            <w:hideMark/>
          </w:tcPr>
          <w:p w14:paraId="4FBF5E90" w14:textId="77777777" w:rsidR="00723E93" w:rsidRPr="007F6332" w:rsidRDefault="00723E93" w:rsidP="006C2D7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Other</w:t>
            </w:r>
          </w:p>
        </w:tc>
        <w:tc>
          <w:tcPr>
            <w:tcW w:w="1211" w:type="dxa"/>
            <w:tcBorders>
              <w:top w:val="nil"/>
              <w:left w:val="nil"/>
              <w:right w:val="nil"/>
            </w:tcBorders>
            <w:shd w:val="clear" w:color="000000" w:fill="A7A9AC"/>
            <w:noWrap/>
            <w:vAlign w:val="center"/>
            <w:hideMark/>
          </w:tcPr>
          <w:p w14:paraId="7B9B8AEF"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2,500</w:t>
            </w:r>
          </w:p>
        </w:tc>
        <w:tc>
          <w:tcPr>
            <w:tcW w:w="1211" w:type="dxa"/>
            <w:tcBorders>
              <w:top w:val="nil"/>
              <w:left w:val="nil"/>
              <w:right w:val="nil"/>
            </w:tcBorders>
            <w:shd w:val="clear" w:color="000000" w:fill="A7A9AC"/>
            <w:noWrap/>
            <w:vAlign w:val="center"/>
            <w:hideMark/>
          </w:tcPr>
          <w:p w14:paraId="192DDDC0"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5,100</w:t>
            </w:r>
          </w:p>
        </w:tc>
        <w:tc>
          <w:tcPr>
            <w:tcW w:w="1211" w:type="dxa"/>
            <w:tcBorders>
              <w:top w:val="nil"/>
              <w:left w:val="nil"/>
              <w:right w:val="nil"/>
            </w:tcBorders>
            <w:shd w:val="clear" w:color="000000" w:fill="A7A9AC"/>
            <w:noWrap/>
            <w:vAlign w:val="center"/>
            <w:hideMark/>
          </w:tcPr>
          <w:p w14:paraId="0FA0CA06"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7,600</w:t>
            </w:r>
          </w:p>
        </w:tc>
        <w:tc>
          <w:tcPr>
            <w:tcW w:w="1211" w:type="dxa"/>
            <w:tcBorders>
              <w:top w:val="nil"/>
              <w:left w:val="nil"/>
              <w:right w:val="nil"/>
            </w:tcBorders>
            <w:shd w:val="clear" w:color="000000" w:fill="A7A9AC"/>
            <w:noWrap/>
            <w:vAlign w:val="center"/>
            <w:hideMark/>
          </w:tcPr>
          <w:p w14:paraId="2672EF4B"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10,400</w:t>
            </w:r>
          </w:p>
        </w:tc>
        <w:tc>
          <w:tcPr>
            <w:tcW w:w="1211" w:type="dxa"/>
            <w:tcBorders>
              <w:top w:val="nil"/>
              <w:left w:val="nil"/>
              <w:right w:val="nil"/>
            </w:tcBorders>
            <w:shd w:val="clear" w:color="000000" w:fill="A7A9AC"/>
            <w:noWrap/>
            <w:vAlign w:val="center"/>
            <w:hideMark/>
          </w:tcPr>
          <w:p w14:paraId="2252E30B" w14:textId="77777777" w:rsidR="00723E93" w:rsidRPr="007F6332" w:rsidRDefault="00723E93" w:rsidP="006C2D7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5,200</w:t>
            </w:r>
          </w:p>
        </w:tc>
      </w:tr>
      <w:tr w:rsidR="00723E93" w:rsidRPr="007F6332" w14:paraId="133C2B44" w14:textId="77777777" w:rsidTr="00924D86">
        <w:trPr>
          <w:trHeight w:val="397"/>
        </w:trPr>
        <w:tc>
          <w:tcPr>
            <w:tcW w:w="2997" w:type="dxa"/>
            <w:tcBorders>
              <w:left w:val="nil"/>
              <w:bottom w:val="single" w:sz="4" w:space="0" w:color="auto"/>
              <w:right w:val="nil"/>
            </w:tcBorders>
            <w:shd w:val="clear" w:color="auto" w:fill="B398B8"/>
            <w:noWrap/>
            <w:vAlign w:val="center"/>
            <w:hideMark/>
          </w:tcPr>
          <w:p w14:paraId="164FB46E" w14:textId="77777777" w:rsidR="00723E93" w:rsidRPr="007F6332" w:rsidRDefault="00723E93" w:rsidP="00924D86">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1211" w:type="dxa"/>
            <w:tcBorders>
              <w:left w:val="nil"/>
              <w:bottom w:val="single" w:sz="4" w:space="0" w:color="auto"/>
              <w:right w:val="nil"/>
            </w:tcBorders>
            <w:shd w:val="clear" w:color="auto" w:fill="B398B8"/>
            <w:noWrap/>
            <w:vAlign w:val="center"/>
            <w:hideMark/>
          </w:tcPr>
          <w:p w14:paraId="0AC98AF9" w14:textId="77777777" w:rsidR="00723E93" w:rsidRPr="007F6332" w:rsidRDefault="00723E93" w:rsidP="00924D86">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21,000</w:t>
            </w:r>
          </w:p>
        </w:tc>
        <w:tc>
          <w:tcPr>
            <w:tcW w:w="1211" w:type="dxa"/>
            <w:tcBorders>
              <w:left w:val="nil"/>
              <w:bottom w:val="single" w:sz="4" w:space="0" w:color="auto"/>
              <w:right w:val="nil"/>
            </w:tcBorders>
            <w:shd w:val="clear" w:color="auto" w:fill="B398B8"/>
            <w:noWrap/>
            <w:vAlign w:val="center"/>
            <w:hideMark/>
          </w:tcPr>
          <w:p w14:paraId="70E52FF8" w14:textId="77777777" w:rsidR="00723E93" w:rsidRPr="007F6332" w:rsidRDefault="00723E93" w:rsidP="00924D86">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56,500</w:t>
            </w:r>
          </w:p>
        </w:tc>
        <w:tc>
          <w:tcPr>
            <w:tcW w:w="1211" w:type="dxa"/>
            <w:tcBorders>
              <w:left w:val="nil"/>
              <w:bottom w:val="single" w:sz="4" w:space="0" w:color="auto"/>
              <w:right w:val="nil"/>
            </w:tcBorders>
            <w:shd w:val="clear" w:color="auto" w:fill="B398B8"/>
            <w:noWrap/>
            <w:vAlign w:val="center"/>
            <w:hideMark/>
          </w:tcPr>
          <w:p w14:paraId="236E422B" w14:textId="77777777" w:rsidR="00723E93" w:rsidRPr="007F6332" w:rsidRDefault="00723E93" w:rsidP="00924D86">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124,900</w:t>
            </w:r>
          </w:p>
        </w:tc>
        <w:tc>
          <w:tcPr>
            <w:tcW w:w="1211" w:type="dxa"/>
            <w:tcBorders>
              <w:left w:val="nil"/>
              <w:bottom w:val="single" w:sz="4" w:space="0" w:color="auto"/>
              <w:right w:val="nil"/>
            </w:tcBorders>
            <w:shd w:val="clear" w:color="auto" w:fill="B398B8"/>
            <w:noWrap/>
            <w:vAlign w:val="center"/>
            <w:hideMark/>
          </w:tcPr>
          <w:p w14:paraId="57ED35E0" w14:textId="77777777" w:rsidR="00723E93" w:rsidRPr="007F6332" w:rsidRDefault="00723E93" w:rsidP="00924D86">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144,400</w:t>
            </w:r>
          </w:p>
        </w:tc>
        <w:tc>
          <w:tcPr>
            <w:tcW w:w="1211" w:type="dxa"/>
            <w:tcBorders>
              <w:left w:val="nil"/>
              <w:bottom w:val="single" w:sz="4" w:space="0" w:color="auto"/>
              <w:right w:val="nil"/>
            </w:tcBorders>
            <w:shd w:val="clear" w:color="auto" w:fill="B398B8"/>
            <w:noWrap/>
            <w:vAlign w:val="center"/>
            <w:hideMark/>
          </w:tcPr>
          <w:p w14:paraId="4238AC70" w14:textId="77777777" w:rsidR="00723E93" w:rsidRPr="007F6332" w:rsidRDefault="00723E93" w:rsidP="00924D86">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70,600</w:t>
            </w:r>
          </w:p>
        </w:tc>
      </w:tr>
    </w:tbl>
    <w:p w14:paraId="095CC9B0" w14:textId="77777777" w:rsidR="0027383C" w:rsidRPr="007F6332" w:rsidRDefault="0027383C" w:rsidP="001D062D">
      <w:pPr>
        <w:pStyle w:val="FSRnormal"/>
        <w:spacing w:before="0" w:after="0"/>
        <w:rPr>
          <w:rFonts w:cs="Arial"/>
        </w:rPr>
      </w:pPr>
      <w:bookmarkStart w:id="189" w:name="_Toc146286166"/>
      <w:bookmarkStart w:id="190" w:name="_Toc146286502"/>
      <w:bookmarkStart w:id="191" w:name="_Toc152614991"/>
      <w:bookmarkStart w:id="192" w:name="_Toc146286165"/>
      <w:bookmarkStart w:id="193" w:name="_Toc146286501"/>
      <w:bookmarkStart w:id="194" w:name="_Toc146902166"/>
    </w:p>
    <w:p w14:paraId="51E0B968" w14:textId="45D3EDD7" w:rsidR="00F677E3" w:rsidRPr="007F6332" w:rsidRDefault="00F677E3" w:rsidP="001D062D">
      <w:pPr>
        <w:pStyle w:val="Heading3"/>
        <w:ind w:left="709" w:hanging="709"/>
        <w:rPr>
          <w:rFonts w:cs="Arial"/>
        </w:rPr>
      </w:pPr>
      <w:r w:rsidRPr="007F6332">
        <w:rPr>
          <w:rFonts w:cs="Arial"/>
        </w:rPr>
        <w:t>Lifetime expense for care and support</w:t>
      </w:r>
      <w:bookmarkEnd w:id="189"/>
      <w:bookmarkEnd w:id="190"/>
      <w:bookmarkEnd w:id="191"/>
    </w:p>
    <w:p w14:paraId="3535AC7D" w14:textId="77777777" w:rsidR="00F677E3" w:rsidRPr="007F6332" w:rsidRDefault="00F677E3" w:rsidP="00F677E3">
      <w:pPr>
        <w:pStyle w:val="FSRnormal"/>
        <w:rPr>
          <w:rFonts w:cs="Arial"/>
        </w:rPr>
      </w:pPr>
      <w:bookmarkStart w:id="195" w:name="_Ref111734182"/>
      <w:bookmarkStart w:id="196" w:name="_Ref111734177"/>
      <w:r w:rsidRPr="007F6332">
        <w:rPr>
          <w:rFonts w:cs="Arial"/>
        </w:rPr>
        <w:t>In addition to annual projections, the AFSR is required to include estimates of the lifetime expense for care and support (lifetime expense)</w:t>
      </w:r>
      <w:r w:rsidRPr="007F6332">
        <w:rPr>
          <w:rStyle w:val="FootnoteReference"/>
          <w:rFonts w:cs="Arial"/>
        </w:rPr>
        <w:footnoteReference w:id="104"/>
      </w:r>
      <w:r w:rsidRPr="007F6332">
        <w:rPr>
          <w:rFonts w:cs="Arial"/>
        </w:rPr>
        <w:t xml:space="preserve"> for participants. These are estimated Scheme expenses for care and support provided over the participant’s entire lifetime. They provide a useful benchmark to monitor the financial sustainability of the Scheme, as better outcomes for participants should generally result in lower long-term payments of disability support in the future. Therefore, as more experience emerges, the lifetime expense estimates for participants may be expected to reduce, on average.</w:t>
      </w:r>
    </w:p>
    <w:p w14:paraId="67270BDA" w14:textId="295F430E" w:rsidR="00F677E3" w:rsidRPr="007F6332" w:rsidRDefault="00F677E3" w:rsidP="00F677E3">
      <w:pPr>
        <w:pStyle w:val="FSRnormal"/>
        <w:rPr>
          <w:rFonts w:cs="Arial"/>
        </w:rPr>
      </w:pPr>
      <w:r w:rsidRPr="007F6332">
        <w:rPr>
          <w:rFonts w:cs="Arial"/>
        </w:rPr>
        <w:t xml:space="preserve">Average participant lifetime expenses have been projected based on the assumptions underlying the June 2023 projections (including allowance for </w:t>
      </w:r>
      <w:r w:rsidR="002D6881" w:rsidRPr="007F6332">
        <w:rPr>
          <w:rFonts w:cs="Arial"/>
        </w:rPr>
        <w:t>Budget initiatives</w:t>
      </w:r>
      <w:r w:rsidRPr="007F6332">
        <w:rPr>
          <w:rFonts w:cs="Arial"/>
        </w:rPr>
        <w:t>), excluding operating expenses, and then discounted to a present value at 30 June 2023 assuming a long-term discount rate of 5.0% per annum for all future years.</w:t>
      </w:r>
      <w:r w:rsidRPr="007F6332">
        <w:rPr>
          <w:rStyle w:val="FootnoteReference"/>
          <w:rFonts w:cs="Arial"/>
        </w:rPr>
        <w:footnoteReference w:id="105"/>
      </w:r>
    </w:p>
    <w:p w14:paraId="5FFE9F3B" w14:textId="77777777" w:rsidR="00F677E3" w:rsidRPr="007F6332" w:rsidRDefault="00F677E3" w:rsidP="00F677E3">
      <w:pPr>
        <w:pStyle w:val="FSRnormal"/>
        <w:rPr>
          <w:rFonts w:cs="Arial"/>
        </w:rPr>
      </w:pPr>
      <w:r w:rsidRPr="007F6332">
        <w:rPr>
          <w:rFonts w:cs="Arial"/>
        </w:rPr>
        <w:t xml:space="preserve">The lifetime expense is projected separately for both the expected cohort of new entrants to the Scheme during 2023-24 as well as existing participants at 30 June 2023.  </w:t>
      </w:r>
    </w:p>
    <w:p w14:paraId="462F8FFF" w14:textId="77777777" w:rsidR="00F677E3" w:rsidRPr="007F6332" w:rsidRDefault="00F677E3" w:rsidP="00F677E3">
      <w:pPr>
        <w:pStyle w:val="FSRnormal"/>
        <w:rPr>
          <w:rFonts w:cs="Arial"/>
        </w:rPr>
      </w:pPr>
      <w:r w:rsidRPr="007F6332">
        <w:rPr>
          <w:rFonts w:cs="Arial"/>
        </w:rPr>
        <w:t xml:space="preserve">The lifetime expense projection for new entrants does not include participants who are expected to join the Scheme in 2023-24 due to a previously unmet need (PUN). It is intended </w:t>
      </w:r>
      <w:r w:rsidRPr="007F6332">
        <w:rPr>
          <w:rFonts w:cs="Arial"/>
        </w:rPr>
        <w:lastRenderedPageBreak/>
        <w:t>to reflect the underlying profile, and associated expense, of new incidence to disability each year going forward once the Scheme reaches a steady intake state</w:t>
      </w:r>
      <w:r w:rsidRPr="007F6332">
        <w:rPr>
          <w:rStyle w:val="FootnoteReference"/>
          <w:rFonts w:cs="Arial"/>
        </w:rPr>
        <w:footnoteReference w:id="106"/>
      </w:r>
      <w:r w:rsidRPr="007F6332">
        <w:rPr>
          <w:rFonts w:cs="Arial"/>
        </w:rPr>
        <w:t xml:space="preserve">.  </w:t>
      </w:r>
    </w:p>
    <w:p w14:paraId="29B40341" w14:textId="5FFFC2E2" w:rsidR="00F677E3" w:rsidRPr="007F6332" w:rsidRDefault="00F677E3" w:rsidP="00F677E3">
      <w:pPr>
        <w:pStyle w:val="FSRnormal"/>
        <w:rPr>
          <w:rFonts w:cs="Arial"/>
        </w:rPr>
      </w:pPr>
      <w:r w:rsidRPr="007F6332">
        <w:rPr>
          <w:rFonts w:cs="Arial"/>
        </w:rPr>
        <w:t>Table 5.3</w:t>
      </w:r>
      <w:r w:rsidR="00AE3366" w:rsidRPr="007F6332">
        <w:rPr>
          <w:rFonts w:cs="Arial"/>
        </w:rPr>
        <w:t>3</w:t>
      </w:r>
      <w:r w:rsidRPr="007F6332">
        <w:rPr>
          <w:rFonts w:cs="Arial"/>
        </w:rPr>
        <w:t xml:space="preserve"> shows the lifetime expenses for the estimated annual population of new entrants in 2023-24.</w:t>
      </w:r>
    </w:p>
    <w:p w14:paraId="79ED9160" w14:textId="77777777" w:rsidR="00F677E3" w:rsidRPr="007F6332" w:rsidRDefault="00F677E3" w:rsidP="00F677E3">
      <w:pPr>
        <w:pStyle w:val="FSRnormal"/>
        <w:rPr>
          <w:rFonts w:cs="Arial"/>
          <w:szCs w:val="22"/>
        </w:rPr>
      </w:pPr>
      <w:r w:rsidRPr="007F6332">
        <w:rPr>
          <w:rFonts w:cs="Arial"/>
        </w:rPr>
        <w:t xml:space="preserve">The average lifetime expenses are calculated by disability group, defined by the primary disability of the participant when they enter the Scheme, and then applied to the estimated annual population of new entrants in 2023-24 to get the total lifetime expenses. </w:t>
      </w:r>
      <w:r w:rsidRPr="007F6332">
        <w:rPr>
          <w:rFonts w:cs="Arial"/>
          <w:szCs w:val="22"/>
        </w:rPr>
        <w:t>In particular, for participants who enter with developmental delay, lifetime expenses include the cost of supports for those who are later diagnosed with autism, intellectual disability or other permanent disability type and remain in the Scheme into adulthood.</w:t>
      </w:r>
    </w:p>
    <w:p w14:paraId="29EF1BFE" w14:textId="3E03412F" w:rsidR="00F677E3" w:rsidRPr="007F6332" w:rsidRDefault="00F677E3" w:rsidP="00945CBF">
      <w:pPr>
        <w:pStyle w:val="FiguresandTablesHeading4"/>
        <w:rPr>
          <w:rStyle w:val="Heading7Char"/>
          <w:rFonts w:cs="Arial"/>
          <w:b/>
          <w:bCs/>
        </w:rPr>
      </w:pPr>
      <w:r w:rsidRPr="007F6332">
        <w:rPr>
          <w:rStyle w:val="Heading7Char"/>
          <w:rFonts w:cs="Arial"/>
          <w:b/>
          <w:bCs/>
        </w:rPr>
        <w:t xml:space="preserve">Table </w:t>
      </w:r>
      <w:bookmarkEnd w:id="195"/>
      <w:r w:rsidR="0045717D" w:rsidRPr="007F6332">
        <w:rPr>
          <w:rStyle w:val="Heading7Char"/>
          <w:rFonts w:cs="Arial"/>
          <w:b/>
          <w:bCs/>
        </w:rPr>
        <w:t>5.33</w:t>
      </w:r>
      <w:r w:rsidRPr="007F6332">
        <w:rPr>
          <w:rStyle w:val="Heading7Char"/>
          <w:rFonts w:cs="Arial"/>
          <w:b/>
          <w:bCs/>
        </w:rPr>
        <w:t>: Average Payments &amp; Total Lifetime Expenses for New Entrants in 2023-</w:t>
      </w:r>
      <w:bookmarkEnd w:id="196"/>
      <w:r w:rsidRPr="007F6332">
        <w:rPr>
          <w:rStyle w:val="Heading7Char"/>
          <w:rFonts w:cs="Arial"/>
          <w:b/>
          <w:bCs/>
        </w:rPr>
        <w:t xml:space="preserve">24 </w:t>
      </w:r>
    </w:p>
    <w:tbl>
      <w:tblPr>
        <w:tblStyle w:val="FSRtable"/>
        <w:tblW w:w="0" w:type="auto"/>
        <w:tblInd w:w="5" w:type="dxa"/>
        <w:tblLayout w:type="fixed"/>
        <w:tblLook w:val="04A0" w:firstRow="1" w:lastRow="0" w:firstColumn="1" w:lastColumn="0" w:noHBand="0" w:noVBand="1"/>
      </w:tblPr>
      <w:tblGrid>
        <w:gridCol w:w="2240"/>
        <w:gridCol w:w="1700"/>
        <w:gridCol w:w="1867"/>
        <w:gridCol w:w="1701"/>
        <w:gridCol w:w="1513"/>
      </w:tblGrid>
      <w:tr w:rsidR="00F677E3" w:rsidRPr="007F6332" w14:paraId="3DBAD4B4" w14:textId="77777777" w:rsidTr="001C053D">
        <w:trPr>
          <w:cnfStyle w:val="100000000000" w:firstRow="1" w:lastRow="0" w:firstColumn="0" w:lastColumn="0" w:oddVBand="0" w:evenVBand="0" w:oddHBand="0" w:evenHBand="0" w:firstRowFirstColumn="0" w:firstRowLastColumn="0" w:lastRowFirstColumn="0" w:lastRowLastColumn="0"/>
          <w:trHeight w:val="400"/>
          <w:tblHeader/>
        </w:trPr>
        <w:tc>
          <w:tcPr>
            <w:cnfStyle w:val="001000000000" w:firstRow="0" w:lastRow="0" w:firstColumn="1" w:lastColumn="0" w:oddVBand="0" w:evenVBand="0" w:oddHBand="0" w:evenHBand="0" w:firstRowFirstColumn="0" w:firstRowLastColumn="0" w:lastRowFirstColumn="0" w:lastRowLastColumn="0"/>
            <w:tcW w:w="2240" w:type="dxa"/>
            <w:tcBorders>
              <w:bottom w:val="nil"/>
            </w:tcBorders>
            <w:noWrap/>
            <w:hideMark/>
          </w:tcPr>
          <w:p w14:paraId="5511AC86" w14:textId="77777777" w:rsidR="00F677E3" w:rsidRPr="007F6332" w:rsidRDefault="00F677E3" w:rsidP="001C053D">
            <w:pPr>
              <w:spacing w:line="240" w:lineRule="auto"/>
              <w:rPr>
                <w:rFonts w:eastAsia="Times New Roman"/>
                <w:bCs/>
                <w:color w:val="FFFFFF"/>
                <w:szCs w:val="22"/>
                <w:lang w:eastAsia="en-AU"/>
              </w:rPr>
            </w:pPr>
            <w:r w:rsidRPr="007F6332">
              <w:rPr>
                <w:szCs w:val="22"/>
              </w:rPr>
              <w:t xml:space="preserve"> </w:t>
            </w:r>
            <w:r w:rsidRPr="007F6332">
              <w:rPr>
                <w:rFonts w:eastAsia="Times New Roman"/>
                <w:bCs/>
                <w:color w:val="FFFFFF"/>
                <w:szCs w:val="22"/>
                <w:lang w:eastAsia="en-AU"/>
              </w:rPr>
              <w:t>Disability group</w:t>
            </w:r>
          </w:p>
        </w:tc>
        <w:tc>
          <w:tcPr>
            <w:tcW w:w="1700" w:type="dxa"/>
            <w:tcBorders>
              <w:bottom w:val="nil"/>
            </w:tcBorders>
            <w:hideMark/>
          </w:tcPr>
          <w:p w14:paraId="221474F0" w14:textId="77777777" w:rsidR="00F677E3" w:rsidRPr="007F6332" w:rsidRDefault="00F677E3" w:rsidP="001C053D">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New entrant population (2023-24)</w:t>
            </w:r>
          </w:p>
        </w:tc>
        <w:tc>
          <w:tcPr>
            <w:tcW w:w="1867" w:type="dxa"/>
            <w:tcBorders>
              <w:bottom w:val="nil"/>
            </w:tcBorders>
            <w:hideMark/>
          </w:tcPr>
          <w:p w14:paraId="05D6D004" w14:textId="77777777" w:rsidR="00F677E3" w:rsidRPr="007F6332" w:rsidRDefault="00F677E3" w:rsidP="001C053D">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 xml:space="preserve">Average Lifetime </w:t>
            </w:r>
          </w:p>
          <w:p w14:paraId="1CF6DF1B" w14:textId="77777777" w:rsidR="00F677E3" w:rsidRPr="007F6332" w:rsidRDefault="00F677E3" w:rsidP="001C053D">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Expense</w:t>
            </w:r>
            <w:r w:rsidRPr="007F6332">
              <w:rPr>
                <w:rFonts w:eastAsia="Times New Roman"/>
                <w:bCs/>
                <w:color w:val="FFFFFF"/>
                <w:szCs w:val="22"/>
                <w:lang w:eastAsia="en-AU"/>
              </w:rPr>
              <w:br/>
              <w:t>($m)</w:t>
            </w:r>
          </w:p>
        </w:tc>
        <w:tc>
          <w:tcPr>
            <w:tcW w:w="1701" w:type="dxa"/>
            <w:tcBorders>
              <w:bottom w:val="nil"/>
            </w:tcBorders>
            <w:hideMark/>
          </w:tcPr>
          <w:p w14:paraId="45D9C462" w14:textId="77777777" w:rsidR="00F677E3" w:rsidRPr="007F6332" w:rsidRDefault="00F677E3" w:rsidP="001C053D">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 xml:space="preserve">Total </w:t>
            </w:r>
          </w:p>
          <w:p w14:paraId="4E4FB892" w14:textId="77777777" w:rsidR="00F677E3" w:rsidRPr="007F6332" w:rsidRDefault="00F677E3" w:rsidP="001C053D">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Lifetime Expenses</w:t>
            </w:r>
            <w:r w:rsidRPr="007F6332">
              <w:rPr>
                <w:rFonts w:eastAsia="Times New Roman"/>
                <w:bCs/>
                <w:color w:val="FFFFFF"/>
                <w:szCs w:val="22"/>
                <w:lang w:eastAsia="en-AU"/>
              </w:rPr>
              <w:br/>
              <w:t>($m)</w:t>
            </w:r>
          </w:p>
        </w:tc>
        <w:tc>
          <w:tcPr>
            <w:tcW w:w="1513" w:type="dxa"/>
            <w:tcBorders>
              <w:bottom w:val="nil"/>
            </w:tcBorders>
            <w:hideMark/>
          </w:tcPr>
          <w:p w14:paraId="63689221" w14:textId="77777777" w:rsidR="00F677E3" w:rsidRPr="007F6332" w:rsidRDefault="00F677E3" w:rsidP="001C053D">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 xml:space="preserve">Total Lifetime Expenses </w:t>
            </w:r>
            <w:r w:rsidRPr="007F6332">
              <w:rPr>
                <w:rFonts w:eastAsia="Times New Roman"/>
                <w:bCs/>
                <w:color w:val="FFFFFF"/>
                <w:szCs w:val="22"/>
                <w:lang w:eastAsia="en-AU"/>
              </w:rPr>
              <w:br/>
              <w:t>(%)</w:t>
            </w:r>
          </w:p>
        </w:tc>
      </w:tr>
      <w:tr w:rsidR="00F677E3" w:rsidRPr="007F6332" w14:paraId="40043165" w14:textId="77777777" w:rsidTr="00924D86">
        <w:trPr>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000000" w:fill="A7A9AC"/>
            <w:noWrap/>
          </w:tcPr>
          <w:p w14:paraId="437ED9A1"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ABI</w:t>
            </w:r>
          </w:p>
        </w:tc>
        <w:tc>
          <w:tcPr>
            <w:tcW w:w="1700" w:type="dxa"/>
            <w:tcBorders>
              <w:top w:val="nil"/>
              <w:bottom w:val="nil"/>
            </w:tcBorders>
            <w:shd w:val="clear" w:color="000000" w:fill="A7A9AC"/>
            <w:noWrap/>
          </w:tcPr>
          <w:p w14:paraId="746FBFF7"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1,312</w:t>
            </w:r>
          </w:p>
        </w:tc>
        <w:tc>
          <w:tcPr>
            <w:tcW w:w="1867" w:type="dxa"/>
            <w:tcBorders>
              <w:top w:val="nil"/>
              <w:bottom w:val="nil"/>
            </w:tcBorders>
            <w:shd w:val="clear" w:color="000000" w:fill="A7A9AC"/>
            <w:noWrap/>
          </w:tcPr>
          <w:p w14:paraId="7E2455B2"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2.58</w:t>
            </w:r>
          </w:p>
        </w:tc>
        <w:tc>
          <w:tcPr>
            <w:tcW w:w="1701" w:type="dxa"/>
            <w:tcBorders>
              <w:top w:val="nil"/>
              <w:bottom w:val="nil"/>
            </w:tcBorders>
            <w:shd w:val="clear" w:color="000000" w:fill="A7A9AC"/>
            <w:noWrap/>
          </w:tcPr>
          <w:p w14:paraId="52F88E51"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3,387</w:t>
            </w:r>
          </w:p>
        </w:tc>
        <w:tc>
          <w:tcPr>
            <w:tcW w:w="1513" w:type="dxa"/>
            <w:tcBorders>
              <w:top w:val="nil"/>
              <w:bottom w:val="nil"/>
            </w:tcBorders>
            <w:shd w:val="clear" w:color="000000" w:fill="A7A9AC"/>
            <w:noWrap/>
          </w:tcPr>
          <w:p w14:paraId="24788E9F"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w:t>
            </w:r>
          </w:p>
        </w:tc>
      </w:tr>
      <w:tr w:rsidR="00F677E3" w:rsidRPr="007F6332" w14:paraId="6C12FD28" w14:textId="77777777" w:rsidTr="00924D8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auto" w:fill="auto"/>
            <w:noWrap/>
          </w:tcPr>
          <w:p w14:paraId="7BE7BC0A"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Autism</w:t>
            </w:r>
          </w:p>
        </w:tc>
        <w:tc>
          <w:tcPr>
            <w:tcW w:w="1700" w:type="dxa"/>
            <w:tcBorders>
              <w:top w:val="nil"/>
              <w:bottom w:val="nil"/>
            </w:tcBorders>
            <w:shd w:val="clear" w:color="auto" w:fill="auto"/>
            <w:noWrap/>
          </w:tcPr>
          <w:p w14:paraId="0425CF5C"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21,186</w:t>
            </w:r>
          </w:p>
        </w:tc>
        <w:tc>
          <w:tcPr>
            <w:tcW w:w="1867" w:type="dxa"/>
            <w:tcBorders>
              <w:top w:val="nil"/>
              <w:bottom w:val="nil"/>
            </w:tcBorders>
            <w:shd w:val="clear" w:color="auto" w:fill="auto"/>
            <w:noWrap/>
          </w:tcPr>
          <w:p w14:paraId="3990BC7C"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2.41</w:t>
            </w:r>
          </w:p>
        </w:tc>
        <w:tc>
          <w:tcPr>
            <w:tcW w:w="1701" w:type="dxa"/>
            <w:tcBorders>
              <w:top w:val="nil"/>
              <w:bottom w:val="nil"/>
            </w:tcBorders>
            <w:shd w:val="clear" w:color="auto" w:fill="auto"/>
            <w:noWrap/>
          </w:tcPr>
          <w:p w14:paraId="009BC681"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51,113</w:t>
            </w:r>
          </w:p>
        </w:tc>
        <w:tc>
          <w:tcPr>
            <w:tcW w:w="1513" w:type="dxa"/>
            <w:tcBorders>
              <w:top w:val="nil"/>
              <w:bottom w:val="nil"/>
            </w:tcBorders>
            <w:shd w:val="clear" w:color="auto" w:fill="auto"/>
            <w:noWrap/>
          </w:tcPr>
          <w:p w14:paraId="731AF417"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44%</w:t>
            </w:r>
          </w:p>
        </w:tc>
      </w:tr>
      <w:tr w:rsidR="00F677E3" w:rsidRPr="007F6332" w14:paraId="7FFA0ECF" w14:textId="77777777" w:rsidTr="00924D86">
        <w:trPr>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000000" w:fill="A7A9AC"/>
            <w:noWrap/>
          </w:tcPr>
          <w:p w14:paraId="2F86D501"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Cerebral Palsy</w:t>
            </w:r>
          </w:p>
        </w:tc>
        <w:tc>
          <w:tcPr>
            <w:tcW w:w="1700" w:type="dxa"/>
            <w:tcBorders>
              <w:top w:val="nil"/>
              <w:bottom w:val="nil"/>
            </w:tcBorders>
            <w:shd w:val="clear" w:color="000000" w:fill="A7A9AC"/>
            <w:noWrap/>
          </w:tcPr>
          <w:p w14:paraId="62A64960"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449</w:t>
            </w:r>
          </w:p>
        </w:tc>
        <w:tc>
          <w:tcPr>
            <w:tcW w:w="1867" w:type="dxa"/>
            <w:tcBorders>
              <w:top w:val="nil"/>
              <w:bottom w:val="nil"/>
            </w:tcBorders>
            <w:shd w:val="clear" w:color="000000" w:fill="A7A9AC"/>
            <w:noWrap/>
          </w:tcPr>
          <w:p w14:paraId="2059C2B1"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3.17</w:t>
            </w:r>
          </w:p>
        </w:tc>
        <w:tc>
          <w:tcPr>
            <w:tcW w:w="1701" w:type="dxa"/>
            <w:tcBorders>
              <w:top w:val="nil"/>
              <w:bottom w:val="nil"/>
            </w:tcBorders>
            <w:shd w:val="clear" w:color="000000" w:fill="A7A9AC"/>
            <w:noWrap/>
          </w:tcPr>
          <w:p w14:paraId="2E8EB979"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1,421</w:t>
            </w:r>
          </w:p>
        </w:tc>
        <w:tc>
          <w:tcPr>
            <w:tcW w:w="1513" w:type="dxa"/>
            <w:tcBorders>
              <w:top w:val="nil"/>
              <w:bottom w:val="nil"/>
            </w:tcBorders>
            <w:shd w:val="clear" w:color="000000" w:fill="A7A9AC"/>
            <w:noWrap/>
          </w:tcPr>
          <w:p w14:paraId="346E2123"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w:t>
            </w:r>
          </w:p>
        </w:tc>
      </w:tr>
      <w:tr w:rsidR="00F677E3" w:rsidRPr="007F6332" w14:paraId="723FD514" w14:textId="77777777" w:rsidTr="00924D8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auto" w:fill="auto"/>
            <w:noWrap/>
          </w:tcPr>
          <w:p w14:paraId="371705E6"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Hearing Impairment</w:t>
            </w:r>
          </w:p>
        </w:tc>
        <w:tc>
          <w:tcPr>
            <w:tcW w:w="1700" w:type="dxa"/>
            <w:tcBorders>
              <w:top w:val="nil"/>
              <w:bottom w:val="nil"/>
            </w:tcBorders>
            <w:shd w:val="clear" w:color="auto" w:fill="auto"/>
            <w:noWrap/>
          </w:tcPr>
          <w:p w14:paraId="094A1536"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2,019</w:t>
            </w:r>
          </w:p>
        </w:tc>
        <w:tc>
          <w:tcPr>
            <w:tcW w:w="1867" w:type="dxa"/>
            <w:tcBorders>
              <w:top w:val="nil"/>
              <w:bottom w:val="nil"/>
            </w:tcBorders>
            <w:shd w:val="clear" w:color="auto" w:fill="auto"/>
            <w:noWrap/>
          </w:tcPr>
          <w:p w14:paraId="7A1C651F"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0.24</w:t>
            </w:r>
          </w:p>
        </w:tc>
        <w:tc>
          <w:tcPr>
            <w:tcW w:w="1701" w:type="dxa"/>
            <w:tcBorders>
              <w:top w:val="nil"/>
              <w:bottom w:val="nil"/>
            </w:tcBorders>
            <w:shd w:val="clear" w:color="auto" w:fill="auto"/>
            <w:noWrap/>
          </w:tcPr>
          <w:p w14:paraId="2E60526B"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479</w:t>
            </w:r>
          </w:p>
        </w:tc>
        <w:tc>
          <w:tcPr>
            <w:tcW w:w="1513" w:type="dxa"/>
            <w:tcBorders>
              <w:top w:val="nil"/>
              <w:bottom w:val="nil"/>
            </w:tcBorders>
            <w:shd w:val="clear" w:color="auto" w:fill="auto"/>
            <w:noWrap/>
          </w:tcPr>
          <w:p w14:paraId="4046ABF6"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w:t>
            </w:r>
          </w:p>
        </w:tc>
      </w:tr>
      <w:tr w:rsidR="00F677E3" w:rsidRPr="007F6332" w14:paraId="080C987A" w14:textId="77777777" w:rsidTr="00924D86">
        <w:trPr>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000000" w:fill="A7A9AC"/>
            <w:noWrap/>
          </w:tcPr>
          <w:p w14:paraId="15DE62DE"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Intellectual Disability</w:t>
            </w:r>
          </w:p>
        </w:tc>
        <w:tc>
          <w:tcPr>
            <w:tcW w:w="1700" w:type="dxa"/>
            <w:tcBorders>
              <w:top w:val="nil"/>
              <w:bottom w:val="nil"/>
            </w:tcBorders>
            <w:shd w:val="clear" w:color="000000" w:fill="A7A9AC"/>
            <w:noWrap/>
          </w:tcPr>
          <w:p w14:paraId="0F83A935"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3,987</w:t>
            </w:r>
          </w:p>
        </w:tc>
        <w:tc>
          <w:tcPr>
            <w:tcW w:w="1867" w:type="dxa"/>
            <w:tcBorders>
              <w:top w:val="nil"/>
              <w:bottom w:val="nil"/>
            </w:tcBorders>
            <w:shd w:val="clear" w:color="000000" w:fill="A7A9AC"/>
            <w:noWrap/>
          </w:tcPr>
          <w:p w14:paraId="48FEFF77"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3.06</w:t>
            </w:r>
          </w:p>
        </w:tc>
        <w:tc>
          <w:tcPr>
            <w:tcW w:w="1701" w:type="dxa"/>
            <w:tcBorders>
              <w:top w:val="nil"/>
              <w:bottom w:val="nil"/>
            </w:tcBorders>
            <w:shd w:val="clear" w:color="000000" w:fill="A7A9AC"/>
            <w:noWrap/>
          </w:tcPr>
          <w:p w14:paraId="799B4E52"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12,183</w:t>
            </w:r>
          </w:p>
        </w:tc>
        <w:tc>
          <w:tcPr>
            <w:tcW w:w="1513" w:type="dxa"/>
            <w:tcBorders>
              <w:top w:val="nil"/>
              <w:bottom w:val="nil"/>
            </w:tcBorders>
            <w:shd w:val="clear" w:color="000000" w:fill="A7A9AC"/>
            <w:noWrap/>
          </w:tcPr>
          <w:p w14:paraId="561894AD"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10%</w:t>
            </w:r>
          </w:p>
        </w:tc>
      </w:tr>
      <w:tr w:rsidR="00F677E3" w:rsidRPr="007F6332" w14:paraId="6A15AFDA" w14:textId="77777777" w:rsidTr="00924D8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auto" w:fill="auto"/>
            <w:noWrap/>
          </w:tcPr>
          <w:p w14:paraId="66423BD0"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Multiple Sclerosis</w:t>
            </w:r>
          </w:p>
        </w:tc>
        <w:tc>
          <w:tcPr>
            <w:tcW w:w="1700" w:type="dxa"/>
            <w:tcBorders>
              <w:top w:val="nil"/>
              <w:bottom w:val="nil"/>
            </w:tcBorders>
            <w:shd w:val="clear" w:color="auto" w:fill="auto"/>
            <w:noWrap/>
          </w:tcPr>
          <w:p w14:paraId="15FD7CF2"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679</w:t>
            </w:r>
          </w:p>
        </w:tc>
        <w:tc>
          <w:tcPr>
            <w:tcW w:w="1867" w:type="dxa"/>
            <w:tcBorders>
              <w:top w:val="nil"/>
              <w:bottom w:val="nil"/>
            </w:tcBorders>
            <w:shd w:val="clear" w:color="auto" w:fill="auto"/>
            <w:noWrap/>
          </w:tcPr>
          <w:p w14:paraId="38AF1659"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1.49</w:t>
            </w:r>
          </w:p>
        </w:tc>
        <w:tc>
          <w:tcPr>
            <w:tcW w:w="1701" w:type="dxa"/>
            <w:tcBorders>
              <w:top w:val="nil"/>
              <w:bottom w:val="nil"/>
            </w:tcBorders>
            <w:shd w:val="clear" w:color="auto" w:fill="auto"/>
            <w:noWrap/>
          </w:tcPr>
          <w:p w14:paraId="2FF92448"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1,013</w:t>
            </w:r>
          </w:p>
        </w:tc>
        <w:tc>
          <w:tcPr>
            <w:tcW w:w="1513" w:type="dxa"/>
            <w:tcBorders>
              <w:top w:val="nil"/>
              <w:bottom w:val="nil"/>
            </w:tcBorders>
            <w:shd w:val="clear" w:color="auto" w:fill="auto"/>
            <w:noWrap/>
          </w:tcPr>
          <w:p w14:paraId="03F1B0BB"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w:t>
            </w:r>
          </w:p>
        </w:tc>
      </w:tr>
      <w:tr w:rsidR="00F677E3" w:rsidRPr="007F6332" w14:paraId="2A1E50A8" w14:textId="77777777" w:rsidTr="00924D86">
        <w:trPr>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000000" w:fill="A7A9AC"/>
            <w:noWrap/>
          </w:tcPr>
          <w:p w14:paraId="5D0827B1"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Developmental Delay</w:t>
            </w:r>
          </w:p>
        </w:tc>
        <w:tc>
          <w:tcPr>
            <w:tcW w:w="1700" w:type="dxa"/>
            <w:tcBorders>
              <w:top w:val="nil"/>
              <w:bottom w:val="nil"/>
            </w:tcBorders>
            <w:shd w:val="clear" w:color="000000" w:fill="A7A9AC"/>
            <w:noWrap/>
          </w:tcPr>
          <w:p w14:paraId="1CE7A7EA"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28,351</w:t>
            </w:r>
          </w:p>
        </w:tc>
        <w:tc>
          <w:tcPr>
            <w:tcW w:w="1867" w:type="dxa"/>
            <w:tcBorders>
              <w:top w:val="nil"/>
              <w:bottom w:val="nil"/>
            </w:tcBorders>
            <w:shd w:val="clear" w:color="000000" w:fill="A7A9AC"/>
            <w:noWrap/>
          </w:tcPr>
          <w:p w14:paraId="7E218416"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1.10</w:t>
            </w:r>
          </w:p>
        </w:tc>
        <w:tc>
          <w:tcPr>
            <w:tcW w:w="1701" w:type="dxa"/>
            <w:tcBorders>
              <w:top w:val="nil"/>
              <w:bottom w:val="nil"/>
            </w:tcBorders>
            <w:shd w:val="clear" w:color="000000" w:fill="A7A9AC"/>
            <w:noWrap/>
          </w:tcPr>
          <w:p w14:paraId="66D53627"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31,143</w:t>
            </w:r>
          </w:p>
        </w:tc>
        <w:tc>
          <w:tcPr>
            <w:tcW w:w="1513" w:type="dxa"/>
            <w:tcBorders>
              <w:top w:val="nil"/>
              <w:bottom w:val="nil"/>
            </w:tcBorders>
            <w:shd w:val="clear" w:color="000000" w:fill="A7A9AC"/>
            <w:noWrap/>
          </w:tcPr>
          <w:p w14:paraId="1C8B613E"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27%</w:t>
            </w:r>
          </w:p>
        </w:tc>
      </w:tr>
      <w:tr w:rsidR="00F677E3" w:rsidRPr="007F6332" w14:paraId="7223B7E2" w14:textId="77777777" w:rsidTr="00924D8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auto" w:fill="auto"/>
            <w:noWrap/>
          </w:tcPr>
          <w:p w14:paraId="6808FB4B"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Other</w:t>
            </w:r>
          </w:p>
        </w:tc>
        <w:tc>
          <w:tcPr>
            <w:tcW w:w="1700" w:type="dxa"/>
            <w:tcBorders>
              <w:top w:val="nil"/>
              <w:bottom w:val="nil"/>
            </w:tcBorders>
            <w:shd w:val="clear" w:color="auto" w:fill="auto"/>
            <w:noWrap/>
          </w:tcPr>
          <w:p w14:paraId="3B9D6A47"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1,394</w:t>
            </w:r>
          </w:p>
        </w:tc>
        <w:tc>
          <w:tcPr>
            <w:tcW w:w="1867" w:type="dxa"/>
            <w:tcBorders>
              <w:top w:val="nil"/>
              <w:bottom w:val="nil"/>
            </w:tcBorders>
            <w:shd w:val="clear" w:color="auto" w:fill="auto"/>
            <w:noWrap/>
          </w:tcPr>
          <w:p w14:paraId="2102ED34"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1.50</w:t>
            </w:r>
          </w:p>
        </w:tc>
        <w:tc>
          <w:tcPr>
            <w:tcW w:w="1701" w:type="dxa"/>
            <w:tcBorders>
              <w:top w:val="nil"/>
              <w:bottom w:val="nil"/>
            </w:tcBorders>
            <w:shd w:val="clear" w:color="auto" w:fill="auto"/>
            <w:noWrap/>
          </w:tcPr>
          <w:p w14:paraId="08529B57"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2,094</w:t>
            </w:r>
          </w:p>
        </w:tc>
        <w:tc>
          <w:tcPr>
            <w:tcW w:w="1513" w:type="dxa"/>
            <w:tcBorders>
              <w:top w:val="nil"/>
              <w:bottom w:val="nil"/>
            </w:tcBorders>
            <w:shd w:val="clear" w:color="auto" w:fill="auto"/>
            <w:noWrap/>
          </w:tcPr>
          <w:p w14:paraId="641E1BF7"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w:t>
            </w:r>
          </w:p>
        </w:tc>
      </w:tr>
      <w:tr w:rsidR="00F677E3" w:rsidRPr="007F6332" w14:paraId="6D409110" w14:textId="77777777" w:rsidTr="00924D86">
        <w:trPr>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000000" w:fill="A7A9AC"/>
            <w:noWrap/>
          </w:tcPr>
          <w:p w14:paraId="5F523B2E"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Other Neurological</w:t>
            </w:r>
          </w:p>
        </w:tc>
        <w:tc>
          <w:tcPr>
            <w:tcW w:w="1700" w:type="dxa"/>
            <w:tcBorders>
              <w:top w:val="nil"/>
              <w:bottom w:val="nil"/>
            </w:tcBorders>
            <w:shd w:val="clear" w:color="000000" w:fill="A7A9AC"/>
            <w:noWrap/>
          </w:tcPr>
          <w:p w14:paraId="70B54B12"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1,719</w:t>
            </w:r>
          </w:p>
        </w:tc>
        <w:tc>
          <w:tcPr>
            <w:tcW w:w="1867" w:type="dxa"/>
            <w:tcBorders>
              <w:top w:val="nil"/>
              <w:bottom w:val="nil"/>
            </w:tcBorders>
            <w:shd w:val="clear" w:color="000000" w:fill="A7A9AC"/>
            <w:noWrap/>
          </w:tcPr>
          <w:p w14:paraId="760DD8F0"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1.47</w:t>
            </w:r>
          </w:p>
        </w:tc>
        <w:tc>
          <w:tcPr>
            <w:tcW w:w="1701" w:type="dxa"/>
            <w:tcBorders>
              <w:top w:val="nil"/>
              <w:bottom w:val="nil"/>
            </w:tcBorders>
            <w:shd w:val="clear" w:color="000000" w:fill="A7A9AC"/>
            <w:noWrap/>
          </w:tcPr>
          <w:p w14:paraId="0C486281"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2,528</w:t>
            </w:r>
          </w:p>
        </w:tc>
        <w:tc>
          <w:tcPr>
            <w:tcW w:w="1513" w:type="dxa"/>
            <w:tcBorders>
              <w:top w:val="nil"/>
              <w:bottom w:val="nil"/>
            </w:tcBorders>
            <w:shd w:val="clear" w:color="000000" w:fill="A7A9AC"/>
            <w:noWrap/>
          </w:tcPr>
          <w:p w14:paraId="4FF7B751"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w:t>
            </w:r>
          </w:p>
        </w:tc>
      </w:tr>
      <w:tr w:rsidR="00F677E3" w:rsidRPr="007F6332" w14:paraId="0E9F5162" w14:textId="77777777" w:rsidTr="00924D8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auto" w:fill="auto"/>
            <w:noWrap/>
          </w:tcPr>
          <w:p w14:paraId="610A0F91"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Other Physical</w:t>
            </w:r>
          </w:p>
        </w:tc>
        <w:tc>
          <w:tcPr>
            <w:tcW w:w="1700" w:type="dxa"/>
            <w:tcBorders>
              <w:top w:val="nil"/>
              <w:bottom w:val="nil"/>
            </w:tcBorders>
            <w:shd w:val="clear" w:color="auto" w:fill="auto"/>
            <w:noWrap/>
          </w:tcPr>
          <w:p w14:paraId="5A041826"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1,120</w:t>
            </w:r>
          </w:p>
        </w:tc>
        <w:tc>
          <w:tcPr>
            <w:tcW w:w="1867" w:type="dxa"/>
            <w:tcBorders>
              <w:top w:val="nil"/>
              <w:bottom w:val="nil"/>
            </w:tcBorders>
            <w:shd w:val="clear" w:color="auto" w:fill="auto"/>
            <w:noWrap/>
          </w:tcPr>
          <w:p w14:paraId="6A1F47EA"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1.01</w:t>
            </w:r>
          </w:p>
        </w:tc>
        <w:tc>
          <w:tcPr>
            <w:tcW w:w="1701" w:type="dxa"/>
            <w:tcBorders>
              <w:top w:val="nil"/>
              <w:bottom w:val="nil"/>
            </w:tcBorders>
            <w:shd w:val="clear" w:color="auto" w:fill="auto"/>
            <w:noWrap/>
          </w:tcPr>
          <w:p w14:paraId="4D16BB3E"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1,131</w:t>
            </w:r>
          </w:p>
        </w:tc>
        <w:tc>
          <w:tcPr>
            <w:tcW w:w="1513" w:type="dxa"/>
            <w:tcBorders>
              <w:top w:val="nil"/>
              <w:bottom w:val="nil"/>
            </w:tcBorders>
            <w:shd w:val="clear" w:color="auto" w:fill="auto"/>
            <w:noWrap/>
          </w:tcPr>
          <w:p w14:paraId="7C1A0E30"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w:t>
            </w:r>
          </w:p>
        </w:tc>
      </w:tr>
      <w:tr w:rsidR="00F677E3" w:rsidRPr="007F6332" w14:paraId="34BA1E40" w14:textId="77777777" w:rsidTr="00924D86">
        <w:trPr>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000000" w:fill="A7A9AC"/>
            <w:noWrap/>
          </w:tcPr>
          <w:p w14:paraId="1101DF84"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Other Sensory Speech</w:t>
            </w:r>
          </w:p>
        </w:tc>
        <w:tc>
          <w:tcPr>
            <w:tcW w:w="1700" w:type="dxa"/>
            <w:tcBorders>
              <w:top w:val="nil"/>
              <w:bottom w:val="nil"/>
            </w:tcBorders>
            <w:shd w:val="clear" w:color="000000" w:fill="A7A9AC"/>
            <w:noWrap/>
          </w:tcPr>
          <w:p w14:paraId="0FE8864D"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78</w:t>
            </w:r>
          </w:p>
        </w:tc>
        <w:tc>
          <w:tcPr>
            <w:tcW w:w="1867" w:type="dxa"/>
            <w:tcBorders>
              <w:top w:val="nil"/>
              <w:bottom w:val="nil"/>
            </w:tcBorders>
            <w:shd w:val="clear" w:color="000000" w:fill="A7A9AC"/>
            <w:noWrap/>
          </w:tcPr>
          <w:p w14:paraId="6674E60D"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0.07</w:t>
            </w:r>
          </w:p>
        </w:tc>
        <w:tc>
          <w:tcPr>
            <w:tcW w:w="1701" w:type="dxa"/>
            <w:tcBorders>
              <w:top w:val="nil"/>
              <w:bottom w:val="nil"/>
            </w:tcBorders>
            <w:shd w:val="clear" w:color="000000" w:fill="A7A9AC"/>
            <w:noWrap/>
          </w:tcPr>
          <w:p w14:paraId="2DAA75C3"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5</w:t>
            </w:r>
          </w:p>
        </w:tc>
        <w:tc>
          <w:tcPr>
            <w:tcW w:w="1513" w:type="dxa"/>
            <w:tcBorders>
              <w:top w:val="nil"/>
              <w:bottom w:val="nil"/>
            </w:tcBorders>
            <w:shd w:val="clear" w:color="000000" w:fill="A7A9AC"/>
            <w:noWrap/>
          </w:tcPr>
          <w:p w14:paraId="7F748909"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w:t>
            </w:r>
          </w:p>
        </w:tc>
      </w:tr>
      <w:tr w:rsidR="00F677E3" w:rsidRPr="007F6332" w14:paraId="48A77B7D" w14:textId="77777777" w:rsidTr="00924D8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auto" w:fill="auto"/>
            <w:noWrap/>
          </w:tcPr>
          <w:p w14:paraId="63273A04"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Psychosocial disability</w:t>
            </w:r>
          </w:p>
        </w:tc>
        <w:tc>
          <w:tcPr>
            <w:tcW w:w="1700" w:type="dxa"/>
            <w:tcBorders>
              <w:top w:val="nil"/>
              <w:bottom w:val="nil"/>
            </w:tcBorders>
            <w:shd w:val="clear" w:color="auto" w:fill="auto"/>
            <w:noWrap/>
          </w:tcPr>
          <w:p w14:paraId="72E99134"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3,918</w:t>
            </w:r>
          </w:p>
        </w:tc>
        <w:tc>
          <w:tcPr>
            <w:tcW w:w="1867" w:type="dxa"/>
            <w:tcBorders>
              <w:top w:val="nil"/>
              <w:bottom w:val="nil"/>
            </w:tcBorders>
            <w:shd w:val="clear" w:color="auto" w:fill="auto"/>
            <w:noWrap/>
          </w:tcPr>
          <w:p w14:paraId="05746B5C"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1.68</w:t>
            </w:r>
          </w:p>
        </w:tc>
        <w:tc>
          <w:tcPr>
            <w:tcW w:w="1701" w:type="dxa"/>
            <w:tcBorders>
              <w:top w:val="nil"/>
              <w:bottom w:val="nil"/>
            </w:tcBorders>
            <w:shd w:val="clear" w:color="auto" w:fill="auto"/>
            <w:noWrap/>
          </w:tcPr>
          <w:p w14:paraId="5E475873"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6,597</w:t>
            </w:r>
          </w:p>
        </w:tc>
        <w:tc>
          <w:tcPr>
            <w:tcW w:w="1513" w:type="dxa"/>
            <w:tcBorders>
              <w:top w:val="nil"/>
              <w:bottom w:val="nil"/>
            </w:tcBorders>
            <w:shd w:val="clear" w:color="auto" w:fill="auto"/>
            <w:noWrap/>
          </w:tcPr>
          <w:p w14:paraId="72191E2C"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w:t>
            </w:r>
          </w:p>
        </w:tc>
      </w:tr>
      <w:tr w:rsidR="00F677E3" w:rsidRPr="007F6332" w14:paraId="23209848" w14:textId="77777777" w:rsidTr="00924D86">
        <w:trPr>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000000" w:fill="A7A9AC"/>
            <w:noWrap/>
          </w:tcPr>
          <w:p w14:paraId="5C394DD7"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Spinal Cord Injury</w:t>
            </w:r>
          </w:p>
        </w:tc>
        <w:tc>
          <w:tcPr>
            <w:tcW w:w="1700" w:type="dxa"/>
            <w:tcBorders>
              <w:top w:val="nil"/>
              <w:bottom w:val="nil"/>
            </w:tcBorders>
            <w:shd w:val="clear" w:color="000000" w:fill="A7A9AC"/>
            <w:noWrap/>
          </w:tcPr>
          <w:p w14:paraId="1D6C0C5F"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319</w:t>
            </w:r>
          </w:p>
        </w:tc>
        <w:tc>
          <w:tcPr>
            <w:tcW w:w="1867" w:type="dxa"/>
            <w:tcBorders>
              <w:top w:val="nil"/>
              <w:bottom w:val="nil"/>
            </w:tcBorders>
            <w:shd w:val="clear" w:color="000000" w:fill="A7A9AC"/>
            <w:noWrap/>
          </w:tcPr>
          <w:p w14:paraId="55235521"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4.03</w:t>
            </w:r>
          </w:p>
        </w:tc>
        <w:tc>
          <w:tcPr>
            <w:tcW w:w="1701" w:type="dxa"/>
            <w:tcBorders>
              <w:top w:val="nil"/>
              <w:bottom w:val="nil"/>
            </w:tcBorders>
            <w:shd w:val="clear" w:color="000000" w:fill="A7A9AC"/>
            <w:noWrap/>
          </w:tcPr>
          <w:p w14:paraId="4785AACE"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1,287</w:t>
            </w:r>
          </w:p>
        </w:tc>
        <w:tc>
          <w:tcPr>
            <w:tcW w:w="1513" w:type="dxa"/>
            <w:tcBorders>
              <w:top w:val="nil"/>
              <w:bottom w:val="nil"/>
            </w:tcBorders>
            <w:shd w:val="clear" w:color="000000" w:fill="A7A9AC"/>
            <w:noWrap/>
          </w:tcPr>
          <w:p w14:paraId="6DF6762D"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w:t>
            </w:r>
          </w:p>
        </w:tc>
      </w:tr>
      <w:tr w:rsidR="00F677E3" w:rsidRPr="007F6332" w14:paraId="61EA08EA" w14:textId="77777777" w:rsidTr="00924D8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auto" w:fill="auto"/>
            <w:noWrap/>
          </w:tcPr>
          <w:p w14:paraId="347EC66B"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Stroke</w:t>
            </w:r>
          </w:p>
        </w:tc>
        <w:tc>
          <w:tcPr>
            <w:tcW w:w="1700" w:type="dxa"/>
            <w:tcBorders>
              <w:top w:val="nil"/>
              <w:bottom w:val="nil"/>
            </w:tcBorders>
            <w:shd w:val="clear" w:color="auto" w:fill="auto"/>
            <w:noWrap/>
          </w:tcPr>
          <w:p w14:paraId="7E8EBC8D"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832</w:t>
            </w:r>
          </w:p>
        </w:tc>
        <w:tc>
          <w:tcPr>
            <w:tcW w:w="1867" w:type="dxa"/>
            <w:tcBorders>
              <w:top w:val="nil"/>
              <w:bottom w:val="nil"/>
            </w:tcBorders>
            <w:shd w:val="clear" w:color="auto" w:fill="auto"/>
            <w:noWrap/>
          </w:tcPr>
          <w:p w14:paraId="44E46A94"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2.17</w:t>
            </w:r>
          </w:p>
        </w:tc>
        <w:tc>
          <w:tcPr>
            <w:tcW w:w="1701" w:type="dxa"/>
            <w:tcBorders>
              <w:top w:val="nil"/>
              <w:bottom w:val="nil"/>
            </w:tcBorders>
            <w:shd w:val="clear" w:color="auto" w:fill="auto"/>
            <w:noWrap/>
          </w:tcPr>
          <w:p w14:paraId="09D98543"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1,807</w:t>
            </w:r>
          </w:p>
        </w:tc>
        <w:tc>
          <w:tcPr>
            <w:tcW w:w="1513" w:type="dxa"/>
            <w:tcBorders>
              <w:top w:val="nil"/>
              <w:bottom w:val="nil"/>
            </w:tcBorders>
            <w:shd w:val="clear" w:color="auto" w:fill="auto"/>
            <w:noWrap/>
          </w:tcPr>
          <w:p w14:paraId="78DA187A"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w:t>
            </w:r>
          </w:p>
        </w:tc>
      </w:tr>
      <w:tr w:rsidR="00F677E3" w:rsidRPr="007F6332" w14:paraId="0B32498A" w14:textId="77777777" w:rsidTr="00924D86">
        <w:trPr>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nil"/>
            </w:tcBorders>
            <w:shd w:val="clear" w:color="000000" w:fill="A7A9AC"/>
            <w:noWrap/>
          </w:tcPr>
          <w:p w14:paraId="6A64D7F1" w14:textId="77777777" w:rsidR="00F677E3" w:rsidRPr="007F6332" w:rsidRDefault="00F677E3" w:rsidP="001C053D">
            <w:pPr>
              <w:spacing w:line="240" w:lineRule="auto"/>
              <w:rPr>
                <w:rFonts w:eastAsia="Times New Roman" w:cs="Arial"/>
                <w:color w:val="000000"/>
                <w:szCs w:val="22"/>
                <w:lang w:eastAsia="en-AU"/>
              </w:rPr>
            </w:pPr>
            <w:r w:rsidRPr="007F6332">
              <w:rPr>
                <w:rFonts w:eastAsia="Times New Roman" w:cs="Arial"/>
                <w:color w:val="000000"/>
                <w:szCs w:val="22"/>
                <w:lang w:eastAsia="en-AU"/>
              </w:rPr>
              <w:t>Visual Impairment</w:t>
            </w:r>
          </w:p>
        </w:tc>
        <w:tc>
          <w:tcPr>
            <w:tcW w:w="1700" w:type="dxa"/>
            <w:tcBorders>
              <w:top w:val="nil"/>
              <w:bottom w:val="nil"/>
            </w:tcBorders>
            <w:shd w:val="clear" w:color="000000" w:fill="A7A9AC"/>
            <w:noWrap/>
          </w:tcPr>
          <w:p w14:paraId="39BD17B6"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472</w:t>
            </w:r>
          </w:p>
        </w:tc>
        <w:tc>
          <w:tcPr>
            <w:tcW w:w="1867" w:type="dxa"/>
            <w:tcBorders>
              <w:top w:val="nil"/>
              <w:bottom w:val="nil"/>
            </w:tcBorders>
            <w:shd w:val="clear" w:color="000000" w:fill="A7A9AC"/>
            <w:noWrap/>
          </w:tcPr>
          <w:p w14:paraId="26436ED2"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1.02</w:t>
            </w:r>
          </w:p>
        </w:tc>
        <w:tc>
          <w:tcPr>
            <w:tcW w:w="1701" w:type="dxa"/>
            <w:tcBorders>
              <w:top w:val="nil"/>
              <w:bottom w:val="nil"/>
            </w:tcBorders>
            <w:shd w:val="clear" w:color="000000" w:fill="A7A9AC"/>
            <w:noWrap/>
          </w:tcPr>
          <w:p w14:paraId="03FF2FA1"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483</w:t>
            </w:r>
          </w:p>
        </w:tc>
        <w:tc>
          <w:tcPr>
            <w:tcW w:w="1513" w:type="dxa"/>
            <w:tcBorders>
              <w:top w:val="nil"/>
              <w:bottom w:val="nil"/>
            </w:tcBorders>
            <w:shd w:val="clear" w:color="000000" w:fill="A7A9AC"/>
            <w:noWrap/>
          </w:tcPr>
          <w:p w14:paraId="6FD2F5F2" w14:textId="77777777" w:rsidR="00F677E3" w:rsidRPr="007F6332" w:rsidRDefault="00F677E3"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w:t>
            </w:r>
          </w:p>
        </w:tc>
      </w:tr>
      <w:tr w:rsidR="00F677E3" w:rsidRPr="007F6332" w14:paraId="5B0EF71A" w14:textId="77777777" w:rsidTr="00924D8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40" w:type="dxa"/>
            <w:tcBorders>
              <w:top w:val="nil"/>
              <w:bottom w:val="single" w:sz="4" w:space="0" w:color="auto"/>
            </w:tcBorders>
            <w:shd w:val="clear" w:color="auto" w:fill="B398B8"/>
            <w:noWrap/>
          </w:tcPr>
          <w:p w14:paraId="233BFA18" w14:textId="77777777" w:rsidR="00F677E3" w:rsidRPr="007F6332" w:rsidRDefault="00F677E3" w:rsidP="001C053D">
            <w:pPr>
              <w:spacing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1700" w:type="dxa"/>
            <w:tcBorders>
              <w:top w:val="nil"/>
              <w:bottom w:val="single" w:sz="4" w:space="0" w:color="auto"/>
            </w:tcBorders>
            <w:shd w:val="clear" w:color="auto" w:fill="B398B8"/>
            <w:noWrap/>
          </w:tcPr>
          <w:p w14:paraId="4EF61EB8"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67,835</w:t>
            </w:r>
          </w:p>
        </w:tc>
        <w:tc>
          <w:tcPr>
            <w:tcW w:w="1867" w:type="dxa"/>
            <w:tcBorders>
              <w:top w:val="nil"/>
              <w:bottom w:val="single" w:sz="4" w:space="0" w:color="auto"/>
            </w:tcBorders>
            <w:shd w:val="clear" w:color="auto" w:fill="B398B8"/>
            <w:noWrap/>
          </w:tcPr>
          <w:p w14:paraId="530554EE"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1.72</w:t>
            </w:r>
          </w:p>
        </w:tc>
        <w:tc>
          <w:tcPr>
            <w:tcW w:w="1701" w:type="dxa"/>
            <w:tcBorders>
              <w:top w:val="nil"/>
              <w:bottom w:val="single" w:sz="4" w:space="0" w:color="auto"/>
            </w:tcBorders>
            <w:shd w:val="clear" w:color="auto" w:fill="B398B8"/>
            <w:noWrap/>
          </w:tcPr>
          <w:p w14:paraId="0E98115F"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116,671</w:t>
            </w:r>
          </w:p>
        </w:tc>
        <w:tc>
          <w:tcPr>
            <w:tcW w:w="1513" w:type="dxa"/>
            <w:tcBorders>
              <w:top w:val="nil"/>
              <w:bottom w:val="single" w:sz="4" w:space="0" w:color="auto"/>
            </w:tcBorders>
            <w:shd w:val="clear" w:color="auto" w:fill="B398B8"/>
            <w:noWrap/>
          </w:tcPr>
          <w:p w14:paraId="7ADF13FE" w14:textId="77777777" w:rsidR="00F677E3" w:rsidRPr="007F6332" w:rsidRDefault="00F677E3" w:rsidP="001C053D">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100%</w:t>
            </w:r>
          </w:p>
        </w:tc>
      </w:tr>
    </w:tbl>
    <w:p w14:paraId="2AF9C6F4" w14:textId="77777777" w:rsidR="00D710D4" w:rsidRDefault="00D710D4"/>
    <w:tbl>
      <w:tblPr>
        <w:tblStyle w:val="FSRtable"/>
        <w:tblW w:w="0" w:type="auto"/>
        <w:tblInd w:w="5" w:type="dxa"/>
        <w:tblLayout w:type="fixed"/>
        <w:tblLook w:val="04A0" w:firstRow="1" w:lastRow="0" w:firstColumn="1" w:lastColumn="0" w:noHBand="0" w:noVBand="1"/>
      </w:tblPr>
      <w:tblGrid>
        <w:gridCol w:w="2240"/>
        <w:gridCol w:w="1700"/>
      </w:tblGrid>
      <w:tr w:rsidR="00D710D4" w:rsidRPr="007F6332" w14:paraId="295C4EEE" w14:textId="77777777" w:rsidTr="00D710D4">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tcBorders>
              <w:top w:val="nil"/>
              <w:left w:val="nil"/>
              <w:bottom w:val="nil"/>
              <w:right w:val="nil"/>
            </w:tcBorders>
            <w:shd w:val="clear" w:color="auto" w:fill="BFBFBF" w:themeFill="background1" w:themeFillShade="BF"/>
            <w:noWrap/>
          </w:tcPr>
          <w:p w14:paraId="3667200E" w14:textId="2911553D" w:rsidR="00D710D4" w:rsidRPr="000851B7" w:rsidRDefault="00D710D4" w:rsidP="001C053D">
            <w:pPr>
              <w:spacing w:line="240" w:lineRule="auto"/>
              <w:rPr>
                <w:rFonts w:eastAsia="Times New Roman"/>
                <w:b w:val="0"/>
                <w:bCs/>
                <w:color w:val="auto"/>
                <w:szCs w:val="22"/>
                <w:lang w:eastAsia="en-AU"/>
              </w:rPr>
            </w:pPr>
            <w:r w:rsidRPr="000851B7">
              <w:rPr>
                <w:bCs/>
                <w:color w:val="auto"/>
                <w:lang w:val="en-AU"/>
              </w:rPr>
              <w:t>Projected GDP (2023-24)</w:t>
            </w:r>
          </w:p>
        </w:tc>
        <w:tc>
          <w:tcPr>
            <w:tcW w:w="1700" w:type="dxa"/>
            <w:tcBorders>
              <w:top w:val="nil"/>
              <w:left w:val="nil"/>
              <w:bottom w:val="nil"/>
              <w:right w:val="nil"/>
            </w:tcBorders>
            <w:shd w:val="clear" w:color="auto" w:fill="BFBFBF" w:themeFill="background1" w:themeFillShade="BF"/>
            <w:noWrap/>
          </w:tcPr>
          <w:p w14:paraId="2D457EC5" w14:textId="77777777" w:rsidR="00D710D4" w:rsidRPr="000851B7" w:rsidRDefault="00D710D4" w:rsidP="001C053D">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auto"/>
                <w:szCs w:val="22"/>
                <w:lang w:eastAsia="en-AU"/>
              </w:rPr>
            </w:pPr>
            <w:r w:rsidRPr="000851B7">
              <w:rPr>
                <w:bCs/>
                <w:color w:val="auto"/>
                <w:lang w:val="en-AU"/>
              </w:rPr>
              <w:t>2,576,444</w:t>
            </w:r>
          </w:p>
        </w:tc>
      </w:tr>
      <w:tr w:rsidR="00D710D4" w:rsidRPr="007F6332" w14:paraId="5DAD6848" w14:textId="77777777" w:rsidTr="00D710D4">
        <w:trPr>
          <w:trHeight w:val="303"/>
        </w:trPr>
        <w:tc>
          <w:tcPr>
            <w:cnfStyle w:val="001000000000" w:firstRow="0" w:lastRow="0" w:firstColumn="1" w:lastColumn="0" w:oddVBand="0" w:evenVBand="0" w:oddHBand="0" w:evenHBand="0" w:firstRowFirstColumn="0" w:firstRowLastColumn="0" w:lastRowFirstColumn="0" w:lastRowLastColumn="0"/>
            <w:tcW w:w="2240" w:type="dxa"/>
            <w:tcBorders>
              <w:top w:val="nil"/>
              <w:left w:val="nil"/>
              <w:bottom w:val="single" w:sz="4" w:space="0" w:color="auto"/>
            </w:tcBorders>
            <w:shd w:val="clear" w:color="auto" w:fill="B398B8"/>
            <w:noWrap/>
          </w:tcPr>
          <w:p w14:paraId="554CB895" w14:textId="77777777" w:rsidR="00D710D4" w:rsidRPr="007F6332" w:rsidRDefault="00D710D4" w:rsidP="001C053D">
            <w:pPr>
              <w:spacing w:line="240" w:lineRule="auto"/>
              <w:rPr>
                <w:rFonts w:eastAsia="Times New Roman" w:cs="Arial"/>
                <w:b/>
                <w:bCs/>
                <w:color w:val="000000"/>
                <w:szCs w:val="22"/>
                <w:lang w:eastAsia="en-AU"/>
              </w:rPr>
            </w:pPr>
            <w:r w:rsidRPr="007F6332">
              <w:rPr>
                <w:rFonts w:cs="Arial"/>
                <w:b/>
                <w:bCs/>
                <w:lang w:val="en-AU"/>
              </w:rPr>
              <w:t>% of GDP</w:t>
            </w:r>
          </w:p>
        </w:tc>
        <w:tc>
          <w:tcPr>
            <w:tcW w:w="1700" w:type="dxa"/>
            <w:tcBorders>
              <w:top w:val="nil"/>
              <w:bottom w:val="single" w:sz="4" w:space="0" w:color="auto"/>
              <w:right w:val="nil"/>
            </w:tcBorders>
            <w:shd w:val="clear" w:color="auto" w:fill="B398B8"/>
            <w:noWrap/>
          </w:tcPr>
          <w:p w14:paraId="7B5207D6" w14:textId="77777777" w:rsidR="00D710D4" w:rsidRPr="007F6332" w:rsidRDefault="00D710D4" w:rsidP="001C053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r w:rsidRPr="007F6332">
              <w:rPr>
                <w:rFonts w:cs="Arial"/>
                <w:b/>
                <w:bCs/>
                <w:lang w:val="en-AU"/>
              </w:rPr>
              <w:t xml:space="preserve">    4.53%</w:t>
            </w:r>
          </w:p>
        </w:tc>
      </w:tr>
    </w:tbl>
    <w:p w14:paraId="60867476" w14:textId="4D1DAA33" w:rsidR="00F677E3" w:rsidRPr="007F6332" w:rsidRDefault="00F677E3" w:rsidP="00F677E3">
      <w:pPr>
        <w:pStyle w:val="FSRnormal"/>
        <w:rPr>
          <w:rFonts w:cs="Arial"/>
        </w:rPr>
      </w:pPr>
      <w:r w:rsidRPr="007F6332">
        <w:rPr>
          <w:rFonts w:cs="Arial"/>
        </w:rPr>
        <w:lastRenderedPageBreak/>
        <w:t>The total lifetime expenses for the estimated annual population of new entrants in 2023-24 is projected to be $116.7 billion based on the current long-term assumptions, representing 4.53% of projected GDP for 2023-24.</w:t>
      </w:r>
      <w:r w:rsidR="00EA418A" w:rsidRPr="007F6332">
        <w:rPr>
          <w:rFonts w:cs="Arial"/>
        </w:rPr>
        <w:t xml:space="preserve"> </w:t>
      </w:r>
      <w:bookmarkStart w:id="198" w:name="_Hlk148111049"/>
      <w:r w:rsidR="00EA418A" w:rsidRPr="007F6332">
        <w:rPr>
          <w:rFonts w:cs="Arial"/>
        </w:rPr>
        <w:t>This doesn’t mean the government is required to set aside 4.53% of GDP to cover the lifetime expenses for these participants, as the Scheme is funded on an ongoing basis by the government.</w:t>
      </w:r>
      <w:r w:rsidRPr="007F6332">
        <w:rPr>
          <w:rFonts w:cs="Arial"/>
        </w:rPr>
        <w:t xml:space="preserve"> </w:t>
      </w:r>
      <w:bookmarkEnd w:id="198"/>
    </w:p>
    <w:p w14:paraId="212EB8B2" w14:textId="4067027D" w:rsidR="00F677E3" w:rsidRPr="007F6332" w:rsidRDefault="00F677E3" w:rsidP="00F677E3">
      <w:pPr>
        <w:pStyle w:val="FSRnormal"/>
        <w:rPr>
          <w:rFonts w:cs="Arial"/>
        </w:rPr>
      </w:pPr>
      <w:r w:rsidRPr="007F6332">
        <w:rPr>
          <w:rFonts w:cs="Arial"/>
        </w:rPr>
        <w:t>Table 5.3</w:t>
      </w:r>
      <w:r w:rsidR="00F32CAE" w:rsidRPr="007F6332">
        <w:rPr>
          <w:rFonts w:cs="Arial"/>
        </w:rPr>
        <w:t>3</w:t>
      </w:r>
      <w:r w:rsidRPr="007F6332">
        <w:rPr>
          <w:rFonts w:cs="Arial"/>
        </w:rPr>
        <w:t xml:space="preserve"> also shows about 81% of the total lifetime expenses are for participants with autism, developmental delay and intellectual disability. </w:t>
      </w:r>
    </w:p>
    <w:p w14:paraId="187058BD" w14:textId="77777777" w:rsidR="00F677E3" w:rsidRPr="007F6332" w:rsidRDefault="00F677E3" w:rsidP="00F677E3">
      <w:pPr>
        <w:rPr>
          <w:rFonts w:cs="Arial"/>
          <w:lang w:val="en-AU"/>
        </w:rPr>
      </w:pPr>
      <w:r w:rsidRPr="007F6332">
        <w:rPr>
          <w:rFonts w:cs="Arial"/>
          <w:lang w:val="en-AU"/>
        </w:rPr>
        <w:t xml:space="preserve">The total lifetime expenses for the 610,502 current participants in the Scheme are estimated to be $1.76 trillion, representing 68.24% of the projected GDP for 2023-24. </w:t>
      </w:r>
    </w:p>
    <w:p w14:paraId="6EF9538F" w14:textId="5DEB19FD" w:rsidR="00F677E3" w:rsidRPr="007F6332" w:rsidRDefault="00F677E3" w:rsidP="00F677E3">
      <w:pPr>
        <w:rPr>
          <w:rFonts w:cs="Arial"/>
          <w:lang w:val="en-AU"/>
        </w:rPr>
      </w:pPr>
      <w:r w:rsidRPr="007F6332">
        <w:rPr>
          <w:rFonts w:cs="Arial"/>
          <w:lang w:val="en-AU"/>
        </w:rPr>
        <w:t>The estimated average lifetime expense of these participants is $2.9 million per participant which is significantly higher than the average of $1.7 million for new entrants due to the different disability and age distributions of the two populations. In particular, the profile of current participants is skewed towards those with lower functional levels compared with new entrants. The new entrants</w:t>
      </w:r>
      <w:r w:rsidR="00F605D1" w:rsidRPr="007F6332">
        <w:rPr>
          <w:rFonts w:cs="Arial"/>
          <w:lang w:val="en-AU"/>
        </w:rPr>
        <w:t>’</w:t>
      </w:r>
      <w:r w:rsidRPr="007F6332">
        <w:rPr>
          <w:rFonts w:cs="Arial"/>
          <w:lang w:val="en-AU"/>
        </w:rPr>
        <w:t xml:space="preserve"> cohort has a greater number of higher functioning children, many of whom enter the Scheme through the early intervention requirement (Section 25 of the NDIA Act), and who are expected to leave the Scheme and hence have a lower average lifetime expense.</w:t>
      </w:r>
    </w:p>
    <w:p w14:paraId="6D9451B7" w14:textId="77777777" w:rsidR="00976BCD" w:rsidRPr="007F6332" w:rsidRDefault="00976BCD" w:rsidP="001D062D">
      <w:pPr>
        <w:pStyle w:val="Heading3"/>
        <w:ind w:left="709" w:hanging="709"/>
        <w:rPr>
          <w:rFonts w:cs="Arial"/>
        </w:rPr>
      </w:pPr>
      <w:bookmarkStart w:id="199" w:name="_Toc152614992"/>
      <w:r w:rsidRPr="007F6332">
        <w:rPr>
          <w:rFonts w:cs="Arial"/>
        </w:rPr>
        <w:t>Operating expenses</w:t>
      </w:r>
      <w:bookmarkEnd w:id="192"/>
      <w:bookmarkEnd w:id="193"/>
      <w:bookmarkEnd w:id="194"/>
      <w:bookmarkEnd w:id="199"/>
      <w:r w:rsidRPr="007F6332">
        <w:rPr>
          <w:rFonts w:cs="Arial"/>
        </w:rPr>
        <w:t xml:space="preserve"> </w:t>
      </w:r>
    </w:p>
    <w:p w14:paraId="65E538F6" w14:textId="13AED22A" w:rsidR="007C6BE3" w:rsidRPr="007F6332" w:rsidRDefault="007C6BE3" w:rsidP="00723E93">
      <w:pPr>
        <w:rPr>
          <w:rFonts w:cs="Arial"/>
        </w:rPr>
      </w:pPr>
      <w:bookmarkStart w:id="200" w:name="_Hlk148111147"/>
      <w:r w:rsidRPr="007F6332">
        <w:rPr>
          <w:rFonts w:cs="Arial"/>
        </w:rPr>
        <w:t>Agency costs, referred to as “operating expenses”, are costs associated with the operation of the NDIS, including resourcing costs related to participant eligibility assessments and planning, monitoring and reporting of Scheme performance, and governance activities. These costs are separate to Scheme expenses, which represent the total cost of supports and services provided to all participants in the Scheme, before allowance for Agency costs.</w:t>
      </w:r>
    </w:p>
    <w:bookmarkEnd w:id="200"/>
    <w:p w14:paraId="770D8148" w14:textId="08093FE7" w:rsidR="00723E93" w:rsidRPr="007F6332" w:rsidRDefault="00723E93" w:rsidP="00723E93">
      <w:pPr>
        <w:rPr>
          <w:rFonts w:cs="Arial"/>
        </w:rPr>
      </w:pPr>
      <w:r w:rsidRPr="007F6332">
        <w:rPr>
          <w:rFonts w:cs="Arial"/>
        </w:rPr>
        <w:t>Table 5.</w:t>
      </w:r>
      <w:r w:rsidR="006570F1" w:rsidRPr="007F6332">
        <w:rPr>
          <w:rFonts w:cs="Arial"/>
        </w:rPr>
        <w:t>3</w:t>
      </w:r>
      <w:r w:rsidR="00AE3366" w:rsidRPr="007F6332">
        <w:rPr>
          <w:rFonts w:cs="Arial"/>
        </w:rPr>
        <w:t>4</w:t>
      </w:r>
      <w:r w:rsidRPr="007F6332">
        <w:rPr>
          <w:rFonts w:cs="Arial"/>
        </w:rPr>
        <w:t xml:space="preserve"> </w:t>
      </w:r>
      <w:r w:rsidR="00853B01" w:rsidRPr="007F6332">
        <w:rPr>
          <w:rFonts w:cs="Arial"/>
        </w:rPr>
        <w:t>shows actual operating expenses in 2022-23 of $1,830 million, or 5.2% of Scheme expenses, were $2 million lower than the 2023-24 Budget for 2022-23 of $1,832 million.</w:t>
      </w:r>
    </w:p>
    <w:p w14:paraId="3CCBCCE3" w14:textId="0FC6599E" w:rsidR="00723E93" w:rsidRPr="007F6332" w:rsidRDefault="00723E93" w:rsidP="00945CBF">
      <w:pPr>
        <w:pStyle w:val="FiguresandTablesHeading4"/>
        <w:rPr>
          <w:rStyle w:val="Heading7Char"/>
          <w:rFonts w:cs="Arial"/>
          <w:b/>
        </w:rPr>
      </w:pPr>
      <w:r w:rsidRPr="007F6332">
        <w:rPr>
          <w:rStyle w:val="Heading7Char"/>
          <w:rFonts w:cs="Arial"/>
          <w:b/>
        </w:rPr>
        <w:t>Table 5.</w:t>
      </w:r>
      <w:r w:rsidR="006570F1" w:rsidRPr="007F6332">
        <w:rPr>
          <w:rStyle w:val="Heading7Char"/>
          <w:rFonts w:cs="Arial"/>
          <w:b/>
        </w:rPr>
        <w:t>3</w:t>
      </w:r>
      <w:r w:rsidR="00AE3366" w:rsidRPr="007F6332">
        <w:rPr>
          <w:rStyle w:val="Heading7Char"/>
          <w:rFonts w:cs="Arial"/>
          <w:b/>
        </w:rPr>
        <w:t>4</w:t>
      </w:r>
      <w:r w:rsidRPr="007F6332">
        <w:rPr>
          <w:rStyle w:val="Heading7Char"/>
          <w:rFonts w:cs="Arial"/>
          <w:b/>
        </w:rPr>
        <w:t>: Actual operating expenses compared to expectations</w:t>
      </w:r>
    </w:p>
    <w:tbl>
      <w:tblPr>
        <w:tblStyle w:val="ListTable6Colorful"/>
        <w:tblW w:w="0" w:type="auto"/>
        <w:tblLook w:val="04A0" w:firstRow="1" w:lastRow="0" w:firstColumn="1" w:lastColumn="0" w:noHBand="0" w:noVBand="1"/>
      </w:tblPr>
      <w:tblGrid>
        <w:gridCol w:w="4508"/>
        <w:gridCol w:w="4508"/>
      </w:tblGrid>
      <w:tr w:rsidR="00723E93" w:rsidRPr="007F6332" w14:paraId="62434AA7" w14:textId="77777777" w:rsidTr="00924D86">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000000" w:themeColor="text1"/>
            </w:tcBorders>
            <w:shd w:val="clear" w:color="auto" w:fill="6B2976"/>
            <w:vAlign w:val="center"/>
          </w:tcPr>
          <w:p w14:paraId="718007A3" w14:textId="77777777" w:rsidR="00723E93" w:rsidRPr="007F6332" w:rsidRDefault="00723E93" w:rsidP="006C2D75">
            <w:pPr>
              <w:rPr>
                <w:rFonts w:cs="Arial"/>
                <w:color w:val="FFFFFF"/>
              </w:rPr>
            </w:pPr>
            <w:r w:rsidRPr="007F6332">
              <w:rPr>
                <w:rFonts w:cs="Arial"/>
                <w:color w:val="FFFFFF"/>
              </w:rPr>
              <w:t>Operating expenses ($m)</w:t>
            </w:r>
          </w:p>
        </w:tc>
        <w:tc>
          <w:tcPr>
            <w:tcW w:w="4508" w:type="dxa"/>
            <w:tcBorders>
              <w:top w:val="single" w:sz="4" w:space="0" w:color="000000" w:themeColor="text1"/>
            </w:tcBorders>
            <w:shd w:val="clear" w:color="auto" w:fill="6B2976"/>
            <w:vAlign w:val="center"/>
          </w:tcPr>
          <w:p w14:paraId="57B1FCFD" w14:textId="77777777" w:rsidR="00723E93" w:rsidRPr="007F6332" w:rsidRDefault="00723E93" w:rsidP="006C2D75">
            <w:pP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12 months ending 30 June 2023</w:t>
            </w:r>
          </w:p>
        </w:tc>
      </w:tr>
      <w:tr w:rsidR="00723E93" w:rsidRPr="007F6332" w14:paraId="32C67C90" w14:textId="77777777" w:rsidTr="00924D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08" w:type="dxa"/>
            <w:shd w:val="clear" w:color="auto" w:fill="A6A6A6" w:themeFill="background1" w:themeFillShade="A6"/>
            <w:vAlign w:val="center"/>
          </w:tcPr>
          <w:p w14:paraId="4A93D337" w14:textId="77777777" w:rsidR="00723E93" w:rsidRPr="007F6332" w:rsidRDefault="00723E93" w:rsidP="006C2D75">
            <w:pPr>
              <w:rPr>
                <w:rFonts w:cs="Arial"/>
              </w:rPr>
            </w:pPr>
            <w:r w:rsidRPr="007F6332">
              <w:rPr>
                <w:rFonts w:cs="Arial"/>
              </w:rPr>
              <w:t>Actual</w:t>
            </w:r>
          </w:p>
        </w:tc>
        <w:tc>
          <w:tcPr>
            <w:tcW w:w="4508" w:type="dxa"/>
            <w:shd w:val="clear" w:color="auto" w:fill="A6A6A6" w:themeFill="background1" w:themeFillShade="A6"/>
            <w:vAlign w:val="center"/>
          </w:tcPr>
          <w:p w14:paraId="241ACA10" w14:textId="77777777" w:rsidR="00723E93" w:rsidRPr="007F6332" w:rsidRDefault="00723E93" w:rsidP="00601486">
            <w:pPr>
              <w:ind w:left="1192" w:right="2249"/>
              <w:jc w:val="right"/>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1,830</w:t>
            </w:r>
          </w:p>
        </w:tc>
      </w:tr>
      <w:tr w:rsidR="00723E93" w:rsidRPr="007F6332" w14:paraId="326EC77E" w14:textId="77777777" w:rsidTr="00924D86">
        <w:trPr>
          <w:trHeight w:val="39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3A5755C" w14:textId="31083728" w:rsidR="00723E93" w:rsidRPr="007F6332" w:rsidRDefault="00723E93" w:rsidP="006C2D75">
            <w:pPr>
              <w:rPr>
                <w:rFonts w:cs="Arial"/>
                <w:b w:val="0"/>
                <w:bCs w:val="0"/>
              </w:rPr>
            </w:pPr>
            <w:r w:rsidRPr="007F6332">
              <w:rPr>
                <w:rFonts w:cs="Arial"/>
                <w:b w:val="0"/>
                <w:bCs w:val="0"/>
              </w:rPr>
              <w:t>(2023-24 Budget)</w:t>
            </w:r>
          </w:p>
        </w:tc>
        <w:tc>
          <w:tcPr>
            <w:tcW w:w="4508" w:type="dxa"/>
            <w:shd w:val="clear" w:color="auto" w:fill="auto"/>
            <w:vAlign w:val="center"/>
          </w:tcPr>
          <w:p w14:paraId="7D94041D" w14:textId="77777777" w:rsidR="00723E93" w:rsidRPr="007F6332" w:rsidRDefault="00723E93" w:rsidP="00601486">
            <w:pPr>
              <w:ind w:left="1192" w:right="2249"/>
              <w:jc w:val="right"/>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1,832</w:t>
            </w:r>
          </w:p>
        </w:tc>
      </w:tr>
      <w:tr w:rsidR="00723E93" w:rsidRPr="007F6332" w14:paraId="057A5EFE" w14:textId="77777777" w:rsidTr="00924D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08" w:type="dxa"/>
            <w:shd w:val="clear" w:color="auto" w:fill="A6A6A6" w:themeFill="background1" w:themeFillShade="A6"/>
            <w:vAlign w:val="center"/>
          </w:tcPr>
          <w:p w14:paraId="5EE80975" w14:textId="77777777" w:rsidR="00723E93" w:rsidRPr="007F6332" w:rsidRDefault="00723E93" w:rsidP="006C2D75">
            <w:pPr>
              <w:rPr>
                <w:rFonts w:cs="Arial"/>
              </w:rPr>
            </w:pPr>
            <w:r w:rsidRPr="007F6332">
              <w:rPr>
                <w:rFonts w:cs="Arial"/>
              </w:rPr>
              <w:t>Difference (Actual – Budget)</w:t>
            </w:r>
          </w:p>
        </w:tc>
        <w:tc>
          <w:tcPr>
            <w:tcW w:w="4508" w:type="dxa"/>
            <w:shd w:val="clear" w:color="auto" w:fill="A6A6A6" w:themeFill="background1" w:themeFillShade="A6"/>
            <w:vAlign w:val="center"/>
          </w:tcPr>
          <w:p w14:paraId="06BFC1CC" w14:textId="77777777" w:rsidR="00723E93" w:rsidRPr="007F6332" w:rsidRDefault="00723E93" w:rsidP="00601486">
            <w:pPr>
              <w:ind w:left="1192" w:right="2249"/>
              <w:jc w:val="right"/>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-2</w:t>
            </w:r>
          </w:p>
        </w:tc>
      </w:tr>
    </w:tbl>
    <w:p w14:paraId="1E71A245" w14:textId="77777777" w:rsidR="00976BCD" w:rsidRPr="007F6332" w:rsidRDefault="00976BCD" w:rsidP="00976BCD">
      <w:pPr>
        <w:spacing w:before="240"/>
        <w:rPr>
          <w:rFonts w:cs="Arial"/>
        </w:rPr>
      </w:pPr>
      <w:r w:rsidRPr="007F6332">
        <w:rPr>
          <w:rFonts w:cs="Arial"/>
        </w:rPr>
        <w:t xml:space="preserve">Additional operating expenses of $732.9 million, over four years from 2023-24, are included in the 2023-24 Budget for measures to support participant outcomes and the effective sustainable operation of the Scheme. </w:t>
      </w:r>
    </w:p>
    <w:p w14:paraId="13964C7A" w14:textId="77777777" w:rsidR="00924D86" w:rsidRPr="007F6332" w:rsidRDefault="00976BCD" w:rsidP="00924D86">
      <w:pPr>
        <w:spacing w:before="120"/>
        <w:rPr>
          <w:rFonts w:cs="Arial"/>
        </w:rPr>
      </w:pPr>
      <w:r w:rsidRPr="007F6332">
        <w:rPr>
          <w:rFonts w:cs="Arial"/>
        </w:rPr>
        <w:t>Table 5.3</w:t>
      </w:r>
      <w:r w:rsidR="00AE3366" w:rsidRPr="007F6332">
        <w:rPr>
          <w:rFonts w:cs="Arial"/>
        </w:rPr>
        <w:t>5</w:t>
      </w:r>
      <w:r w:rsidRPr="007F6332">
        <w:rPr>
          <w:rFonts w:cs="Arial"/>
        </w:rPr>
        <w:t xml:space="preserve"> shows projected operating expenses, assuming fixed real cost per participant compared with the 2023-24 budgeted expense, and after allowing for the Budget measures. On this basis, operating expenses would reduce as a percentage of Scheme expenses from </w:t>
      </w:r>
      <w:r w:rsidRPr="007F6332">
        <w:rPr>
          <w:rFonts w:cs="Arial"/>
        </w:rPr>
        <w:lastRenderedPageBreak/>
        <w:t>5.2% in 2023-24 to 4.2% in 2026-27. Projected operating expenses of $2,156 million in 2023-24 are $326 million (17.4%) higher than actual operating expenses in 2022-23, of which $280 million is funding related to the Budget measures. This investment from 2023-24 is focused on continuing to build frontline capability and capacity, to improve participants</w:t>
      </w:r>
      <w:r w:rsidR="0013502A" w:rsidRPr="007F6332">
        <w:rPr>
          <w:rFonts w:cs="Arial"/>
        </w:rPr>
        <w:t>’</w:t>
      </w:r>
      <w:r w:rsidRPr="007F6332">
        <w:rPr>
          <w:rFonts w:cs="Arial"/>
        </w:rPr>
        <w:t xml:space="preserve"> experience and associated outcomes</w:t>
      </w:r>
      <w:r w:rsidR="00601486" w:rsidRPr="007F6332">
        <w:rPr>
          <w:rFonts w:cs="Arial"/>
        </w:rPr>
        <w:t>.</w:t>
      </w:r>
    </w:p>
    <w:p w14:paraId="39E94ECC" w14:textId="7AF7E843" w:rsidR="00723E93" w:rsidRPr="007F6332" w:rsidRDefault="00723E93" w:rsidP="00945CBF">
      <w:pPr>
        <w:pStyle w:val="FiguresandTablesHeading4"/>
      </w:pPr>
      <w:r w:rsidRPr="007F6332">
        <w:t>Table 5.</w:t>
      </w:r>
      <w:r w:rsidR="006570F1" w:rsidRPr="007F6332">
        <w:t>3</w:t>
      </w:r>
      <w:r w:rsidR="00AE3366" w:rsidRPr="007F6332">
        <w:t>5</w:t>
      </w:r>
      <w:r w:rsidRPr="007F6332">
        <w:t>: Operating expenses as a percentage of Scheme expenses</w:t>
      </w:r>
    </w:p>
    <w:tbl>
      <w:tblPr>
        <w:tblStyle w:val="GridTable6Colorful"/>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997"/>
        <w:gridCol w:w="1595"/>
        <w:gridCol w:w="1098"/>
        <w:gridCol w:w="1417"/>
        <w:gridCol w:w="1135"/>
      </w:tblGrid>
      <w:tr w:rsidR="008F5358" w:rsidRPr="007F6332" w14:paraId="20D33D8F" w14:textId="77777777" w:rsidTr="008F53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6B2976"/>
          </w:tcPr>
          <w:p w14:paraId="494CDBB6" w14:textId="77777777" w:rsidR="00924D86" w:rsidRPr="007F6332" w:rsidRDefault="008F5358" w:rsidP="004919CA">
            <w:pPr>
              <w:rPr>
                <w:rFonts w:cs="Arial"/>
                <w:b w:val="0"/>
                <w:bCs w:val="0"/>
                <w:color w:val="FFFFFF"/>
              </w:rPr>
            </w:pPr>
            <w:r w:rsidRPr="007F6332">
              <w:rPr>
                <w:rFonts w:cs="Arial"/>
                <w:color w:val="FFFFFF"/>
              </w:rPr>
              <w:t xml:space="preserve">June 2023 </w:t>
            </w:r>
          </w:p>
          <w:p w14:paraId="742D2A6A" w14:textId="61B71FD3" w:rsidR="008F5358" w:rsidRPr="007F6332" w:rsidRDefault="008F5358" w:rsidP="004919CA">
            <w:pPr>
              <w:rPr>
                <w:rFonts w:cs="Arial"/>
                <w:color w:val="FFFFFF"/>
              </w:rPr>
            </w:pPr>
            <w:r w:rsidRPr="007F6332">
              <w:rPr>
                <w:rFonts w:cs="Arial"/>
                <w:color w:val="FFFFFF"/>
              </w:rPr>
              <w:t>projections ($m)</w:t>
            </w:r>
          </w:p>
        </w:tc>
        <w:tc>
          <w:tcPr>
            <w:tcW w:w="997" w:type="dxa"/>
            <w:shd w:val="clear" w:color="auto" w:fill="6B2976"/>
            <w:vAlign w:val="center"/>
          </w:tcPr>
          <w:p w14:paraId="03C1247D" w14:textId="77777777" w:rsidR="008F5358" w:rsidRPr="007F6332" w:rsidRDefault="008F5358" w:rsidP="008F5358">
            <w:pPr>
              <w:ind w:left="-102"/>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2023-24</w:t>
            </w:r>
          </w:p>
        </w:tc>
        <w:tc>
          <w:tcPr>
            <w:tcW w:w="1595" w:type="dxa"/>
            <w:shd w:val="clear" w:color="auto" w:fill="6B2976"/>
            <w:vAlign w:val="center"/>
          </w:tcPr>
          <w:p w14:paraId="23A18C2E"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2024-25</w:t>
            </w:r>
          </w:p>
        </w:tc>
        <w:tc>
          <w:tcPr>
            <w:tcW w:w="1098" w:type="dxa"/>
            <w:shd w:val="clear" w:color="auto" w:fill="6B2976"/>
            <w:vAlign w:val="center"/>
          </w:tcPr>
          <w:p w14:paraId="078B801B"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2025-26</w:t>
            </w:r>
          </w:p>
        </w:tc>
        <w:tc>
          <w:tcPr>
            <w:tcW w:w="1417" w:type="dxa"/>
            <w:shd w:val="clear" w:color="auto" w:fill="6B2976"/>
            <w:vAlign w:val="center"/>
          </w:tcPr>
          <w:p w14:paraId="0DBE328D"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2026-27</w:t>
            </w:r>
          </w:p>
        </w:tc>
        <w:tc>
          <w:tcPr>
            <w:tcW w:w="1135" w:type="dxa"/>
            <w:shd w:val="clear" w:color="auto" w:fill="6B2976"/>
            <w:vAlign w:val="center"/>
          </w:tcPr>
          <w:p w14:paraId="54A5FB2D"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Total</w:t>
            </w:r>
          </w:p>
          <w:p w14:paraId="7EA1D0C6"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2023-27</w:t>
            </w:r>
          </w:p>
        </w:tc>
      </w:tr>
      <w:tr w:rsidR="008F5358" w:rsidRPr="007F6332" w14:paraId="4625F00B" w14:textId="77777777" w:rsidTr="00924D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89" w:type="dxa"/>
            <w:shd w:val="clear" w:color="auto" w:fill="B398B8"/>
            <w:vAlign w:val="center"/>
          </w:tcPr>
          <w:p w14:paraId="62ED53B7" w14:textId="77777777" w:rsidR="008F5358" w:rsidRPr="007F6332" w:rsidRDefault="008F5358" w:rsidP="004919CA">
            <w:pPr>
              <w:rPr>
                <w:rFonts w:cs="Arial"/>
              </w:rPr>
            </w:pPr>
            <w:r w:rsidRPr="007F6332">
              <w:rPr>
                <w:rFonts w:cs="Arial"/>
              </w:rPr>
              <w:t>Scheme expenses</w:t>
            </w:r>
          </w:p>
        </w:tc>
        <w:tc>
          <w:tcPr>
            <w:tcW w:w="997" w:type="dxa"/>
            <w:shd w:val="clear" w:color="auto" w:fill="B398B8"/>
            <w:vAlign w:val="center"/>
          </w:tcPr>
          <w:p w14:paraId="45B1793C"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41,360</w:t>
            </w:r>
          </w:p>
        </w:tc>
        <w:tc>
          <w:tcPr>
            <w:tcW w:w="1595" w:type="dxa"/>
            <w:shd w:val="clear" w:color="auto" w:fill="B398B8"/>
            <w:vAlign w:val="center"/>
          </w:tcPr>
          <w:p w14:paraId="4484BFE6"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46,376</w:t>
            </w:r>
          </w:p>
        </w:tc>
        <w:tc>
          <w:tcPr>
            <w:tcW w:w="1098" w:type="dxa"/>
            <w:shd w:val="clear" w:color="auto" w:fill="B398B8"/>
            <w:vAlign w:val="center"/>
          </w:tcPr>
          <w:p w14:paraId="33C2B0E0"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50,788</w:t>
            </w:r>
          </w:p>
        </w:tc>
        <w:tc>
          <w:tcPr>
            <w:tcW w:w="1417" w:type="dxa"/>
            <w:shd w:val="clear" w:color="auto" w:fill="B398B8"/>
            <w:vAlign w:val="center"/>
          </w:tcPr>
          <w:p w14:paraId="4F083E71"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55,207</w:t>
            </w:r>
          </w:p>
        </w:tc>
        <w:tc>
          <w:tcPr>
            <w:tcW w:w="1135" w:type="dxa"/>
            <w:shd w:val="clear" w:color="auto" w:fill="B398B8"/>
            <w:vAlign w:val="center"/>
          </w:tcPr>
          <w:p w14:paraId="0A505051"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b/>
                <w:bCs/>
              </w:rPr>
            </w:pPr>
            <w:r w:rsidRPr="007F6332">
              <w:rPr>
                <w:rFonts w:cs="Arial"/>
                <w:b/>
                <w:bCs/>
              </w:rPr>
              <w:t>193,731</w:t>
            </w:r>
          </w:p>
        </w:tc>
      </w:tr>
      <w:tr w:rsidR="008F5358" w:rsidRPr="007F6332" w14:paraId="0545CFFA" w14:textId="77777777" w:rsidTr="00924D86">
        <w:trPr>
          <w:trHeight w:val="397"/>
        </w:trPr>
        <w:tc>
          <w:tcPr>
            <w:cnfStyle w:val="001000000000" w:firstRow="0" w:lastRow="0" w:firstColumn="1" w:lastColumn="0" w:oddVBand="0" w:evenVBand="0" w:oddHBand="0" w:evenHBand="0" w:firstRowFirstColumn="0" w:firstRowLastColumn="0" w:lastRowFirstColumn="0" w:lastRowLastColumn="0"/>
            <w:tcW w:w="2689" w:type="dxa"/>
            <w:shd w:val="clear" w:color="auto" w:fill="A7A9AC"/>
            <w:vAlign w:val="center"/>
          </w:tcPr>
          <w:p w14:paraId="3876ADD0" w14:textId="77777777" w:rsidR="008F5358" w:rsidRPr="007F6332" w:rsidRDefault="008F5358" w:rsidP="004919CA">
            <w:pPr>
              <w:rPr>
                <w:rFonts w:cs="Arial"/>
                <w:color w:val="000000"/>
              </w:rPr>
            </w:pPr>
            <w:r w:rsidRPr="007F6332">
              <w:rPr>
                <w:rFonts w:cs="Arial"/>
                <w:color w:val="000000"/>
              </w:rPr>
              <w:t>Operating expenses – BAU</w:t>
            </w:r>
          </w:p>
        </w:tc>
        <w:tc>
          <w:tcPr>
            <w:tcW w:w="997" w:type="dxa"/>
            <w:shd w:val="clear" w:color="auto" w:fill="A7A9AC"/>
            <w:vAlign w:val="center"/>
          </w:tcPr>
          <w:p w14:paraId="3BF6D9E8"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1,875</w:t>
            </w:r>
          </w:p>
        </w:tc>
        <w:tc>
          <w:tcPr>
            <w:tcW w:w="1595" w:type="dxa"/>
            <w:shd w:val="clear" w:color="auto" w:fill="A7A9AC"/>
            <w:vAlign w:val="center"/>
          </w:tcPr>
          <w:p w14:paraId="08126EDA"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1,983</w:t>
            </w:r>
          </w:p>
        </w:tc>
        <w:tc>
          <w:tcPr>
            <w:tcW w:w="1098" w:type="dxa"/>
            <w:shd w:val="clear" w:color="auto" w:fill="A7A9AC"/>
            <w:vAlign w:val="center"/>
          </w:tcPr>
          <w:p w14:paraId="4633654E"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2,067</w:t>
            </w:r>
          </w:p>
        </w:tc>
        <w:tc>
          <w:tcPr>
            <w:tcW w:w="1417" w:type="dxa"/>
            <w:shd w:val="clear" w:color="auto" w:fill="A7A9AC"/>
            <w:vAlign w:val="center"/>
          </w:tcPr>
          <w:p w14:paraId="3CC23F72"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2,191</w:t>
            </w:r>
          </w:p>
        </w:tc>
        <w:tc>
          <w:tcPr>
            <w:tcW w:w="1135" w:type="dxa"/>
            <w:shd w:val="clear" w:color="auto" w:fill="A7A9AC"/>
            <w:vAlign w:val="center"/>
          </w:tcPr>
          <w:p w14:paraId="0308D7A7"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sidRPr="007F6332">
              <w:rPr>
                <w:rFonts w:cs="Arial"/>
                <w:b/>
                <w:bCs/>
                <w:color w:val="000000"/>
              </w:rPr>
              <w:t>8,117</w:t>
            </w:r>
          </w:p>
        </w:tc>
      </w:tr>
      <w:tr w:rsidR="008F5358" w:rsidRPr="007F6332" w14:paraId="20D09BE6" w14:textId="77777777" w:rsidTr="00924D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6248670A" w14:textId="77777777" w:rsidR="008F5358" w:rsidRPr="007F6332" w:rsidRDefault="008F5358" w:rsidP="004919CA">
            <w:pPr>
              <w:rPr>
                <w:rFonts w:cs="Arial"/>
              </w:rPr>
            </w:pPr>
            <w:r w:rsidRPr="007F6332">
              <w:rPr>
                <w:rFonts w:cs="Arial"/>
              </w:rPr>
              <w:t>Budget measures</w:t>
            </w:r>
          </w:p>
        </w:tc>
        <w:tc>
          <w:tcPr>
            <w:tcW w:w="997" w:type="dxa"/>
            <w:shd w:val="clear" w:color="auto" w:fill="FFFFFF" w:themeFill="background1"/>
            <w:vAlign w:val="center"/>
          </w:tcPr>
          <w:p w14:paraId="0EA5C477"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280</w:t>
            </w:r>
          </w:p>
        </w:tc>
        <w:tc>
          <w:tcPr>
            <w:tcW w:w="1595" w:type="dxa"/>
            <w:shd w:val="clear" w:color="auto" w:fill="FFFFFF" w:themeFill="background1"/>
            <w:vAlign w:val="center"/>
          </w:tcPr>
          <w:p w14:paraId="086ECB9F"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183</w:t>
            </w:r>
          </w:p>
        </w:tc>
        <w:tc>
          <w:tcPr>
            <w:tcW w:w="1098" w:type="dxa"/>
            <w:shd w:val="clear" w:color="auto" w:fill="FFFFFF" w:themeFill="background1"/>
            <w:vAlign w:val="center"/>
          </w:tcPr>
          <w:p w14:paraId="1D8643B1"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136</w:t>
            </w:r>
          </w:p>
        </w:tc>
        <w:tc>
          <w:tcPr>
            <w:tcW w:w="1417" w:type="dxa"/>
            <w:shd w:val="clear" w:color="auto" w:fill="FFFFFF" w:themeFill="background1"/>
            <w:vAlign w:val="center"/>
          </w:tcPr>
          <w:p w14:paraId="42DFA83B"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rPr>
            </w:pPr>
            <w:r w:rsidRPr="007F6332">
              <w:rPr>
                <w:rFonts w:cs="Arial"/>
              </w:rPr>
              <w:t>135</w:t>
            </w:r>
          </w:p>
        </w:tc>
        <w:tc>
          <w:tcPr>
            <w:tcW w:w="1135" w:type="dxa"/>
            <w:shd w:val="clear" w:color="auto" w:fill="FFFFFF" w:themeFill="background1"/>
            <w:vAlign w:val="center"/>
          </w:tcPr>
          <w:p w14:paraId="1945AB7D"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b/>
                <w:bCs/>
              </w:rPr>
            </w:pPr>
            <w:r w:rsidRPr="007F6332">
              <w:rPr>
                <w:rFonts w:cs="Arial"/>
                <w:b/>
                <w:bCs/>
              </w:rPr>
              <w:t>733</w:t>
            </w:r>
          </w:p>
        </w:tc>
      </w:tr>
      <w:tr w:rsidR="008F5358" w:rsidRPr="007F6332" w14:paraId="0B147EDB" w14:textId="77777777" w:rsidTr="00924D86">
        <w:trPr>
          <w:trHeight w:val="397"/>
        </w:trPr>
        <w:tc>
          <w:tcPr>
            <w:cnfStyle w:val="001000000000" w:firstRow="0" w:lastRow="0" w:firstColumn="1" w:lastColumn="0" w:oddVBand="0" w:evenVBand="0" w:oddHBand="0" w:evenHBand="0" w:firstRowFirstColumn="0" w:firstRowLastColumn="0" w:lastRowFirstColumn="0" w:lastRowLastColumn="0"/>
            <w:tcW w:w="2689" w:type="dxa"/>
            <w:shd w:val="clear" w:color="auto" w:fill="A6A6A6" w:themeFill="background1" w:themeFillShade="A6"/>
            <w:vAlign w:val="center"/>
          </w:tcPr>
          <w:p w14:paraId="7DF996F3" w14:textId="77777777" w:rsidR="008F5358" w:rsidRPr="007F6332" w:rsidRDefault="008F5358" w:rsidP="004919CA">
            <w:pPr>
              <w:rPr>
                <w:rFonts w:cs="Arial"/>
              </w:rPr>
            </w:pPr>
            <w:r w:rsidRPr="007F6332">
              <w:rPr>
                <w:rFonts w:cs="Arial"/>
              </w:rPr>
              <w:t>Operating expenses – incl. Budget measures</w:t>
            </w:r>
            <w:r w:rsidRPr="007F6332">
              <w:rPr>
                <w:rFonts w:cs="Arial"/>
                <w:vertAlign w:val="superscript"/>
              </w:rPr>
              <w:footnoteReference w:id="107"/>
            </w:r>
          </w:p>
        </w:tc>
        <w:tc>
          <w:tcPr>
            <w:tcW w:w="997" w:type="dxa"/>
            <w:shd w:val="clear" w:color="auto" w:fill="A6A6A6" w:themeFill="background1" w:themeFillShade="A6"/>
            <w:vAlign w:val="center"/>
          </w:tcPr>
          <w:p w14:paraId="6B20E4A8"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2,156</w:t>
            </w:r>
          </w:p>
        </w:tc>
        <w:tc>
          <w:tcPr>
            <w:tcW w:w="1595" w:type="dxa"/>
            <w:shd w:val="clear" w:color="auto" w:fill="A6A6A6" w:themeFill="background1" w:themeFillShade="A6"/>
            <w:vAlign w:val="center"/>
          </w:tcPr>
          <w:p w14:paraId="67F0EEF3"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2,166</w:t>
            </w:r>
          </w:p>
        </w:tc>
        <w:tc>
          <w:tcPr>
            <w:tcW w:w="1098" w:type="dxa"/>
            <w:shd w:val="clear" w:color="auto" w:fill="A6A6A6" w:themeFill="background1" w:themeFillShade="A6"/>
            <w:vAlign w:val="center"/>
          </w:tcPr>
          <w:p w14:paraId="210BCC1A"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2,203</w:t>
            </w:r>
          </w:p>
        </w:tc>
        <w:tc>
          <w:tcPr>
            <w:tcW w:w="1417" w:type="dxa"/>
            <w:shd w:val="clear" w:color="auto" w:fill="A6A6A6" w:themeFill="background1" w:themeFillShade="A6"/>
            <w:vAlign w:val="center"/>
          </w:tcPr>
          <w:p w14:paraId="5CA1C388"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2,326</w:t>
            </w:r>
          </w:p>
        </w:tc>
        <w:tc>
          <w:tcPr>
            <w:tcW w:w="1135" w:type="dxa"/>
            <w:shd w:val="clear" w:color="auto" w:fill="A6A6A6" w:themeFill="background1" w:themeFillShade="A6"/>
            <w:vAlign w:val="center"/>
          </w:tcPr>
          <w:p w14:paraId="44D71A30"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b/>
                <w:bCs/>
              </w:rPr>
            </w:pPr>
            <w:r w:rsidRPr="007F6332">
              <w:rPr>
                <w:rFonts w:cs="Arial"/>
                <w:b/>
                <w:bCs/>
              </w:rPr>
              <w:t>8,850</w:t>
            </w:r>
          </w:p>
        </w:tc>
      </w:tr>
      <w:tr w:rsidR="008F5358" w:rsidRPr="007F6332" w14:paraId="40108C9E" w14:textId="77777777" w:rsidTr="00924D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auto"/>
            </w:tcBorders>
            <w:shd w:val="clear" w:color="auto" w:fill="B398B8"/>
            <w:vAlign w:val="center"/>
          </w:tcPr>
          <w:p w14:paraId="2C533BC0" w14:textId="77777777" w:rsidR="008F5358" w:rsidRPr="007F6332" w:rsidRDefault="008F5358" w:rsidP="004919CA">
            <w:pPr>
              <w:rPr>
                <w:rFonts w:cs="Arial"/>
                <w:color w:val="000000"/>
              </w:rPr>
            </w:pPr>
            <w:r w:rsidRPr="007F6332">
              <w:rPr>
                <w:rFonts w:cs="Arial"/>
                <w:color w:val="000000"/>
              </w:rPr>
              <w:t>% Scheme expenses</w:t>
            </w:r>
          </w:p>
        </w:tc>
        <w:tc>
          <w:tcPr>
            <w:tcW w:w="997" w:type="dxa"/>
            <w:tcBorders>
              <w:bottom w:val="single" w:sz="4" w:space="0" w:color="auto"/>
            </w:tcBorders>
            <w:shd w:val="clear" w:color="auto" w:fill="B398B8"/>
            <w:vAlign w:val="center"/>
          </w:tcPr>
          <w:p w14:paraId="10280454"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5.2%</w:t>
            </w:r>
          </w:p>
        </w:tc>
        <w:tc>
          <w:tcPr>
            <w:tcW w:w="1595" w:type="dxa"/>
            <w:tcBorders>
              <w:bottom w:val="single" w:sz="4" w:space="0" w:color="auto"/>
            </w:tcBorders>
            <w:shd w:val="clear" w:color="auto" w:fill="B398B8"/>
            <w:vAlign w:val="center"/>
          </w:tcPr>
          <w:p w14:paraId="6A3ABA3E"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4.7%</w:t>
            </w:r>
          </w:p>
        </w:tc>
        <w:tc>
          <w:tcPr>
            <w:tcW w:w="1098" w:type="dxa"/>
            <w:tcBorders>
              <w:bottom w:val="single" w:sz="4" w:space="0" w:color="auto"/>
            </w:tcBorders>
            <w:shd w:val="clear" w:color="auto" w:fill="B398B8"/>
            <w:vAlign w:val="center"/>
          </w:tcPr>
          <w:p w14:paraId="6A07D169"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4.3%</w:t>
            </w:r>
          </w:p>
        </w:tc>
        <w:tc>
          <w:tcPr>
            <w:tcW w:w="1417" w:type="dxa"/>
            <w:tcBorders>
              <w:bottom w:val="single" w:sz="4" w:space="0" w:color="auto"/>
            </w:tcBorders>
            <w:shd w:val="clear" w:color="auto" w:fill="B398B8"/>
            <w:vAlign w:val="center"/>
          </w:tcPr>
          <w:p w14:paraId="48F990C5"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4.2%</w:t>
            </w:r>
          </w:p>
        </w:tc>
        <w:tc>
          <w:tcPr>
            <w:tcW w:w="1135" w:type="dxa"/>
            <w:tcBorders>
              <w:bottom w:val="single" w:sz="4" w:space="0" w:color="auto"/>
            </w:tcBorders>
            <w:shd w:val="clear" w:color="auto" w:fill="B398B8"/>
            <w:vAlign w:val="center"/>
          </w:tcPr>
          <w:p w14:paraId="2933B76D"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sidRPr="007F6332">
              <w:rPr>
                <w:rFonts w:cs="Arial"/>
                <w:b/>
                <w:bCs/>
                <w:color w:val="000000"/>
              </w:rPr>
              <w:t>4.6%</w:t>
            </w:r>
          </w:p>
        </w:tc>
      </w:tr>
    </w:tbl>
    <w:p w14:paraId="22EB0CB3" w14:textId="1D6FBAEF" w:rsidR="00723E93" w:rsidRPr="007F6332" w:rsidRDefault="00723E93" w:rsidP="00950565">
      <w:pPr>
        <w:spacing w:before="120" w:after="120"/>
        <w:rPr>
          <w:rFonts w:cs="Arial"/>
        </w:rPr>
      </w:pPr>
      <w:r w:rsidRPr="007F6332">
        <w:rPr>
          <w:rFonts w:cs="Arial"/>
        </w:rPr>
        <w:t>Table 5.3</w:t>
      </w:r>
      <w:r w:rsidR="00AE3366" w:rsidRPr="007F6332">
        <w:rPr>
          <w:rFonts w:cs="Arial"/>
        </w:rPr>
        <w:t>6</w:t>
      </w:r>
      <w:r w:rsidRPr="007F6332">
        <w:rPr>
          <w:rFonts w:cs="Arial"/>
        </w:rPr>
        <w:t xml:space="preserve"> </w:t>
      </w:r>
      <w:r w:rsidR="00853B01" w:rsidRPr="007F6332">
        <w:rPr>
          <w:rFonts w:cs="Arial"/>
        </w:rPr>
        <w:t>shows projected operating expenses from 2024-25 onwards are higher compared to the budgeted expenses (in the 2023-24 Budget). The 2023-24 Budget includes Agency operating expenses of $1,680 million in 2024-25, approximately $500 million lower than projected expenses in 2024-25 of $2,166 million.</w:t>
      </w:r>
    </w:p>
    <w:p w14:paraId="2A8B0993" w14:textId="48F1425F" w:rsidR="00723E93" w:rsidRPr="007F6332" w:rsidRDefault="00723E93" w:rsidP="00945CBF">
      <w:pPr>
        <w:pStyle w:val="FiguresandTablesHeading4"/>
      </w:pPr>
      <w:r w:rsidRPr="007F6332">
        <w:t>Table 5.3</w:t>
      </w:r>
      <w:r w:rsidR="00AE3366" w:rsidRPr="007F6332">
        <w:t>6</w:t>
      </w:r>
      <w:r w:rsidRPr="007F6332">
        <w:t>: Operating expenses compared to budgeted expenses</w:t>
      </w:r>
    </w:p>
    <w:tbl>
      <w:tblPr>
        <w:tblStyle w:val="GridTable6Colorful"/>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1140"/>
        <w:gridCol w:w="1595"/>
        <w:gridCol w:w="1098"/>
        <w:gridCol w:w="1134"/>
        <w:gridCol w:w="1276"/>
      </w:tblGrid>
      <w:tr w:rsidR="008F5358" w:rsidRPr="007F6332" w14:paraId="01F59BD1" w14:textId="77777777" w:rsidTr="004919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8" w:type="dxa"/>
            <w:shd w:val="clear" w:color="auto" w:fill="6B2976"/>
          </w:tcPr>
          <w:p w14:paraId="1CC7A5CB" w14:textId="77777777" w:rsidR="00924D86" w:rsidRPr="007F6332" w:rsidRDefault="008F5358" w:rsidP="004919CA">
            <w:pPr>
              <w:rPr>
                <w:rFonts w:cs="Arial"/>
                <w:b w:val="0"/>
                <w:bCs w:val="0"/>
                <w:color w:val="FFFFFF"/>
              </w:rPr>
            </w:pPr>
            <w:r w:rsidRPr="007F6332">
              <w:rPr>
                <w:rFonts w:cs="Arial"/>
                <w:color w:val="FFFFFF"/>
              </w:rPr>
              <w:t xml:space="preserve">Forward </w:t>
            </w:r>
          </w:p>
          <w:p w14:paraId="490027E0" w14:textId="2495AAD6" w:rsidR="008F5358" w:rsidRPr="007F6332" w:rsidRDefault="008F5358" w:rsidP="004919CA">
            <w:pPr>
              <w:rPr>
                <w:rFonts w:cs="Arial"/>
                <w:color w:val="FFFFFF"/>
              </w:rPr>
            </w:pPr>
            <w:r w:rsidRPr="007F6332">
              <w:rPr>
                <w:rFonts w:cs="Arial"/>
                <w:color w:val="FFFFFF"/>
              </w:rPr>
              <w:t>estimates ($m)</w:t>
            </w:r>
          </w:p>
        </w:tc>
        <w:tc>
          <w:tcPr>
            <w:tcW w:w="1140" w:type="dxa"/>
            <w:shd w:val="clear" w:color="auto" w:fill="6B2976"/>
            <w:vAlign w:val="center"/>
          </w:tcPr>
          <w:p w14:paraId="26068CDA"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2023-24</w:t>
            </w:r>
          </w:p>
        </w:tc>
        <w:tc>
          <w:tcPr>
            <w:tcW w:w="1595" w:type="dxa"/>
            <w:shd w:val="clear" w:color="auto" w:fill="6B2976"/>
            <w:vAlign w:val="center"/>
          </w:tcPr>
          <w:p w14:paraId="64563DD1"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2024-25</w:t>
            </w:r>
          </w:p>
        </w:tc>
        <w:tc>
          <w:tcPr>
            <w:tcW w:w="1098" w:type="dxa"/>
            <w:shd w:val="clear" w:color="auto" w:fill="6B2976"/>
            <w:vAlign w:val="center"/>
          </w:tcPr>
          <w:p w14:paraId="5B8E64B9"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2025-26</w:t>
            </w:r>
          </w:p>
        </w:tc>
        <w:tc>
          <w:tcPr>
            <w:tcW w:w="1134" w:type="dxa"/>
            <w:shd w:val="clear" w:color="auto" w:fill="6B2976"/>
            <w:vAlign w:val="center"/>
          </w:tcPr>
          <w:p w14:paraId="00BAF955"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2026-27</w:t>
            </w:r>
          </w:p>
        </w:tc>
        <w:tc>
          <w:tcPr>
            <w:tcW w:w="1276" w:type="dxa"/>
            <w:shd w:val="clear" w:color="auto" w:fill="6B2976"/>
            <w:vAlign w:val="center"/>
          </w:tcPr>
          <w:p w14:paraId="1FFBE97A"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Total</w:t>
            </w:r>
          </w:p>
          <w:p w14:paraId="1E38BE9F" w14:textId="77777777" w:rsidR="008F5358" w:rsidRPr="007F6332" w:rsidRDefault="008F5358" w:rsidP="004919CA">
            <w:pPr>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7F6332">
              <w:rPr>
                <w:rFonts w:cs="Arial"/>
                <w:color w:val="FFFFFF"/>
              </w:rPr>
              <w:t>2023-27</w:t>
            </w:r>
          </w:p>
        </w:tc>
      </w:tr>
      <w:tr w:rsidR="008F5358" w:rsidRPr="007F6332" w14:paraId="22964EFC" w14:textId="77777777" w:rsidTr="00924D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88" w:type="dxa"/>
            <w:shd w:val="clear" w:color="auto" w:fill="A7A9AC"/>
            <w:vAlign w:val="center"/>
          </w:tcPr>
          <w:p w14:paraId="466745AE" w14:textId="77777777" w:rsidR="008F5358" w:rsidRPr="007F6332" w:rsidRDefault="008F5358" w:rsidP="004919CA">
            <w:pPr>
              <w:rPr>
                <w:rFonts w:cs="Arial"/>
                <w:color w:val="000000"/>
              </w:rPr>
            </w:pPr>
            <w:r w:rsidRPr="007F6332">
              <w:rPr>
                <w:rFonts w:cs="Arial"/>
                <w:color w:val="000000"/>
              </w:rPr>
              <w:t>Operating expenses – incl. Budget measures</w:t>
            </w:r>
          </w:p>
        </w:tc>
        <w:tc>
          <w:tcPr>
            <w:tcW w:w="1140" w:type="dxa"/>
            <w:shd w:val="clear" w:color="auto" w:fill="A7A9AC"/>
            <w:vAlign w:val="center"/>
          </w:tcPr>
          <w:p w14:paraId="02E8EE82"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2,156</w:t>
            </w:r>
          </w:p>
        </w:tc>
        <w:tc>
          <w:tcPr>
            <w:tcW w:w="1595" w:type="dxa"/>
            <w:shd w:val="clear" w:color="auto" w:fill="A7A9AC"/>
            <w:vAlign w:val="center"/>
          </w:tcPr>
          <w:p w14:paraId="3D12AC32"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2,166</w:t>
            </w:r>
          </w:p>
        </w:tc>
        <w:tc>
          <w:tcPr>
            <w:tcW w:w="1098" w:type="dxa"/>
            <w:shd w:val="clear" w:color="auto" w:fill="A7A9AC"/>
            <w:vAlign w:val="center"/>
          </w:tcPr>
          <w:p w14:paraId="1064D223"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2,203</w:t>
            </w:r>
          </w:p>
        </w:tc>
        <w:tc>
          <w:tcPr>
            <w:tcW w:w="1134" w:type="dxa"/>
            <w:shd w:val="clear" w:color="auto" w:fill="A7A9AC"/>
            <w:vAlign w:val="center"/>
          </w:tcPr>
          <w:p w14:paraId="06DE3646"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2,326</w:t>
            </w:r>
          </w:p>
        </w:tc>
        <w:tc>
          <w:tcPr>
            <w:tcW w:w="1276" w:type="dxa"/>
            <w:shd w:val="clear" w:color="auto" w:fill="A7A9AC"/>
            <w:vAlign w:val="center"/>
          </w:tcPr>
          <w:p w14:paraId="15D4DFB1"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7F6332">
              <w:rPr>
                <w:rFonts w:cs="Arial"/>
                <w:color w:val="000000"/>
              </w:rPr>
              <w:t>8.850</w:t>
            </w:r>
          </w:p>
        </w:tc>
      </w:tr>
      <w:tr w:rsidR="008F5358" w:rsidRPr="007F6332" w14:paraId="6BF28AD3" w14:textId="77777777" w:rsidTr="00924D86">
        <w:trPr>
          <w:trHeight w:val="397"/>
        </w:trPr>
        <w:tc>
          <w:tcPr>
            <w:cnfStyle w:val="001000000000" w:firstRow="0" w:lastRow="0" w:firstColumn="1" w:lastColumn="0" w:oddVBand="0" w:evenVBand="0" w:oddHBand="0" w:evenHBand="0" w:firstRowFirstColumn="0" w:firstRowLastColumn="0" w:lastRowFirstColumn="0" w:lastRowLastColumn="0"/>
            <w:tcW w:w="2688" w:type="dxa"/>
            <w:vAlign w:val="center"/>
          </w:tcPr>
          <w:p w14:paraId="7B60F089" w14:textId="77777777" w:rsidR="008F5358" w:rsidRPr="007F6332" w:rsidRDefault="008F5358" w:rsidP="004919CA">
            <w:pPr>
              <w:rPr>
                <w:rFonts w:cs="Arial"/>
              </w:rPr>
            </w:pPr>
            <w:r w:rsidRPr="007F6332">
              <w:rPr>
                <w:rFonts w:cs="Arial"/>
              </w:rPr>
              <w:t>Budgeted expenses (2023-24 Budget)</w:t>
            </w:r>
          </w:p>
        </w:tc>
        <w:tc>
          <w:tcPr>
            <w:tcW w:w="1140" w:type="dxa"/>
            <w:vAlign w:val="center"/>
          </w:tcPr>
          <w:p w14:paraId="50F8B38D"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2,156</w:t>
            </w:r>
          </w:p>
        </w:tc>
        <w:tc>
          <w:tcPr>
            <w:tcW w:w="1595" w:type="dxa"/>
            <w:vAlign w:val="center"/>
          </w:tcPr>
          <w:p w14:paraId="700D04C2"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1,680</w:t>
            </w:r>
          </w:p>
        </w:tc>
        <w:tc>
          <w:tcPr>
            <w:tcW w:w="1098" w:type="dxa"/>
            <w:vAlign w:val="center"/>
          </w:tcPr>
          <w:p w14:paraId="3E7C6CD4"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1,682</w:t>
            </w:r>
          </w:p>
        </w:tc>
        <w:tc>
          <w:tcPr>
            <w:tcW w:w="1134" w:type="dxa"/>
            <w:vAlign w:val="center"/>
          </w:tcPr>
          <w:p w14:paraId="4667DFA6"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1,701</w:t>
            </w:r>
          </w:p>
        </w:tc>
        <w:tc>
          <w:tcPr>
            <w:tcW w:w="1276" w:type="dxa"/>
            <w:vAlign w:val="center"/>
          </w:tcPr>
          <w:p w14:paraId="19FBCCF5" w14:textId="77777777" w:rsidR="008F5358" w:rsidRPr="007F6332" w:rsidRDefault="008F5358" w:rsidP="004919CA">
            <w:pPr>
              <w:jc w:val="center"/>
              <w:cnfStyle w:val="000000000000" w:firstRow="0" w:lastRow="0" w:firstColumn="0" w:lastColumn="0" w:oddVBand="0" w:evenVBand="0" w:oddHBand="0" w:evenHBand="0" w:firstRowFirstColumn="0" w:firstRowLastColumn="0" w:lastRowFirstColumn="0" w:lastRowLastColumn="0"/>
              <w:rPr>
                <w:rFonts w:cs="Arial"/>
              </w:rPr>
            </w:pPr>
            <w:r w:rsidRPr="007F6332">
              <w:rPr>
                <w:rFonts w:cs="Arial"/>
              </w:rPr>
              <w:t>7,218</w:t>
            </w:r>
          </w:p>
        </w:tc>
      </w:tr>
      <w:tr w:rsidR="008F5358" w:rsidRPr="007F6332" w14:paraId="7E62581B" w14:textId="77777777" w:rsidTr="00924D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88" w:type="dxa"/>
            <w:tcBorders>
              <w:bottom w:val="single" w:sz="4" w:space="0" w:color="auto"/>
            </w:tcBorders>
            <w:shd w:val="clear" w:color="auto" w:fill="A7A9AC"/>
            <w:vAlign w:val="center"/>
          </w:tcPr>
          <w:p w14:paraId="52C4A6DB" w14:textId="77777777" w:rsidR="008F5358" w:rsidRPr="007F6332" w:rsidRDefault="008F5358" w:rsidP="004919CA">
            <w:pPr>
              <w:rPr>
                <w:rFonts w:cs="Arial"/>
                <w:color w:val="000000"/>
              </w:rPr>
            </w:pPr>
            <w:r w:rsidRPr="007F6332">
              <w:rPr>
                <w:rFonts w:cs="Arial"/>
                <w:color w:val="000000"/>
              </w:rPr>
              <w:t>Difference</w:t>
            </w:r>
          </w:p>
        </w:tc>
        <w:tc>
          <w:tcPr>
            <w:tcW w:w="1140" w:type="dxa"/>
            <w:tcBorders>
              <w:bottom w:val="single" w:sz="4" w:space="0" w:color="auto"/>
            </w:tcBorders>
            <w:shd w:val="clear" w:color="auto" w:fill="A7A9AC"/>
            <w:vAlign w:val="center"/>
          </w:tcPr>
          <w:p w14:paraId="5D41F01B"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sidRPr="007F6332">
              <w:rPr>
                <w:rFonts w:cs="Arial"/>
                <w:b/>
                <w:bCs/>
                <w:color w:val="000000"/>
              </w:rPr>
              <w:t>0</w:t>
            </w:r>
          </w:p>
        </w:tc>
        <w:tc>
          <w:tcPr>
            <w:tcW w:w="1595" w:type="dxa"/>
            <w:tcBorders>
              <w:bottom w:val="single" w:sz="4" w:space="0" w:color="auto"/>
            </w:tcBorders>
            <w:shd w:val="clear" w:color="auto" w:fill="A7A9AC"/>
            <w:vAlign w:val="center"/>
          </w:tcPr>
          <w:p w14:paraId="45A51FC3"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sidRPr="007F6332">
              <w:rPr>
                <w:rFonts w:cs="Arial"/>
                <w:b/>
                <w:bCs/>
                <w:color w:val="000000"/>
              </w:rPr>
              <w:t>485</w:t>
            </w:r>
          </w:p>
        </w:tc>
        <w:tc>
          <w:tcPr>
            <w:tcW w:w="1098" w:type="dxa"/>
            <w:tcBorders>
              <w:bottom w:val="single" w:sz="4" w:space="0" w:color="auto"/>
            </w:tcBorders>
            <w:shd w:val="clear" w:color="auto" w:fill="A7A9AC"/>
            <w:vAlign w:val="center"/>
          </w:tcPr>
          <w:p w14:paraId="6AC06184"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sidRPr="007F6332">
              <w:rPr>
                <w:rFonts w:cs="Arial"/>
                <w:b/>
                <w:bCs/>
                <w:color w:val="000000"/>
              </w:rPr>
              <w:t>521</w:t>
            </w:r>
          </w:p>
        </w:tc>
        <w:tc>
          <w:tcPr>
            <w:tcW w:w="1134" w:type="dxa"/>
            <w:tcBorders>
              <w:bottom w:val="single" w:sz="4" w:space="0" w:color="auto"/>
            </w:tcBorders>
            <w:shd w:val="clear" w:color="auto" w:fill="A7A9AC"/>
            <w:vAlign w:val="center"/>
          </w:tcPr>
          <w:p w14:paraId="7169F172"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sidRPr="007F6332">
              <w:rPr>
                <w:rFonts w:cs="Arial"/>
                <w:b/>
                <w:bCs/>
                <w:color w:val="000000"/>
              </w:rPr>
              <w:t>625</w:t>
            </w:r>
          </w:p>
        </w:tc>
        <w:tc>
          <w:tcPr>
            <w:tcW w:w="1276" w:type="dxa"/>
            <w:tcBorders>
              <w:bottom w:val="single" w:sz="4" w:space="0" w:color="auto"/>
            </w:tcBorders>
            <w:shd w:val="clear" w:color="auto" w:fill="A7A9AC"/>
            <w:vAlign w:val="center"/>
          </w:tcPr>
          <w:p w14:paraId="0860A338" w14:textId="77777777" w:rsidR="008F5358" w:rsidRPr="007F6332" w:rsidRDefault="008F5358" w:rsidP="004919CA">
            <w:pPr>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sidRPr="007F6332">
              <w:rPr>
                <w:rFonts w:cs="Arial"/>
                <w:b/>
                <w:bCs/>
                <w:color w:val="000000"/>
              </w:rPr>
              <w:t>1,632</w:t>
            </w:r>
          </w:p>
        </w:tc>
      </w:tr>
    </w:tbl>
    <w:p w14:paraId="5F60D2E2" w14:textId="469C358B" w:rsidR="008F5358" w:rsidRPr="007F6332" w:rsidRDefault="008F5358" w:rsidP="00950565">
      <w:pPr>
        <w:spacing w:before="120"/>
        <w:rPr>
          <w:rFonts w:cs="Arial"/>
        </w:rPr>
      </w:pPr>
      <w:r w:rsidRPr="007F6332">
        <w:rPr>
          <w:rFonts w:cs="Arial"/>
        </w:rPr>
        <w:t>The projected operating expenses before Budget measures (Operating expenses – BAU in Table 5.</w:t>
      </w:r>
      <w:r w:rsidR="00F32CAE" w:rsidRPr="007F6332">
        <w:rPr>
          <w:rFonts w:cs="Arial"/>
        </w:rPr>
        <w:t>3</w:t>
      </w:r>
      <w:r w:rsidR="0013502A" w:rsidRPr="007F6332">
        <w:rPr>
          <w:rFonts w:cs="Arial"/>
        </w:rPr>
        <w:t>5</w:t>
      </w:r>
      <w:r w:rsidRPr="007F6332">
        <w:rPr>
          <w:rFonts w:cs="Arial"/>
        </w:rPr>
        <w:t>) are based on the June 2023 projections, reflecting higher projected participant numbers compared with the previous review, essentially assuming a consistent level of resources per participant supported each year. Any reduction in operating expenses below this level is consistent with reductions in resources, increased workloads and less capacity to support participants and manage risk, including fraud and integrity.</w:t>
      </w:r>
    </w:p>
    <w:p w14:paraId="208709F6" w14:textId="5F61E1AF" w:rsidR="008F5358" w:rsidRPr="007F6332" w:rsidRDefault="008F5358" w:rsidP="008F5358">
      <w:pPr>
        <w:rPr>
          <w:rFonts w:cs="Arial"/>
        </w:rPr>
      </w:pPr>
      <w:r w:rsidRPr="007F6332">
        <w:rPr>
          <w:rFonts w:cs="Arial"/>
        </w:rPr>
        <w:t>Further, in the 2017 P</w:t>
      </w:r>
      <w:r w:rsidR="0013502A" w:rsidRPr="007F6332">
        <w:rPr>
          <w:rFonts w:cs="Arial"/>
        </w:rPr>
        <w:t xml:space="preserve">roductivity </w:t>
      </w:r>
      <w:r w:rsidRPr="007F6332">
        <w:rPr>
          <w:rFonts w:cs="Arial"/>
        </w:rPr>
        <w:t>C</w:t>
      </w:r>
      <w:r w:rsidR="0013502A" w:rsidRPr="007F6332">
        <w:rPr>
          <w:rFonts w:cs="Arial"/>
        </w:rPr>
        <w:t>ommission</w:t>
      </w:r>
      <w:r w:rsidRPr="007F6332">
        <w:rPr>
          <w:rFonts w:cs="Arial"/>
        </w:rPr>
        <w:t xml:space="preserve"> study report</w:t>
      </w:r>
      <w:r w:rsidRPr="007F6332">
        <w:rPr>
          <w:rFonts w:cs="Arial"/>
          <w:vertAlign w:val="superscript"/>
        </w:rPr>
        <w:footnoteReference w:id="108"/>
      </w:r>
      <w:r w:rsidRPr="007F6332">
        <w:rPr>
          <w:rFonts w:cs="Arial"/>
        </w:rPr>
        <w:t xml:space="preserve">, a target operating expense range of 7% to 10% was recommended, and the projected level of expenses is therefore well below the recommended range. The projected expense rate is also at the lower end of, or </w:t>
      </w:r>
      <w:r w:rsidRPr="007F6332">
        <w:rPr>
          <w:rFonts w:cs="Arial"/>
        </w:rPr>
        <w:lastRenderedPageBreak/>
        <w:t>below the range of expense rates seen in comparable injury support schemes around Australia, even allowing for the greater scale of the Scheme.</w:t>
      </w:r>
    </w:p>
    <w:p w14:paraId="6FC754A9" w14:textId="2ABDAB69" w:rsidR="00976BCD" w:rsidRPr="007F6332" w:rsidRDefault="00976BCD" w:rsidP="00950565">
      <w:pPr>
        <w:pStyle w:val="FSRlist"/>
        <w:numPr>
          <w:ilvl w:val="0"/>
          <w:numId w:val="0"/>
        </w:numPr>
        <w:spacing w:before="240"/>
        <w:rPr>
          <w:rFonts w:cs="Arial"/>
        </w:rPr>
      </w:pPr>
      <w:r w:rsidRPr="007F6332">
        <w:rPr>
          <w:rFonts w:cs="Arial"/>
        </w:rPr>
        <w:t>The</w:t>
      </w:r>
      <w:r w:rsidR="00D93AE1" w:rsidRPr="007F6332">
        <w:rPr>
          <w:rFonts w:cs="Arial"/>
        </w:rPr>
        <w:t xml:space="preserve"> June 2023 Scheme projections</w:t>
      </w:r>
      <w:r w:rsidRPr="007F6332">
        <w:rPr>
          <w:rFonts w:cs="Arial"/>
        </w:rPr>
        <w:t xml:space="preserve"> included in this report assume Agency resourcing remains relatively constant in real terms and if they do not then Scheme expenses would be</w:t>
      </w:r>
      <w:r w:rsidR="00950565" w:rsidRPr="007F6332">
        <w:rPr>
          <w:rFonts w:cs="Arial"/>
        </w:rPr>
        <w:t xml:space="preserve"> </w:t>
      </w:r>
      <w:r w:rsidRPr="007F6332">
        <w:rPr>
          <w:rFonts w:cs="Arial"/>
        </w:rPr>
        <w:t>expected to be higher than those shown in this report.</w:t>
      </w:r>
    </w:p>
    <w:p w14:paraId="4C4B00F7" w14:textId="77777777" w:rsidR="002E7F61" w:rsidRPr="007F6332" w:rsidRDefault="002E7F61" w:rsidP="007148A0">
      <w:pPr>
        <w:pStyle w:val="Heading2"/>
        <w:pageBreakBefore/>
        <w:ind w:left="709"/>
        <w:rPr>
          <w:rFonts w:cs="Arial"/>
        </w:rPr>
      </w:pPr>
      <w:bookmarkStart w:id="201" w:name="_Toc146286167"/>
      <w:bookmarkStart w:id="202" w:name="_Toc152614993"/>
      <w:r w:rsidRPr="007F6332">
        <w:rPr>
          <w:rFonts w:cs="Arial"/>
        </w:rPr>
        <w:lastRenderedPageBreak/>
        <w:t>Uncertainty and comparisons to previous projections</w:t>
      </w:r>
      <w:bookmarkEnd w:id="201"/>
      <w:bookmarkEnd w:id="202"/>
    </w:p>
    <w:p w14:paraId="1C65513C" w14:textId="77777777" w:rsidR="00D34123" w:rsidRPr="007F6332" w:rsidRDefault="00D34123" w:rsidP="00D34123">
      <w:pPr>
        <w:rPr>
          <w:rFonts w:cs="Arial"/>
        </w:rPr>
      </w:pPr>
      <w:r w:rsidRPr="007F6332">
        <w:rPr>
          <w:rFonts w:cs="Arial"/>
        </w:rPr>
        <w:t>This section includes scenario analyses where individual assumptions are varied compared with the assumptions used to arrive at the projected Scheme expenses presented in this report (referred to as the “baseline”). The scenarios demonstrate the sensitivity of results to changes in future expectations.</w:t>
      </w:r>
    </w:p>
    <w:p w14:paraId="75EA3233" w14:textId="77777777" w:rsidR="00D34123" w:rsidRPr="007F6332" w:rsidRDefault="00D34123" w:rsidP="00D34123">
      <w:pPr>
        <w:rPr>
          <w:rFonts w:cs="Arial"/>
        </w:rPr>
      </w:pPr>
      <w:r w:rsidRPr="007F6332">
        <w:rPr>
          <w:rFonts w:cs="Arial"/>
        </w:rPr>
        <w:t>It also contains the results of a stochastic projection model</w:t>
      </w:r>
      <w:r w:rsidRPr="007F6332">
        <w:rPr>
          <w:rStyle w:val="FootnoteReference"/>
          <w:rFonts w:cs="Arial"/>
        </w:rPr>
        <w:footnoteReference w:id="109"/>
      </w:r>
      <w:r w:rsidRPr="007F6332">
        <w:rPr>
          <w:rFonts w:cs="Arial"/>
        </w:rPr>
        <w:t>. This model allows for the uncertainty of the most significant key risks to the estimation of Scheme expenses and the results provide a confidence interval for the range of expected projection outcomes.</w:t>
      </w:r>
    </w:p>
    <w:p w14:paraId="3494D2B4" w14:textId="77777777" w:rsidR="00D34123" w:rsidRPr="007F6332" w:rsidRDefault="00D34123" w:rsidP="00D34123">
      <w:pPr>
        <w:rPr>
          <w:rFonts w:cs="Arial"/>
        </w:rPr>
      </w:pPr>
      <w:r w:rsidRPr="007F6332">
        <w:rPr>
          <w:rFonts w:cs="Arial"/>
        </w:rPr>
        <w:t>Finally, a comparison of the June 2023 projection results with historical projection results and Productivity Commission estimates is shown, to illustrate how expectations of Scheme expenses have changed over time.</w:t>
      </w:r>
    </w:p>
    <w:p w14:paraId="4C6406C0" w14:textId="77777777" w:rsidR="00D34123" w:rsidRPr="007F6332" w:rsidRDefault="00D34123" w:rsidP="00E81C0D">
      <w:pPr>
        <w:pStyle w:val="Heading3"/>
        <w:ind w:left="709" w:hanging="709"/>
        <w:rPr>
          <w:rFonts w:cs="Arial"/>
        </w:rPr>
      </w:pPr>
      <w:bookmarkStart w:id="203" w:name="_Toc146286168"/>
      <w:bookmarkStart w:id="204" w:name="_Toc146902169"/>
      <w:bookmarkStart w:id="205" w:name="_Toc152614994"/>
      <w:r w:rsidRPr="007F6332">
        <w:rPr>
          <w:rFonts w:cs="Arial"/>
        </w:rPr>
        <w:t>Scenario analysis</w:t>
      </w:r>
      <w:bookmarkEnd w:id="203"/>
      <w:bookmarkEnd w:id="204"/>
      <w:bookmarkEnd w:id="205"/>
    </w:p>
    <w:p w14:paraId="3463D8E7" w14:textId="77777777" w:rsidR="00D34123" w:rsidRPr="007F6332" w:rsidRDefault="00D34123" w:rsidP="00D34123">
      <w:pPr>
        <w:rPr>
          <w:rFonts w:cs="Arial"/>
        </w:rPr>
      </w:pPr>
      <w:r w:rsidRPr="007F6332">
        <w:rPr>
          <w:rFonts w:cs="Arial"/>
        </w:rPr>
        <w:t>As noted throughout this report, there is considerable uncertainty in relation to these projections, and actual Scheme expenses may vary, possibly significantly.</w:t>
      </w:r>
    </w:p>
    <w:p w14:paraId="7584F7FF" w14:textId="77777777" w:rsidR="00D34123" w:rsidRPr="007F6332" w:rsidRDefault="00D34123" w:rsidP="00D34123">
      <w:pPr>
        <w:rPr>
          <w:rFonts w:cs="Arial"/>
        </w:rPr>
      </w:pPr>
      <w:r w:rsidRPr="007F6332">
        <w:rPr>
          <w:rFonts w:cs="Arial"/>
        </w:rPr>
        <w:t>To quantify the inherent uncertainty, an alternative set of projections have been calculated for several scenarios. These consider a range of plausible outcomes in relation to some of the key uncertainties. Specifically:</w:t>
      </w:r>
    </w:p>
    <w:p w14:paraId="092AE8ED" w14:textId="71BEFDF2" w:rsidR="00D34123" w:rsidRPr="007F6332" w:rsidRDefault="00D34123" w:rsidP="00C1755E">
      <w:pPr>
        <w:pStyle w:val="FSRlist"/>
        <w:rPr>
          <w:rFonts w:cs="Arial"/>
        </w:rPr>
      </w:pPr>
      <w:r w:rsidRPr="007F6332">
        <w:rPr>
          <w:rFonts w:cs="Arial"/>
        </w:rPr>
        <w:t xml:space="preserve">The </w:t>
      </w:r>
      <w:r w:rsidR="001F626F" w:rsidRPr="007F6332">
        <w:rPr>
          <w:rFonts w:cs="Arial"/>
        </w:rPr>
        <w:t xml:space="preserve">effectiveness in the implementation </w:t>
      </w:r>
      <w:r w:rsidRPr="007F6332">
        <w:rPr>
          <w:rFonts w:cs="Arial"/>
        </w:rPr>
        <w:t xml:space="preserve">of </w:t>
      </w:r>
      <w:r w:rsidR="002D6881" w:rsidRPr="007F6332">
        <w:rPr>
          <w:rFonts w:cs="Arial"/>
        </w:rPr>
        <w:t>Budget initiatives</w:t>
      </w:r>
      <w:r w:rsidRPr="007F6332">
        <w:rPr>
          <w:rFonts w:cs="Arial"/>
        </w:rPr>
        <w:t>.</w:t>
      </w:r>
    </w:p>
    <w:p w14:paraId="4E36862B" w14:textId="77777777" w:rsidR="00D34123" w:rsidRPr="007F6332" w:rsidRDefault="00D34123" w:rsidP="00C1755E">
      <w:pPr>
        <w:pStyle w:val="FSRlist"/>
        <w:rPr>
          <w:rFonts w:cs="Arial"/>
        </w:rPr>
      </w:pPr>
      <w:r w:rsidRPr="007F6332">
        <w:rPr>
          <w:rFonts w:cs="Arial"/>
        </w:rPr>
        <w:t>Growth in average payments.</w:t>
      </w:r>
    </w:p>
    <w:p w14:paraId="1CC5F0B2" w14:textId="77777777" w:rsidR="00D34123" w:rsidRPr="007F6332" w:rsidRDefault="00D34123" w:rsidP="00C1755E">
      <w:pPr>
        <w:pStyle w:val="FSRlist"/>
        <w:rPr>
          <w:rFonts w:cs="Arial"/>
        </w:rPr>
      </w:pPr>
      <w:r w:rsidRPr="007F6332">
        <w:rPr>
          <w:rFonts w:cs="Arial"/>
        </w:rPr>
        <w:t>Average payments expected for new entrants to the Scheme.</w:t>
      </w:r>
    </w:p>
    <w:p w14:paraId="70AFA4AB" w14:textId="77777777" w:rsidR="00D34123" w:rsidRPr="007F6332" w:rsidRDefault="00D34123" w:rsidP="00C1755E">
      <w:pPr>
        <w:pStyle w:val="FSRlist"/>
        <w:rPr>
          <w:rFonts w:cs="Arial"/>
        </w:rPr>
      </w:pPr>
      <w:r w:rsidRPr="007F6332">
        <w:rPr>
          <w:rFonts w:cs="Arial"/>
        </w:rPr>
        <w:t>The number of new entrants to the Scheme.</w:t>
      </w:r>
    </w:p>
    <w:p w14:paraId="1D4D2351" w14:textId="77777777" w:rsidR="00D34123" w:rsidRPr="007F6332" w:rsidRDefault="00D34123" w:rsidP="00C1755E">
      <w:pPr>
        <w:pStyle w:val="FSRlist"/>
        <w:rPr>
          <w:rFonts w:cs="Arial"/>
        </w:rPr>
      </w:pPr>
      <w:r w:rsidRPr="007F6332">
        <w:rPr>
          <w:rFonts w:cs="Arial"/>
        </w:rPr>
        <w:t>The number of participants transitioning into SIL.</w:t>
      </w:r>
    </w:p>
    <w:p w14:paraId="50388CFD" w14:textId="47210EB2" w:rsidR="002E7F61" w:rsidRPr="007F6332" w:rsidRDefault="002E7F61" w:rsidP="00D34123">
      <w:pPr>
        <w:pStyle w:val="Heading4"/>
        <w:ind w:left="851" w:hanging="851"/>
        <w:rPr>
          <w:rFonts w:cs="Arial"/>
        </w:rPr>
      </w:pPr>
      <w:r w:rsidRPr="007F6332">
        <w:rPr>
          <w:rFonts w:cs="Arial"/>
        </w:rPr>
        <w:t xml:space="preserve">Scheme projections without the impact of </w:t>
      </w:r>
      <w:r w:rsidR="002D6881" w:rsidRPr="007F6332">
        <w:rPr>
          <w:rFonts w:cs="Arial"/>
        </w:rPr>
        <w:t>Budget initiatives</w:t>
      </w:r>
    </w:p>
    <w:p w14:paraId="0B276BBB" w14:textId="08E90FB2" w:rsidR="00D34123" w:rsidRPr="007F6332" w:rsidRDefault="00D34123" w:rsidP="00D34123">
      <w:pPr>
        <w:rPr>
          <w:rFonts w:cs="Arial"/>
        </w:rPr>
      </w:pPr>
      <w:bookmarkStart w:id="206" w:name="_Ref144463032"/>
      <w:r w:rsidRPr="007F6332">
        <w:rPr>
          <w:rFonts w:cs="Arial"/>
        </w:rPr>
        <w:t xml:space="preserve">The projections presented in this report make a number of assumptions about how the planned </w:t>
      </w:r>
      <w:r w:rsidR="002D6881" w:rsidRPr="007F6332">
        <w:rPr>
          <w:rFonts w:cs="Arial"/>
        </w:rPr>
        <w:t>Budget initiatives</w:t>
      </w:r>
      <w:r w:rsidRPr="007F6332">
        <w:rPr>
          <w:rFonts w:cs="Arial"/>
        </w:rPr>
        <w:t xml:space="preserve"> will impact the underlying drivers of Scheme expenses. The assumptions which include an allowance for the </w:t>
      </w:r>
      <w:r w:rsidR="002D6881" w:rsidRPr="007F6332">
        <w:rPr>
          <w:rFonts w:cs="Arial"/>
        </w:rPr>
        <w:t>Budget initiatives</w:t>
      </w:r>
      <w:r w:rsidRPr="007F6332">
        <w:rPr>
          <w:rFonts w:cs="Arial"/>
        </w:rPr>
        <w:t xml:space="preserve"> are the number of new entrants to the Scheme, the rate that participants are expected to leave the Scheme, growth in average payments and number of participants in SIL. </w:t>
      </w:r>
    </w:p>
    <w:p w14:paraId="3ECDF471" w14:textId="0E87F695" w:rsidR="0057206A" w:rsidRPr="007F6332" w:rsidRDefault="00D34123" w:rsidP="00D34123">
      <w:pPr>
        <w:rPr>
          <w:rFonts w:cs="Arial"/>
        </w:rPr>
      </w:pPr>
      <w:r w:rsidRPr="007F6332">
        <w:rPr>
          <w:rFonts w:cs="Arial"/>
        </w:rPr>
        <w:lastRenderedPageBreak/>
        <w:t xml:space="preserve">This scenario removes all assumptions made in relation to </w:t>
      </w:r>
      <w:r w:rsidR="002D6881" w:rsidRPr="007F6332">
        <w:rPr>
          <w:rFonts w:cs="Arial"/>
        </w:rPr>
        <w:t>Budget initiatives</w:t>
      </w:r>
      <w:r w:rsidRPr="007F6332">
        <w:rPr>
          <w:rFonts w:cs="Arial"/>
        </w:rPr>
        <w:t xml:space="preserve">, i.e., it is the Scheme projection without the impact of </w:t>
      </w:r>
      <w:r w:rsidR="002D6881" w:rsidRPr="007F6332">
        <w:rPr>
          <w:rFonts w:cs="Arial"/>
        </w:rPr>
        <w:t>Budget initiatives</w:t>
      </w:r>
      <w:r w:rsidRPr="007F6332">
        <w:rPr>
          <w:rFonts w:cs="Arial"/>
        </w:rPr>
        <w:t>. The result is an increase to Scheme expenses of $6.2 billion in 2026-27 and $15.4 billion in 2032-33 (</w:t>
      </w:r>
      <w:r w:rsidR="00443009" w:rsidRPr="007F6332">
        <w:rPr>
          <w:rFonts w:cs="Arial"/>
        </w:rPr>
        <w:t>Table 6.1</w:t>
      </w:r>
      <w:r w:rsidR="0057206A" w:rsidRPr="007F6332">
        <w:rPr>
          <w:rFonts w:cs="Arial"/>
        </w:rPr>
        <w:t>).</w:t>
      </w:r>
    </w:p>
    <w:bookmarkEnd w:id="206"/>
    <w:p w14:paraId="36870AA7" w14:textId="00D2141E" w:rsidR="002E7F61" w:rsidRPr="007F6332" w:rsidRDefault="00950565" w:rsidP="00945CBF">
      <w:pPr>
        <w:pStyle w:val="FiguresandTablesHeading5"/>
      </w:pPr>
      <w:r w:rsidRPr="007F6332">
        <w:t>Table 6.1</w:t>
      </w:r>
      <w:r w:rsidR="006739A1" w:rsidRPr="007F6332">
        <w:t>:</w:t>
      </w:r>
      <w:r w:rsidR="002E7F61" w:rsidRPr="007F6332">
        <w:t xml:space="preserve"> Scenario without the impact of </w:t>
      </w:r>
      <w:r w:rsidR="002D6881" w:rsidRPr="007F6332">
        <w:t>Budget initiatives</w:t>
      </w:r>
      <w:r w:rsidR="002E7F61" w:rsidRPr="007F6332">
        <w:t xml:space="preserve"> – Projected Scheme expenses and variance to the </w:t>
      </w:r>
      <w:r w:rsidR="006739A1" w:rsidRPr="007F6332">
        <w:t>June 2023 projections</w:t>
      </w:r>
    </w:p>
    <w:tbl>
      <w:tblPr>
        <w:tblW w:w="8931" w:type="dxa"/>
        <w:tblLayout w:type="fixed"/>
        <w:tblLook w:val="04A0" w:firstRow="1" w:lastRow="0" w:firstColumn="1" w:lastColumn="0" w:noHBand="0" w:noVBand="1"/>
      </w:tblPr>
      <w:tblGrid>
        <w:gridCol w:w="2094"/>
        <w:gridCol w:w="1139"/>
        <w:gridCol w:w="1140"/>
        <w:gridCol w:w="1139"/>
        <w:gridCol w:w="1140"/>
        <w:gridCol w:w="1139"/>
        <w:gridCol w:w="1140"/>
      </w:tblGrid>
      <w:tr w:rsidR="00444F7D" w:rsidRPr="007F6332" w14:paraId="59FB72A4" w14:textId="77777777" w:rsidTr="00444F7D">
        <w:trPr>
          <w:trHeight w:val="260"/>
        </w:trPr>
        <w:tc>
          <w:tcPr>
            <w:tcW w:w="2094" w:type="dxa"/>
            <w:shd w:val="clear" w:color="000000" w:fill="6B2976"/>
            <w:noWrap/>
            <w:vAlign w:val="center"/>
            <w:hideMark/>
          </w:tcPr>
          <w:p w14:paraId="172BB98C" w14:textId="77777777" w:rsidR="002E7F61" w:rsidRPr="007F6332" w:rsidRDefault="002E7F61" w:rsidP="0049739C">
            <w:pPr>
              <w:spacing w:after="0" w:line="240" w:lineRule="auto"/>
              <w:jc w:val="center"/>
              <w:rPr>
                <w:rFonts w:eastAsia="Times New Roman" w:cs="Arial"/>
                <w:b/>
                <w:bCs/>
                <w:color w:val="FFFFFF"/>
                <w:szCs w:val="22"/>
                <w:lang w:eastAsia="en-AU"/>
              </w:rPr>
            </w:pPr>
          </w:p>
        </w:tc>
        <w:tc>
          <w:tcPr>
            <w:tcW w:w="1139" w:type="dxa"/>
            <w:shd w:val="clear" w:color="000000" w:fill="6B2976"/>
            <w:noWrap/>
            <w:vAlign w:val="center"/>
            <w:hideMark/>
          </w:tcPr>
          <w:p w14:paraId="0379E6A3" w14:textId="151E9D37" w:rsidR="002E7F61" w:rsidRPr="007F6332" w:rsidRDefault="002E7F61" w:rsidP="0049739C">
            <w:pPr>
              <w:spacing w:after="0" w:line="240" w:lineRule="auto"/>
              <w:ind w:left="-91" w:right="-96"/>
              <w:jc w:val="center"/>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140" w:type="dxa"/>
            <w:shd w:val="clear" w:color="000000" w:fill="6B2976"/>
            <w:noWrap/>
            <w:vAlign w:val="center"/>
            <w:hideMark/>
          </w:tcPr>
          <w:p w14:paraId="7691A638" w14:textId="616C156A" w:rsidR="002E7F61" w:rsidRPr="007F6332" w:rsidRDefault="002E7F61" w:rsidP="0049739C">
            <w:pPr>
              <w:spacing w:after="0" w:line="240" w:lineRule="auto"/>
              <w:ind w:left="-91" w:right="-96"/>
              <w:jc w:val="center"/>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39" w:type="dxa"/>
            <w:shd w:val="clear" w:color="000000" w:fill="6B2976"/>
            <w:noWrap/>
            <w:vAlign w:val="center"/>
            <w:hideMark/>
          </w:tcPr>
          <w:p w14:paraId="4CA2BC96" w14:textId="2D48AB93" w:rsidR="002E7F61" w:rsidRPr="007F6332" w:rsidRDefault="002E7F61" w:rsidP="0049739C">
            <w:pPr>
              <w:spacing w:after="0" w:line="240" w:lineRule="auto"/>
              <w:ind w:left="-91" w:right="-96"/>
              <w:jc w:val="center"/>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140" w:type="dxa"/>
            <w:tcBorders>
              <w:right w:val="dashed" w:sz="4" w:space="0" w:color="auto"/>
            </w:tcBorders>
            <w:shd w:val="clear" w:color="000000" w:fill="6B2976"/>
            <w:noWrap/>
            <w:vAlign w:val="center"/>
            <w:hideMark/>
          </w:tcPr>
          <w:p w14:paraId="1A29A547" w14:textId="6075450E" w:rsidR="002E7F61" w:rsidRPr="007F6332" w:rsidRDefault="002E7F61" w:rsidP="0049739C">
            <w:pPr>
              <w:spacing w:after="0" w:line="240" w:lineRule="auto"/>
              <w:ind w:left="-91" w:right="-96"/>
              <w:jc w:val="center"/>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39" w:type="dxa"/>
            <w:tcBorders>
              <w:left w:val="dashed" w:sz="4" w:space="0" w:color="auto"/>
              <w:right w:val="single" w:sz="4" w:space="0" w:color="auto"/>
            </w:tcBorders>
            <w:shd w:val="clear" w:color="000000" w:fill="6B2976"/>
            <w:noWrap/>
            <w:vAlign w:val="center"/>
            <w:hideMark/>
          </w:tcPr>
          <w:p w14:paraId="4AB66604" w14:textId="73E75D3F" w:rsidR="002E7F61" w:rsidRPr="007F6332" w:rsidRDefault="002E7F61" w:rsidP="0049739C">
            <w:pPr>
              <w:spacing w:after="0" w:line="240" w:lineRule="auto"/>
              <w:ind w:left="-91" w:right="-96"/>
              <w:jc w:val="center"/>
              <w:rPr>
                <w:rFonts w:eastAsia="Times New Roman" w:cs="Arial"/>
                <w:b/>
                <w:bCs/>
                <w:color w:val="FFFFFF"/>
                <w:szCs w:val="22"/>
                <w:lang w:eastAsia="en-AU"/>
              </w:rPr>
            </w:pPr>
            <w:r w:rsidRPr="007F6332">
              <w:rPr>
                <w:rFonts w:eastAsia="Times New Roman" w:cs="Arial"/>
                <w:b/>
                <w:bCs/>
                <w:color w:val="FFFFFF"/>
                <w:szCs w:val="22"/>
                <w:lang w:eastAsia="en-AU"/>
              </w:rPr>
              <w:t>2032-33</w:t>
            </w:r>
          </w:p>
        </w:tc>
        <w:tc>
          <w:tcPr>
            <w:tcW w:w="1140" w:type="dxa"/>
            <w:tcBorders>
              <w:left w:val="single" w:sz="4" w:space="0" w:color="auto"/>
            </w:tcBorders>
            <w:shd w:val="clear" w:color="000000" w:fill="6B2976"/>
            <w:noWrap/>
            <w:vAlign w:val="center"/>
            <w:hideMark/>
          </w:tcPr>
          <w:p w14:paraId="52747D65" w14:textId="5BFB2F1F" w:rsidR="002E7F61" w:rsidRPr="007F6332" w:rsidRDefault="0049739C" w:rsidP="0049739C">
            <w:pPr>
              <w:spacing w:after="0" w:line="240" w:lineRule="auto"/>
              <w:ind w:left="-91" w:right="-96"/>
              <w:jc w:val="center"/>
              <w:rPr>
                <w:rFonts w:eastAsia="Times New Roman" w:cs="Arial"/>
                <w:b/>
                <w:bCs/>
                <w:color w:val="FFFFFF"/>
                <w:szCs w:val="22"/>
                <w:lang w:eastAsia="en-AU"/>
              </w:rPr>
            </w:pPr>
            <w:r w:rsidRPr="007F6332">
              <w:rPr>
                <w:rFonts w:eastAsia="Times New Roman" w:cs="Arial"/>
                <w:b/>
                <w:bCs/>
                <w:color w:val="FFFFFF"/>
                <w:szCs w:val="22"/>
                <w:lang w:eastAsia="en-AU"/>
              </w:rPr>
              <w:t xml:space="preserve">Total </w:t>
            </w:r>
            <w:r w:rsidR="002E7F61" w:rsidRPr="007F6332">
              <w:rPr>
                <w:rFonts w:eastAsia="Times New Roman" w:cs="Arial"/>
                <w:b/>
                <w:bCs/>
                <w:color w:val="FFFFFF"/>
                <w:szCs w:val="22"/>
                <w:lang w:eastAsia="en-AU"/>
              </w:rPr>
              <w:t>2023-27</w:t>
            </w:r>
          </w:p>
        </w:tc>
      </w:tr>
      <w:tr w:rsidR="007765BE" w:rsidRPr="007F6332" w14:paraId="7CDFDF76" w14:textId="77777777" w:rsidTr="00F57A0C">
        <w:trPr>
          <w:trHeight w:val="250"/>
        </w:trPr>
        <w:tc>
          <w:tcPr>
            <w:tcW w:w="2094" w:type="dxa"/>
            <w:shd w:val="clear" w:color="auto" w:fill="auto"/>
            <w:vAlign w:val="bottom"/>
            <w:hideMark/>
          </w:tcPr>
          <w:p w14:paraId="1E69ED73" w14:textId="28E53DDE" w:rsidR="002E7F61" w:rsidRPr="007F6332" w:rsidRDefault="002E7F61"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Baseline</w:t>
            </w:r>
            <w:r w:rsidR="006739A1" w:rsidRPr="007F6332">
              <w:rPr>
                <w:rFonts w:eastAsia="Times New Roman" w:cs="Arial"/>
                <w:color w:val="000000"/>
                <w:szCs w:val="22"/>
                <w:lang w:eastAsia="en-AU"/>
              </w:rPr>
              <w:t xml:space="preserve"> June 2023 projections</w:t>
            </w:r>
            <w:r w:rsidRPr="007F6332">
              <w:rPr>
                <w:rFonts w:eastAsia="Times New Roman" w:cs="Arial"/>
                <w:color w:val="000000"/>
                <w:szCs w:val="22"/>
                <w:lang w:eastAsia="en-AU"/>
              </w:rPr>
              <w:t xml:space="preserve"> ($m)</w:t>
            </w:r>
          </w:p>
        </w:tc>
        <w:tc>
          <w:tcPr>
            <w:tcW w:w="1139" w:type="dxa"/>
            <w:shd w:val="clear" w:color="auto" w:fill="auto"/>
            <w:noWrap/>
            <w:vAlign w:val="center"/>
            <w:hideMark/>
          </w:tcPr>
          <w:p w14:paraId="60C70F85"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41,360</w:t>
            </w:r>
          </w:p>
        </w:tc>
        <w:tc>
          <w:tcPr>
            <w:tcW w:w="1140" w:type="dxa"/>
            <w:shd w:val="clear" w:color="auto" w:fill="auto"/>
            <w:noWrap/>
            <w:vAlign w:val="center"/>
            <w:hideMark/>
          </w:tcPr>
          <w:p w14:paraId="4FAB4ABD"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46,376</w:t>
            </w:r>
          </w:p>
        </w:tc>
        <w:tc>
          <w:tcPr>
            <w:tcW w:w="1139" w:type="dxa"/>
            <w:shd w:val="clear" w:color="auto" w:fill="auto"/>
            <w:noWrap/>
            <w:vAlign w:val="center"/>
            <w:hideMark/>
          </w:tcPr>
          <w:p w14:paraId="795F244D"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50,788</w:t>
            </w:r>
          </w:p>
        </w:tc>
        <w:tc>
          <w:tcPr>
            <w:tcW w:w="1140" w:type="dxa"/>
            <w:tcBorders>
              <w:right w:val="dashed" w:sz="4" w:space="0" w:color="auto"/>
            </w:tcBorders>
            <w:shd w:val="clear" w:color="auto" w:fill="auto"/>
            <w:noWrap/>
            <w:vAlign w:val="center"/>
            <w:hideMark/>
          </w:tcPr>
          <w:p w14:paraId="5200908A"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55,207</w:t>
            </w:r>
          </w:p>
        </w:tc>
        <w:tc>
          <w:tcPr>
            <w:tcW w:w="1139" w:type="dxa"/>
            <w:tcBorders>
              <w:left w:val="dashed" w:sz="4" w:space="0" w:color="auto"/>
              <w:right w:val="single" w:sz="4" w:space="0" w:color="auto"/>
            </w:tcBorders>
            <w:shd w:val="clear" w:color="auto" w:fill="auto"/>
            <w:noWrap/>
            <w:vAlign w:val="center"/>
            <w:hideMark/>
          </w:tcPr>
          <w:p w14:paraId="7AB5CDA1"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eastAsia="Times New Roman" w:cs="Arial"/>
                <w:color w:val="000000"/>
                <w:szCs w:val="22"/>
                <w:lang w:eastAsia="en-AU"/>
              </w:rPr>
              <w:t>92,341</w:t>
            </w:r>
          </w:p>
        </w:tc>
        <w:tc>
          <w:tcPr>
            <w:tcW w:w="1140" w:type="dxa"/>
            <w:tcBorders>
              <w:left w:val="single" w:sz="4" w:space="0" w:color="auto"/>
            </w:tcBorders>
            <w:shd w:val="clear" w:color="auto" w:fill="auto"/>
            <w:noWrap/>
            <w:vAlign w:val="center"/>
            <w:hideMark/>
          </w:tcPr>
          <w:p w14:paraId="2B9E8EFA" w14:textId="77777777" w:rsidR="002E7F61" w:rsidRPr="007F6332" w:rsidRDefault="002E7F61" w:rsidP="0049739C">
            <w:pPr>
              <w:spacing w:after="0" w:line="240" w:lineRule="auto"/>
              <w:ind w:left="-67"/>
              <w:jc w:val="center"/>
              <w:rPr>
                <w:rFonts w:eastAsia="Times New Roman" w:cs="Arial"/>
                <w:color w:val="000000"/>
                <w:szCs w:val="22"/>
                <w:lang w:eastAsia="en-AU"/>
              </w:rPr>
            </w:pPr>
            <w:r w:rsidRPr="007F6332">
              <w:rPr>
                <w:rFonts w:eastAsia="Times New Roman" w:cs="Arial"/>
                <w:color w:val="000000"/>
                <w:szCs w:val="22"/>
                <w:lang w:eastAsia="en-AU"/>
              </w:rPr>
              <w:t>193,731</w:t>
            </w:r>
          </w:p>
        </w:tc>
      </w:tr>
      <w:tr w:rsidR="007765BE" w:rsidRPr="007F6332" w14:paraId="399AB736" w14:textId="77777777" w:rsidTr="00F57A0C">
        <w:trPr>
          <w:trHeight w:val="397"/>
        </w:trPr>
        <w:tc>
          <w:tcPr>
            <w:tcW w:w="8931" w:type="dxa"/>
            <w:gridSpan w:val="7"/>
            <w:shd w:val="clear" w:color="000000" w:fill="B398B8"/>
            <w:noWrap/>
            <w:vAlign w:val="center"/>
            <w:hideMark/>
          </w:tcPr>
          <w:p w14:paraId="338CBF7C" w14:textId="165A7807" w:rsidR="002E7F61" w:rsidRPr="007F6332" w:rsidRDefault="002E7F61" w:rsidP="00A449E9">
            <w:pPr>
              <w:spacing w:after="0" w:line="240" w:lineRule="auto"/>
              <w:ind w:left="-67"/>
              <w:rPr>
                <w:rFonts w:eastAsia="Times New Roman" w:cs="Arial"/>
                <w:b/>
                <w:bCs/>
                <w:color w:val="000000"/>
                <w:szCs w:val="22"/>
                <w:lang w:eastAsia="en-AU"/>
              </w:rPr>
            </w:pPr>
            <w:r w:rsidRPr="007F6332">
              <w:rPr>
                <w:rFonts w:eastAsia="Times New Roman" w:cs="Arial"/>
                <w:b/>
                <w:bCs/>
                <w:color w:val="000000"/>
                <w:szCs w:val="22"/>
                <w:lang w:eastAsia="en-AU"/>
              </w:rPr>
              <w:t xml:space="preserve">Scenario: Without the impact of </w:t>
            </w:r>
            <w:r w:rsidR="002D6881" w:rsidRPr="007F6332">
              <w:rPr>
                <w:rFonts w:eastAsia="Times New Roman" w:cs="Arial"/>
                <w:b/>
                <w:bCs/>
                <w:color w:val="000000"/>
                <w:szCs w:val="22"/>
                <w:lang w:eastAsia="en-AU"/>
              </w:rPr>
              <w:t>Budget initiatives</w:t>
            </w:r>
          </w:p>
        </w:tc>
      </w:tr>
      <w:tr w:rsidR="00444F7D" w:rsidRPr="007F6332" w14:paraId="25A7BECF" w14:textId="77777777" w:rsidTr="00444F7D">
        <w:trPr>
          <w:trHeight w:val="260"/>
        </w:trPr>
        <w:tc>
          <w:tcPr>
            <w:tcW w:w="2094" w:type="dxa"/>
            <w:shd w:val="clear" w:color="auto" w:fill="A7A9AC"/>
            <w:noWrap/>
            <w:vAlign w:val="center"/>
          </w:tcPr>
          <w:p w14:paraId="7F73712C" w14:textId="77777777" w:rsidR="002E7F61" w:rsidRPr="007F6332" w:rsidRDefault="002E7F61" w:rsidP="00203953">
            <w:pPr>
              <w:spacing w:after="0" w:line="240" w:lineRule="auto"/>
              <w:ind w:left="-113" w:firstLineChars="14" w:firstLine="31"/>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1139" w:type="dxa"/>
            <w:shd w:val="clear" w:color="auto" w:fill="A7A9AC"/>
            <w:noWrap/>
            <w:vAlign w:val="center"/>
          </w:tcPr>
          <w:p w14:paraId="0AC9AE08"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42,237</w:t>
            </w:r>
          </w:p>
        </w:tc>
        <w:tc>
          <w:tcPr>
            <w:tcW w:w="1140" w:type="dxa"/>
            <w:shd w:val="clear" w:color="auto" w:fill="A7A9AC"/>
            <w:noWrap/>
            <w:vAlign w:val="center"/>
          </w:tcPr>
          <w:p w14:paraId="762624EC"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49,062</w:t>
            </w:r>
          </w:p>
        </w:tc>
        <w:tc>
          <w:tcPr>
            <w:tcW w:w="1139" w:type="dxa"/>
            <w:shd w:val="clear" w:color="auto" w:fill="A7A9AC"/>
            <w:noWrap/>
            <w:vAlign w:val="center"/>
          </w:tcPr>
          <w:p w14:paraId="30635E88"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55,711</w:t>
            </w:r>
          </w:p>
        </w:tc>
        <w:tc>
          <w:tcPr>
            <w:tcW w:w="1140" w:type="dxa"/>
            <w:tcBorders>
              <w:right w:val="dashed" w:sz="4" w:space="0" w:color="auto"/>
            </w:tcBorders>
            <w:shd w:val="clear" w:color="auto" w:fill="A7A9AC"/>
            <w:noWrap/>
            <w:vAlign w:val="center"/>
          </w:tcPr>
          <w:p w14:paraId="6F2E575A"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61,426</w:t>
            </w:r>
          </w:p>
        </w:tc>
        <w:tc>
          <w:tcPr>
            <w:tcW w:w="1139" w:type="dxa"/>
            <w:tcBorders>
              <w:left w:val="dashed" w:sz="4" w:space="0" w:color="auto"/>
              <w:right w:val="single" w:sz="4" w:space="0" w:color="auto"/>
            </w:tcBorders>
            <w:shd w:val="clear" w:color="auto" w:fill="A7A9AC"/>
            <w:noWrap/>
            <w:vAlign w:val="center"/>
          </w:tcPr>
          <w:p w14:paraId="5FDA10A1"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107,729</w:t>
            </w:r>
          </w:p>
        </w:tc>
        <w:tc>
          <w:tcPr>
            <w:tcW w:w="1140" w:type="dxa"/>
            <w:tcBorders>
              <w:left w:val="single" w:sz="4" w:space="0" w:color="auto"/>
            </w:tcBorders>
            <w:shd w:val="clear" w:color="auto" w:fill="A7A9AC"/>
            <w:noWrap/>
            <w:vAlign w:val="center"/>
          </w:tcPr>
          <w:p w14:paraId="4BBCD0EC" w14:textId="77777777" w:rsidR="002E7F61" w:rsidRPr="007F6332" w:rsidRDefault="002E7F61" w:rsidP="0049739C">
            <w:pPr>
              <w:spacing w:after="0" w:line="240" w:lineRule="auto"/>
              <w:ind w:left="-67"/>
              <w:jc w:val="center"/>
              <w:rPr>
                <w:rFonts w:eastAsia="Times New Roman" w:cs="Arial"/>
                <w:color w:val="000000"/>
                <w:szCs w:val="22"/>
                <w:lang w:eastAsia="en-AU"/>
              </w:rPr>
            </w:pPr>
            <w:r w:rsidRPr="007F6332">
              <w:rPr>
                <w:rFonts w:cs="Arial"/>
                <w:color w:val="000000"/>
                <w:szCs w:val="22"/>
              </w:rPr>
              <w:t>208,435</w:t>
            </w:r>
          </w:p>
        </w:tc>
      </w:tr>
      <w:tr w:rsidR="007765BE" w:rsidRPr="007F6332" w14:paraId="39994987" w14:textId="77777777" w:rsidTr="00F57A0C">
        <w:trPr>
          <w:trHeight w:val="260"/>
        </w:trPr>
        <w:tc>
          <w:tcPr>
            <w:tcW w:w="2094" w:type="dxa"/>
            <w:shd w:val="clear" w:color="auto" w:fill="auto"/>
            <w:noWrap/>
            <w:vAlign w:val="center"/>
            <w:hideMark/>
          </w:tcPr>
          <w:p w14:paraId="2F4FD335" w14:textId="2FCA9E8D" w:rsidR="002E7F61" w:rsidRPr="007F6332" w:rsidRDefault="002E7F61" w:rsidP="00164534">
            <w:pPr>
              <w:spacing w:after="0" w:line="240" w:lineRule="auto"/>
              <w:ind w:leftChars="-58" w:left="-117" w:hangingChars="5" w:hanging="11"/>
              <w:rPr>
                <w:rFonts w:eastAsia="Times New Roman" w:cs="Arial"/>
                <w:color w:val="000000"/>
                <w:szCs w:val="22"/>
                <w:lang w:eastAsia="en-AU"/>
              </w:rPr>
            </w:pPr>
            <w:r w:rsidRPr="007F6332">
              <w:rPr>
                <w:rFonts w:eastAsia="Times New Roman" w:cs="Arial"/>
                <w:color w:val="000000"/>
                <w:szCs w:val="22"/>
                <w:lang w:eastAsia="en-AU"/>
              </w:rPr>
              <w:t>Variance to</w:t>
            </w:r>
            <w:r w:rsidR="00164534" w:rsidRPr="007F6332">
              <w:rPr>
                <w:rFonts w:eastAsia="Times New Roman" w:cs="Arial"/>
                <w:color w:val="000000"/>
                <w:szCs w:val="22"/>
                <w:lang w:eastAsia="en-AU"/>
              </w:rPr>
              <w:t xml:space="preserve"> </w:t>
            </w:r>
            <w:r w:rsidRPr="007F6332">
              <w:rPr>
                <w:rFonts w:eastAsia="Times New Roman" w:cs="Arial"/>
                <w:color w:val="000000"/>
                <w:szCs w:val="22"/>
                <w:lang w:eastAsia="en-AU"/>
              </w:rPr>
              <w:t>baseline ($m)</w:t>
            </w:r>
          </w:p>
        </w:tc>
        <w:tc>
          <w:tcPr>
            <w:tcW w:w="1139" w:type="dxa"/>
            <w:shd w:val="clear" w:color="auto" w:fill="auto"/>
            <w:noWrap/>
            <w:vAlign w:val="center"/>
            <w:hideMark/>
          </w:tcPr>
          <w:p w14:paraId="24666116"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877</w:t>
            </w:r>
          </w:p>
        </w:tc>
        <w:tc>
          <w:tcPr>
            <w:tcW w:w="1140" w:type="dxa"/>
            <w:shd w:val="clear" w:color="auto" w:fill="auto"/>
            <w:noWrap/>
            <w:vAlign w:val="center"/>
            <w:hideMark/>
          </w:tcPr>
          <w:p w14:paraId="06A751C0"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2,686</w:t>
            </w:r>
          </w:p>
        </w:tc>
        <w:tc>
          <w:tcPr>
            <w:tcW w:w="1139" w:type="dxa"/>
            <w:shd w:val="clear" w:color="auto" w:fill="auto"/>
            <w:noWrap/>
            <w:vAlign w:val="center"/>
            <w:hideMark/>
          </w:tcPr>
          <w:p w14:paraId="5BF7F489"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4,923</w:t>
            </w:r>
          </w:p>
        </w:tc>
        <w:tc>
          <w:tcPr>
            <w:tcW w:w="1140" w:type="dxa"/>
            <w:tcBorders>
              <w:right w:val="dashed" w:sz="4" w:space="0" w:color="auto"/>
            </w:tcBorders>
            <w:shd w:val="clear" w:color="auto" w:fill="auto"/>
            <w:noWrap/>
            <w:vAlign w:val="center"/>
            <w:hideMark/>
          </w:tcPr>
          <w:p w14:paraId="526D180A"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6,218</w:t>
            </w:r>
          </w:p>
        </w:tc>
        <w:tc>
          <w:tcPr>
            <w:tcW w:w="1139" w:type="dxa"/>
            <w:tcBorders>
              <w:left w:val="dashed" w:sz="4" w:space="0" w:color="auto"/>
              <w:right w:val="single" w:sz="4" w:space="0" w:color="auto"/>
            </w:tcBorders>
            <w:shd w:val="clear" w:color="auto" w:fill="auto"/>
            <w:noWrap/>
            <w:vAlign w:val="center"/>
            <w:hideMark/>
          </w:tcPr>
          <w:p w14:paraId="3E402388"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15,388</w:t>
            </w:r>
          </w:p>
        </w:tc>
        <w:tc>
          <w:tcPr>
            <w:tcW w:w="1140" w:type="dxa"/>
            <w:tcBorders>
              <w:left w:val="single" w:sz="4" w:space="0" w:color="auto"/>
            </w:tcBorders>
            <w:shd w:val="clear" w:color="auto" w:fill="auto"/>
            <w:noWrap/>
            <w:vAlign w:val="center"/>
            <w:hideMark/>
          </w:tcPr>
          <w:p w14:paraId="3D9FE176" w14:textId="77777777" w:rsidR="002E7F61" w:rsidRPr="007F6332" w:rsidRDefault="002E7F61" w:rsidP="0049739C">
            <w:pPr>
              <w:spacing w:after="0" w:line="240" w:lineRule="auto"/>
              <w:ind w:left="-67"/>
              <w:jc w:val="center"/>
              <w:rPr>
                <w:rFonts w:eastAsia="Times New Roman" w:cs="Arial"/>
                <w:color w:val="000000"/>
                <w:szCs w:val="22"/>
                <w:lang w:eastAsia="en-AU"/>
              </w:rPr>
            </w:pPr>
            <w:r w:rsidRPr="007F6332">
              <w:rPr>
                <w:rFonts w:cs="Arial"/>
                <w:color w:val="000000"/>
                <w:szCs w:val="22"/>
              </w:rPr>
              <w:t>14,704</w:t>
            </w:r>
          </w:p>
        </w:tc>
      </w:tr>
      <w:tr w:rsidR="00444F7D" w:rsidRPr="007F6332" w14:paraId="7BAF31F2" w14:textId="77777777" w:rsidTr="00444F7D">
        <w:trPr>
          <w:trHeight w:val="260"/>
        </w:trPr>
        <w:tc>
          <w:tcPr>
            <w:tcW w:w="2094" w:type="dxa"/>
            <w:tcBorders>
              <w:bottom w:val="single" w:sz="4" w:space="0" w:color="auto"/>
            </w:tcBorders>
            <w:shd w:val="clear" w:color="auto" w:fill="A7A9AC"/>
            <w:noWrap/>
            <w:vAlign w:val="center"/>
            <w:hideMark/>
          </w:tcPr>
          <w:p w14:paraId="48A69BD4" w14:textId="77777777" w:rsidR="002E7F61" w:rsidRPr="007F6332" w:rsidRDefault="002E7F61"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1139" w:type="dxa"/>
            <w:tcBorders>
              <w:bottom w:val="single" w:sz="4" w:space="0" w:color="auto"/>
            </w:tcBorders>
            <w:shd w:val="clear" w:color="auto" w:fill="A7A9AC"/>
            <w:noWrap/>
            <w:vAlign w:val="center"/>
            <w:hideMark/>
          </w:tcPr>
          <w:p w14:paraId="3AB50169"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2%</w:t>
            </w:r>
          </w:p>
        </w:tc>
        <w:tc>
          <w:tcPr>
            <w:tcW w:w="1140" w:type="dxa"/>
            <w:tcBorders>
              <w:bottom w:val="single" w:sz="4" w:space="0" w:color="auto"/>
            </w:tcBorders>
            <w:shd w:val="clear" w:color="auto" w:fill="A7A9AC"/>
            <w:noWrap/>
            <w:vAlign w:val="center"/>
            <w:hideMark/>
          </w:tcPr>
          <w:p w14:paraId="4D03FA7A"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6%</w:t>
            </w:r>
          </w:p>
        </w:tc>
        <w:tc>
          <w:tcPr>
            <w:tcW w:w="1139" w:type="dxa"/>
            <w:tcBorders>
              <w:bottom w:val="single" w:sz="4" w:space="0" w:color="auto"/>
            </w:tcBorders>
            <w:shd w:val="clear" w:color="auto" w:fill="A7A9AC"/>
            <w:noWrap/>
            <w:vAlign w:val="center"/>
            <w:hideMark/>
          </w:tcPr>
          <w:p w14:paraId="2CACF24A"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10%</w:t>
            </w:r>
          </w:p>
        </w:tc>
        <w:tc>
          <w:tcPr>
            <w:tcW w:w="1140" w:type="dxa"/>
            <w:tcBorders>
              <w:bottom w:val="single" w:sz="4" w:space="0" w:color="auto"/>
              <w:right w:val="dashed" w:sz="4" w:space="0" w:color="auto"/>
            </w:tcBorders>
            <w:shd w:val="clear" w:color="auto" w:fill="A7A9AC"/>
            <w:noWrap/>
            <w:vAlign w:val="center"/>
            <w:hideMark/>
          </w:tcPr>
          <w:p w14:paraId="01D7BDCE"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11%</w:t>
            </w:r>
          </w:p>
        </w:tc>
        <w:tc>
          <w:tcPr>
            <w:tcW w:w="1139" w:type="dxa"/>
            <w:tcBorders>
              <w:left w:val="dashed" w:sz="4" w:space="0" w:color="auto"/>
              <w:bottom w:val="single" w:sz="4" w:space="0" w:color="auto"/>
              <w:right w:val="single" w:sz="4" w:space="0" w:color="auto"/>
            </w:tcBorders>
            <w:shd w:val="clear" w:color="auto" w:fill="A7A9AC"/>
            <w:noWrap/>
            <w:vAlign w:val="center"/>
            <w:hideMark/>
          </w:tcPr>
          <w:p w14:paraId="4C992ECC" w14:textId="77777777" w:rsidR="002E7F61" w:rsidRPr="007F6332" w:rsidRDefault="002E7F61" w:rsidP="0049739C">
            <w:pPr>
              <w:spacing w:after="0" w:line="240" w:lineRule="auto"/>
              <w:jc w:val="center"/>
              <w:rPr>
                <w:rFonts w:eastAsia="Times New Roman" w:cs="Arial"/>
                <w:color w:val="000000"/>
                <w:szCs w:val="22"/>
                <w:lang w:eastAsia="en-AU"/>
              </w:rPr>
            </w:pPr>
            <w:r w:rsidRPr="007F6332">
              <w:rPr>
                <w:rFonts w:cs="Arial"/>
                <w:color w:val="000000"/>
                <w:szCs w:val="22"/>
              </w:rPr>
              <w:t>17%</w:t>
            </w:r>
          </w:p>
        </w:tc>
        <w:tc>
          <w:tcPr>
            <w:tcW w:w="1140" w:type="dxa"/>
            <w:tcBorders>
              <w:left w:val="single" w:sz="4" w:space="0" w:color="auto"/>
              <w:bottom w:val="single" w:sz="4" w:space="0" w:color="auto"/>
            </w:tcBorders>
            <w:shd w:val="clear" w:color="auto" w:fill="A7A9AC"/>
            <w:noWrap/>
            <w:vAlign w:val="center"/>
            <w:hideMark/>
          </w:tcPr>
          <w:p w14:paraId="2BA53356" w14:textId="77777777" w:rsidR="002E7F61" w:rsidRPr="007F6332" w:rsidRDefault="002E7F61" w:rsidP="0049739C">
            <w:pPr>
              <w:spacing w:after="0" w:line="240" w:lineRule="auto"/>
              <w:ind w:left="-67"/>
              <w:jc w:val="center"/>
              <w:rPr>
                <w:rFonts w:eastAsia="Times New Roman" w:cs="Arial"/>
                <w:color w:val="000000"/>
                <w:szCs w:val="22"/>
                <w:lang w:eastAsia="en-AU"/>
              </w:rPr>
            </w:pPr>
            <w:r w:rsidRPr="007F6332">
              <w:rPr>
                <w:rFonts w:cs="Arial"/>
                <w:color w:val="000000"/>
                <w:szCs w:val="22"/>
              </w:rPr>
              <w:t>8%</w:t>
            </w:r>
          </w:p>
        </w:tc>
      </w:tr>
    </w:tbl>
    <w:p w14:paraId="4DCF68D2" w14:textId="77777777" w:rsidR="002E7F61" w:rsidRPr="007F6332" w:rsidRDefault="002E7F61" w:rsidP="006570F1">
      <w:pPr>
        <w:pStyle w:val="Heading4"/>
        <w:ind w:left="851" w:hanging="851"/>
        <w:rPr>
          <w:rFonts w:cs="Arial"/>
        </w:rPr>
      </w:pPr>
      <w:r w:rsidRPr="007F6332">
        <w:rPr>
          <w:rFonts w:cs="Arial"/>
        </w:rPr>
        <w:t>Growth in average payments</w:t>
      </w:r>
    </w:p>
    <w:p w14:paraId="5B64651D" w14:textId="77777777" w:rsidR="0057206A" w:rsidRPr="007F6332" w:rsidRDefault="0057206A" w:rsidP="0057206A">
      <w:pPr>
        <w:rPr>
          <w:rFonts w:cs="Arial"/>
        </w:rPr>
      </w:pPr>
      <w:r w:rsidRPr="007F6332">
        <w:rPr>
          <w:rFonts w:cs="Arial"/>
        </w:rPr>
        <w:t>The average payments per participant have grown at rates exceeding normal inflation for several years. The additional growth in payments assumed for projecting Scheme expenses is an assumption that is based on a high level of judgement. This acknowledges that historic rates of growth only provide limited evidence regarding future rates of growth. The average payment growth assumption has a material effect on Scheme projections.</w:t>
      </w:r>
    </w:p>
    <w:p w14:paraId="3587E134" w14:textId="7A646788" w:rsidR="0057206A" w:rsidRPr="007F6332" w:rsidRDefault="0057206A" w:rsidP="0057206A">
      <w:pPr>
        <w:rPr>
          <w:rFonts w:cs="Arial"/>
        </w:rPr>
      </w:pPr>
      <w:r w:rsidRPr="007F6332">
        <w:rPr>
          <w:rFonts w:cs="Arial"/>
        </w:rPr>
        <w:t xml:space="preserve">This scenario can also be used to gauge the impact of higher normal inflation assumptions compared with the baseline projection, noting that forecasts of economic inflation have increased since the previous review and there remains uncertainty about future general rates of inflation in Australia and internationally, including decisions passed down by the Fair Work Commission which are used directly to inform assumptions about future growth in the </w:t>
      </w:r>
      <w:r w:rsidR="006739A1" w:rsidRPr="007F6332">
        <w:rPr>
          <w:rFonts w:cs="Arial"/>
        </w:rPr>
        <w:t>Scheme</w:t>
      </w:r>
      <w:r w:rsidRPr="007F6332">
        <w:rPr>
          <w:rFonts w:cs="Arial"/>
        </w:rPr>
        <w:t xml:space="preserve"> projections. </w:t>
      </w:r>
    </w:p>
    <w:p w14:paraId="38D74F4C" w14:textId="11301FBD" w:rsidR="0057206A" w:rsidRPr="007F6332" w:rsidRDefault="0057206A" w:rsidP="0057206A">
      <w:pPr>
        <w:rPr>
          <w:rFonts w:cs="Arial"/>
        </w:rPr>
      </w:pPr>
      <w:r w:rsidRPr="007F6332">
        <w:rPr>
          <w:rFonts w:cs="Arial"/>
        </w:rPr>
        <w:t xml:space="preserve">This is illustrated in </w:t>
      </w:r>
      <w:r w:rsidR="00950565" w:rsidRPr="007F6332">
        <w:rPr>
          <w:rFonts w:cs="Arial"/>
        </w:rPr>
        <w:t xml:space="preserve">Table 6.2 </w:t>
      </w:r>
      <w:r w:rsidRPr="007F6332">
        <w:rPr>
          <w:rFonts w:cs="Arial"/>
        </w:rPr>
        <w:t>which presents the following scenarios:</w:t>
      </w:r>
    </w:p>
    <w:p w14:paraId="3709F46C" w14:textId="77777777" w:rsidR="0057206A" w:rsidRPr="007F6332" w:rsidRDefault="0057206A" w:rsidP="00C1755E">
      <w:pPr>
        <w:pStyle w:val="FSRlist"/>
        <w:rPr>
          <w:rFonts w:cs="Arial"/>
        </w:rPr>
      </w:pPr>
      <w:r w:rsidRPr="007F6332">
        <w:rPr>
          <w:rFonts w:cs="Arial"/>
          <w:b/>
          <w:bCs/>
        </w:rPr>
        <w:t>A one percentage point increase to additional growth rates in the short-term, for the four years from 2023-24 to 2026-27.</w:t>
      </w:r>
      <w:r w:rsidRPr="007F6332">
        <w:rPr>
          <w:rFonts w:cs="Arial"/>
        </w:rPr>
        <w:t xml:space="preserve"> This adds $2.2 billion to Scheme expenses in 2026-27 and $3.7 billion in 2032-33.</w:t>
      </w:r>
    </w:p>
    <w:p w14:paraId="13F29699" w14:textId="77777777" w:rsidR="0057206A" w:rsidRPr="007F6332" w:rsidRDefault="0057206A" w:rsidP="00C1755E">
      <w:pPr>
        <w:pStyle w:val="FSRlist"/>
        <w:rPr>
          <w:rFonts w:cs="Arial"/>
        </w:rPr>
      </w:pPr>
      <w:r w:rsidRPr="007F6332">
        <w:rPr>
          <w:rFonts w:cs="Arial"/>
          <w:b/>
          <w:bCs/>
        </w:rPr>
        <w:t>A one percentage point increase to additional growth rates across all projection years.</w:t>
      </w:r>
      <w:r w:rsidRPr="007F6332">
        <w:rPr>
          <w:rFonts w:cs="Arial"/>
        </w:rPr>
        <w:t xml:space="preserve"> This adds $2.2 billion to Scheme expenses in 2026-27 and $9.0 billion in 2032-33.</w:t>
      </w:r>
    </w:p>
    <w:p w14:paraId="5C882A5F" w14:textId="77777777" w:rsidR="0057206A" w:rsidRPr="007F6332" w:rsidRDefault="0057206A" w:rsidP="00C1755E">
      <w:pPr>
        <w:pStyle w:val="FSRlist"/>
        <w:rPr>
          <w:rFonts w:cs="Arial"/>
        </w:rPr>
      </w:pPr>
      <w:r w:rsidRPr="007F6332">
        <w:rPr>
          <w:rFonts w:cs="Arial"/>
          <w:b/>
          <w:bCs/>
        </w:rPr>
        <w:t>A one percentage point reduction to additional growth rates in the short-term, for the four years from 2023-24 to 2026-27.</w:t>
      </w:r>
      <w:r w:rsidRPr="007F6332">
        <w:rPr>
          <w:rFonts w:cs="Arial"/>
        </w:rPr>
        <w:t xml:space="preserve"> This reduces Scheme expenses in 2026-27 by $2.1 billion and in 2032-33 by $3.6 billion.</w:t>
      </w:r>
    </w:p>
    <w:p w14:paraId="6ECE6097" w14:textId="77777777" w:rsidR="0057206A" w:rsidRPr="007F6332" w:rsidRDefault="0057206A" w:rsidP="00C1755E">
      <w:pPr>
        <w:pStyle w:val="FSRlist"/>
        <w:rPr>
          <w:rFonts w:cs="Arial"/>
        </w:rPr>
      </w:pPr>
      <w:r w:rsidRPr="007F6332">
        <w:rPr>
          <w:rFonts w:cs="Arial"/>
          <w:b/>
          <w:bCs/>
        </w:rPr>
        <w:t>A one percentage point reduction to additional growth rates across all projection years.</w:t>
      </w:r>
      <w:r w:rsidRPr="007F6332">
        <w:rPr>
          <w:rFonts w:cs="Arial"/>
        </w:rPr>
        <w:t xml:space="preserve"> This reduces Scheme expenses in 2026-27 by $2.1 billion and in 2032-33 by $8.2 billion.</w:t>
      </w:r>
    </w:p>
    <w:p w14:paraId="37E4C194" w14:textId="77C94A14" w:rsidR="00B042DF" w:rsidRPr="007F6332" w:rsidRDefault="00950565" w:rsidP="00945CBF">
      <w:pPr>
        <w:pStyle w:val="FiguresandTablesHeading5"/>
      </w:pPr>
      <w:r w:rsidRPr="007F6332">
        <w:lastRenderedPageBreak/>
        <w:t>Table 6.2</w:t>
      </w:r>
      <w:r w:rsidR="006739A1" w:rsidRPr="007F6332">
        <w:t>:</w:t>
      </w:r>
      <w:r w:rsidR="00B042DF" w:rsidRPr="007F6332">
        <w:t xml:space="preserve"> Scenarios with higher and lower additional growth rates – Projected Scheme expenses and variance to the </w:t>
      </w:r>
      <w:r w:rsidR="006739A1" w:rsidRPr="007F6332">
        <w:t>June 2023 projections</w:t>
      </w:r>
    </w:p>
    <w:tbl>
      <w:tblPr>
        <w:tblW w:w="8791" w:type="dxa"/>
        <w:tblInd w:w="5" w:type="dxa"/>
        <w:tblLayout w:type="fixed"/>
        <w:tblLook w:val="04A0" w:firstRow="1" w:lastRow="0" w:firstColumn="1" w:lastColumn="0" w:noHBand="0" w:noVBand="1"/>
      </w:tblPr>
      <w:tblGrid>
        <w:gridCol w:w="1962"/>
        <w:gridCol w:w="283"/>
        <w:gridCol w:w="145"/>
        <w:gridCol w:w="937"/>
        <w:gridCol w:w="121"/>
        <w:gridCol w:w="962"/>
        <w:gridCol w:w="97"/>
        <w:gridCol w:w="986"/>
        <w:gridCol w:w="73"/>
        <w:gridCol w:w="1059"/>
        <w:gridCol w:w="1083"/>
        <w:gridCol w:w="1083"/>
      </w:tblGrid>
      <w:tr w:rsidR="00444F7D" w:rsidRPr="007F6332" w14:paraId="78B54F65" w14:textId="77777777" w:rsidTr="00444F7D">
        <w:trPr>
          <w:trHeight w:val="283"/>
        </w:trPr>
        <w:tc>
          <w:tcPr>
            <w:tcW w:w="1975" w:type="dxa"/>
            <w:shd w:val="clear" w:color="000000" w:fill="6B2976"/>
            <w:noWrap/>
            <w:vAlign w:val="center"/>
            <w:hideMark/>
          </w:tcPr>
          <w:p w14:paraId="527AAC2B" w14:textId="77777777" w:rsidR="008F0BD1" w:rsidRPr="007F6332" w:rsidRDefault="008F0BD1" w:rsidP="00D8325F">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 </w:t>
            </w:r>
          </w:p>
        </w:tc>
        <w:tc>
          <w:tcPr>
            <w:tcW w:w="429" w:type="dxa"/>
            <w:gridSpan w:val="2"/>
            <w:shd w:val="clear" w:color="000000" w:fill="6B2976"/>
          </w:tcPr>
          <w:p w14:paraId="1A69F74C" w14:textId="77777777" w:rsidR="008F0BD1" w:rsidRPr="007F6332" w:rsidRDefault="008F0BD1" w:rsidP="00203953">
            <w:pPr>
              <w:spacing w:after="0" w:line="240" w:lineRule="auto"/>
              <w:ind w:left="39"/>
              <w:jc w:val="right"/>
              <w:rPr>
                <w:rFonts w:eastAsia="Times New Roman" w:cs="Arial"/>
                <w:b/>
                <w:bCs/>
                <w:color w:val="FFFFFF"/>
                <w:sz w:val="20"/>
                <w:szCs w:val="20"/>
                <w:lang w:eastAsia="en-AU"/>
              </w:rPr>
            </w:pPr>
          </w:p>
        </w:tc>
        <w:tc>
          <w:tcPr>
            <w:tcW w:w="1064" w:type="dxa"/>
            <w:gridSpan w:val="2"/>
            <w:shd w:val="clear" w:color="000000" w:fill="6B2976"/>
            <w:noWrap/>
            <w:vAlign w:val="center"/>
            <w:hideMark/>
          </w:tcPr>
          <w:p w14:paraId="472BDD1D" w14:textId="58F5DCD7" w:rsidR="008F0BD1" w:rsidRPr="007F6332" w:rsidRDefault="008F0BD1" w:rsidP="00E81C0D">
            <w:pPr>
              <w:spacing w:after="0" w:line="240" w:lineRule="auto"/>
              <w:ind w:right="-86"/>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065" w:type="dxa"/>
            <w:gridSpan w:val="2"/>
            <w:shd w:val="clear" w:color="000000" w:fill="6B2976"/>
            <w:noWrap/>
            <w:vAlign w:val="center"/>
            <w:hideMark/>
          </w:tcPr>
          <w:p w14:paraId="78CE8629" w14:textId="3A2ECAD8" w:rsidR="008F0BD1" w:rsidRPr="007F6332" w:rsidRDefault="008F0BD1" w:rsidP="00A11DAA">
            <w:pPr>
              <w:spacing w:after="0" w:line="240" w:lineRule="auto"/>
              <w:ind w:left="-98"/>
              <w:jc w:val="center"/>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064" w:type="dxa"/>
            <w:gridSpan w:val="2"/>
            <w:shd w:val="clear" w:color="000000" w:fill="6B2976"/>
            <w:noWrap/>
            <w:vAlign w:val="center"/>
            <w:hideMark/>
          </w:tcPr>
          <w:p w14:paraId="25FDD0ED" w14:textId="1FC0455E" w:rsidR="008F0BD1" w:rsidRPr="007F6332" w:rsidRDefault="008F0BD1" w:rsidP="00E81C0D">
            <w:pPr>
              <w:spacing w:after="0" w:line="240" w:lineRule="auto"/>
              <w:ind w:left="-98"/>
              <w:jc w:val="right"/>
              <w:rPr>
                <w:rFonts w:eastAsia="Times New Roman" w:cs="Arial"/>
                <w:b/>
                <w:bCs/>
                <w:color w:val="FFFFFF"/>
                <w:szCs w:val="22"/>
                <w:lang w:eastAsia="en-AU"/>
              </w:rPr>
            </w:pPr>
            <w:r w:rsidRPr="007F6332">
              <w:rPr>
                <w:rFonts w:eastAsia="Times New Roman" w:cs="Arial"/>
                <w:b/>
                <w:bCs/>
                <w:color w:val="FFFFFF"/>
                <w:szCs w:val="22"/>
                <w:lang w:eastAsia="en-AU"/>
              </w:rPr>
              <w:t xml:space="preserve"> 2025-26</w:t>
            </w:r>
          </w:p>
        </w:tc>
        <w:tc>
          <w:tcPr>
            <w:tcW w:w="1065" w:type="dxa"/>
            <w:tcBorders>
              <w:right w:val="dashSmallGap" w:sz="4" w:space="0" w:color="auto"/>
            </w:tcBorders>
            <w:shd w:val="clear" w:color="000000" w:fill="6B2976"/>
            <w:noWrap/>
            <w:vAlign w:val="center"/>
            <w:hideMark/>
          </w:tcPr>
          <w:p w14:paraId="1544DBA8" w14:textId="2E31DF32" w:rsidR="008F0BD1" w:rsidRPr="007F6332" w:rsidRDefault="008F0BD1" w:rsidP="00E81C0D">
            <w:pPr>
              <w:spacing w:after="0" w:line="240" w:lineRule="auto"/>
              <w:ind w:left="-98"/>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064" w:type="dxa"/>
            <w:tcBorders>
              <w:left w:val="dashSmallGap" w:sz="4" w:space="0" w:color="auto"/>
              <w:right w:val="single" w:sz="4" w:space="0" w:color="auto"/>
            </w:tcBorders>
            <w:shd w:val="clear" w:color="000000" w:fill="6B2976"/>
            <w:noWrap/>
            <w:vAlign w:val="center"/>
            <w:hideMark/>
          </w:tcPr>
          <w:p w14:paraId="0DAB816B" w14:textId="4A4C55E8" w:rsidR="008F0BD1" w:rsidRPr="007F6332" w:rsidRDefault="008F0BD1" w:rsidP="00E81C0D">
            <w:pPr>
              <w:spacing w:after="0" w:line="240" w:lineRule="auto"/>
              <w:ind w:left="-98"/>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c>
          <w:tcPr>
            <w:tcW w:w="1065" w:type="dxa"/>
            <w:tcBorders>
              <w:left w:val="single" w:sz="4" w:space="0" w:color="auto"/>
            </w:tcBorders>
            <w:shd w:val="clear" w:color="000000" w:fill="6B2976"/>
            <w:noWrap/>
            <w:vAlign w:val="center"/>
            <w:hideMark/>
          </w:tcPr>
          <w:p w14:paraId="0790A0FE" w14:textId="6D888FD4" w:rsidR="008F0BD1" w:rsidRPr="007F6332" w:rsidRDefault="008F0BD1" w:rsidP="00E81C0D">
            <w:pPr>
              <w:spacing w:after="0" w:line="240" w:lineRule="auto"/>
              <w:ind w:left="-98"/>
              <w:jc w:val="right"/>
              <w:rPr>
                <w:rFonts w:eastAsia="Times New Roman" w:cs="Arial"/>
                <w:b/>
                <w:bCs/>
                <w:color w:val="FFFFFF"/>
                <w:szCs w:val="22"/>
                <w:lang w:eastAsia="en-AU"/>
              </w:rPr>
            </w:pPr>
            <w:r w:rsidRPr="007F6332">
              <w:rPr>
                <w:rFonts w:eastAsia="Times New Roman" w:cs="Arial"/>
                <w:b/>
                <w:bCs/>
                <w:color w:val="FFFFFF"/>
                <w:szCs w:val="22"/>
                <w:lang w:eastAsia="en-AU"/>
              </w:rPr>
              <w:t>Total 2023-27</w:t>
            </w:r>
          </w:p>
        </w:tc>
      </w:tr>
      <w:tr w:rsidR="00444F7D" w:rsidRPr="007F6332" w14:paraId="6EEC85B2" w14:textId="77777777" w:rsidTr="00444F7D">
        <w:trPr>
          <w:trHeight w:val="283"/>
        </w:trPr>
        <w:tc>
          <w:tcPr>
            <w:tcW w:w="1975" w:type="dxa"/>
            <w:shd w:val="clear" w:color="auto" w:fill="auto"/>
            <w:vAlign w:val="center"/>
            <w:hideMark/>
          </w:tcPr>
          <w:p w14:paraId="1E08D99A" w14:textId="59B82830"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 xml:space="preserve">Baseline: </w:t>
            </w:r>
            <w:r w:rsidR="006739A1" w:rsidRPr="007F6332">
              <w:rPr>
                <w:rFonts w:eastAsia="Times New Roman" w:cs="Arial"/>
                <w:color w:val="000000"/>
                <w:szCs w:val="22"/>
                <w:lang w:eastAsia="en-AU"/>
              </w:rPr>
              <w:t>June 2023 projections</w:t>
            </w:r>
            <w:r w:rsidRPr="007F6332">
              <w:rPr>
                <w:rFonts w:eastAsia="Times New Roman" w:cs="Arial"/>
                <w:color w:val="000000"/>
                <w:szCs w:val="22"/>
                <w:lang w:eastAsia="en-AU"/>
              </w:rPr>
              <w:t xml:space="preserve"> ($m)</w:t>
            </w:r>
          </w:p>
        </w:tc>
        <w:tc>
          <w:tcPr>
            <w:tcW w:w="429" w:type="dxa"/>
            <w:gridSpan w:val="2"/>
            <w:vAlign w:val="center"/>
          </w:tcPr>
          <w:p w14:paraId="2680E1F1" w14:textId="77777777" w:rsidR="009541C7" w:rsidRPr="007F6332" w:rsidRDefault="009541C7" w:rsidP="00F049E6">
            <w:pPr>
              <w:spacing w:after="0" w:line="240" w:lineRule="auto"/>
              <w:ind w:left="-98"/>
              <w:jc w:val="right"/>
              <w:rPr>
                <w:rFonts w:eastAsia="Times New Roman" w:cs="Arial"/>
                <w:color w:val="000000"/>
                <w:szCs w:val="22"/>
                <w:lang w:eastAsia="en-AU"/>
              </w:rPr>
            </w:pPr>
          </w:p>
        </w:tc>
        <w:tc>
          <w:tcPr>
            <w:tcW w:w="1064" w:type="dxa"/>
            <w:gridSpan w:val="2"/>
            <w:shd w:val="clear" w:color="auto" w:fill="auto"/>
            <w:noWrap/>
            <w:vAlign w:val="center"/>
            <w:hideMark/>
          </w:tcPr>
          <w:p w14:paraId="5490B705" w14:textId="7762DB38"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41,360</w:t>
            </w:r>
          </w:p>
        </w:tc>
        <w:tc>
          <w:tcPr>
            <w:tcW w:w="1065" w:type="dxa"/>
            <w:gridSpan w:val="2"/>
            <w:shd w:val="clear" w:color="auto" w:fill="auto"/>
            <w:noWrap/>
            <w:vAlign w:val="center"/>
            <w:hideMark/>
          </w:tcPr>
          <w:p w14:paraId="4ECA1EFF" w14:textId="77777777" w:rsidR="009541C7" w:rsidRPr="007F6332" w:rsidRDefault="009541C7" w:rsidP="00E81C0D">
            <w:pPr>
              <w:spacing w:after="0" w:line="240" w:lineRule="auto"/>
              <w:ind w:left="-98"/>
              <w:jc w:val="center"/>
              <w:rPr>
                <w:rFonts w:eastAsia="Times New Roman" w:cs="Arial"/>
                <w:color w:val="000000"/>
                <w:szCs w:val="22"/>
                <w:lang w:eastAsia="en-AU"/>
              </w:rPr>
            </w:pPr>
            <w:r w:rsidRPr="007F6332">
              <w:rPr>
                <w:rFonts w:eastAsia="Times New Roman" w:cs="Arial"/>
                <w:color w:val="000000"/>
                <w:szCs w:val="22"/>
                <w:lang w:eastAsia="en-AU"/>
              </w:rPr>
              <w:t>46,376</w:t>
            </w:r>
          </w:p>
        </w:tc>
        <w:tc>
          <w:tcPr>
            <w:tcW w:w="1064" w:type="dxa"/>
            <w:gridSpan w:val="2"/>
            <w:shd w:val="clear" w:color="auto" w:fill="auto"/>
            <w:noWrap/>
            <w:vAlign w:val="center"/>
            <w:hideMark/>
          </w:tcPr>
          <w:p w14:paraId="3B13F0DB"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50,788</w:t>
            </w:r>
          </w:p>
        </w:tc>
        <w:tc>
          <w:tcPr>
            <w:tcW w:w="1065" w:type="dxa"/>
            <w:tcBorders>
              <w:right w:val="dashSmallGap" w:sz="4" w:space="0" w:color="auto"/>
            </w:tcBorders>
            <w:shd w:val="clear" w:color="auto" w:fill="auto"/>
            <w:noWrap/>
            <w:vAlign w:val="center"/>
            <w:hideMark/>
          </w:tcPr>
          <w:p w14:paraId="070BE1B2"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55,207</w:t>
            </w:r>
          </w:p>
        </w:tc>
        <w:tc>
          <w:tcPr>
            <w:tcW w:w="1064" w:type="dxa"/>
            <w:tcBorders>
              <w:left w:val="dashSmallGap" w:sz="4" w:space="0" w:color="auto"/>
              <w:right w:val="single" w:sz="4" w:space="0" w:color="auto"/>
            </w:tcBorders>
            <w:shd w:val="clear" w:color="auto" w:fill="auto"/>
            <w:noWrap/>
            <w:vAlign w:val="center"/>
            <w:hideMark/>
          </w:tcPr>
          <w:p w14:paraId="6DDE1EDC"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92,341</w:t>
            </w:r>
          </w:p>
        </w:tc>
        <w:tc>
          <w:tcPr>
            <w:tcW w:w="1065" w:type="dxa"/>
            <w:tcBorders>
              <w:left w:val="single" w:sz="4" w:space="0" w:color="auto"/>
            </w:tcBorders>
            <w:shd w:val="clear" w:color="auto" w:fill="auto"/>
            <w:noWrap/>
            <w:vAlign w:val="center"/>
            <w:hideMark/>
          </w:tcPr>
          <w:p w14:paraId="7D52DCC6"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193,731</w:t>
            </w:r>
          </w:p>
        </w:tc>
      </w:tr>
      <w:tr w:rsidR="00A11DAA" w:rsidRPr="007F6332" w14:paraId="4DA03869" w14:textId="77777777" w:rsidTr="00F57A0C">
        <w:trPr>
          <w:trHeight w:val="522"/>
        </w:trPr>
        <w:tc>
          <w:tcPr>
            <w:tcW w:w="8784" w:type="dxa"/>
            <w:gridSpan w:val="12"/>
            <w:shd w:val="clear" w:color="000000" w:fill="B398B8"/>
            <w:vAlign w:val="center"/>
          </w:tcPr>
          <w:p w14:paraId="02D201EB" w14:textId="1A4DBDB0" w:rsidR="00F049E6" w:rsidRPr="007F6332" w:rsidRDefault="00F049E6" w:rsidP="00E81C0D">
            <w:pPr>
              <w:spacing w:after="0" w:line="240" w:lineRule="auto"/>
              <w:ind w:left="-98"/>
              <w:rPr>
                <w:rFonts w:eastAsia="Times New Roman" w:cs="Arial"/>
                <w:b/>
                <w:bCs/>
                <w:color w:val="000000"/>
                <w:szCs w:val="22"/>
                <w:lang w:eastAsia="en-AU"/>
              </w:rPr>
            </w:pPr>
            <w:r w:rsidRPr="007F6332">
              <w:rPr>
                <w:rFonts w:eastAsia="Times New Roman" w:cs="Arial"/>
                <w:b/>
                <w:bCs/>
                <w:color w:val="000000"/>
                <w:szCs w:val="22"/>
                <w:lang w:eastAsia="en-AU"/>
              </w:rPr>
              <w:t>Scenario 1: Higher growth in the short-term (+1%)</w:t>
            </w:r>
          </w:p>
        </w:tc>
      </w:tr>
      <w:tr w:rsidR="00444F7D" w:rsidRPr="007F6332" w14:paraId="3D0990F7" w14:textId="77777777" w:rsidTr="00444F7D">
        <w:trPr>
          <w:trHeight w:val="397"/>
        </w:trPr>
        <w:tc>
          <w:tcPr>
            <w:tcW w:w="1975" w:type="dxa"/>
            <w:shd w:val="clear" w:color="auto" w:fill="auto"/>
            <w:noWrap/>
            <w:vAlign w:val="center"/>
            <w:hideMark/>
          </w:tcPr>
          <w:p w14:paraId="16A0FC26"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283" w:type="dxa"/>
            <w:vAlign w:val="center"/>
          </w:tcPr>
          <w:p w14:paraId="3BA7F45A"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auto" w:fill="auto"/>
            <w:noWrap/>
            <w:vAlign w:val="center"/>
            <w:hideMark/>
          </w:tcPr>
          <w:p w14:paraId="38F60CC8" w14:textId="1B94EF2B"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41,749</w:t>
            </w:r>
          </w:p>
        </w:tc>
        <w:tc>
          <w:tcPr>
            <w:tcW w:w="1089" w:type="dxa"/>
            <w:gridSpan w:val="2"/>
            <w:shd w:val="clear" w:color="auto" w:fill="auto"/>
            <w:noWrap/>
            <w:vAlign w:val="center"/>
            <w:hideMark/>
          </w:tcPr>
          <w:p w14:paraId="5255195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47,264</w:t>
            </w:r>
          </w:p>
        </w:tc>
        <w:tc>
          <w:tcPr>
            <w:tcW w:w="1089" w:type="dxa"/>
            <w:gridSpan w:val="2"/>
            <w:shd w:val="clear" w:color="auto" w:fill="auto"/>
            <w:noWrap/>
            <w:vAlign w:val="center"/>
            <w:hideMark/>
          </w:tcPr>
          <w:p w14:paraId="25BAF448"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52,274</w:t>
            </w:r>
          </w:p>
        </w:tc>
        <w:tc>
          <w:tcPr>
            <w:tcW w:w="1089" w:type="dxa"/>
            <w:gridSpan w:val="2"/>
            <w:tcBorders>
              <w:right w:val="dashSmallGap" w:sz="4" w:space="0" w:color="auto"/>
            </w:tcBorders>
            <w:shd w:val="clear" w:color="auto" w:fill="auto"/>
            <w:noWrap/>
            <w:vAlign w:val="center"/>
            <w:hideMark/>
          </w:tcPr>
          <w:p w14:paraId="103A2C6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57,389</w:t>
            </w:r>
          </w:p>
        </w:tc>
        <w:tc>
          <w:tcPr>
            <w:tcW w:w="1089" w:type="dxa"/>
            <w:tcBorders>
              <w:left w:val="dashSmallGap" w:sz="4" w:space="0" w:color="auto"/>
              <w:right w:val="single" w:sz="4" w:space="0" w:color="auto"/>
            </w:tcBorders>
            <w:shd w:val="clear" w:color="auto" w:fill="auto"/>
            <w:noWrap/>
            <w:vAlign w:val="center"/>
            <w:hideMark/>
          </w:tcPr>
          <w:p w14:paraId="22C702E7"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96,057</w:t>
            </w:r>
          </w:p>
        </w:tc>
        <w:tc>
          <w:tcPr>
            <w:tcW w:w="1089" w:type="dxa"/>
            <w:tcBorders>
              <w:left w:val="single" w:sz="4" w:space="0" w:color="auto"/>
            </w:tcBorders>
            <w:shd w:val="clear" w:color="auto" w:fill="auto"/>
            <w:noWrap/>
            <w:vAlign w:val="center"/>
            <w:hideMark/>
          </w:tcPr>
          <w:p w14:paraId="47C71F53"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198,677</w:t>
            </w:r>
          </w:p>
        </w:tc>
      </w:tr>
      <w:tr w:rsidR="00444F7D" w:rsidRPr="007F6332" w14:paraId="318C5374" w14:textId="77777777" w:rsidTr="00444F7D">
        <w:trPr>
          <w:trHeight w:val="397"/>
        </w:trPr>
        <w:tc>
          <w:tcPr>
            <w:tcW w:w="1975" w:type="dxa"/>
            <w:shd w:val="clear" w:color="000000" w:fill="D1D3D4"/>
            <w:noWrap/>
            <w:vAlign w:val="center"/>
            <w:hideMark/>
          </w:tcPr>
          <w:p w14:paraId="330B1718"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283" w:type="dxa"/>
            <w:shd w:val="clear" w:color="000000" w:fill="D1D3D4"/>
            <w:vAlign w:val="center"/>
          </w:tcPr>
          <w:p w14:paraId="057DD9A9"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000000" w:fill="D1D3D4"/>
            <w:noWrap/>
            <w:vAlign w:val="center"/>
            <w:hideMark/>
          </w:tcPr>
          <w:p w14:paraId="4B81B282" w14:textId="3DFBF1F3"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+389</w:t>
            </w:r>
          </w:p>
        </w:tc>
        <w:tc>
          <w:tcPr>
            <w:tcW w:w="1089" w:type="dxa"/>
            <w:gridSpan w:val="2"/>
            <w:shd w:val="clear" w:color="000000" w:fill="D1D3D4"/>
            <w:noWrap/>
            <w:vAlign w:val="center"/>
            <w:hideMark/>
          </w:tcPr>
          <w:p w14:paraId="49AA074F"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+889</w:t>
            </w:r>
          </w:p>
        </w:tc>
        <w:tc>
          <w:tcPr>
            <w:tcW w:w="1089" w:type="dxa"/>
            <w:gridSpan w:val="2"/>
            <w:shd w:val="clear" w:color="000000" w:fill="D1D3D4"/>
            <w:noWrap/>
            <w:vAlign w:val="center"/>
            <w:hideMark/>
          </w:tcPr>
          <w:p w14:paraId="1AE732A0"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+1,486</w:t>
            </w:r>
          </w:p>
        </w:tc>
        <w:tc>
          <w:tcPr>
            <w:tcW w:w="1089" w:type="dxa"/>
            <w:gridSpan w:val="2"/>
            <w:tcBorders>
              <w:right w:val="dashSmallGap" w:sz="4" w:space="0" w:color="auto"/>
            </w:tcBorders>
            <w:shd w:val="clear" w:color="000000" w:fill="D1D3D4"/>
            <w:noWrap/>
            <w:vAlign w:val="center"/>
            <w:hideMark/>
          </w:tcPr>
          <w:p w14:paraId="328DDE32"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+2,182</w:t>
            </w:r>
          </w:p>
        </w:tc>
        <w:tc>
          <w:tcPr>
            <w:tcW w:w="1089" w:type="dxa"/>
            <w:tcBorders>
              <w:left w:val="dashSmallGap" w:sz="4" w:space="0" w:color="auto"/>
              <w:right w:val="single" w:sz="4" w:space="0" w:color="auto"/>
            </w:tcBorders>
            <w:shd w:val="clear" w:color="000000" w:fill="D1D3D4"/>
            <w:noWrap/>
            <w:vAlign w:val="center"/>
            <w:hideMark/>
          </w:tcPr>
          <w:p w14:paraId="0791F53E"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+3,716</w:t>
            </w:r>
          </w:p>
        </w:tc>
        <w:tc>
          <w:tcPr>
            <w:tcW w:w="1089" w:type="dxa"/>
            <w:tcBorders>
              <w:left w:val="single" w:sz="4" w:space="0" w:color="auto"/>
            </w:tcBorders>
            <w:shd w:val="clear" w:color="000000" w:fill="D1D3D4"/>
            <w:noWrap/>
            <w:vAlign w:val="center"/>
            <w:hideMark/>
          </w:tcPr>
          <w:p w14:paraId="0579ED2C"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+4,946</w:t>
            </w:r>
          </w:p>
        </w:tc>
      </w:tr>
      <w:tr w:rsidR="00444F7D" w:rsidRPr="007F6332" w14:paraId="398C4457" w14:textId="77777777" w:rsidTr="00444F7D">
        <w:trPr>
          <w:trHeight w:val="397"/>
        </w:trPr>
        <w:tc>
          <w:tcPr>
            <w:tcW w:w="1975" w:type="dxa"/>
            <w:shd w:val="clear" w:color="000000" w:fill="A7A9AC"/>
            <w:noWrap/>
            <w:vAlign w:val="center"/>
            <w:hideMark/>
          </w:tcPr>
          <w:p w14:paraId="6F6A51E5"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283" w:type="dxa"/>
            <w:shd w:val="clear" w:color="000000" w:fill="A7A9AC"/>
            <w:vAlign w:val="center"/>
          </w:tcPr>
          <w:p w14:paraId="318F0242"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000000" w:fill="A7A9AC"/>
            <w:noWrap/>
            <w:vAlign w:val="center"/>
            <w:hideMark/>
          </w:tcPr>
          <w:p w14:paraId="5CD4A657" w14:textId="78B7784C"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089" w:type="dxa"/>
            <w:gridSpan w:val="2"/>
            <w:shd w:val="clear" w:color="000000" w:fill="A7A9AC"/>
            <w:noWrap/>
            <w:vAlign w:val="center"/>
            <w:hideMark/>
          </w:tcPr>
          <w:p w14:paraId="64FE4406"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2%</w:t>
            </w:r>
          </w:p>
        </w:tc>
        <w:tc>
          <w:tcPr>
            <w:tcW w:w="1089" w:type="dxa"/>
            <w:gridSpan w:val="2"/>
            <w:shd w:val="clear" w:color="000000" w:fill="A7A9AC"/>
            <w:noWrap/>
            <w:vAlign w:val="center"/>
            <w:hideMark/>
          </w:tcPr>
          <w:p w14:paraId="09849404"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w:t>
            </w:r>
          </w:p>
        </w:tc>
        <w:tc>
          <w:tcPr>
            <w:tcW w:w="1089" w:type="dxa"/>
            <w:gridSpan w:val="2"/>
            <w:tcBorders>
              <w:right w:val="dashSmallGap" w:sz="4" w:space="0" w:color="auto"/>
            </w:tcBorders>
            <w:shd w:val="clear" w:color="000000" w:fill="A7A9AC"/>
            <w:noWrap/>
            <w:vAlign w:val="center"/>
            <w:hideMark/>
          </w:tcPr>
          <w:p w14:paraId="3E2F1E44"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w:t>
            </w:r>
          </w:p>
        </w:tc>
        <w:tc>
          <w:tcPr>
            <w:tcW w:w="1089" w:type="dxa"/>
            <w:tcBorders>
              <w:left w:val="dashSmallGap" w:sz="4" w:space="0" w:color="auto"/>
              <w:right w:val="single" w:sz="4" w:space="0" w:color="auto"/>
            </w:tcBorders>
            <w:shd w:val="clear" w:color="000000" w:fill="A7A9AC"/>
            <w:noWrap/>
            <w:vAlign w:val="center"/>
            <w:hideMark/>
          </w:tcPr>
          <w:p w14:paraId="30A8F51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w:t>
            </w:r>
          </w:p>
        </w:tc>
        <w:tc>
          <w:tcPr>
            <w:tcW w:w="1089" w:type="dxa"/>
            <w:tcBorders>
              <w:left w:val="single" w:sz="4" w:space="0" w:color="auto"/>
            </w:tcBorders>
            <w:shd w:val="clear" w:color="000000" w:fill="A7A9AC"/>
            <w:noWrap/>
            <w:vAlign w:val="center"/>
            <w:hideMark/>
          </w:tcPr>
          <w:p w14:paraId="5CD02E47"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w:t>
            </w:r>
          </w:p>
        </w:tc>
      </w:tr>
      <w:tr w:rsidR="00A11DAA" w:rsidRPr="007F6332" w14:paraId="463BEEB0" w14:textId="77777777" w:rsidTr="00F57A0C">
        <w:trPr>
          <w:trHeight w:val="467"/>
        </w:trPr>
        <w:tc>
          <w:tcPr>
            <w:tcW w:w="8784" w:type="dxa"/>
            <w:gridSpan w:val="12"/>
            <w:shd w:val="clear" w:color="000000" w:fill="B398B8"/>
            <w:vAlign w:val="center"/>
          </w:tcPr>
          <w:p w14:paraId="5526A2AF" w14:textId="590C01FD" w:rsidR="00F049E6" w:rsidRPr="007F6332" w:rsidRDefault="00F049E6" w:rsidP="00A11DAA">
            <w:pPr>
              <w:spacing w:after="0" w:line="240" w:lineRule="auto"/>
              <w:ind w:left="-98"/>
              <w:rPr>
                <w:rFonts w:eastAsia="Times New Roman" w:cs="Arial"/>
                <w:color w:val="000000"/>
                <w:szCs w:val="22"/>
                <w:lang w:eastAsia="en-AU"/>
              </w:rPr>
            </w:pPr>
            <w:r w:rsidRPr="007F6332">
              <w:rPr>
                <w:rFonts w:eastAsia="Times New Roman" w:cs="Arial"/>
                <w:b/>
                <w:bCs/>
                <w:color w:val="000000"/>
                <w:szCs w:val="22"/>
                <w:lang w:eastAsia="en-AU"/>
              </w:rPr>
              <w:t>Scenario 2: Higher</w:t>
            </w:r>
            <w:r w:rsidRPr="007F6332">
              <w:rPr>
                <w:rFonts w:eastAsia="Times New Roman" w:cs="Arial"/>
                <w:color w:val="000000"/>
                <w:szCs w:val="22"/>
                <w:lang w:eastAsia="en-AU"/>
              </w:rPr>
              <w:t xml:space="preserve"> </w:t>
            </w:r>
            <w:r w:rsidRPr="007F6332">
              <w:rPr>
                <w:rFonts w:eastAsia="Times New Roman" w:cs="Arial"/>
                <w:b/>
                <w:bCs/>
                <w:color w:val="000000"/>
                <w:szCs w:val="22"/>
                <w:lang w:eastAsia="en-AU"/>
              </w:rPr>
              <w:t>growth in the short and long term (+1%)</w:t>
            </w:r>
          </w:p>
        </w:tc>
      </w:tr>
      <w:tr w:rsidR="00444F7D" w:rsidRPr="007F6332" w14:paraId="28178665" w14:textId="77777777" w:rsidTr="00F57A0C">
        <w:trPr>
          <w:trHeight w:val="397"/>
        </w:trPr>
        <w:tc>
          <w:tcPr>
            <w:tcW w:w="1975" w:type="dxa"/>
            <w:shd w:val="clear" w:color="auto" w:fill="auto"/>
            <w:noWrap/>
            <w:vAlign w:val="center"/>
            <w:hideMark/>
          </w:tcPr>
          <w:p w14:paraId="0440AAFC"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283" w:type="dxa"/>
            <w:vAlign w:val="center"/>
          </w:tcPr>
          <w:p w14:paraId="730381C5"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auto" w:fill="auto"/>
            <w:noWrap/>
            <w:vAlign w:val="center"/>
            <w:hideMark/>
          </w:tcPr>
          <w:p w14:paraId="3FEC3F3E" w14:textId="74B8DD02"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41,749</w:t>
            </w:r>
          </w:p>
        </w:tc>
        <w:tc>
          <w:tcPr>
            <w:tcW w:w="1089" w:type="dxa"/>
            <w:gridSpan w:val="2"/>
            <w:shd w:val="clear" w:color="auto" w:fill="auto"/>
            <w:noWrap/>
            <w:vAlign w:val="center"/>
            <w:hideMark/>
          </w:tcPr>
          <w:p w14:paraId="6543021E"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47,264</w:t>
            </w:r>
          </w:p>
        </w:tc>
        <w:tc>
          <w:tcPr>
            <w:tcW w:w="1089" w:type="dxa"/>
            <w:gridSpan w:val="2"/>
            <w:shd w:val="clear" w:color="auto" w:fill="auto"/>
            <w:noWrap/>
            <w:vAlign w:val="center"/>
            <w:hideMark/>
          </w:tcPr>
          <w:p w14:paraId="56B51582"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52,274</w:t>
            </w:r>
          </w:p>
        </w:tc>
        <w:tc>
          <w:tcPr>
            <w:tcW w:w="1089" w:type="dxa"/>
            <w:gridSpan w:val="2"/>
            <w:tcBorders>
              <w:right w:val="dashSmallGap" w:sz="4" w:space="0" w:color="auto"/>
            </w:tcBorders>
            <w:shd w:val="clear" w:color="auto" w:fill="auto"/>
            <w:noWrap/>
            <w:vAlign w:val="center"/>
            <w:hideMark/>
          </w:tcPr>
          <w:p w14:paraId="7C07098B"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57,389</w:t>
            </w:r>
          </w:p>
        </w:tc>
        <w:tc>
          <w:tcPr>
            <w:tcW w:w="1089" w:type="dxa"/>
            <w:tcBorders>
              <w:left w:val="dashSmallGap" w:sz="4" w:space="0" w:color="auto"/>
              <w:right w:val="single" w:sz="4" w:space="0" w:color="auto"/>
            </w:tcBorders>
            <w:shd w:val="clear" w:color="auto" w:fill="auto"/>
            <w:noWrap/>
            <w:vAlign w:val="center"/>
            <w:hideMark/>
          </w:tcPr>
          <w:p w14:paraId="35061A39"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101,306</w:t>
            </w:r>
          </w:p>
        </w:tc>
        <w:tc>
          <w:tcPr>
            <w:tcW w:w="1089" w:type="dxa"/>
            <w:tcBorders>
              <w:left w:val="single" w:sz="4" w:space="0" w:color="auto"/>
            </w:tcBorders>
            <w:shd w:val="clear" w:color="auto" w:fill="auto"/>
            <w:noWrap/>
            <w:vAlign w:val="center"/>
            <w:hideMark/>
          </w:tcPr>
          <w:p w14:paraId="4628D8F2"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198,677</w:t>
            </w:r>
          </w:p>
        </w:tc>
      </w:tr>
      <w:tr w:rsidR="00444F7D" w:rsidRPr="007F6332" w14:paraId="7E909D9D" w14:textId="77777777" w:rsidTr="00F57A0C">
        <w:trPr>
          <w:trHeight w:val="397"/>
        </w:trPr>
        <w:tc>
          <w:tcPr>
            <w:tcW w:w="1975" w:type="dxa"/>
            <w:shd w:val="clear" w:color="000000" w:fill="D1D3D4"/>
            <w:noWrap/>
            <w:vAlign w:val="center"/>
            <w:hideMark/>
          </w:tcPr>
          <w:p w14:paraId="298B994C"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283" w:type="dxa"/>
            <w:shd w:val="clear" w:color="000000" w:fill="D1D3D4"/>
            <w:vAlign w:val="center"/>
          </w:tcPr>
          <w:p w14:paraId="7A31342F"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000000" w:fill="D1D3D4"/>
            <w:noWrap/>
            <w:vAlign w:val="center"/>
            <w:hideMark/>
          </w:tcPr>
          <w:p w14:paraId="6B84D2D2" w14:textId="02EA865C"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+389</w:t>
            </w:r>
          </w:p>
        </w:tc>
        <w:tc>
          <w:tcPr>
            <w:tcW w:w="1089" w:type="dxa"/>
            <w:gridSpan w:val="2"/>
            <w:shd w:val="clear" w:color="000000" w:fill="D1D3D4"/>
            <w:noWrap/>
            <w:vAlign w:val="center"/>
            <w:hideMark/>
          </w:tcPr>
          <w:p w14:paraId="6198B6C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+889</w:t>
            </w:r>
          </w:p>
        </w:tc>
        <w:tc>
          <w:tcPr>
            <w:tcW w:w="1089" w:type="dxa"/>
            <w:gridSpan w:val="2"/>
            <w:shd w:val="clear" w:color="000000" w:fill="D1D3D4"/>
            <w:noWrap/>
            <w:vAlign w:val="center"/>
            <w:hideMark/>
          </w:tcPr>
          <w:p w14:paraId="3AA9C1B2"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+1,486</w:t>
            </w:r>
          </w:p>
        </w:tc>
        <w:tc>
          <w:tcPr>
            <w:tcW w:w="1089" w:type="dxa"/>
            <w:gridSpan w:val="2"/>
            <w:tcBorders>
              <w:right w:val="dashSmallGap" w:sz="4" w:space="0" w:color="auto"/>
            </w:tcBorders>
            <w:shd w:val="clear" w:color="000000" w:fill="D1D3D4"/>
            <w:noWrap/>
            <w:vAlign w:val="center"/>
            <w:hideMark/>
          </w:tcPr>
          <w:p w14:paraId="1D78A0BC"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+2,182</w:t>
            </w:r>
          </w:p>
        </w:tc>
        <w:tc>
          <w:tcPr>
            <w:tcW w:w="1089" w:type="dxa"/>
            <w:tcBorders>
              <w:left w:val="dashSmallGap" w:sz="4" w:space="0" w:color="auto"/>
              <w:right w:val="single" w:sz="4" w:space="0" w:color="auto"/>
            </w:tcBorders>
            <w:shd w:val="clear" w:color="000000" w:fill="D1D3D4"/>
            <w:noWrap/>
            <w:vAlign w:val="center"/>
            <w:hideMark/>
          </w:tcPr>
          <w:p w14:paraId="37BB0252"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+8,965</w:t>
            </w:r>
          </w:p>
        </w:tc>
        <w:tc>
          <w:tcPr>
            <w:tcW w:w="1089" w:type="dxa"/>
            <w:tcBorders>
              <w:left w:val="single" w:sz="4" w:space="0" w:color="auto"/>
            </w:tcBorders>
            <w:shd w:val="clear" w:color="000000" w:fill="D1D3D4"/>
            <w:noWrap/>
            <w:vAlign w:val="center"/>
            <w:hideMark/>
          </w:tcPr>
          <w:p w14:paraId="1C54DC35"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+4,946</w:t>
            </w:r>
          </w:p>
        </w:tc>
      </w:tr>
      <w:tr w:rsidR="00444F7D" w:rsidRPr="007F6332" w14:paraId="4BAA77B7" w14:textId="77777777" w:rsidTr="00F57A0C">
        <w:trPr>
          <w:trHeight w:val="397"/>
        </w:trPr>
        <w:tc>
          <w:tcPr>
            <w:tcW w:w="1975" w:type="dxa"/>
            <w:shd w:val="clear" w:color="000000" w:fill="A7A9AC"/>
            <w:noWrap/>
            <w:vAlign w:val="center"/>
            <w:hideMark/>
          </w:tcPr>
          <w:p w14:paraId="0CFB915D"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283" w:type="dxa"/>
            <w:shd w:val="clear" w:color="000000" w:fill="A7A9AC"/>
            <w:vAlign w:val="center"/>
          </w:tcPr>
          <w:p w14:paraId="6D1A968C"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000000" w:fill="A7A9AC"/>
            <w:noWrap/>
            <w:vAlign w:val="center"/>
            <w:hideMark/>
          </w:tcPr>
          <w:p w14:paraId="2A04640B" w14:textId="62A4F36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089" w:type="dxa"/>
            <w:gridSpan w:val="2"/>
            <w:shd w:val="clear" w:color="000000" w:fill="A7A9AC"/>
            <w:noWrap/>
            <w:vAlign w:val="center"/>
            <w:hideMark/>
          </w:tcPr>
          <w:p w14:paraId="057EC9E0"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2%</w:t>
            </w:r>
          </w:p>
        </w:tc>
        <w:tc>
          <w:tcPr>
            <w:tcW w:w="1089" w:type="dxa"/>
            <w:gridSpan w:val="2"/>
            <w:shd w:val="clear" w:color="000000" w:fill="A7A9AC"/>
            <w:noWrap/>
            <w:vAlign w:val="center"/>
            <w:hideMark/>
          </w:tcPr>
          <w:p w14:paraId="6C133B9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w:t>
            </w:r>
          </w:p>
        </w:tc>
        <w:tc>
          <w:tcPr>
            <w:tcW w:w="1089" w:type="dxa"/>
            <w:gridSpan w:val="2"/>
            <w:tcBorders>
              <w:right w:val="dashSmallGap" w:sz="4" w:space="0" w:color="auto"/>
            </w:tcBorders>
            <w:shd w:val="clear" w:color="000000" w:fill="A7A9AC"/>
            <w:noWrap/>
            <w:vAlign w:val="center"/>
            <w:hideMark/>
          </w:tcPr>
          <w:p w14:paraId="38E2DA71"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w:t>
            </w:r>
          </w:p>
        </w:tc>
        <w:tc>
          <w:tcPr>
            <w:tcW w:w="1089" w:type="dxa"/>
            <w:tcBorders>
              <w:left w:val="dashSmallGap" w:sz="4" w:space="0" w:color="auto"/>
              <w:right w:val="single" w:sz="4" w:space="0" w:color="auto"/>
            </w:tcBorders>
            <w:shd w:val="clear" w:color="000000" w:fill="A7A9AC"/>
            <w:noWrap/>
            <w:vAlign w:val="center"/>
            <w:hideMark/>
          </w:tcPr>
          <w:p w14:paraId="71E2E3CF"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10%</w:t>
            </w:r>
          </w:p>
        </w:tc>
        <w:tc>
          <w:tcPr>
            <w:tcW w:w="1089" w:type="dxa"/>
            <w:tcBorders>
              <w:left w:val="single" w:sz="4" w:space="0" w:color="auto"/>
            </w:tcBorders>
            <w:shd w:val="clear" w:color="000000" w:fill="A7A9AC"/>
            <w:noWrap/>
            <w:vAlign w:val="center"/>
            <w:hideMark/>
          </w:tcPr>
          <w:p w14:paraId="284A7656"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w:t>
            </w:r>
          </w:p>
        </w:tc>
      </w:tr>
      <w:tr w:rsidR="00A11DAA" w:rsidRPr="007F6332" w14:paraId="7F1E94F7" w14:textId="77777777" w:rsidTr="00F57A0C">
        <w:trPr>
          <w:trHeight w:val="622"/>
        </w:trPr>
        <w:tc>
          <w:tcPr>
            <w:tcW w:w="8784" w:type="dxa"/>
            <w:gridSpan w:val="12"/>
            <w:shd w:val="clear" w:color="000000" w:fill="B398B8"/>
            <w:vAlign w:val="center"/>
          </w:tcPr>
          <w:p w14:paraId="65BF8357" w14:textId="2ECC3C1B" w:rsidR="00F049E6" w:rsidRPr="007F6332" w:rsidRDefault="00F049E6" w:rsidP="00A11DAA">
            <w:pPr>
              <w:spacing w:after="0" w:line="240" w:lineRule="auto"/>
              <w:ind w:left="-98"/>
              <w:rPr>
                <w:rFonts w:eastAsia="Times New Roman" w:cs="Arial"/>
                <w:b/>
                <w:bCs/>
                <w:color w:val="000000"/>
                <w:szCs w:val="22"/>
                <w:lang w:eastAsia="en-AU"/>
              </w:rPr>
            </w:pPr>
            <w:r w:rsidRPr="007F6332">
              <w:rPr>
                <w:rFonts w:eastAsia="Times New Roman" w:cs="Arial"/>
                <w:b/>
                <w:bCs/>
                <w:color w:val="000000"/>
                <w:szCs w:val="22"/>
                <w:lang w:eastAsia="en-AU"/>
              </w:rPr>
              <w:t>Scenario 3: Lower growth in the short-term (-1%)</w:t>
            </w:r>
          </w:p>
        </w:tc>
      </w:tr>
      <w:tr w:rsidR="0095676D" w:rsidRPr="007F6332" w14:paraId="2AEA0AC2" w14:textId="77777777" w:rsidTr="00F57A0C">
        <w:trPr>
          <w:trHeight w:val="397"/>
        </w:trPr>
        <w:tc>
          <w:tcPr>
            <w:tcW w:w="1975" w:type="dxa"/>
            <w:shd w:val="clear" w:color="auto" w:fill="auto"/>
            <w:noWrap/>
            <w:vAlign w:val="center"/>
            <w:hideMark/>
          </w:tcPr>
          <w:p w14:paraId="5345CB4E"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283" w:type="dxa"/>
            <w:vAlign w:val="center"/>
          </w:tcPr>
          <w:p w14:paraId="3316BF04"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auto" w:fill="auto"/>
            <w:noWrap/>
            <w:vAlign w:val="center"/>
            <w:hideMark/>
          </w:tcPr>
          <w:p w14:paraId="379547AD" w14:textId="43BFE090"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40,970</w:t>
            </w:r>
          </w:p>
        </w:tc>
        <w:tc>
          <w:tcPr>
            <w:tcW w:w="1089" w:type="dxa"/>
            <w:gridSpan w:val="2"/>
            <w:shd w:val="clear" w:color="auto" w:fill="auto"/>
            <w:noWrap/>
            <w:vAlign w:val="center"/>
            <w:hideMark/>
          </w:tcPr>
          <w:p w14:paraId="74EB979A"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45,494</w:t>
            </w:r>
          </w:p>
        </w:tc>
        <w:tc>
          <w:tcPr>
            <w:tcW w:w="1089" w:type="dxa"/>
            <w:gridSpan w:val="2"/>
            <w:shd w:val="clear" w:color="auto" w:fill="auto"/>
            <w:noWrap/>
            <w:vAlign w:val="center"/>
            <w:hideMark/>
          </w:tcPr>
          <w:p w14:paraId="0D23F465"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49,328</w:t>
            </w:r>
          </w:p>
        </w:tc>
        <w:tc>
          <w:tcPr>
            <w:tcW w:w="1089" w:type="dxa"/>
            <w:gridSpan w:val="2"/>
            <w:tcBorders>
              <w:right w:val="dashSmallGap" w:sz="4" w:space="0" w:color="auto"/>
            </w:tcBorders>
            <w:shd w:val="clear" w:color="auto" w:fill="auto"/>
            <w:noWrap/>
            <w:vAlign w:val="center"/>
            <w:hideMark/>
          </w:tcPr>
          <w:p w14:paraId="37638D80"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53,084</w:t>
            </w:r>
          </w:p>
        </w:tc>
        <w:tc>
          <w:tcPr>
            <w:tcW w:w="1089" w:type="dxa"/>
            <w:tcBorders>
              <w:left w:val="dashSmallGap" w:sz="4" w:space="0" w:color="auto"/>
              <w:right w:val="single" w:sz="4" w:space="0" w:color="auto"/>
            </w:tcBorders>
            <w:shd w:val="clear" w:color="auto" w:fill="auto"/>
            <w:noWrap/>
            <w:vAlign w:val="center"/>
            <w:hideMark/>
          </w:tcPr>
          <w:p w14:paraId="013833EE"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88,722</w:t>
            </w:r>
          </w:p>
        </w:tc>
        <w:tc>
          <w:tcPr>
            <w:tcW w:w="1089" w:type="dxa"/>
            <w:tcBorders>
              <w:left w:val="single" w:sz="4" w:space="0" w:color="auto"/>
            </w:tcBorders>
            <w:shd w:val="clear" w:color="auto" w:fill="auto"/>
            <w:noWrap/>
            <w:vAlign w:val="center"/>
            <w:hideMark/>
          </w:tcPr>
          <w:p w14:paraId="642CEF6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188,876</w:t>
            </w:r>
          </w:p>
        </w:tc>
      </w:tr>
      <w:tr w:rsidR="00444F7D" w:rsidRPr="007F6332" w14:paraId="7B410C8F" w14:textId="77777777" w:rsidTr="00F57A0C">
        <w:trPr>
          <w:trHeight w:val="397"/>
        </w:trPr>
        <w:tc>
          <w:tcPr>
            <w:tcW w:w="1975" w:type="dxa"/>
            <w:shd w:val="clear" w:color="000000" w:fill="D1D3D4"/>
            <w:noWrap/>
            <w:vAlign w:val="center"/>
            <w:hideMark/>
          </w:tcPr>
          <w:p w14:paraId="6FAB7177"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283" w:type="dxa"/>
            <w:shd w:val="clear" w:color="000000" w:fill="D1D3D4"/>
            <w:vAlign w:val="center"/>
          </w:tcPr>
          <w:p w14:paraId="485A5D00"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000000" w:fill="D1D3D4"/>
            <w:noWrap/>
            <w:vAlign w:val="center"/>
            <w:hideMark/>
          </w:tcPr>
          <w:p w14:paraId="1F2CDCE4" w14:textId="4A9B716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-390</w:t>
            </w:r>
          </w:p>
        </w:tc>
        <w:tc>
          <w:tcPr>
            <w:tcW w:w="1089" w:type="dxa"/>
            <w:gridSpan w:val="2"/>
            <w:shd w:val="clear" w:color="000000" w:fill="D1D3D4"/>
            <w:noWrap/>
            <w:vAlign w:val="center"/>
            <w:hideMark/>
          </w:tcPr>
          <w:p w14:paraId="1722D7A5"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-881</w:t>
            </w:r>
          </w:p>
        </w:tc>
        <w:tc>
          <w:tcPr>
            <w:tcW w:w="1089" w:type="dxa"/>
            <w:gridSpan w:val="2"/>
            <w:shd w:val="clear" w:color="000000" w:fill="D1D3D4"/>
            <w:noWrap/>
            <w:vAlign w:val="center"/>
            <w:hideMark/>
          </w:tcPr>
          <w:p w14:paraId="2EB78CF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-1,460</w:t>
            </w:r>
          </w:p>
        </w:tc>
        <w:tc>
          <w:tcPr>
            <w:tcW w:w="1089" w:type="dxa"/>
            <w:gridSpan w:val="2"/>
            <w:tcBorders>
              <w:right w:val="dashSmallGap" w:sz="4" w:space="0" w:color="auto"/>
            </w:tcBorders>
            <w:shd w:val="clear" w:color="000000" w:fill="D1D3D4"/>
            <w:noWrap/>
            <w:vAlign w:val="center"/>
            <w:hideMark/>
          </w:tcPr>
          <w:p w14:paraId="52A89AA7"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-2,123</w:t>
            </w:r>
          </w:p>
        </w:tc>
        <w:tc>
          <w:tcPr>
            <w:tcW w:w="1089" w:type="dxa"/>
            <w:tcBorders>
              <w:left w:val="dashSmallGap" w:sz="4" w:space="0" w:color="auto"/>
              <w:right w:val="single" w:sz="4" w:space="0" w:color="auto"/>
            </w:tcBorders>
            <w:shd w:val="clear" w:color="000000" w:fill="D1D3D4"/>
            <w:noWrap/>
            <w:vAlign w:val="center"/>
            <w:hideMark/>
          </w:tcPr>
          <w:p w14:paraId="2941E338"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-3,619</w:t>
            </w:r>
          </w:p>
        </w:tc>
        <w:tc>
          <w:tcPr>
            <w:tcW w:w="1089" w:type="dxa"/>
            <w:tcBorders>
              <w:left w:val="single" w:sz="4" w:space="0" w:color="auto"/>
            </w:tcBorders>
            <w:shd w:val="clear" w:color="000000" w:fill="D1D3D4"/>
            <w:noWrap/>
            <w:vAlign w:val="center"/>
            <w:hideMark/>
          </w:tcPr>
          <w:p w14:paraId="5FB69A0F"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-4,855</w:t>
            </w:r>
          </w:p>
        </w:tc>
      </w:tr>
      <w:tr w:rsidR="00444F7D" w:rsidRPr="007F6332" w14:paraId="4F7350AE" w14:textId="77777777" w:rsidTr="00F57A0C">
        <w:trPr>
          <w:trHeight w:val="397"/>
        </w:trPr>
        <w:tc>
          <w:tcPr>
            <w:tcW w:w="1975" w:type="dxa"/>
            <w:shd w:val="clear" w:color="000000" w:fill="A7A9AC"/>
            <w:noWrap/>
            <w:vAlign w:val="center"/>
            <w:hideMark/>
          </w:tcPr>
          <w:p w14:paraId="098BC55C"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283" w:type="dxa"/>
            <w:shd w:val="clear" w:color="000000" w:fill="A7A9AC"/>
            <w:vAlign w:val="center"/>
          </w:tcPr>
          <w:p w14:paraId="7894FFCA"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000000" w:fill="A7A9AC"/>
            <w:noWrap/>
            <w:vAlign w:val="center"/>
            <w:hideMark/>
          </w:tcPr>
          <w:p w14:paraId="521F1431" w14:textId="2C8EAD24"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089" w:type="dxa"/>
            <w:gridSpan w:val="2"/>
            <w:shd w:val="clear" w:color="000000" w:fill="A7A9AC"/>
            <w:noWrap/>
            <w:vAlign w:val="center"/>
            <w:hideMark/>
          </w:tcPr>
          <w:p w14:paraId="0D56775E"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-2%</w:t>
            </w:r>
          </w:p>
        </w:tc>
        <w:tc>
          <w:tcPr>
            <w:tcW w:w="1089" w:type="dxa"/>
            <w:gridSpan w:val="2"/>
            <w:shd w:val="clear" w:color="000000" w:fill="A7A9AC"/>
            <w:noWrap/>
            <w:vAlign w:val="center"/>
            <w:hideMark/>
          </w:tcPr>
          <w:p w14:paraId="492E0346"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w:t>
            </w:r>
          </w:p>
        </w:tc>
        <w:tc>
          <w:tcPr>
            <w:tcW w:w="1089" w:type="dxa"/>
            <w:gridSpan w:val="2"/>
            <w:tcBorders>
              <w:right w:val="dashSmallGap" w:sz="4" w:space="0" w:color="auto"/>
            </w:tcBorders>
            <w:shd w:val="clear" w:color="000000" w:fill="A7A9AC"/>
            <w:noWrap/>
            <w:vAlign w:val="center"/>
            <w:hideMark/>
          </w:tcPr>
          <w:p w14:paraId="05408221"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w:t>
            </w:r>
          </w:p>
        </w:tc>
        <w:tc>
          <w:tcPr>
            <w:tcW w:w="1089" w:type="dxa"/>
            <w:tcBorders>
              <w:left w:val="dashSmallGap" w:sz="4" w:space="0" w:color="auto"/>
              <w:right w:val="single" w:sz="4" w:space="0" w:color="auto"/>
            </w:tcBorders>
            <w:shd w:val="clear" w:color="000000" w:fill="A7A9AC"/>
            <w:noWrap/>
            <w:vAlign w:val="center"/>
            <w:hideMark/>
          </w:tcPr>
          <w:p w14:paraId="16CCDC78"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w:t>
            </w:r>
          </w:p>
        </w:tc>
        <w:tc>
          <w:tcPr>
            <w:tcW w:w="1089" w:type="dxa"/>
            <w:tcBorders>
              <w:left w:val="single" w:sz="4" w:space="0" w:color="auto"/>
            </w:tcBorders>
            <w:shd w:val="clear" w:color="000000" w:fill="A7A9AC"/>
            <w:noWrap/>
            <w:vAlign w:val="center"/>
            <w:hideMark/>
          </w:tcPr>
          <w:p w14:paraId="4C32AF13"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w:t>
            </w:r>
          </w:p>
        </w:tc>
      </w:tr>
      <w:tr w:rsidR="00A11DAA" w:rsidRPr="007F6332" w14:paraId="74BDF916" w14:textId="77777777" w:rsidTr="00F57A0C">
        <w:trPr>
          <w:trHeight w:val="610"/>
        </w:trPr>
        <w:tc>
          <w:tcPr>
            <w:tcW w:w="8784" w:type="dxa"/>
            <w:gridSpan w:val="12"/>
            <w:shd w:val="clear" w:color="000000" w:fill="B398B8"/>
            <w:vAlign w:val="center"/>
          </w:tcPr>
          <w:p w14:paraId="15EB08D1" w14:textId="407A69E6" w:rsidR="00F049E6" w:rsidRPr="007F6332" w:rsidRDefault="00F049E6" w:rsidP="00A11DAA">
            <w:pPr>
              <w:spacing w:after="0" w:line="240" w:lineRule="auto"/>
              <w:ind w:left="-98"/>
              <w:rPr>
                <w:rFonts w:eastAsia="Times New Roman" w:cs="Arial"/>
                <w:b/>
                <w:bCs/>
                <w:color w:val="000000"/>
                <w:szCs w:val="22"/>
                <w:lang w:eastAsia="en-AU"/>
              </w:rPr>
            </w:pPr>
            <w:r w:rsidRPr="007F6332">
              <w:rPr>
                <w:rFonts w:eastAsia="Times New Roman" w:cs="Arial"/>
                <w:b/>
                <w:bCs/>
                <w:color w:val="000000"/>
                <w:szCs w:val="22"/>
                <w:lang w:eastAsia="en-AU"/>
              </w:rPr>
              <w:t>Scenario 4: Lower growth in the short and long term (-1%)</w:t>
            </w:r>
          </w:p>
        </w:tc>
      </w:tr>
      <w:tr w:rsidR="00444F7D" w:rsidRPr="007F6332" w14:paraId="28D17F68" w14:textId="77777777" w:rsidTr="00F57A0C">
        <w:trPr>
          <w:trHeight w:val="397"/>
        </w:trPr>
        <w:tc>
          <w:tcPr>
            <w:tcW w:w="1975" w:type="dxa"/>
            <w:shd w:val="clear" w:color="auto" w:fill="auto"/>
            <w:noWrap/>
            <w:vAlign w:val="center"/>
            <w:hideMark/>
          </w:tcPr>
          <w:p w14:paraId="3709C5EA"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283" w:type="dxa"/>
            <w:vAlign w:val="center"/>
          </w:tcPr>
          <w:p w14:paraId="30D70C78"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auto" w:fill="auto"/>
            <w:noWrap/>
            <w:vAlign w:val="center"/>
            <w:hideMark/>
          </w:tcPr>
          <w:p w14:paraId="0CFA84D7" w14:textId="6F552771"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40,970</w:t>
            </w:r>
          </w:p>
        </w:tc>
        <w:tc>
          <w:tcPr>
            <w:tcW w:w="1089" w:type="dxa"/>
            <w:gridSpan w:val="2"/>
            <w:shd w:val="clear" w:color="auto" w:fill="auto"/>
            <w:noWrap/>
            <w:vAlign w:val="center"/>
            <w:hideMark/>
          </w:tcPr>
          <w:p w14:paraId="01C6F5F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45,494</w:t>
            </w:r>
          </w:p>
        </w:tc>
        <w:tc>
          <w:tcPr>
            <w:tcW w:w="1089" w:type="dxa"/>
            <w:gridSpan w:val="2"/>
            <w:shd w:val="clear" w:color="auto" w:fill="auto"/>
            <w:noWrap/>
            <w:vAlign w:val="center"/>
            <w:hideMark/>
          </w:tcPr>
          <w:p w14:paraId="48D7A222"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49,328</w:t>
            </w:r>
          </w:p>
        </w:tc>
        <w:tc>
          <w:tcPr>
            <w:tcW w:w="1089" w:type="dxa"/>
            <w:gridSpan w:val="2"/>
            <w:tcBorders>
              <w:right w:val="dashSmallGap" w:sz="4" w:space="0" w:color="auto"/>
            </w:tcBorders>
            <w:shd w:val="clear" w:color="auto" w:fill="auto"/>
            <w:noWrap/>
            <w:vAlign w:val="center"/>
            <w:hideMark/>
          </w:tcPr>
          <w:p w14:paraId="1373C72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53,084</w:t>
            </w:r>
          </w:p>
        </w:tc>
        <w:tc>
          <w:tcPr>
            <w:tcW w:w="1089" w:type="dxa"/>
            <w:tcBorders>
              <w:left w:val="dashSmallGap" w:sz="4" w:space="0" w:color="auto"/>
              <w:right w:val="single" w:sz="4" w:space="0" w:color="auto"/>
            </w:tcBorders>
            <w:shd w:val="clear" w:color="auto" w:fill="auto"/>
            <w:noWrap/>
            <w:vAlign w:val="center"/>
            <w:hideMark/>
          </w:tcPr>
          <w:p w14:paraId="5BACC524"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84,152</w:t>
            </w:r>
          </w:p>
        </w:tc>
        <w:tc>
          <w:tcPr>
            <w:tcW w:w="1089" w:type="dxa"/>
            <w:tcBorders>
              <w:left w:val="single" w:sz="4" w:space="0" w:color="auto"/>
            </w:tcBorders>
            <w:shd w:val="clear" w:color="auto" w:fill="auto"/>
            <w:noWrap/>
            <w:vAlign w:val="center"/>
            <w:hideMark/>
          </w:tcPr>
          <w:p w14:paraId="0E13CDF9"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188,876</w:t>
            </w:r>
          </w:p>
        </w:tc>
      </w:tr>
      <w:tr w:rsidR="00444F7D" w:rsidRPr="007F6332" w14:paraId="5F4A5DCD" w14:textId="77777777" w:rsidTr="00F57A0C">
        <w:trPr>
          <w:trHeight w:val="397"/>
        </w:trPr>
        <w:tc>
          <w:tcPr>
            <w:tcW w:w="1975" w:type="dxa"/>
            <w:shd w:val="clear" w:color="auto" w:fill="D1D3D4"/>
            <w:noWrap/>
            <w:vAlign w:val="center"/>
            <w:hideMark/>
          </w:tcPr>
          <w:p w14:paraId="08118A3B"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283" w:type="dxa"/>
            <w:shd w:val="clear" w:color="auto" w:fill="D1D3D4"/>
            <w:vAlign w:val="center"/>
          </w:tcPr>
          <w:p w14:paraId="4BD26912"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shd w:val="clear" w:color="auto" w:fill="D1D3D4"/>
            <w:noWrap/>
            <w:vAlign w:val="center"/>
            <w:hideMark/>
          </w:tcPr>
          <w:p w14:paraId="23F0BDEC" w14:textId="15E34B74"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-390</w:t>
            </w:r>
          </w:p>
        </w:tc>
        <w:tc>
          <w:tcPr>
            <w:tcW w:w="1089" w:type="dxa"/>
            <w:gridSpan w:val="2"/>
            <w:shd w:val="clear" w:color="auto" w:fill="D1D3D4"/>
            <w:noWrap/>
            <w:vAlign w:val="center"/>
            <w:hideMark/>
          </w:tcPr>
          <w:p w14:paraId="65B2BAF5"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-881</w:t>
            </w:r>
          </w:p>
        </w:tc>
        <w:tc>
          <w:tcPr>
            <w:tcW w:w="1089" w:type="dxa"/>
            <w:gridSpan w:val="2"/>
            <w:shd w:val="clear" w:color="auto" w:fill="D1D3D4"/>
            <w:noWrap/>
            <w:vAlign w:val="center"/>
            <w:hideMark/>
          </w:tcPr>
          <w:p w14:paraId="14BB3A00"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-1,460</w:t>
            </w:r>
          </w:p>
        </w:tc>
        <w:tc>
          <w:tcPr>
            <w:tcW w:w="1089" w:type="dxa"/>
            <w:gridSpan w:val="2"/>
            <w:tcBorders>
              <w:right w:val="dashSmallGap" w:sz="4" w:space="0" w:color="auto"/>
            </w:tcBorders>
            <w:shd w:val="clear" w:color="auto" w:fill="D1D3D4"/>
            <w:noWrap/>
            <w:vAlign w:val="center"/>
            <w:hideMark/>
          </w:tcPr>
          <w:p w14:paraId="6DACC22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-2,123</w:t>
            </w:r>
          </w:p>
        </w:tc>
        <w:tc>
          <w:tcPr>
            <w:tcW w:w="1089" w:type="dxa"/>
            <w:tcBorders>
              <w:left w:val="dashSmallGap" w:sz="4" w:space="0" w:color="auto"/>
              <w:right w:val="single" w:sz="4" w:space="0" w:color="auto"/>
            </w:tcBorders>
            <w:shd w:val="clear" w:color="auto" w:fill="D1D3D4"/>
            <w:noWrap/>
            <w:vAlign w:val="center"/>
            <w:hideMark/>
          </w:tcPr>
          <w:p w14:paraId="17A230AF"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-8,189</w:t>
            </w:r>
          </w:p>
        </w:tc>
        <w:tc>
          <w:tcPr>
            <w:tcW w:w="1089" w:type="dxa"/>
            <w:tcBorders>
              <w:left w:val="single" w:sz="4" w:space="0" w:color="auto"/>
            </w:tcBorders>
            <w:shd w:val="clear" w:color="auto" w:fill="D1D3D4"/>
            <w:noWrap/>
            <w:vAlign w:val="center"/>
            <w:hideMark/>
          </w:tcPr>
          <w:p w14:paraId="443278A0"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-4,855</w:t>
            </w:r>
          </w:p>
        </w:tc>
      </w:tr>
      <w:tr w:rsidR="00444F7D" w:rsidRPr="007F6332" w14:paraId="22D30B75" w14:textId="77777777" w:rsidTr="00F57A0C">
        <w:trPr>
          <w:trHeight w:val="397"/>
        </w:trPr>
        <w:tc>
          <w:tcPr>
            <w:tcW w:w="1975" w:type="dxa"/>
            <w:tcBorders>
              <w:bottom w:val="single" w:sz="4" w:space="0" w:color="auto"/>
            </w:tcBorders>
            <w:shd w:val="clear" w:color="auto" w:fill="A7A9AC"/>
            <w:noWrap/>
            <w:vAlign w:val="center"/>
            <w:hideMark/>
          </w:tcPr>
          <w:p w14:paraId="42FD6CD8" w14:textId="77777777" w:rsidR="009541C7" w:rsidRPr="007F6332" w:rsidRDefault="009541C7" w:rsidP="00203953">
            <w:pPr>
              <w:spacing w:after="0" w:line="240" w:lineRule="auto"/>
              <w:ind w:left="-113"/>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283" w:type="dxa"/>
            <w:tcBorders>
              <w:bottom w:val="single" w:sz="4" w:space="0" w:color="auto"/>
            </w:tcBorders>
            <w:shd w:val="clear" w:color="auto" w:fill="A7A9AC"/>
            <w:vAlign w:val="center"/>
          </w:tcPr>
          <w:p w14:paraId="6B5CA180" w14:textId="77777777" w:rsidR="009541C7" w:rsidRPr="007F6332" w:rsidRDefault="009541C7" w:rsidP="00D8325F">
            <w:pPr>
              <w:spacing w:after="0" w:line="240" w:lineRule="auto"/>
              <w:jc w:val="right"/>
              <w:rPr>
                <w:rFonts w:eastAsia="Times New Roman" w:cs="Arial"/>
                <w:color w:val="000000"/>
                <w:szCs w:val="22"/>
                <w:lang w:eastAsia="en-AU"/>
              </w:rPr>
            </w:pPr>
          </w:p>
        </w:tc>
        <w:tc>
          <w:tcPr>
            <w:tcW w:w="1088" w:type="dxa"/>
            <w:gridSpan w:val="2"/>
            <w:tcBorders>
              <w:bottom w:val="single" w:sz="4" w:space="0" w:color="auto"/>
            </w:tcBorders>
            <w:shd w:val="clear" w:color="auto" w:fill="A7A9AC"/>
            <w:noWrap/>
            <w:vAlign w:val="center"/>
            <w:hideMark/>
          </w:tcPr>
          <w:p w14:paraId="0F457F7A" w14:textId="4DFFDA0A"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089" w:type="dxa"/>
            <w:gridSpan w:val="2"/>
            <w:tcBorders>
              <w:bottom w:val="single" w:sz="4" w:space="0" w:color="auto"/>
            </w:tcBorders>
            <w:shd w:val="clear" w:color="auto" w:fill="A7A9AC"/>
            <w:noWrap/>
            <w:vAlign w:val="center"/>
            <w:hideMark/>
          </w:tcPr>
          <w:p w14:paraId="78381919"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-2%</w:t>
            </w:r>
          </w:p>
        </w:tc>
        <w:tc>
          <w:tcPr>
            <w:tcW w:w="1089" w:type="dxa"/>
            <w:gridSpan w:val="2"/>
            <w:tcBorders>
              <w:bottom w:val="single" w:sz="4" w:space="0" w:color="auto"/>
            </w:tcBorders>
            <w:shd w:val="clear" w:color="auto" w:fill="A7A9AC"/>
            <w:noWrap/>
            <w:vAlign w:val="center"/>
            <w:hideMark/>
          </w:tcPr>
          <w:p w14:paraId="1B27D39D"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w:t>
            </w:r>
          </w:p>
        </w:tc>
        <w:tc>
          <w:tcPr>
            <w:tcW w:w="1089" w:type="dxa"/>
            <w:gridSpan w:val="2"/>
            <w:tcBorders>
              <w:bottom w:val="single" w:sz="4" w:space="0" w:color="auto"/>
              <w:right w:val="dashSmallGap" w:sz="4" w:space="0" w:color="auto"/>
            </w:tcBorders>
            <w:shd w:val="clear" w:color="auto" w:fill="A7A9AC"/>
            <w:noWrap/>
            <w:vAlign w:val="center"/>
            <w:hideMark/>
          </w:tcPr>
          <w:p w14:paraId="61EDE781"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-4%</w:t>
            </w:r>
          </w:p>
        </w:tc>
        <w:tc>
          <w:tcPr>
            <w:tcW w:w="1089" w:type="dxa"/>
            <w:tcBorders>
              <w:left w:val="dashSmallGap" w:sz="4" w:space="0" w:color="auto"/>
              <w:bottom w:val="single" w:sz="4" w:space="0" w:color="auto"/>
              <w:right w:val="single" w:sz="4" w:space="0" w:color="auto"/>
            </w:tcBorders>
            <w:shd w:val="clear" w:color="auto" w:fill="A7A9AC"/>
            <w:noWrap/>
            <w:vAlign w:val="center"/>
            <w:hideMark/>
          </w:tcPr>
          <w:p w14:paraId="7ED725E9"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-9%</w:t>
            </w:r>
          </w:p>
        </w:tc>
        <w:tc>
          <w:tcPr>
            <w:tcW w:w="1089" w:type="dxa"/>
            <w:tcBorders>
              <w:left w:val="single" w:sz="4" w:space="0" w:color="auto"/>
              <w:bottom w:val="single" w:sz="4" w:space="0" w:color="auto"/>
            </w:tcBorders>
            <w:shd w:val="clear" w:color="auto" w:fill="A7A9AC"/>
            <w:noWrap/>
            <w:vAlign w:val="center"/>
            <w:hideMark/>
          </w:tcPr>
          <w:p w14:paraId="1ED66AFC" w14:textId="77777777" w:rsidR="009541C7" w:rsidRPr="007F6332" w:rsidRDefault="009541C7" w:rsidP="00A11DAA">
            <w:pPr>
              <w:spacing w:after="0" w:line="240" w:lineRule="auto"/>
              <w:ind w:left="-98"/>
              <w:jc w:val="right"/>
              <w:rPr>
                <w:rFonts w:eastAsia="Times New Roman" w:cs="Arial"/>
                <w:color w:val="000000"/>
                <w:szCs w:val="22"/>
                <w:lang w:eastAsia="en-AU"/>
              </w:rPr>
            </w:pPr>
            <w:r w:rsidRPr="007F6332">
              <w:rPr>
                <w:rFonts w:eastAsia="Times New Roman" w:cs="Arial"/>
                <w:color w:val="000000"/>
                <w:szCs w:val="22"/>
                <w:lang w:eastAsia="en-AU"/>
              </w:rPr>
              <w:t>-3%</w:t>
            </w:r>
          </w:p>
        </w:tc>
      </w:tr>
    </w:tbl>
    <w:p w14:paraId="21DDCB0F" w14:textId="77777777" w:rsidR="009351A2" w:rsidRPr="007F6332" w:rsidRDefault="009351A2" w:rsidP="00EF79DA">
      <w:pPr>
        <w:pStyle w:val="Heading4"/>
        <w:ind w:left="851" w:hanging="851"/>
        <w:rPr>
          <w:rFonts w:cs="Arial"/>
        </w:rPr>
        <w:sectPr w:rsidR="009351A2" w:rsidRPr="007F6332" w:rsidSect="00CE7E91">
          <w:pgSz w:w="11906" w:h="16838"/>
          <w:pgMar w:top="1440" w:right="1416" w:bottom="1440" w:left="1440" w:header="708" w:footer="850" w:gutter="0"/>
          <w:cols w:space="708"/>
          <w:titlePg/>
          <w:docGrid w:linePitch="360"/>
        </w:sectPr>
      </w:pPr>
    </w:p>
    <w:p w14:paraId="507741B0" w14:textId="77777777" w:rsidR="00B042DF" w:rsidRPr="007F6332" w:rsidRDefault="00B042DF" w:rsidP="00EF79DA">
      <w:pPr>
        <w:pStyle w:val="Heading4"/>
        <w:ind w:left="851" w:hanging="851"/>
        <w:rPr>
          <w:rFonts w:cs="Arial"/>
        </w:rPr>
      </w:pPr>
      <w:r w:rsidRPr="007F6332">
        <w:rPr>
          <w:rFonts w:cs="Arial"/>
        </w:rPr>
        <w:lastRenderedPageBreak/>
        <w:t>Average payments for new entrants to the Scheme</w:t>
      </w:r>
    </w:p>
    <w:p w14:paraId="677427EE" w14:textId="20AB9171" w:rsidR="0057206A" w:rsidRPr="007F6332" w:rsidRDefault="0057206A" w:rsidP="0057206A">
      <w:pPr>
        <w:rPr>
          <w:rFonts w:cs="Arial"/>
        </w:rPr>
      </w:pPr>
      <w:r w:rsidRPr="007F6332">
        <w:rPr>
          <w:rFonts w:cs="Arial"/>
        </w:rPr>
        <w:t>Experience has shown the average payments related to new entrants are lower than for existing participants in the Scheme. There is also evidence that average payments for participants tend to grow with the number of plans and time in the Scheme (Section 4.</w:t>
      </w:r>
      <w:r w:rsidR="006739A1" w:rsidRPr="007F6332">
        <w:rPr>
          <w:rFonts w:cs="Arial"/>
        </w:rPr>
        <w:t>5</w:t>
      </w:r>
      <w:r w:rsidRPr="007F6332">
        <w:rPr>
          <w:rFonts w:cs="Arial"/>
        </w:rPr>
        <w:t>). As more new entrants enter the Scheme average payments for new entrants may vary from those previously observed. To quantify the inherent uncertainty with the average payment for new entrants to the Scheme, the following scenarios were considered.</w:t>
      </w:r>
    </w:p>
    <w:p w14:paraId="6E2CC8A0" w14:textId="77777777" w:rsidR="0057206A" w:rsidRPr="007F6332" w:rsidRDefault="0057206A" w:rsidP="00CE7E91">
      <w:pPr>
        <w:pStyle w:val="ListParagraph"/>
        <w:numPr>
          <w:ilvl w:val="0"/>
          <w:numId w:val="16"/>
        </w:numPr>
        <w:ind w:left="714" w:hanging="357"/>
        <w:rPr>
          <w:rFonts w:cs="Arial"/>
        </w:rPr>
      </w:pPr>
      <w:r w:rsidRPr="007F6332">
        <w:rPr>
          <w:rFonts w:cs="Arial"/>
          <w:b/>
          <w:bCs/>
        </w:rPr>
        <w:t>Higher average payments for new entrants:</w:t>
      </w:r>
      <w:r w:rsidRPr="007F6332">
        <w:rPr>
          <w:rFonts w:cs="Arial"/>
        </w:rPr>
        <w:t xml:space="preserve"> The average payments for future new entrants are assumed to be the same as those for the corresponding cohorts of existing participants. This adds $0.7 billion in 2026-27 and $2.6 billion in 2032-33 to the total Scheme expenses.</w:t>
      </w:r>
    </w:p>
    <w:p w14:paraId="471982EF" w14:textId="77777777" w:rsidR="0057206A" w:rsidRPr="007F6332" w:rsidRDefault="0057206A" w:rsidP="00CE7E91">
      <w:pPr>
        <w:pStyle w:val="ListParagraph"/>
        <w:numPr>
          <w:ilvl w:val="0"/>
          <w:numId w:val="16"/>
        </w:numPr>
        <w:ind w:left="714" w:hanging="357"/>
        <w:rPr>
          <w:rFonts w:cs="Arial"/>
        </w:rPr>
      </w:pPr>
      <w:r w:rsidRPr="007F6332">
        <w:rPr>
          <w:rFonts w:cs="Arial"/>
          <w:b/>
          <w:bCs/>
        </w:rPr>
        <w:t>Lower average payments for new entrants:</w:t>
      </w:r>
      <w:r w:rsidRPr="007F6332">
        <w:rPr>
          <w:rFonts w:cs="Arial"/>
        </w:rPr>
        <w:t xml:space="preserve"> In this scenario, the average payments for future new entrants are assumed to be 14% lower than those for existing participants, compared with 8.4% lower in the baseline projections</w:t>
      </w:r>
      <w:r w:rsidRPr="007F6332">
        <w:rPr>
          <w:rStyle w:val="FootnoteReference"/>
          <w:rFonts w:cs="Arial"/>
        </w:rPr>
        <w:footnoteReference w:id="110"/>
      </w:r>
      <w:r w:rsidRPr="007F6332">
        <w:rPr>
          <w:rFonts w:cs="Arial"/>
        </w:rPr>
        <w:t>. This reduces Scheme expenses by $0.4 billion in 2026-27 and $1.6 billion in 2032-33.</w:t>
      </w:r>
    </w:p>
    <w:p w14:paraId="10A3BBD7" w14:textId="2D44D80D" w:rsidR="00B042DF" w:rsidRPr="007F6332" w:rsidRDefault="0057206A" w:rsidP="00945CBF">
      <w:pPr>
        <w:pStyle w:val="FiguresandTablesHeading5"/>
      </w:pPr>
      <w:r w:rsidRPr="007F6332">
        <w:t>Table 6</w:t>
      </w:r>
      <w:r w:rsidR="00950565" w:rsidRPr="007F6332">
        <w:t>.</w:t>
      </w:r>
      <w:r w:rsidRPr="007F6332">
        <w:t>3</w:t>
      </w:r>
      <w:r w:rsidR="006739A1" w:rsidRPr="007F6332">
        <w:t>:</w:t>
      </w:r>
      <w:r w:rsidR="00B042DF" w:rsidRPr="007F6332">
        <w:t xml:space="preserve"> Scenarios with higher and lower average payments for new entrants – Projected Scheme expenses and variance to the </w:t>
      </w:r>
      <w:r w:rsidR="006739A1" w:rsidRPr="007F6332">
        <w:t>June 2023 projections</w:t>
      </w:r>
    </w:p>
    <w:tbl>
      <w:tblPr>
        <w:tblW w:w="9155" w:type="dxa"/>
        <w:tblLook w:val="04A0" w:firstRow="1" w:lastRow="0" w:firstColumn="1" w:lastColumn="0" w:noHBand="0" w:noVBand="1"/>
      </w:tblPr>
      <w:tblGrid>
        <w:gridCol w:w="2268"/>
        <w:gridCol w:w="246"/>
        <w:gridCol w:w="883"/>
        <w:gridCol w:w="246"/>
        <w:gridCol w:w="883"/>
        <w:gridCol w:w="246"/>
        <w:gridCol w:w="883"/>
        <w:gridCol w:w="246"/>
        <w:gridCol w:w="1045"/>
        <w:gridCol w:w="1129"/>
        <w:gridCol w:w="1080"/>
      </w:tblGrid>
      <w:tr w:rsidR="00203953" w:rsidRPr="007F6332" w14:paraId="5DDA602D" w14:textId="77777777" w:rsidTr="00F57A0C">
        <w:trPr>
          <w:trHeight w:val="260"/>
        </w:trPr>
        <w:tc>
          <w:tcPr>
            <w:tcW w:w="2514" w:type="dxa"/>
            <w:gridSpan w:val="2"/>
            <w:shd w:val="clear" w:color="000000" w:fill="6B2976"/>
            <w:noWrap/>
            <w:vAlign w:val="center"/>
            <w:hideMark/>
          </w:tcPr>
          <w:p w14:paraId="7848960A" w14:textId="77777777" w:rsidR="00B042DF" w:rsidRPr="007F6332" w:rsidRDefault="00B042DF" w:rsidP="00D8325F">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 </w:t>
            </w:r>
          </w:p>
        </w:tc>
        <w:tc>
          <w:tcPr>
            <w:tcW w:w="1129" w:type="dxa"/>
            <w:gridSpan w:val="2"/>
            <w:shd w:val="clear" w:color="000000" w:fill="6B2976"/>
            <w:noWrap/>
            <w:vAlign w:val="center"/>
            <w:hideMark/>
          </w:tcPr>
          <w:p w14:paraId="13B0FE70" w14:textId="573DD5A1" w:rsidR="00B042DF" w:rsidRPr="007F6332" w:rsidRDefault="00B042DF" w:rsidP="00D8325F">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129" w:type="dxa"/>
            <w:gridSpan w:val="2"/>
            <w:shd w:val="clear" w:color="000000" w:fill="6B2976"/>
            <w:noWrap/>
            <w:vAlign w:val="center"/>
            <w:hideMark/>
          </w:tcPr>
          <w:p w14:paraId="081DCB75" w14:textId="74635625" w:rsidR="00B042DF" w:rsidRPr="007F6332" w:rsidRDefault="00B042DF" w:rsidP="00D8325F">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29" w:type="dxa"/>
            <w:gridSpan w:val="2"/>
            <w:shd w:val="clear" w:color="000000" w:fill="6B2976"/>
            <w:noWrap/>
            <w:vAlign w:val="center"/>
            <w:hideMark/>
          </w:tcPr>
          <w:p w14:paraId="7A1306E4" w14:textId="1062FA56" w:rsidR="00B042DF" w:rsidRPr="007F6332" w:rsidRDefault="00B042DF" w:rsidP="00D8325F">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045" w:type="dxa"/>
            <w:tcBorders>
              <w:right w:val="dashed" w:sz="4" w:space="0" w:color="auto"/>
            </w:tcBorders>
            <w:shd w:val="clear" w:color="000000" w:fill="6B2976"/>
            <w:noWrap/>
            <w:vAlign w:val="center"/>
            <w:hideMark/>
          </w:tcPr>
          <w:p w14:paraId="46FC4C4B" w14:textId="402A5F81" w:rsidR="00B042DF" w:rsidRPr="007F6332" w:rsidRDefault="00B042DF" w:rsidP="00D8325F">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29" w:type="dxa"/>
            <w:tcBorders>
              <w:left w:val="dashed" w:sz="4" w:space="0" w:color="auto"/>
              <w:right w:val="single" w:sz="4" w:space="0" w:color="auto"/>
            </w:tcBorders>
            <w:shd w:val="clear" w:color="000000" w:fill="6B2976"/>
            <w:noWrap/>
            <w:vAlign w:val="center"/>
            <w:hideMark/>
          </w:tcPr>
          <w:p w14:paraId="5807AFA3" w14:textId="349E9C6C" w:rsidR="00B042DF" w:rsidRPr="007F6332" w:rsidRDefault="00B042DF" w:rsidP="00D8325F">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c>
          <w:tcPr>
            <w:tcW w:w="1077" w:type="dxa"/>
            <w:tcBorders>
              <w:left w:val="single" w:sz="4" w:space="0" w:color="auto"/>
            </w:tcBorders>
            <w:shd w:val="clear" w:color="000000" w:fill="6B2976"/>
            <w:noWrap/>
            <w:vAlign w:val="center"/>
            <w:hideMark/>
          </w:tcPr>
          <w:p w14:paraId="39E9EA9D" w14:textId="7847934D" w:rsidR="00B042DF" w:rsidRPr="007F6332" w:rsidRDefault="00990FD6" w:rsidP="00D8325F">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 xml:space="preserve">Total </w:t>
            </w:r>
            <w:r w:rsidR="00B042DF" w:rsidRPr="007F6332">
              <w:rPr>
                <w:rFonts w:eastAsia="Times New Roman" w:cs="Arial"/>
                <w:b/>
                <w:bCs/>
                <w:color w:val="FFFFFF"/>
                <w:szCs w:val="22"/>
                <w:lang w:eastAsia="en-AU"/>
              </w:rPr>
              <w:t>2023-27</w:t>
            </w:r>
          </w:p>
        </w:tc>
      </w:tr>
      <w:tr w:rsidR="00203953" w:rsidRPr="007F6332" w14:paraId="272C765C" w14:textId="77777777" w:rsidTr="00F57A0C">
        <w:trPr>
          <w:trHeight w:val="397"/>
        </w:trPr>
        <w:tc>
          <w:tcPr>
            <w:tcW w:w="2268" w:type="dxa"/>
            <w:shd w:val="clear" w:color="auto" w:fill="auto"/>
            <w:vAlign w:val="center"/>
            <w:hideMark/>
          </w:tcPr>
          <w:p w14:paraId="1DA881B4" w14:textId="53F28654" w:rsidR="00B042DF" w:rsidRPr="007F6332" w:rsidRDefault="00B042DF" w:rsidP="00D8325F">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Baseline: </w:t>
            </w:r>
            <w:r w:rsidR="006739A1" w:rsidRPr="007F6332">
              <w:rPr>
                <w:rFonts w:eastAsia="Times New Roman" w:cs="Arial"/>
                <w:color w:val="000000"/>
                <w:szCs w:val="22"/>
                <w:lang w:eastAsia="en-AU"/>
              </w:rPr>
              <w:t>June 2023 projections</w:t>
            </w:r>
            <w:r w:rsidRPr="007F6332">
              <w:rPr>
                <w:rFonts w:eastAsia="Times New Roman" w:cs="Arial"/>
                <w:color w:val="000000"/>
                <w:szCs w:val="22"/>
                <w:lang w:eastAsia="en-AU"/>
              </w:rPr>
              <w:t xml:space="preserve"> ($m)</w:t>
            </w:r>
          </w:p>
        </w:tc>
        <w:tc>
          <w:tcPr>
            <w:tcW w:w="1129" w:type="dxa"/>
            <w:gridSpan w:val="2"/>
            <w:shd w:val="clear" w:color="auto" w:fill="auto"/>
            <w:noWrap/>
            <w:vAlign w:val="center"/>
            <w:hideMark/>
          </w:tcPr>
          <w:p w14:paraId="6484AAAF"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41,360</w:t>
            </w:r>
          </w:p>
        </w:tc>
        <w:tc>
          <w:tcPr>
            <w:tcW w:w="1129" w:type="dxa"/>
            <w:gridSpan w:val="2"/>
            <w:shd w:val="clear" w:color="auto" w:fill="auto"/>
            <w:noWrap/>
            <w:vAlign w:val="center"/>
            <w:hideMark/>
          </w:tcPr>
          <w:p w14:paraId="5094E2AD"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46,376</w:t>
            </w:r>
          </w:p>
        </w:tc>
        <w:tc>
          <w:tcPr>
            <w:tcW w:w="1129" w:type="dxa"/>
            <w:gridSpan w:val="2"/>
            <w:shd w:val="clear" w:color="auto" w:fill="auto"/>
            <w:noWrap/>
            <w:vAlign w:val="center"/>
            <w:hideMark/>
          </w:tcPr>
          <w:p w14:paraId="7AC8DE49"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50,788</w:t>
            </w:r>
          </w:p>
        </w:tc>
        <w:tc>
          <w:tcPr>
            <w:tcW w:w="1291" w:type="dxa"/>
            <w:gridSpan w:val="2"/>
            <w:tcBorders>
              <w:right w:val="dashed" w:sz="4" w:space="0" w:color="auto"/>
            </w:tcBorders>
            <w:shd w:val="clear" w:color="auto" w:fill="auto"/>
            <w:noWrap/>
            <w:vAlign w:val="center"/>
            <w:hideMark/>
          </w:tcPr>
          <w:p w14:paraId="070495C0"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55,207</w:t>
            </w:r>
          </w:p>
        </w:tc>
        <w:tc>
          <w:tcPr>
            <w:tcW w:w="1129" w:type="dxa"/>
            <w:tcBorders>
              <w:left w:val="dashed" w:sz="4" w:space="0" w:color="auto"/>
              <w:right w:val="single" w:sz="4" w:space="0" w:color="auto"/>
            </w:tcBorders>
            <w:shd w:val="clear" w:color="auto" w:fill="auto"/>
            <w:noWrap/>
            <w:vAlign w:val="center"/>
            <w:hideMark/>
          </w:tcPr>
          <w:p w14:paraId="55F1AAB5"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92,341</w:t>
            </w:r>
          </w:p>
        </w:tc>
        <w:tc>
          <w:tcPr>
            <w:tcW w:w="1077" w:type="dxa"/>
            <w:tcBorders>
              <w:left w:val="single" w:sz="4" w:space="0" w:color="auto"/>
            </w:tcBorders>
            <w:shd w:val="clear" w:color="auto" w:fill="auto"/>
            <w:noWrap/>
            <w:vAlign w:val="center"/>
            <w:hideMark/>
          </w:tcPr>
          <w:p w14:paraId="332ED84B"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193,731</w:t>
            </w:r>
          </w:p>
        </w:tc>
      </w:tr>
      <w:tr w:rsidR="00924D86" w:rsidRPr="007F6332" w14:paraId="6C697EB3" w14:textId="77777777" w:rsidTr="00F57A0C">
        <w:trPr>
          <w:trHeight w:val="397"/>
        </w:trPr>
        <w:tc>
          <w:tcPr>
            <w:tcW w:w="9155" w:type="dxa"/>
            <w:gridSpan w:val="11"/>
            <w:shd w:val="clear" w:color="000000" w:fill="B398B8"/>
            <w:noWrap/>
            <w:vAlign w:val="center"/>
            <w:hideMark/>
          </w:tcPr>
          <w:p w14:paraId="4C18BF23" w14:textId="4E6D5F6D" w:rsidR="00924D86" w:rsidRPr="007F6332" w:rsidRDefault="00924D86" w:rsidP="00924D8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Scenario 1: Higher average payments for new entrants</w:t>
            </w:r>
          </w:p>
        </w:tc>
      </w:tr>
      <w:tr w:rsidR="00203953" w:rsidRPr="007F6332" w14:paraId="423CFC3D" w14:textId="77777777" w:rsidTr="00F57A0C">
        <w:trPr>
          <w:trHeight w:val="397"/>
        </w:trPr>
        <w:tc>
          <w:tcPr>
            <w:tcW w:w="2268" w:type="dxa"/>
            <w:shd w:val="clear" w:color="auto" w:fill="auto"/>
            <w:noWrap/>
            <w:vAlign w:val="center"/>
            <w:hideMark/>
          </w:tcPr>
          <w:p w14:paraId="262E82D4" w14:textId="77777777" w:rsidR="00B042DF" w:rsidRPr="007F6332" w:rsidRDefault="00B042DF" w:rsidP="00D8325F">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1129" w:type="dxa"/>
            <w:gridSpan w:val="2"/>
            <w:shd w:val="clear" w:color="auto" w:fill="auto"/>
            <w:noWrap/>
            <w:vAlign w:val="center"/>
            <w:hideMark/>
          </w:tcPr>
          <w:p w14:paraId="615DC4C6"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41,429</w:t>
            </w:r>
          </w:p>
        </w:tc>
        <w:tc>
          <w:tcPr>
            <w:tcW w:w="1129" w:type="dxa"/>
            <w:gridSpan w:val="2"/>
            <w:shd w:val="clear" w:color="auto" w:fill="auto"/>
            <w:noWrap/>
            <w:vAlign w:val="center"/>
            <w:hideMark/>
          </w:tcPr>
          <w:p w14:paraId="6552BDE3"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46,626</w:t>
            </w:r>
          </w:p>
        </w:tc>
        <w:tc>
          <w:tcPr>
            <w:tcW w:w="1129" w:type="dxa"/>
            <w:gridSpan w:val="2"/>
            <w:shd w:val="clear" w:color="auto" w:fill="auto"/>
            <w:noWrap/>
            <w:vAlign w:val="center"/>
            <w:hideMark/>
          </w:tcPr>
          <w:p w14:paraId="324BA520"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51,258</w:t>
            </w:r>
          </w:p>
        </w:tc>
        <w:tc>
          <w:tcPr>
            <w:tcW w:w="1291" w:type="dxa"/>
            <w:gridSpan w:val="2"/>
            <w:tcBorders>
              <w:right w:val="dashed" w:sz="4" w:space="0" w:color="auto"/>
            </w:tcBorders>
            <w:shd w:val="clear" w:color="auto" w:fill="auto"/>
            <w:noWrap/>
            <w:vAlign w:val="center"/>
            <w:hideMark/>
          </w:tcPr>
          <w:p w14:paraId="1B0A998A"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55,902</w:t>
            </w:r>
          </w:p>
        </w:tc>
        <w:tc>
          <w:tcPr>
            <w:tcW w:w="1129" w:type="dxa"/>
            <w:tcBorders>
              <w:left w:val="dashed" w:sz="4" w:space="0" w:color="auto"/>
              <w:right w:val="single" w:sz="4" w:space="0" w:color="auto"/>
            </w:tcBorders>
            <w:shd w:val="clear" w:color="auto" w:fill="auto"/>
            <w:noWrap/>
            <w:vAlign w:val="center"/>
            <w:hideMark/>
          </w:tcPr>
          <w:p w14:paraId="00B0FF9B"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94,911</w:t>
            </w:r>
          </w:p>
        </w:tc>
        <w:tc>
          <w:tcPr>
            <w:tcW w:w="1077" w:type="dxa"/>
            <w:tcBorders>
              <w:left w:val="single" w:sz="4" w:space="0" w:color="auto"/>
            </w:tcBorders>
            <w:shd w:val="clear" w:color="auto" w:fill="auto"/>
            <w:noWrap/>
            <w:vAlign w:val="center"/>
            <w:hideMark/>
          </w:tcPr>
          <w:p w14:paraId="214A80D4"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195,214</w:t>
            </w:r>
          </w:p>
        </w:tc>
      </w:tr>
      <w:tr w:rsidR="00444F7D" w:rsidRPr="007F6332" w14:paraId="745C0D2D" w14:textId="77777777" w:rsidTr="00444F7D">
        <w:trPr>
          <w:trHeight w:val="397"/>
        </w:trPr>
        <w:tc>
          <w:tcPr>
            <w:tcW w:w="2268" w:type="dxa"/>
            <w:shd w:val="clear" w:color="auto" w:fill="D1D3D4"/>
            <w:noWrap/>
            <w:vAlign w:val="center"/>
            <w:hideMark/>
          </w:tcPr>
          <w:p w14:paraId="38A5907B" w14:textId="77777777" w:rsidR="00B042DF" w:rsidRPr="007F6332" w:rsidRDefault="00B042DF" w:rsidP="0020395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1129" w:type="dxa"/>
            <w:gridSpan w:val="2"/>
            <w:shd w:val="clear" w:color="auto" w:fill="D1D3D4"/>
            <w:noWrap/>
            <w:vAlign w:val="center"/>
            <w:hideMark/>
          </w:tcPr>
          <w:p w14:paraId="42A49873"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+70</w:t>
            </w:r>
          </w:p>
        </w:tc>
        <w:tc>
          <w:tcPr>
            <w:tcW w:w="1129" w:type="dxa"/>
            <w:gridSpan w:val="2"/>
            <w:shd w:val="clear" w:color="auto" w:fill="D1D3D4"/>
            <w:noWrap/>
            <w:vAlign w:val="center"/>
            <w:hideMark/>
          </w:tcPr>
          <w:p w14:paraId="3F793E7B"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+250</w:t>
            </w:r>
          </w:p>
        </w:tc>
        <w:tc>
          <w:tcPr>
            <w:tcW w:w="1129" w:type="dxa"/>
            <w:gridSpan w:val="2"/>
            <w:shd w:val="clear" w:color="auto" w:fill="D1D3D4"/>
            <w:noWrap/>
            <w:vAlign w:val="center"/>
            <w:hideMark/>
          </w:tcPr>
          <w:p w14:paraId="295ED232"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+470</w:t>
            </w:r>
          </w:p>
        </w:tc>
        <w:tc>
          <w:tcPr>
            <w:tcW w:w="1291" w:type="dxa"/>
            <w:gridSpan w:val="2"/>
            <w:tcBorders>
              <w:right w:val="dashed" w:sz="4" w:space="0" w:color="auto"/>
            </w:tcBorders>
            <w:shd w:val="clear" w:color="auto" w:fill="D1D3D4"/>
            <w:noWrap/>
            <w:vAlign w:val="center"/>
            <w:hideMark/>
          </w:tcPr>
          <w:p w14:paraId="35B29604"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+694</w:t>
            </w:r>
          </w:p>
        </w:tc>
        <w:tc>
          <w:tcPr>
            <w:tcW w:w="1129" w:type="dxa"/>
            <w:tcBorders>
              <w:left w:val="dashed" w:sz="4" w:space="0" w:color="auto"/>
              <w:right w:val="single" w:sz="4" w:space="0" w:color="auto"/>
            </w:tcBorders>
            <w:shd w:val="clear" w:color="auto" w:fill="D1D3D4"/>
            <w:noWrap/>
            <w:vAlign w:val="center"/>
            <w:hideMark/>
          </w:tcPr>
          <w:p w14:paraId="1F31E6BB"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+2,570</w:t>
            </w:r>
          </w:p>
        </w:tc>
        <w:tc>
          <w:tcPr>
            <w:tcW w:w="1077" w:type="dxa"/>
            <w:tcBorders>
              <w:left w:val="single" w:sz="4" w:space="0" w:color="auto"/>
            </w:tcBorders>
            <w:shd w:val="clear" w:color="auto" w:fill="D1D3D4"/>
            <w:noWrap/>
            <w:vAlign w:val="center"/>
            <w:hideMark/>
          </w:tcPr>
          <w:p w14:paraId="586D4E27"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+1,484</w:t>
            </w:r>
          </w:p>
        </w:tc>
      </w:tr>
      <w:tr w:rsidR="00444F7D" w:rsidRPr="007F6332" w14:paraId="557E2DE3" w14:textId="77777777" w:rsidTr="00444F7D">
        <w:trPr>
          <w:trHeight w:val="397"/>
        </w:trPr>
        <w:tc>
          <w:tcPr>
            <w:tcW w:w="2268" w:type="dxa"/>
            <w:shd w:val="clear" w:color="auto" w:fill="A7A9AC"/>
            <w:noWrap/>
            <w:vAlign w:val="center"/>
            <w:hideMark/>
          </w:tcPr>
          <w:p w14:paraId="0A725D7B" w14:textId="77777777" w:rsidR="00B042DF" w:rsidRPr="007F6332" w:rsidRDefault="00B042DF" w:rsidP="0020395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1129" w:type="dxa"/>
            <w:gridSpan w:val="2"/>
            <w:shd w:val="clear" w:color="auto" w:fill="A7A9AC"/>
            <w:noWrap/>
            <w:vAlign w:val="center"/>
            <w:hideMark/>
          </w:tcPr>
          <w:p w14:paraId="6078DAF9"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0.2%</w:t>
            </w:r>
          </w:p>
        </w:tc>
        <w:tc>
          <w:tcPr>
            <w:tcW w:w="1129" w:type="dxa"/>
            <w:gridSpan w:val="2"/>
            <w:shd w:val="clear" w:color="auto" w:fill="A7A9AC"/>
            <w:noWrap/>
            <w:vAlign w:val="center"/>
            <w:hideMark/>
          </w:tcPr>
          <w:p w14:paraId="17757181"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129" w:type="dxa"/>
            <w:gridSpan w:val="2"/>
            <w:shd w:val="clear" w:color="auto" w:fill="A7A9AC"/>
            <w:noWrap/>
            <w:vAlign w:val="center"/>
            <w:hideMark/>
          </w:tcPr>
          <w:p w14:paraId="0F901CAF"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291" w:type="dxa"/>
            <w:gridSpan w:val="2"/>
            <w:tcBorders>
              <w:right w:val="dashed" w:sz="4" w:space="0" w:color="auto"/>
            </w:tcBorders>
            <w:shd w:val="clear" w:color="auto" w:fill="A7A9AC"/>
            <w:noWrap/>
            <w:vAlign w:val="center"/>
            <w:hideMark/>
          </w:tcPr>
          <w:p w14:paraId="26A92F9B"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129" w:type="dxa"/>
            <w:tcBorders>
              <w:left w:val="dashed" w:sz="4" w:space="0" w:color="auto"/>
              <w:right w:val="single" w:sz="4" w:space="0" w:color="auto"/>
            </w:tcBorders>
            <w:shd w:val="clear" w:color="auto" w:fill="A7A9AC"/>
            <w:noWrap/>
            <w:vAlign w:val="center"/>
            <w:hideMark/>
          </w:tcPr>
          <w:p w14:paraId="43941278"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w:t>
            </w:r>
          </w:p>
        </w:tc>
        <w:tc>
          <w:tcPr>
            <w:tcW w:w="1077" w:type="dxa"/>
            <w:tcBorders>
              <w:left w:val="single" w:sz="4" w:space="0" w:color="auto"/>
            </w:tcBorders>
            <w:shd w:val="clear" w:color="auto" w:fill="A7A9AC"/>
            <w:noWrap/>
            <w:vAlign w:val="center"/>
            <w:hideMark/>
          </w:tcPr>
          <w:p w14:paraId="2295522C"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w:t>
            </w:r>
          </w:p>
        </w:tc>
      </w:tr>
      <w:tr w:rsidR="00924D86" w:rsidRPr="007F6332" w14:paraId="615092FE" w14:textId="77777777" w:rsidTr="00F57A0C">
        <w:trPr>
          <w:trHeight w:val="397"/>
        </w:trPr>
        <w:tc>
          <w:tcPr>
            <w:tcW w:w="9155" w:type="dxa"/>
            <w:gridSpan w:val="11"/>
            <w:shd w:val="clear" w:color="000000" w:fill="B398B8"/>
            <w:noWrap/>
            <w:vAlign w:val="center"/>
            <w:hideMark/>
          </w:tcPr>
          <w:p w14:paraId="5945AED2" w14:textId="4886EB0E" w:rsidR="00924D86" w:rsidRPr="007F6332" w:rsidRDefault="00924D86" w:rsidP="00D8325F">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Scenario 2: Lower average payments for new entrants</w:t>
            </w:r>
          </w:p>
        </w:tc>
      </w:tr>
      <w:tr w:rsidR="00203953" w:rsidRPr="007F6332" w14:paraId="446FE7AD" w14:textId="77777777" w:rsidTr="00F57A0C">
        <w:trPr>
          <w:trHeight w:val="397"/>
        </w:trPr>
        <w:tc>
          <w:tcPr>
            <w:tcW w:w="2268" w:type="dxa"/>
            <w:shd w:val="clear" w:color="auto" w:fill="auto"/>
            <w:noWrap/>
            <w:vAlign w:val="center"/>
            <w:hideMark/>
          </w:tcPr>
          <w:p w14:paraId="6B23F8E8" w14:textId="77777777" w:rsidR="00B042DF" w:rsidRPr="007F6332" w:rsidRDefault="00B042DF" w:rsidP="00D8325F">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1129" w:type="dxa"/>
            <w:gridSpan w:val="2"/>
            <w:shd w:val="clear" w:color="auto" w:fill="auto"/>
            <w:noWrap/>
            <w:vAlign w:val="center"/>
            <w:hideMark/>
          </w:tcPr>
          <w:p w14:paraId="5E10C5EE"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41,317</w:t>
            </w:r>
          </w:p>
        </w:tc>
        <w:tc>
          <w:tcPr>
            <w:tcW w:w="1129" w:type="dxa"/>
            <w:gridSpan w:val="2"/>
            <w:shd w:val="clear" w:color="auto" w:fill="auto"/>
            <w:noWrap/>
            <w:vAlign w:val="center"/>
            <w:hideMark/>
          </w:tcPr>
          <w:p w14:paraId="448619CC"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46,221</w:t>
            </w:r>
          </w:p>
        </w:tc>
        <w:tc>
          <w:tcPr>
            <w:tcW w:w="1129" w:type="dxa"/>
            <w:gridSpan w:val="2"/>
            <w:shd w:val="clear" w:color="auto" w:fill="auto"/>
            <w:noWrap/>
            <w:vAlign w:val="center"/>
            <w:hideMark/>
          </w:tcPr>
          <w:p w14:paraId="679874E2"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50,498</w:t>
            </w:r>
          </w:p>
        </w:tc>
        <w:tc>
          <w:tcPr>
            <w:tcW w:w="1291" w:type="dxa"/>
            <w:gridSpan w:val="2"/>
            <w:tcBorders>
              <w:right w:val="dashed" w:sz="4" w:space="0" w:color="auto"/>
            </w:tcBorders>
            <w:shd w:val="clear" w:color="auto" w:fill="auto"/>
            <w:noWrap/>
            <w:vAlign w:val="center"/>
            <w:hideMark/>
          </w:tcPr>
          <w:p w14:paraId="5EC8F0C5"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54,779</w:t>
            </w:r>
          </w:p>
        </w:tc>
        <w:tc>
          <w:tcPr>
            <w:tcW w:w="1129" w:type="dxa"/>
            <w:tcBorders>
              <w:left w:val="dashed" w:sz="4" w:space="0" w:color="auto"/>
              <w:right w:val="single" w:sz="4" w:space="0" w:color="auto"/>
            </w:tcBorders>
            <w:shd w:val="clear" w:color="auto" w:fill="auto"/>
            <w:noWrap/>
            <w:vAlign w:val="center"/>
            <w:hideMark/>
          </w:tcPr>
          <w:p w14:paraId="5DC99A45"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90,755</w:t>
            </w:r>
          </w:p>
        </w:tc>
        <w:tc>
          <w:tcPr>
            <w:tcW w:w="1077" w:type="dxa"/>
            <w:tcBorders>
              <w:left w:val="single" w:sz="4" w:space="0" w:color="auto"/>
            </w:tcBorders>
            <w:shd w:val="clear" w:color="auto" w:fill="auto"/>
            <w:noWrap/>
            <w:vAlign w:val="center"/>
            <w:hideMark/>
          </w:tcPr>
          <w:p w14:paraId="1A3027B4"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192,815</w:t>
            </w:r>
          </w:p>
        </w:tc>
      </w:tr>
      <w:tr w:rsidR="00444F7D" w:rsidRPr="007F6332" w14:paraId="5FE515C0" w14:textId="77777777" w:rsidTr="00444F7D">
        <w:trPr>
          <w:trHeight w:val="397"/>
        </w:trPr>
        <w:tc>
          <w:tcPr>
            <w:tcW w:w="2268" w:type="dxa"/>
            <w:shd w:val="clear" w:color="auto" w:fill="D1D3D4"/>
            <w:noWrap/>
            <w:vAlign w:val="center"/>
            <w:hideMark/>
          </w:tcPr>
          <w:p w14:paraId="1417B609" w14:textId="77777777" w:rsidR="00B042DF" w:rsidRPr="007F6332" w:rsidRDefault="00B042DF" w:rsidP="0020395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1129" w:type="dxa"/>
            <w:gridSpan w:val="2"/>
            <w:shd w:val="clear" w:color="auto" w:fill="D1D3D4"/>
            <w:noWrap/>
            <w:vAlign w:val="center"/>
            <w:hideMark/>
          </w:tcPr>
          <w:p w14:paraId="6CAF371B"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w:t>
            </w:r>
          </w:p>
        </w:tc>
        <w:tc>
          <w:tcPr>
            <w:tcW w:w="1129" w:type="dxa"/>
            <w:gridSpan w:val="2"/>
            <w:shd w:val="clear" w:color="auto" w:fill="D1D3D4"/>
            <w:noWrap/>
            <w:vAlign w:val="center"/>
            <w:hideMark/>
          </w:tcPr>
          <w:p w14:paraId="18E1FDB9"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-154</w:t>
            </w:r>
          </w:p>
        </w:tc>
        <w:tc>
          <w:tcPr>
            <w:tcW w:w="1129" w:type="dxa"/>
            <w:gridSpan w:val="2"/>
            <w:shd w:val="clear" w:color="auto" w:fill="D1D3D4"/>
            <w:noWrap/>
            <w:vAlign w:val="center"/>
            <w:hideMark/>
          </w:tcPr>
          <w:p w14:paraId="30CF5FE0"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-290</w:t>
            </w:r>
          </w:p>
        </w:tc>
        <w:tc>
          <w:tcPr>
            <w:tcW w:w="1291" w:type="dxa"/>
            <w:gridSpan w:val="2"/>
            <w:tcBorders>
              <w:right w:val="dashed" w:sz="4" w:space="0" w:color="auto"/>
            </w:tcBorders>
            <w:shd w:val="clear" w:color="auto" w:fill="D1D3D4"/>
            <w:noWrap/>
            <w:vAlign w:val="center"/>
            <w:hideMark/>
          </w:tcPr>
          <w:p w14:paraId="1E9DDAA9"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-428</w:t>
            </w:r>
          </w:p>
        </w:tc>
        <w:tc>
          <w:tcPr>
            <w:tcW w:w="1129" w:type="dxa"/>
            <w:tcBorders>
              <w:left w:val="dashed" w:sz="4" w:space="0" w:color="auto"/>
              <w:right w:val="single" w:sz="4" w:space="0" w:color="auto"/>
            </w:tcBorders>
            <w:shd w:val="clear" w:color="auto" w:fill="D1D3D4"/>
            <w:noWrap/>
            <w:vAlign w:val="center"/>
            <w:hideMark/>
          </w:tcPr>
          <w:p w14:paraId="28DA4768"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-1,586</w:t>
            </w:r>
          </w:p>
        </w:tc>
        <w:tc>
          <w:tcPr>
            <w:tcW w:w="1077" w:type="dxa"/>
            <w:tcBorders>
              <w:left w:val="single" w:sz="4" w:space="0" w:color="auto"/>
            </w:tcBorders>
            <w:shd w:val="clear" w:color="auto" w:fill="D1D3D4"/>
            <w:noWrap/>
            <w:vAlign w:val="center"/>
            <w:hideMark/>
          </w:tcPr>
          <w:p w14:paraId="58F23B98"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-915</w:t>
            </w:r>
          </w:p>
        </w:tc>
      </w:tr>
      <w:tr w:rsidR="00444F7D" w:rsidRPr="007F6332" w14:paraId="5B1E825E" w14:textId="77777777" w:rsidTr="00444F7D">
        <w:trPr>
          <w:trHeight w:val="397"/>
        </w:trPr>
        <w:tc>
          <w:tcPr>
            <w:tcW w:w="2268" w:type="dxa"/>
            <w:tcBorders>
              <w:bottom w:val="single" w:sz="4" w:space="0" w:color="auto"/>
            </w:tcBorders>
            <w:shd w:val="clear" w:color="auto" w:fill="A7A9AC"/>
            <w:noWrap/>
            <w:vAlign w:val="center"/>
            <w:hideMark/>
          </w:tcPr>
          <w:p w14:paraId="7280574A" w14:textId="77777777" w:rsidR="00B042DF" w:rsidRPr="007F6332" w:rsidRDefault="00B042DF" w:rsidP="0020395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1129" w:type="dxa"/>
            <w:gridSpan w:val="2"/>
            <w:tcBorders>
              <w:bottom w:val="single" w:sz="4" w:space="0" w:color="auto"/>
            </w:tcBorders>
            <w:shd w:val="clear" w:color="auto" w:fill="A7A9AC"/>
            <w:noWrap/>
            <w:vAlign w:val="center"/>
            <w:hideMark/>
          </w:tcPr>
          <w:p w14:paraId="40A1AB58"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-0.1%</w:t>
            </w:r>
          </w:p>
        </w:tc>
        <w:tc>
          <w:tcPr>
            <w:tcW w:w="1129" w:type="dxa"/>
            <w:gridSpan w:val="2"/>
            <w:tcBorders>
              <w:bottom w:val="single" w:sz="4" w:space="0" w:color="auto"/>
            </w:tcBorders>
            <w:shd w:val="clear" w:color="auto" w:fill="A7A9AC"/>
            <w:noWrap/>
            <w:vAlign w:val="center"/>
            <w:hideMark/>
          </w:tcPr>
          <w:p w14:paraId="15371362"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-0.3%</w:t>
            </w:r>
          </w:p>
        </w:tc>
        <w:tc>
          <w:tcPr>
            <w:tcW w:w="1129" w:type="dxa"/>
            <w:gridSpan w:val="2"/>
            <w:tcBorders>
              <w:bottom w:val="single" w:sz="4" w:space="0" w:color="auto"/>
            </w:tcBorders>
            <w:shd w:val="clear" w:color="auto" w:fill="A7A9AC"/>
            <w:noWrap/>
            <w:vAlign w:val="center"/>
            <w:hideMark/>
          </w:tcPr>
          <w:p w14:paraId="7CEF43DB"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291" w:type="dxa"/>
            <w:gridSpan w:val="2"/>
            <w:tcBorders>
              <w:bottom w:val="single" w:sz="4" w:space="0" w:color="auto"/>
              <w:right w:val="dashed" w:sz="4" w:space="0" w:color="auto"/>
            </w:tcBorders>
            <w:shd w:val="clear" w:color="auto" w:fill="A7A9AC"/>
            <w:noWrap/>
            <w:vAlign w:val="center"/>
            <w:hideMark/>
          </w:tcPr>
          <w:p w14:paraId="020B1DAD"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129" w:type="dxa"/>
            <w:tcBorders>
              <w:left w:val="dashed" w:sz="4" w:space="0" w:color="auto"/>
              <w:bottom w:val="single" w:sz="4" w:space="0" w:color="auto"/>
              <w:right w:val="single" w:sz="4" w:space="0" w:color="auto"/>
            </w:tcBorders>
            <w:shd w:val="clear" w:color="auto" w:fill="A7A9AC"/>
            <w:noWrap/>
            <w:vAlign w:val="center"/>
            <w:hideMark/>
          </w:tcPr>
          <w:p w14:paraId="7F7E25B9"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w:t>
            </w:r>
          </w:p>
        </w:tc>
        <w:tc>
          <w:tcPr>
            <w:tcW w:w="1077" w:type="dxa"/>
            <w:tcBorders>
              <w:left w:val="single" w:sz="4" w:space="0" w:color="auto"/>
              <w:bottom w:val="single" w:sz="4" w:space="0" w:color="auto"/>
            </w:tcBorders>
            <w:shd w:val="clear" w:color="auto" w:fill="A7A9AC"/>
            <w:noWrap/>
            <w:vAlign w:val="center"/>
            <w:hideMark/>
          </w:tcPr>
          <w:p w14:paraId="257A2D09" w14:textId="77777777" w:rsidR="00B042DF" w:rsidRPr="007F6332" w:rsidRDefault="00B042DF" w:rsidP="00D8325F">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-0.5%</w:t>
            </w:r>
          </w:p>
        </w:tc>
      </w:tr>
    </w:tbl>
    <w:p w14:paraId="0E120506" w14:textId="77777777" w:rsidR="009351A2" w:rsidRPr="007F6332" w:rsidRDefault="009351A2" w:rsidP="00EF79DA">
      <w:pPr>
        <w:pStyle w:val="Heading4"/>
        <w:ind w:left="851" w:hanging="851"/>
        <w:rPr>
          <w:rFonts w:cs="Arial"/>
        </w:rPr>
        <w:sectPr w:rsidR="009351A2" w:rsidRPr="007F6332" w:rsidSect="00CE7E91">
          <w:pgSz w:w="11906" w:h="16838"/>
          <w:pgMar w:top="1440" w:right="1416" w:bottom="1440" w:left="1440" w:header="708" w:footer="850" w:gutter="0"/>
          <w:cols w:space="708"/>
          <w:titlePg/>
          <w:docGrid w:linePitch="360"/>
        </w:sectPr>
      </w:pPr>
    </w:p>
    <w:p w14:paraId="3C7C30A8" w14:textId="77777777" w:rsidR="00B042DF" w:rsidRPr="007F6332" w:rsidRDefault="00B042DF" w:rsidP="00EF79DA">
      <w:pPr>
        <w:pStyle w:val="Heading4"/>
        <w:ind w:left="851" w:hanging="851"/>
        <w:rPr>
          <w:rFonts w:cs="Arial"/>
        </w:rPr>
      </w:pPr>
      <w:r w:rsidRPr="007F6332">
        <w:rPr>
          <w:rFonts w:cs="Arial"/>
        </w:rPr>
        <w:lastRenderedPageBreak/>
        <w:t>Number of new entrants to the Scheme</w:t>
      </w:r>
    </w:p>
    <w:p w14:paraId="119F8520" w14:textId="27BB4FB4" w:rsidR="00D34123" w:rsidRPr="007F6332" w:rsidRDefault="00D34123" w:rsidP="00D34123">
      <w:pPr>
        <w:rPr>
          <w:rFonts w:cs="Arial"/>
        </w:rPr>
      </w:pPr>
      <w:r w:rsidRPr="007F6332">
        <w:rPr>
          <w:rFonts w:cs="Arial"/>
        </w:rPr>
        <w:t>The number of new entrants to the Scheme in 2022-23 has increased compared to the previous year, with the rate of people entering the Scheme relative to the general population exceeding expectations.</w:t>
      </w:r>
      <w:r w:rsidRPr="007F6332">
        <w:rPr>
          <w:rFonts w:cs="Arial"/>
          <w:b/>
        </w:rPr>
        <w:t xml:space="preserve"> </w:t>
      </w:r>
      <w:r w:rsidRPr="007F6332">
        <w:rPr>
          <w:rFonts w:cs="Arial"/>
        </w:rPr>
        <w:t>Participation rates (the proportion of the Australian population that are NDIS participants) continue to increase and it is uncertain as to when new entrant rates will stabilise. This trend is driven predominantly by children with developmental delay joining the Scheme and new participants with autism.</w:t>
      </w:r>
    </w:p>
    <w:p w14:paraId="4E48E78E" w14:textId="02E14D9C" w:rsidR="0057206A" w:rsidRPr="007F6332" w:rsidRDefault="0057206A" w:rsidP="0057206A">
      <w:pPr>
        <w:rPr>
          <w:rFonts w:cs="Arial"/>
        </w:rPr>
      </w:pPr>
      <w:r w:rsidRPr="007F6332">
        <w:rPr>
          <w:rFonts w:cs="Arial"/>
        </w:rPr>
        <w:t xml:space="preserve">To illustrate the impact of current trajectories continuing, the following scenarios are presented in </w:t>
      </w:r>
      <w:r w:rsidR="007218CB" w:rsidRPr="007F6332">
        <w:rPr>
          <w:rFonts w:cs="Arial"/>
        </w:rPr>
        <w:t>Table 6.4</w:t>
      </w:r>
      <w:r w:rsidRPr="007F6332">
        <w:rPr>
          <w:rFonts w:cs="Arial"/>
        </w:rPr>
        <w:t>.</w:t>
      </w:r>
    </w:p>
    <w:p w14:paraId="5DE82227" w14:textId="77777777" w:rsidR="0057206A" w:rsidRPr="007F6332" w:rsidRDefault="0057206A" w:rsidP="00CE7E91">
      <w:pPr>
        <w:pStyle w:val="ListParagraph"/>
        <w:numPr>
          <w:ilvl w:val="0"/>
          <w:numId w:val="16"/>
        </w:numPr>
        <w:rPr>
          <w:rFonts w:cs="Arial"/>
        </w:rPr>
      </w:pPr>
      <w:r w:rsidRPr="007F6332">
        <w:rPr>
          <w:rFonts w:cs="Arial"/>
          <w:b/>
          <w:bCs/>
        </w:rPr>
        <w:t>Greater number of new entrants aged 0 to 14 with developmental delay or autism</w:t>
      </w:r>
      <w:r w:rsidRPr="007F6332">
        <w:rPr>
          <w:rFonts w:cs="Arial"/>
        </w:rPr>
        <w:t>. The new entrant rates for participants aged 0 to 14 with developmental delay or autism are assumed to continue at the current level. This increases Scheme expenses by $0.4 billion in 2026-27 and $1.9 billion in 2032-33.</w:t>
      </w:r>
    </w:p>
    <w:p w14:paraId="2D731DC4" w14:textId="6149323D" w:rsidR="0057206A" w:rsidRPr="007F6332" w:rsidRDefault="0057206A" w:rsidP="00CE7E91">
      <w:pPr>
        <w:pStyle w:val="ListParagraph"/>
        <w:numPr>
          <w:ilvl w:val="0"/>
          <w:numId w:val="16"/>
        </w:numPr>
        <w:rPr>
          <w:rFonts w:cs="Arial"/>
        </w:rPr>
      </w:pPr>
      <w:r w:rsidRPr="007F6332">
        <w:rPr>
          <w:rFonts w:cs="Arial"/>
          <w:b/>
          <w:bCs/>
        </w:rPr>
        <w:t>Greater number of new entrants aged 15 and over with autism</w:t>
      </w:r>
      <w:r w:rsidR="007218CB" w:rsidRPr="007F6332">
        <w:rPr>
          <w:rFonts w:cs="Arial"/>
          <w:b/>
          <w:bCs/>
        </w:rPr>
        <w:t>.</w:t>
      </w:r>
      <w:r w:rsidRPr="007F6332">
        <w:rPr>
          <w:rFonts w:cs="Arial"/>
        </w:rPr>
        <w:t xml:space="preserve"> The new entrant rates for male participants aged 15 and over with autism are assumed to continue at the current level, whilst the number of female participants entering the Scheme aged 15 and over is assumed to grow from its current level by 12.3% per annum (the assumed growth rate of 12.3% per annum is in-line with the average growth rate experienced over the 2020-21 and 2021-22 years for this cohort of participants)</w:t>
      </w:r>
      <w:r w:rsidRPr="007F6332">
        <w:rPr>
          <w:rStyle w:val="FootnoteReference"/>
          <w:rFonts w:cs="Arial"/>
        </w:rPr>
        <w:footnoteReference w:id="111"/>
      </w:r>
      <w:r w:rsidRPr="007F6332">
        <w:rPr>
          <w:rFonts w:cs="Arial"/>
        </w:rPr>
        <w:t>. This increases Scheme expenses by $0.3 billion in 2026-27 and $3.2 billion in 2032-33.</w:t>
      </w:r>
    </w:p>
    <w:p w14:paraId="3449BBC0" w14:textId="4DD4AC15" w:rsidR="0057206A" w:rsidRPr="007F6332" w:rsidRDefault="0057206A" w:rsidP="00CE7E91">
      <w:pPr>
        <w:pStyle w:val="ListParagraph"/>
        <w:numPr>
          <w:ilvl w:val="0"/>
          <w:numId w:val="16"/>
        </w:numPr>
        <w:spacing w:after="120"/>
        <w:ind w:left="714" w:hanging="357"/>
        <w:rPr>
          <w:rFonts w:cs="Arial"/>
        </w:rPr>
      </w:pPr>
      <w:r w:rsidRPr="007F6332">
        <w:rPr>
          <w:rFonts w:cs="Arial"/>
          <w:b/>
          <w:bCs/>
        </w:rPr>
        <w:t>Greater number of new entrants aged 15 and over (excluding those with autism)</w:t>
      </w:r>
      <w:r w:rsidR="007218CB" w:rsidRPr="007F6332">
        <w:rPr>
          <w:rFonts w:cs="Arial"/>
          <w:b/>
          <w:bCs/>
        </w:rPr>
        <w:t>.</w:t>
      </w:r>
      <w:r w:rsidRPr="007F6332">
        <w:rPr>
          <w:rFonts w:cs="Arial"/>
        </w:rPr>
        <w:t xml:space="preserve"> The new entrant rates for participants aged 15 and over for all disability types excluding those with autism, are increased by 21.8%. This increase in new entrant rates represents the 90</w:t>
      </w:r>
      <w:r w:rsidRPr="007F6332">
        <w:rPr>
          <w:rFonts w:cs="Arial"/>
          <w:vertAlign w:val="superscript"/>
        </w:rPr>
        <w:t>th</w:t>
      </w:r>
      <w:r w:rsidRPr="007F6332">
        <w:rPr>
          <w:rFonts w:cs="Arial"/>
        </w:rPr>
        <w:t xml:space="preserve"> percentile of new entrant outcomes for the 2023-24 year derived from the </w:t>
      </w:r>
      <w:r w:rsidR="005B51E6" w:rsidRPr="007F6332">
        <w:rPr>
          <w:rFonts w:cs="Arial"/>
        </w:rPr>
        <w:t>S</w:t>
      </w:r>
      <w:r w:rsidRPr="007F6332">
        <w:rPr>
          <w:rFonts w:cs="Arial"/>
        </w:rPr>
        <w:t xml:space="preserve">tochastic </w:t>
      </w:r>
      <w:r w:rsidR="005B51E6" w:rsidRPr="007F6332">
        <w:rPr>
          <w:rFonts w:cs="Arial"/>
        </w:rPr>
        <w:t>M</w:t>
      </w:r>
      <w:r w:rsidRPr="007F6332">
        <w:rPr>
          <w:rFonts w:cs="Arial"/>
        </w:rPr>
        <w:t>odel (discussed in Section 6.2). This increases Scheme expenses by $0.7 billion in 2026-27 and $2.9 billion in 2032-33.</w:t>
      </w:r>
    </w:p>
    <w:p w14:paraId="763A8702" w14:textId="5046541E" w:rsidR="00BC6A52" w:rsidRPr="007F6332" w:rsidRDefault="0057206A" w:rsidP="00536741">
      <w:pPr>
        <w:pStyle w:val="FSRlist"/>
        <w:numPr>
          <w:ilvl w:val="0"/>
          <w:numId w:val="16"/>
        </w:numPr>
        <w:rPr>
          <w:rFonts w:cs="Arial"/>
        </w:rPr>
      </w:pPr>
      <w:r w:rsidRPr="007F6332">
        <w:rPr>
          <w:rFonts w:cs="Arial"/>
          <w:b/>
          <w:bCs/>
        </w:rPr>
        <w:t>Lower number of new entrants aged 15 and over (excluding those with autism)</w:t>
      </w:r>
      <w:r w:rsidR="007218CB" w:rsidRPr="007F6332">
        <w:rPr>
          <w:rFonts w:cs="Arial"/>
          <w:b/>
          <w:bCs/>
        </w:rPr>
        <w:t>.</w:t>
      </w:r>
      <w:r w:rsidRPr="007F6332">
        <w:rPr>
          <w:rFonts w:cs="Arial"/>
        </w:rPr>
        <w:t xml:space="preserve"> The new entrant rates for participants aged 15 and over for all disability types excluding those with autism, are decreased by 21.1%. This decrease in new entrant rates represents the 10th percentile of new entrant outcomes for the 2023-24 year derived from the </w:t>
      </w:r>
      <w:r w:rsidR="005B51E6" w:rsidRPr="007F6332">
        <w:rPr>
          <w:rFonts w:cs="Arial"/>
        </w:rPr>
        <w:t>S</w:t>
      </w:r>
      <w:r w:rsidRPr="007F6332">
        <w:rPr>
          <w:rFonts w:cs="Arial"/>
        </w:rPr>
        <w:t xml:space="preserve">tochastic </w:t>
      </w:r>
      <w:r w:rsidR="005B51E6" w:rsidRPr="007F6332">
        <w:rPr>
          <w:rFonts w:cs="Arial"/>
        </w:rPr>
        <w:t>M</w:t>
      </w:r>
      <w:r w:rsidRPr="007F6332">
        <w:rPr>
          <w:rFonts w:cs="Arial"/>
        </w:rPr>
        <w:t>odel. This reduces Scheme expenses by $0.7 billion in 2026-27 and $2.8 billion in 2032-33.</w:t>
      </w:r>
    </w:p>
    <w:p w14:paraId="18938B7E" w14:textId="77777777" w:rsidR="009351A2" w:rsidRPr="007F6332" w:rsidRDefault="009351A2" w:rsidP="00E81C0D">
      <w:pPr>
        <w:pStyle w:val="FSRlist"/>
        <w:numPr>
          <w:ilvl w:val="0"/>
          <w:numId w:val="0"/>
        </w:numPr>
        <w:ind w:left="720" w:hanging="360"/>
        <w:rPr>
          <w:rFonts w:cs="Arial"/>
        </w:rPr>
        <w:sectPr w:rsidR="009351A2" w:rsidRPr="007F6332" w:rsidSect="00CE7E91">
          <w:pgSz w:w="11906" w:h="16838"/>
          <w:pgMar w:top="1440" w:right="1416" w:bottom="1440" w:left="1440" w:header="708" w:footer="850" w:gutter="0"/>
          <w:cols w:space="708"/>
          <w:titlePg/>
          <w:docGrid w:linePitch="360"/>
        </w:sectPr>
      </w:pPr>
    </w:p>
    <w:p w14:paraId="6442F74D" w14:textId="180B3820" w:rsidR="00B042DF" w:rsidRPr="007F6332" w:rsidRDefault="00950565" w:rsidP="00945CBF">
      <w:pPr>
        <w:pStyle w:val="FiguresandTablesHeading5"/>
      </w:pPr>
      <w:r w:rsidRPr="007F6332">
        <w:lastRenderedPageBreak/>
        <w:t>Table 6.4</w:t>
      </w:r>
      <w:r w:rsidR="006739A1" w:rsidRPr="007F6332">
        <w:t xml:space="preserve">: </w:t>
      </w:r>
      <w:r w:rsidR="00B042DF" w:rsidRPr="007F6332">
        <w:t xml:space="preserve">Scenarios with higher and lower new entrant </w:t>
      </w:r>
      <w:r w:rsidR="006739A1" w:rsidRPr="007F6332">
        <w:t>rates</w:t>
      </w:r>
      <w:r w:rsidR="00B042DF" w:rsidRPr="007F6332">
        <w:t xml:space="preserve"> – Projected Scheme expenses and variance to the </w:t>
      </w:r>
      <w:r w:rsidR="006739A1" w:rsidRPr="007F6332">
        <w:t>June 2023 projections</w:t>
      </w:r>
    </w:p>
    <w:tbl>
      <w:tblPr>
        <w:tblW w:w="9356" w:type="dxa"/>
        <w:tblLayout w:type="fixed"/>
        <w:tblLook w:val="04A0" w:firstRow="1" w:lastRow="0" w:firstColumn="1" w:lastColumn="0" w:noHBand="0" w:noVBand="1"/>
      </w:tblPr>
      <w:tblGrid>
        <w:gridCol w:w="2539"/>
        <w:gridCol w:w="209"/>
        <w:gridCol w:w="938"/>
        <w:gridCol w:w="180"/>
        <w:gridCol w:w="954"/>
        <w:gridCol w:w="144"/>
        <w:gridCol w:w="990"/>
        <w:gridCol w:w="123"/>
        <w:gridCol w:w="1011"/>
        <w:gridCol w:w="98"/>
        <w:gridCol w:w="1036"/>
        <w:gridCol w:w="1134"/>
      </w:tblGrid>
      <w:tr w:rsidR="00F57A0C" w:rsidRPr="007F6332" w14:paraId="29DDFEA1" w14:textId="77777777" w:rsidTr="00F57A0C">
        <w:trPr>
          <w:trHeight w:val="260"/>
        </w:trPr>
        <w:tc>
          <w:tcPr>
            <w:tcW w:w="2748" w:type="dxa"/>
            <w:gridSpan w:val="2"/>
            <w:shd w:val="clear" w:color="000000" w:fill="6B2976"/>
            <w:noWrap/>
            <w:vAlign w:val="center"/>
            <w:hideMark/>
          </w:tcPr>
          <w:p w14:paraId="18D90013" w14:textId="77777777" w:rsidR="00B042DF" w:rsidRPr="007F6332" w:rsidRDefault="00B042DF" w:rsidP="00203953">
            <w:pPr>
              <w:rPr>
                <w:rFonts w:cs="Arial"/>
                <w:b/>
                <w:bCs/>
                <w:color w:val="FFFFFF"/>
              </w:rPr>
            </w:pPr>
            <w:r w:rsidRPr="007F6332">
              <w:rPr>
                <w:rFonts w:cs="Arial"/>
                <w:b/>
                <w:bCs/>
                <w:color w:val="FFFFFF"/>
              </w:rPr>
              <w:t> </w:t>
            </w:r>
          </w:p>
        </w:tc>
        <w:tc>
          <w:tcPr>
            <w:tcW w:w="1118" w:type="dxa"/>
            <w:gridSpan w:val="2"/>
            <w:shd w:val="clear" w:color="000000" w:fill="6B2976"/>
            <w:noWrap/>
            <w:vAlign w:val="center"/>
            <w:hideMark/>
          </w:tcPr>
          <w:p w14:paraId="57E49BD0" w14:textId="19EA6B38" w:rsidR="00B042DF" w:rsidRPr="007F6332" w:rsidRDefault="00B042DF" w:rsidP="00164534">
            <w:pPr>
              <w:spacing w:after="0"/>
              <w:jc w:val="center"/>
              <w:rPr>
                <w:rFonts w:cs="Arial"/>
                <w:b/>
                <w:bCs/>
                <w:color w:val="FFFFFF"/>
              </w:rPr>
            </w:pPr>
            <w:r w:rsidRPr="007F6332">
              <w:rPr>
                <w:rFonts w:cs="Arial"/>
                <w:b/>
                <w:bCs/>
                <w:color w:val="FFFFFF"/>
              </w:rPr>
              <w:t>2023-24</w:t>
            </w:r>
          </w:p>
        </w:tc>
        <w:tc>
          <w:tcPr>
            <w:tcW w:w="1098" w:type="dxa"/>
            <w:gridSpan w:val="2"/>
            <w:shd w:val="clear" w:color="000000" w:fill="6B2976"/>
            <w:noWrap/>
            <w:vAlign w:val="center"/>
            <w:hideMark/>
          </w:tcPr>
          <w:p w14:paraId="783A5C44" w14:textId="51200C66" w:rsidR="00B042DF" w:rsidRPr="007F6332" w:rsidRDefault="00B042DF" w:rsidP="00164534">
            <w:pPr>
              <w:spacing w:after="0"/>
              <w:ind w:hanging="15"/>
              <w:jc w:val="center"/>
              <w:rPr>
                <w:rFonts w:cs="Arial"/>
                <w:b/>
                <w:bCs/>
                <w:color w:val="FFFFFF"/>
              </w:rPr>
            </w:pPr>
            <w:r w:rsidRPr="007F6332">
              <w:rPr>
                <w:rFonts w:cs="Arial"/>
                <w:b/>
                <w:bCs/>
                <w:color w:val="FFFFFF"/>
              </w:rPr>
              <w:t>2024-25</w:t>
            </w:r>
          </w:p>
        </w:tc>
        <w:tc>
          <w:tcPr>
            <w:tcW w:w="1113" w:type="dxa"/>
            <w:gridSpan w:val="2"/>
            <w:shd w:val="clear" w:color="000000" w:fill="6B2976"/>
            <w:noWrap/>
            <w:vAlign w:val="center"/>
            <w:hideMark/>
          </w:tcPr>
          <w:p w14:paraId="71F29782" w14:textId="558882B7" w:rsidR="00B042DF" w:rsidRPr="007F6332" w:rsidRDefault="00B042DF" w:rsidP="00164534">
            <w:pPr>
              <w:spacing w:after="0"/>
              <w:jc w:val="center"/>
              <w:rPr>
                <w:rFonts w:cs="Arial"/>
                <w:b/>
                <w:bCs/>
                <w:color w:val="FFFFFF"/>
              </w:rPr>
            </w:pPr>
            <w:r w:rsidRPr="007F6332">
              <w:rPr>
                <w:rFonts w:cs="Arial"/>
                <w:b/>
                <w:bCs/>
                <w:color w:val="FFFFFF"/>
              </w:rPr>
              <w:t>2025-26</w:t>
            </w:r>
          </w:p>
        </w:tc>
        <w:tc>
          <w:tcPr>
            <w:tcW w:w="1109" w:type="dxa"/>
            <w:gridSpan w:val="2"/>
            <w:tcBorders>
              <w:right w:val="dashed" w:sz="4" w:space="0" w:color="auto"/>
            </w:tcBorders>
            <w:shd w:val="clear" w:color="000000" w:fill="6B2976"/>
            <w:noWrap/>
            <w:vAlign w:val="center"/>
            <w:hideMark/>
          </w:tcPr>
          <w:p w14:paraId="02AB4B58" w14:textId="1AEEEF3D" w:rsidR="00B042DF" w:rsidRPr="007F6332" w:rsidRDefault="00B042DF" w:rsidP="00164534">
            <w:pPr>
              <w:spacing w:after="0"/>
              <w:ind w:hanging="62"/>
              <w:jc w:val="center"/>
              <w:rPr>
                <w:rFonts w:cs="Arial"/>
                <w:b/>
                <w:bCs/>
                <w:color w:val="FFFFFF"/>
              </w:rPr>
            </w:pPr>
            <w:r w:rsidRPr="007F6332">
              <w:rPr>
                <w:rFonts w:cs="Arial"/>
                <w:b/>
                <w:bCs/>
                <w:color w:val="FFFFFF"/>
              </w:rPr>
              <w:t>2026-27</w:t>
            </w:r>
          </w:p>
        </w:tc>
        <w:tc>
          <w:tcPr>
            <w:tcW w:w="1036" w:type="dxa"/>
            <w:tcBorders>
              <w:left w:val="dashed" w:sz="4" w:space="0" w:color="auto"/>
              <w:right w:val="single" w:sz="4" w:space="0" w:color="auto"/>
            </w:tcBorders>
            <w:shd w:val="clear" w:color="000000" w:fill="6B2976"/>
            <w:noWrap/>
            <w:vAlign w:val="center"/>
            <w:hideMark/>
          </w:tcPr>
          <w:p w14:paraId="00761EDA" w14:textId="277F7A94" w:rsidR="00B042DF" w:rsidRPr="007F6332" w:rsidRDefault="00B042DF" w:rsidP="00164534">
            <w:pPr>
              <w:spacing w:after="0"/>
              <w:jc w:val="center"/>
              <w:rPr>
                <w:rFonts w:cs="Arial"/>
                <w:b/>
                <w:bCs/>
                <w:color w:val="FFFFFF"/>
              </w:rPr>
            </w:pPr>
            <w:r w:rsidRPr="007F6332">
              <w:rPr>
                <w:rFonts w:cs="Arial"/>
                <w:b/>
                <w:bCs/>
                <w:color w:val="FFFFFF"/>
              </w:rPr>
              <w:t>2032-33</w:t>
            </w:r>
          </w:p>
        </w:tc>
        <w:tc>
          <w:tcPr>
            <w:tcW w:w="1134" w:type="dxa"/>
            <w:tcBorders>
              <w:left w:val="single" w:sz="4" w:space="0" w:color="auto"/>
            </w:tcBorders>
            <w:shd w:val="clear" w:color="000000" w:fill="6B2976"/>
            <w:noWrap/>
            <w:vAlign w:val="center"/>
            <w:hideMark/>
          </w:tcPr>
          <w:p w14:paraId="4E8A474C" w14:textId="1CCF8268" w:rsidR="00B042DF" w:rsidRPr="007F6332" w:rsidRDefault="006739A1" w:rsidP="00164534">
            <w:pPr>
              <w:spacing w:after="0"/>
              <w:ind w:left="-85" w:firstLine="183"/>
              <w:jc w:val="center"/>
              <w:rPr>
                <w:rFonts w:cs="Arial"/>
                <w:b/>
                <w:bCs/>
                <w:color w:val="FFFFFF"/>
              </w:rPr>
            </w:pPr>
            <w:r w:rsidRPr="007F6332">
              <w:rPr>
                <w:rFonts w:cs="Arial"/>
                <w:b/>
                <w:bCs/>
                <w:color w:val="FFFFFF"/>
              </w:rPr>
              <w:t xml:space="preserve">Total </w:t>
            </w:r>
            <w:r w:rsidR="00B042DF" w:rsidRPr="007F6332">
              <w:rPr>
                <w:rFonts w:cs="Arial"/>
                <w:b/>
                <w:bCs/>
                <w:color w:val="FFFFFF"/>
              </w:rPr>
              <w:t>2023-27</w:t>
            </w:r>
          </w:p>
        </w:tc>
      </w:tr>
      <w:tr w:rsidR="00F57A0C" w:rsidRPr="007F6332" w14:paraId="1B496D37" w14:textId="77777777" w:rsidTr="00F57A0C">
        <w:trPr>
          <w:trHeight w:val="340"/>
        </w:trPr>
        <w:tc>
          <w:tcPr>
            <w:tcW w:w="2539" w:type="dxa"/>
            <w:shd w:val="clear" w:color="auto" w:fill="auto"/>
            <w:vAlign w:val="center"/>
            <w:hideMark/>
          </w:tcPr>
          <w:p w14:paraId="0186C751" w14:textId="77777777" w:rsidR="00E154C4" w:rsidRPr="007F6332" w:rsidRDefault="00B042DF" w:rsidP="00D8325F">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 xml:space="preserve">Baseline: </w:t>
            </w:r>
          </w:p>
          <w:p w14:paraId="447E2CEC" w14:textId="754023DB" w:rsidR="00B042DF" w:rsidRPr="007F6332" w:rsidRDefault="006739A1" w:rsidP="00E154C4">
            <w:pPr>
              <w:spacing w:after="0" w:line="240" w:lineRule="auto"/>
              <w:ind w:right="-211"/>
              <w:rPr>
                <w:rFonts w:eastAsia="Times New Roman" w:cs="Arial"/>
                <w:color w:val="000000"/>
                <w:sz w:val="20"/>
                <w:szCs w:val="20"/>
                <w:lang w:eastAsia="en-AU"/>
              </w:rPr>
            </w:pPr>
            <w:r w:rsidRPr="007F6332">
              <w:rPr>
                <w:rFonts w:eastAsia="Times New Roman" w:cs="Arial"/>
                <w:color w:val="000000"/>
                <w:sz w:val="20"/>
                <w:szCs w:val="20"/>
                <w:lang w:eastAsia="en-AU"/>
              </w:rPr>
              <w:t>June 2023 projections</w:t>
            </w:r>
            <w:r w:rsidR="00E154C4" w:rsidRPr="007F6332">
              <w:rPr>
                <w:rFonts w:eastAsia="Times New Roman" w:cs="Arial"/>
                <w:color w:val="000000"/>
                <w:sz w:val="20"/>
                <w:szCs w:val="20"/>
                <w:lang w:eastAsia="en-AU"/>
              </w:rPr>
              <w:t xml:space="preserve"> </w:t>
            </w:r>
            <w:r w:rsidR="00B042DF" w:rsidRPr="007F6332">
              <w:rPr>
                <w:rFonts w:eastAsia="Times New Roman" w:cs="Arial"/>
                <w:color w:val="000000"/>
                <w:sz w:val="20"/>
                <w:szCs w:val="20"/>
                <w:lang w:eastAsia="en-AU"/>
              </w:rPr>
              <w:t>($m)</w:t>
            </w:r>
          </w:p>
        </w:tc>
        <w:tc>
          <w:tcPr>
            <w:tcW w:w="1147" w:type="dxa"/>
            <w:gridSpan w:val="2"/>
            <w:shd w:val="clear" w:color="auto" w:fill="auto"/>
            <w:noWrap/>
            <w:vAlign w:val="center"/>
            <w:hideMark/>
          </w:tcPr>
          <w:p w14:paraId="378E29AF"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41,360</w:t>
            </w:r>
          </w:p>
        </w:tc>
        <w:tc>
          <w:tcPr>
            <w:tcW w:w="1134" w:type="dxa"/>
            <w:gridSpan w:val="2"/>
            <w:shd w:val="clear" w:color="auto" w:fill="auto"/>
            <w:noWrap/>
            <w:vAlign w:val="center"/>
            <w:hideMark/>
          </w:tcPr>
          <w:p w14:paraId="63E1F125"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46,376</w:t>
            </w:r>
          </w:p>
        </w:tc>
        <w:tc>
          <w:tcPr>
            <w:tcW w:w="1134" w:type="dxa"/>
            <w:gridSpan w:val="2"/>
            <w:shd w:val="clear" w:color="auto" w:fill="auto"/>
            <w:noWrap/>
            <w:vAlign w:val="center"/>
            <w:hideMark/>
          </w:tcPr>
          <w:p w14:paraId="6DECF8B9"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50,788</w:t>
            </w:r>
          </w:p>
        </w:tc>
        <w:tc>
          <w:tcPr>
            <w:tcW w:w="1134" w:type="dxa"/>
            <w:gridSpan w:val="2"/>
            <w:tcBorders>
              <w:right w:val="dashed" w:sz="4" w:space="0" w:color="auto"/>
            </w:tcBorders>
            <w:shd w:val="clear" w:color="auto" w:fill="auto"/>
            <w:noWrap/>
            <w:vAlign w:val="center"/>
            <w:hideMark/>
          </w:tcPr>
          <w:p w14:paraId="370EBAB5"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55,207</w:t>
            </w:r>
          </w:p>
        </w:tc>
        <w:tc>
          <w:tcPr>
            <w:tcW w:w="1134" w:type="dxa"/>
            <w:gridSpan w:val="2"/>
            <w:tcBorders>
              <w:left w:val="dashed" w:sz="4" w:space="0" w:color="auto"/>
              <w:right w:val="single" w:sz="4" w:space="0" w:color="auto"/>
            </w:tcBorders>
            <w:shd w:val="clear" w:color="auto" w:fill="auto"/>
            <w:noWrap/>
            <w:vAlign w:val="center"/>
            <w:hideMark/>
          </w:tcPr>
          <w:p w14:paraId="4B1D8200"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92,341</w:t>
            </w:r>
          </w:p>
        </w:tc>
        <w:tc>
          <w:tcPr>
            <w:tcW w:w="1134" w:type="dxa"/>
            <w:tcBorders>
              <w:left w:val="single" w:sz="4" w:space="0" w:color="auto"/>
            </w:tcBorders>
            <w:shd w:val="clear" w:color="auto" w:fill="auto"/>
            <w:noWrap/>
            <w:vAlign w:val="center"/>
            <w:hideMark/>
          </w:tcPr>
          <w:p w14:paraId="46112872"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193,731</w:t>
            </w:r>
          </w:p>
        </w:tc>
      </w:tr>
      <w:tr w:rsidR="00F57A0C" w:rsidRPr="007F6332" w14:paraId="0531BE90" w14:textId="77777777" w:rsidTr="00F57A0C">
        <w:trPr>
          <w:trHeight w:val="340"/>
        </w:trPr>
        <w:tc>
          <w:tcPr>
            <w:tcW w:w="9356" w:type="dxa"/>
            <w:gridSpan w:val="12"/>
            <w:shd w:val="clear" w:color="000000" w:fill="B398B8"/>
            <w:noWrap/>
            <w:vAlign w:val="center"/>
            <w:hideMark/>
          </w:tcPr>
          <w:p w14:paraId="6AEF9B9D" w14:textId="30CD094A" w:rsidR="00B042DF" w:rsidRPr="007F6332" w:rsidRDefault="00B042DF" w:rsidP="00F57A0C">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Scenario 1: Higher rate of new entrants aged 0 to 14 with developmental delay or autism</w:t>
            </w:r>
          </w:p>
        </w:tc>
      </w:tr>
      <w:tr w:rsidR="00F57A0C" w:rsidRPr="007F6332" w14:paraId="55BEFDAC" w14:textId="77777777" w:rsidTr="00F57A0C">
        <w:trPr>
          <w:trHeight w:val="340"/>
        </w:trPr>
        <w:tc>
          <w:tcPr>
            <w:tcW w:w="2539" w:type="dxa"/>
            <w:shd w:val="clear" w:color="auto" w:fill="auto"/>
            <w:noWrap/>
            <w:vAlign w:val="center"/>
            <w:hideMark/>
          </w:tcPr>
          <w:p w14:paraId="60685CC6" w14:textId="77777777" w:rsidR="00B042DF" w:rsidRPr="007F6332" w:rsidRDefault="00B042DF" w:rsidP="00D8325F">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Scheme expenses ($m)</w:t>
            </w:r>
          </w:p>
        </w:tc>
        <w:tc>
          <w:tcPr>
            <w:tcW w:w="1147" w:type="dxa"/>
            <w:gridSpan w:val="2"/>
            <w:shd w:val="clear" w:color="auto" w:fill="auto"/>
            <w:noWrap/>
            <w:vAlign w:val="center"/>
            <w:hideMark/>
          </w:tcPr>
          <w:p w14:paraId="1EBBF631"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41,374</w:t>
            </w:r>
          </w:p>
        </w:tc>
        <w:tc>
          <w:tcPr>
            <w:tcW w:w="1134" w:type="dxa"/>
            <w:gridSpan w:val="2"/>
            <w:shd w:val="clear" w:color="auto" w:fill="auto"/>
            <w:noWrap/>
            <w:vAlign w:val="center"/>
            <w:hideMark/>
          </w:tcPr>
          <w:p w14:paraId="2BE07C9C"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46,460</w:t>
            </w:r>
          </w:p>
        </w:tc>
        <w:tc>
          <w:tcPr>
            <w:tcW w:w="1134" w:type="dxa"/>
            <w:gridSpan w:val="2"/>
            <w:shd w:val="clear" w:color="auto" w:fill="auto"/>
            <w:noWrap/>
            <w:vAlign w:val="center"/>
            <w:hideMark/>
          </w:tcPr>
          <w:p w14:paraId="5E193919"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51,016</w:t>
            </w:r>
          </w:p>
        </w:tc>
        <w:tc>
          <w:tcPr>
            <w:tcW w:w="1134" w:type="dxa"/>
            <w:gridSpan w:val="2"/>
            <w:tcBorders>
              <w:right w:val="dashed" w:sz="4" w:space="0" w:color="auto"/>
            </w:tcBorders>
            <w:shd w:val="clear" w:color="auto" w:fill="auto"/>
            <w:noWrap/>
            <w:vAlign w:val="center"/>
            <w:hideMark/>
          </w:tcPr>
          <w:p w14:paraId="08B0586A"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55,622</w:t>
            </w:r>
          </w:p>
        </w:tc>
        <w:tc>
          <w:tcPr>
            <w:tcW w:w="1134" w:type="dxa"/>
            <w:gridSpan w:val="2"/>
            <w:tcBorders>
              <w:left w:val="dashed" w:sz="4" w:space="0" w:color="auto"/>
              <w:right w:val="single" w:sz="4" w:space="0" w:color="auto"/>
            </w:tcBorders>
            <w:shd w:val="clear" w:color="auto" w:fill="auto"/>
            <w:noWrap/>
            <w:vAlign w:val="center"/>
            <w:hideMark/>
          </w:tcPr>
          <w:p w14:paraId="703C964C"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94,233</w:t>
            </w:r>
          </w:p>
        </w:tc>
        <w:tc>
          <w:tcPr>
            <w:tcW w:w="1134" w:type="dxa"/>
            <w:tcBorders>
              <w:left w:val="single" w:sz="4" w:space="0" w:color="auto"/>
            </w:tcBorders>
            <w:shd w:val="clear" w:color="auto" w:fill="auto"/>
            <w:noWrap/>
            <w:vAlign w:val="center"/>
            <w:hideMark/>
          </w:tcPr>
          <w:p w14:paraId="5F5EDFDD"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194,471</w:t>
            </w:r>
          </w:p>
        </w:tc>
      </w:tr>
      <w:tr w:rsidR="00F57A0C" w:rsidRPr="007F6332" w14:paraId="6983188B" w14:textId="77777777" w:rsidTr="00F57A0C">
        <w:trPr>
          <w:trHeight w:val="340"/>
        </w:trPr>
        <w:tc>
          <w:tcPr>
            <w:tcW w:w="2539" w:type="dxa"/>
            <w:shd w:val="clear" w:color="auto" w:fill="D1D3D4"/>
            <w:noWrap/>
            <w:vAlign w:val="center"/>
            <w:hideMark/>
          </w:tcPr>
          <w:p w14:paraId="1B1687E7" w14:textId="77777777" w:rsidR="00B042DF" w:rsidRPr="007F6332" w:rsidRDefault="00B042DF" w:rsidP="00203953">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Variance to baseline ($m)</w:t>
            </w:r>
          </w:p>
        </w:tc>
        <w:tc>
          <w:tcPr>
            <w:tcW w:w="1147" w:type="dxa"/>
            <w:gridSpan w:val="2"/>
            <w:shd w:val="clear" w:color="auto" w:fill="D1D3D4"/>
            <w:noWrap/>
            <w:vAlign w:val="center"/>
            <w:hideMark/>
          </w:tcPr>
          <w:p w14:paraId="4A686948"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14</w:t>
            </w:r>
          </w:p>
        </w:tc>
        <w:tc>
          <w:tcPr>
            <w:tcW w:w="1134" w:type="dxa"/>
            <w:gridSpan w:val="2"/>
            <w:shd w:val="clear" w:color="auto" w:fill="D1D3D4"/>
            <w:noWrap/>
            <w:vAlign w:val="center"/>
            <w:hideMark/>
          </w:tcPr>
          <w:p w14:paraId="229BCA1F"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84</w:t>
            </w:r>
          </w:p>
        </w:tc>
        <w:tc>
          <w:tcPr>
            <w:tcW w:w="1134" w:type="dxa"/>
            <w:gridSpan w:val="2"/>
            <w:shd w:val="clear" w:color="auto" w:fill="D1D3D4"/>
            <w:noWrap/>
            <w:vAlign w:val="center"/>
            <w:hideMark/>
          </w:tcPr>
          <w:p w14:paraId="4DA5CE5E"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228</w:t>
            </w:r>
          </w:p>
        </w:tc>
        <w:tc>
          <w:tcPr>
            <w:tcW w:w="1134" w:type="dxa"/>
            <w:gridSpan w:val="2"/>
            <w:tcBorders>
              <w:right w:val="dashed" w:sz="4" w:space="0" w:color="auto"/>
            </w:tcBorders>
            <w:shd w:val="clear" w:color="auto" w:fill="D1D3D4"/>
            <w:noWrap/>
            <w:vAlign w:val="center"/>
            <w:hideMark/>
          </w:tcPr>
          <w:p w14:paraId="6CEAD472"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414</w:t>
            </w:r>
          </w:p>
        </w:tc>
        <w:tc>
          <w:tcPr>
            <w:tcW w:w="1134" w:type="dxa"/>
            <w:gridSpan w:val="2"/>
            <w:tcBorders>
              <w:left w:val="dashed" w:sz="4" w:space="0" w:color="auto"/>
              <w:right w:val="single" w:sz="4" w:space="0" w:color="auto"/>
            </w:tcBorders>
            <w:shd w:val="clear" w:color="auto" w:fill="D1D3D4"/>
            <w:noWrap/>
            <w:vAlign w:val="center"/>
            <w:hideMark/>
          </w:tcPr>
          <w:p w14:paraId="07E513A0"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1,892</w:t>
            </w:r>
          </w:p>
        </w:tc>
        <w:tc>
          <w:tcPr>
            <w:tcW w:w="1134" w:type="dxa"/>
            <w:tcBorders>
              <w:left w:val="single" w:sz="4" w:space="0" w:color="auto"/>
            </w:tcBorders>
            <w:shd w:val="clear" w:color="auto" w:fill="D1D3D4"/>
            <w:noWrap/>
            <w:vAlign w:val="center"/>
            <w:hideMark/>
          </w:tcPr>
          <w:p w14:paraId="7A2E9E7D"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741</w:t>
            </w:r>
          </w:p>
        </w:tc>
      </w:tr>
      <w:tr w:rsidR="00F57A0C" w:rsidRPr="007F6332" w14:paraId="32AB1C8C" w14:textId="77777777" w:rsidTr="00F57A0C">
        <w:trPr>
          <w:trHeight w:val="340"/>
        </w:trPr>
        <w:tc>
          <w:tcPr>
            <w:tcW w:w="2539" w:type="dxa"/>
            <w:shd w:val="clear" w:color="auto" w:fill="A7A9AC"/>
            <w:noWrap/>
            <w:vAlign w:val="center"/>
            <w:hideMark/>
          </w:tcPr>
          <w:p w14:paraId="65518581" w14:textId="77777777" w:rsidR="00B042DF" w:rsidRPr="007F6332" w:rsidRDefault="00B042DF" w:rsidP="00203953">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Variance to baseline (%)</w:t>
            </w:r>
          </w:p>
        </w:tc>
        <w:tc>
          <w:tcPr>
            <w:tcW w:w="1147" w:type="dxa"/>
            <w:gridSpan w:val="2"/>
            <w:shd w:val="clear" w:color="auto" w:fill="A7A9AC"/>
            <w:noWrap/>
            <w:vAlign w:val="center"/>
            <w:hideMark/>
          </w:tcPr>
          <w:p w14:paraId="037B8D1E"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0.03%</w:t>
            </w:r>
          </w:p>
        </w:tc>
        <w:tc>
          <w:tcPr>
            <w:tcW w:w="1134" w:type="dxa"/>
            <w:gridSpan w:val="2"/>
            <w:shd w:val="clear" w:color="auto" w:fill="A7A9AC"/>
            <w:noWrap/>
            <w:vAlign w:val="center"/>
            <w:hideMark/>
          </w:tcPr>
          <w:p w14:paraId="35E176EA"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0.2%</w:t>
            </w:r>
          </w:p>
        </w:tc>
        <w:tc>
          <w:tcPr>
            <w:tcW w:w="1134" w:type="dxa"/>
            <w:gridSpan w:val="2"/>
            <w:shd w:val="clear" w:color="auto" w:fill="A7A9AC"/>
            <w:noWrap/>
            <w:vAlign w:val="center"/>
            <w:hideMark/>
          </w:tcPr>
          <w:p w14:paraId="259BBFA2"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0.4%</w:t>
            </w:r>
          </w:p>
        </w:tc>
        <w:tc>
          <w:tcPr>
            <w:tcW w:w="1134" w:type="dxa"/>
            <w:gridSpan w:val="2"/>
            <w:tcBorders>
              <w:right w:val="dashed" w:sz="4" w:space="0" w:color="auto"/>
            </w:tcBorders>
            <w:shd w:val="clear" w:color="auto" w:fill="A7A9AC"/>
            <w:noWrap/>
            <w:vAlign w:val="center"/>
            <w:hideMark/>
          </w:tcPr>
          <w:p w14:paraId="63136E69"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1134" w:type="dxa"/>
            <w:gridSpan w:val="2"/>
            <w:tcBorders>
              <w:left w:val="dashed" w:sz="4" w:space="0" w:color="auto"/>
              <w:right w:val="single" w:sz="4" w:space="0" w:color="auto"/>
            </w:tcBorders>
            <w:shd w:val="clear" w:color="auto" w:fill="A7A9AC"/>
            <w:noWrap/>
            <w:vAlign w:val="center"/>
            <w:hideMark/>
          </w:tcPr>
          <w:p w14:paraId="7B7F93B3"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2%</w:t>
            </w:r>
          </w:p>
        </w:tc>
        <w:tc>
          <w:tcPr>
            <w:tcW w:w="1134" w:type="dxa"/>
            <w:tcBorders>
              <w:left w:val="single" w:sz="4" w:space="0" w:color="auto"/>
            </w:tcBorders>
            <w:shd w:val="clear" w:color="auto" w:fill="A7A9AC"/>
            <w:noWrap/>
            <w:vAlign w:val="center"/>
            <w:hideMark/>
          </w:tcPr>
          <w:p w14:paraId="685226E5"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0.4%</w:t>
            </w:r>
          </w:p>
        </w:tc>
      </w:tr>
      <w:tr w:rsidR="00F57A0C" w:rsidRPr="007F6332" w14:paraId="72EA9B48" w14:textId="77777777" w:rsidTr="00F57A0C">
        <w:trPr>
          <w:trHeight w:val="340"/>
        </w:trPr>
        <w:tc>
          <w:tcPr>
            <w:tcW w:w="9356" w:type="dxa"/>
            <w:gridSpan w:val="12"/>
            <w:shd w:val="clear" w:color="000000" w:fill="B398B8"/>
            <w:noWrap/>
            <w:vAlign w:val="center"/>
            <w:hideMark/>
          </w:tcPr>
          <w:p w14:paraId="22F6D8DF" w14:textId="04520D8B" w:rsidR="00B37B2B" w:rsidRPr="007F6332" w:rsidRDefault="00B37B2B" w:rsidP="00F57A0C">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Scenario 2: Higher rate of new entrants aged 15 and over with autism</w:t>
            </w:r>
          </w:p>
        </w:tc>
      </w:tr>
      <w:tr w:rsidR="00F57A0C" w:rsidRPr="007F6332" w14:paraId="2464D469" w14:textId="77777777" w:rsidTr="00F57A0C">
        <w:trPr>
          <w:trHeight w:val="340"/>
        </w:trPr>
        <w:tc>
          <w:tcPr>
            <w:tcW w:w="2539" w:type="dxa"/>
            <w:shd w:val="clear" w:color="auto" w:fill="auto"/>
            <w:noWrap/>
            <w:vAlign w:val="center"/>
            <w:hideMark/>
          </w:tcPr>
          <w:p w14:paraId="2D5402CE" w14:textId="77777777" w:rsidR="00B042DF" w:rsidRPr="007F6332" w:rsidRDefault="00B042DF" w:rsidP="00D8325F">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Scheme expenses ($m)</w:t>
            </w:r>
          </w:p>
        </w:tc>
        <w:tc>
          <w:tcPr>
            <w:tcW w:w="1147" w:type="dxa"/>
            <w:gridSpan w:val="2"/>
            <w:shd w:val="clear" w:color="auto" w:fill="auto"/>
            <w:noWrap/>
            <w:vAlign w:val="center"/>
            <w:hideMark/>
          </w:tcPr>
          <w:p w14:paraId="0AFC772D"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41,364</w:t>
            </w:r>
          </w:p>
        </w:tc>
        <w:tc>
          <w:tcPr>
            <w:tcW w:w="1134" w:type="dxa"/>
            <w:gridSpan w:val="2"/>
            <w:shd w:val="clear" w:color="auto" w:fill="auto"/>
            <w:noWrap/>
            <w:vAlign w:val="center"/>
            <w:hideMark/>
          </w:tcPr>
          <w:p w14:paraId="1274A0C3"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46,416</w:t>
            </w:r>
          </w:p>
        </w:tc>
        <w:tc>
          <w:tcPr>
            <w:tcW w:w="1134" w:type="dxa"/>
            <w:gridSpan w:val="2"/>
            <w:shd w:val="clear" w:color="auto" w:fill="auto"/>
            <w:noWrap/>
            <w:vAlign w:val="center"/>
            <w:hideMark/>
          </w:tcPr>
          <w:p w14:paraId="1F48212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50,928</w:t>
            </w:r>
          </w:p>
        </w:tc>
        <w:tc>
          <w:tcPr>
            <w:tcW w:w="1134" w:type="dxa"/>
            <w:gridSpan w:val="2"/>
            <w:tcBorders>
              <w:right w:val="dashed" w:sz="4" w:space="0" w:color="auto"/>
            </w:tcBorders>
            <w:shd w:val="clear" w:color="auto" w:fill="auto"/>
            <w:noWrap/>
            <w:vAlign w:val="center"/>
            <w:hideMark/>
          </w:tcPr>
          <w:p w14:paraId="2D2C6D2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55,520</w:t>
            </w:r>
          </w:p>
        </w:tc>
        <w:tc>
          <w:tcPr>
            <w:tcW w:w="1134" w:type="dxa"/>
            <w:gridSpan w:val="2"/>
            <w:tcBorders>
              <w:left w:val="dashed" w:sz="4" w:space="0" w:color="auto"/>
              <w:right w:val="single" w:sz="4" w:space="0" w:color="auto"/>
            </w:tcBorders>
            <w:shd w:val="clear" w:color="auto" w:fill="auto"/>
            <w:noWrap/>
            <w:vAlign w:val="center"/>
            <w:hideMark/>
          </w:tcPr>
          <w:p w14:paraId="1C640314"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95,559</w:t>
            </w:r>
          </w:p>
        </w:tc>
        <w:tc>
          <w:tcPr>
            <w:tcW w:w="1134" w:type="dxa"/>
            <w:tcBorders>
              <w:left w:val="single" w:sz="4" w:space="0" w:color="auto"/>
            </w:tcBorders>
            <w:shd w:val="clear" w:color="auto" w:fill="auto"/>
            <w:noWrap/>
            <w:vAlign w:val="center"/>
            <w:hideMark/>
          </w:tcPr>
          <w:p w14:paraId="43D6D98D"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194,228</w:t>
            </w:r>
          </w:p>
        </w:tc>
      </w:tr>
      <w:tr w:rsidR="00F57A0C" w:rsidRPr="007F6332" w14:paraId="2B9E0EA2" w14:textId="77777777" w:rsidTr="00F57A0C">
        <w:trPr>
          <w:trHeight w:val="340"/>
        </w:trPr>
        <w:tc>
          <w:tcPr>
            <w:tcW w:w="2539" w:type="dxa"/>
            <w:shd w:val="clear" w:color="auto" w:fill="D1D3D4"/>
            <w:noWrap/>
            <w:vAlign w:val="center"/>
            <w:hideMark/>
          </w:tcPr>
          <w:p w14:paraId="4B357FFC" w14:textId="77777777" w:rsidR="00B042DF" w:rsidRPr="007F6332" w:rsidRDefault="00B042DF" w:rsidP="00203953">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Variance to baseline ($m)</w:t>
            </w:r>
          </w:p>
        </w:tc>
        <w:tc>
          <w:tcPr>
            <w:tcW w:w="1147" w:type="dxa"/>
            <w:gridSpan w:val="2"/>
            <w:shd w:val="clear" w:color="auto" w:fill="D1D3D4"/>
            <w:noWrap/>
            <w:vAlign w:val="center"/>
            <w:hideMark/>
          </w:tcPr>
          <w:p w14:paraId="5E7BB718"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w:t>
            </w:r>
          </w:p>
        </w:tc>
        <w:tc>
          <w:tcPr>
            <w:tcW w:w="1134" w:type="dxa"/>
            <w:gridSpan w:val="2"/>
            <w:shd w:val="clear" w:color="auto" w:fill="D1D3D4"/>
            <w:noWrap/>
            <w:vAlign w:val="center"/>
            <w:hideMark/>
          </w:tcPr>
          <w:p w14:paraId="4B2BF7AC"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41</w:t>
            </w:r>
          </w:p>
        </w:tc>
        <w:tc>
          <w:tcPr>
            <w:tcW w:w="1134" w:type="dxa"/>
            <w:gridSpan w:val="2"/>
            <w:shd w:val="clear" w:color="auto" w:fill="D1D3D4"/>
            <w:noWrap/>
            <w:vAlign w:val="center"/>
            <w:hideMark/>
          </w:tcPr>
          <w:p w14:paraId="70C96729"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140</w:t>
            </w:r>
          </w:p>
        </w:tc>
        <w:tc>
          <w:tcPr>
            <w:tcW w:w="1134" w:type="dxa"/>
            <w:gridSpan w:val="2"/>
            <w:tcBorders>
              <w:right w:val="dashed" w:sz="4" w:space="0" w:color="auto"/>
            </w:tcBorders>
            <w:shd w:val="clear" w:color="auto" w:fill="D1D3D4"/>
            <w:noWrap/>
            <w:vAlign w:val="center"/>
            <w:hideMark/>
          </w:tcPr>
          <w:p w14:paraId="79877C63"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313</w:t>
            </w:r>
          </w:p>
        </w:tc>
        <w:tc>
          <w:tcPr>
            <w:tcW w:w="1134" w:type="dxa"/>
            <w:gridSpan w:val="2"/>
            <w:tcBorders>
              <w:left w:val="dashed" w:sz="4" w:space="0" w:color="auto"/>
              <w:right w:val="single" w:sz="4" w:space="0" w:color="auto"/>
            </w:tcBorders>
            <w:shd w:val="clear" w:color="auto" w:fill="D1D3D4"/>
            <w:noWrap/>
            <w:vAlign w:val="center"/>
            <w:hideMark/>
          </w:tcPr>
          <w:p w14:paraId="5DBBE2C4"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3,218</w:t>
            </w:r>
          </w:p>
        </w:tc>
        <w:tc>
          <w:tcPr>
            <w:tcW w:w="1134" w:type="dxa"/>
            <w:tcBorders>
              <w:left w:val="single" w:sz="4" w:space="0" w:color="auto"/>
            </w:tcBorders>
            <w:shd w:val="clear" w:color="auto" w:fill="D1D3D4"/>
            <w:noWrap/>
            <w:vAlign w:val="center"/>
            <w:hideMark/>
          </w:tcPr>
          <w:p w14:paraId="0BF75C5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498</w:t>
            </w:r>
          </w:p>
        </w:tc>
      </w:tr>
      <w:tr w:rsidR="00F57A0C" w:rsidRPr="007F6332" w14:paraId="0A607400" w14:textId="77777777" w:rsidTr="00F57A0C">
        <w:trPr>
          <w:trHeight w:val="340"/>
        </w:trPr>
        <w:tc>
          <w:tcPr>
            <w:tcW w:w="2539" w:type="dxa"/>
            <w:shd w:val="clear" w:color="auto" w:fill="A7A9AC"/>
            <w:noWrap/>
            <w:vAlign w:val="center"/>
            <w:hideMark/>
          </w:tcPr>
          <w:p w14:paraId="69A429F3" w14:textId="77777777" w:rsidR="00B042DF" w:rsidRPr="007F6332" w:rsidRDefault="00B042DF" w:rsidP="00203953">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Variance to baseline (%)</w:t>
            </w:r>
          </w:p>
        </w:tc>
        <w:tc>
          <w:tcPr>
            <w:tcW w:w="1147" w:type="dxa"/>
            <w:gridSpan w:val="2"/>
            <w:shd w:val="clear" w:color="auto" w:fill="A7A9AC"/>
            <w:noWrap/>
            <w:vAlign w:val="center"/>
            <w:hideMark/>
          </w:tcPr>
          <w:p w14:paraId="59EA4BF5"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0.01%</w:t>
            </w:r>
          </w:p>
        </w:tc>
        <w:tc>
          <w:tcPr>
            <w:tcW w:w="1134" w:type="dxa"/>
            <w:gridSpan w:val="2"/>
            <w:shd w:val="clear" w:color="auto" w:fill="A7A9AC"/>
            <w:noWrap/>
            <w:vAlign w:val="center"/>
            <w:hideMark/>
          </w:tcPr>
          <w:p w14:paraId="0C70D970"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0.1%</w:t>
            </w:r>
          </w:p>
        </w:tc>
        <w:tc>
          <w:tcPr>
            <w:tcW w:w="1134" w:type="dxa"/>
            <w:gridSpan w:val="2"/>
            <w:shd w:val="clear" w:color="auto" w:fill="A7A9AC"/>
            <w:noWrap/>
            <w:vAlign w:val="center"/>
            <w:hideMark/>
          </w:tcPr>
          <w:p w14:paraId="6052529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0.3%</w:t>
            </w:r>
          </w:p>
        </w:tc>
        <w:tc>
          <w:tcPr>
            <w:tcW w:w="1134" w:type="dxa"/>
            <w:gridSpan w:val="2"/>
            <w:tcBorders>
              <w:right w:val="dashed" w:sz="4" w:space="0" w:color="auto"/>
            </w:tcBorders>
            <w:shd w:val="clear" w:color="auto" w:fill="A7A9AC"/>
            <w:noWrap/>
            <w:vAlign w:val="center"/>
            <w:hideMark/>
          </w:tcPr>
          <w:p w14:paraId="51372779"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1134" w:type="dxa"/>
            <w:gridSpan w:val="2"/>
            <w:tcBorders>
              <w:left w:val="dashed" w:sz="4" w:space="0" w:color="auto"/>
              <w:right w:val="single" w:sz="4" w:space="0" w:color="auto"/>
            </w:tcBorders>
            <w:shd w:val="clear" w:color="auto" w:fill="A7A9AC"/>
            <w:noWrap/>
            <w:vAlign w:val="center"/>
            <w:hideMark/>
          </w:tcPr>
          <w:p w14:paraId="4BF224C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3%</w:t>
            </w:r>
          </w:p>
        </w:tc>
        <w:tc>
          <w:tcPr>
            <w:tcW w:w="1134" w:type="dxa"/>
            <w:tcBorders>
              <w:left w:val="single" w:sz="4" w:space="0" w:color="auto"/>
            </w:tcBorders>
            <w:shd w:val="clear" w:color="auto" w:fill="A7A9AC"/>
            <w:noWrap/>
            <w:vAlign w:val="center"/>
            <w:hideMark/>
          </w:tcPr>
          <w:p w14:paraId="2379954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0.3%</w:t>
            </w:r>
          </w:p>
        </w:tc>
      </w:tr>
      <w:tr w:rsidR="00F57A0C" w:rsidRPr="007F6332" w14:paraId="3B2B5848" w14:textId="77777777" w:rsidTr="00F57A0C">
        <w:trPr>
          <w:trHeight w:val="340"/>
        </w:trPr>
        <w:tc>
          <w:tcPr>
            <w:tcW w:w="9356" w:type="dxa"/>
            <w:gridSpan w:val="12"/>
            <w:shd w:val="clear" w:color="000000" w:fill="B398B8"/>
            <w:noWrap/>
            <w:vAlign w:val="center"/>
            <w:hideMark/>
          </w:tcPr>
          <w:p w14:paraId="314EE81C" w14:textId="77777777" w:rsidR="00B042DF" w:rsidRPr="007F6332" w:rsidRDefault="00B042DF" w:rsidP="00F57A0C">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Scenario 3: Higher rate of new entrants aged 15 and over, excluding those with autism</w:t>
            </w:r>
          </w:p>
        </w:tc>
      </w:tr>
      <w:tr w:rsidR="00F57A0C" w:rsidRPr="007F6332" w14:paraId="31ED0C88" w14:textId="77777777" w:rsidTr="00F57A0C">
        <w:trPr>
          <w:trHeight w:val="340"/>
        </w:trPr>
        <w:tc>
          <w:tcPr>
            <w:tcW w:w="2539" w:type="dxa"/>
            <w:shd w:val="clear" w:color="auto" w:fill="auto"/>
            <w:noWrap/>
            <w:vAlign w:val="center"/>
            <w:hideMark/>
          </w:tcPr>
          <w:p w14:paraId="08E6A165" w14:textId="77777777" w:rsidR="00B042DF" w:rsidRPr="007F6332" w:rsidRDefault="00B042DF" w:rsidP="00D8325F">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Scheme expenses ($m)</w:t>
            </w:r>
          </w:p>
        </w:tc>
        <w:tc>
          <w:tcPr>
            <w:tcW w:w="1147" w:type="dxa"/>
            <w:gridSpan w:val="2"/>
            <w:shd w:val="clear" w:color="auto" w:fill="auto"/>
            <w:noWrap/>
            <w:vAlign w:val="center"/>
            <w:hideMark/>
          </w:tcPr>
          <w:p w14:paraId="12CA4E00"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41,424</w:t>
            </w:r>
          </w:p>
        </w:tc>
        <w:tc>
          <w:tcPr>
            <w:tcW w:w="1134" w:type="dxa"/>
            <w:gridSpan w:val="2"/>
            <w:shd w:val="clear" w:color="auto" w:fill="auto"/>
            <w:noWrap/>
            <w:vAlign w:val="center"/>
            <w:hideMark/>
          </w:tcPr>
          <w:p w14:paraId="761F1337"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46,617</w:t>
            </w:r>
          </w:p>
        </w:tc>
        <w:tc>
          <w:tcPr>
            <w:tcW w:w="1134" w:type="dxa"/>
            <w:gridSpan w:val="2"/>
            <w:shd w:val="clear" w:color="auto" w:fill="auto"/>
            <w:noWrap/>
            <w:vAlign w:val="center"/>
            <w:hideMark/>
          </w:tcPr>
          <w:p w14:paraId="21310E2F"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51,264</w:t>
            </w:r>
          </w:p>
        </w:tc>
        <w:tc>
          <w:tcPr>
            <w:tcW w:w="1134" w:type="dxa"/>
            <w:gridSpan w:val="2"/>
            <w:tcBorders>
              <w:right w:val="dashed" w:sz="4" w:space="0" w:color="auto"/>
            </w:tcBorders>
            <w:shd w:val="clear" w:color="auto" w:fill="auto"/>
            <w:noWrap/>
            <w:vAlign w:val="center"/>
            <w:hideMark/>
          </w:tcPr>
          <w:p w14:paraId="71F9D572"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55,940</w:t>
            </w:r>
          </w:p>
        </w:tc>
        <w:tc>
          <w:tcPr>
            <w:tcW w:w="1134" w:type="dxa"/>
            <w:gridSpan w:val="2"/>
            <w:tcBorders>
              <w:left w:val="dashed" w:sz="4" w:space="0" w:color="auto"/>
              <w:right w:val="single" w:sz="4" w:space="0" w:color="auto"/>
            </w:tcBorders>
            <w:shd w:val="clear" w:color="auto" w:fill="auto"/>
            <w:noWrap/>
            <w:vAlign w:val="center"/>
            <w:hideMark/>
          </w:tcPr>
          <w:p w14:paraId="187E7558"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95,246</w:t>
            </w:r>
          </w:p>
        </w:tc>
        <w:tc>
          <w:tcPr>
            <w:tcW w:w="1134" w:type="dxa"/>
            <w:tcBorders>
              <w:left w:val="single" w:sz="4" w:space="0" w:color="auto"/>
            </w:tcBorders>
            <w:shd w:val="clear" w:color="auto" w:fill="auto"/>
            <w:noWrap/>
            <w:vAlign w:val="center"/>
            <w:hideMark/>
          </w:tcPr>
          <w:p w14:paraId="46687F6B"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195,245</w:t>
            </w:r>
          </w:p>
        </w:tc>
      </w:tr>
      <w:tr w:rsidR="00F57A0C" w:rsidRPr="007F6332" w14:paraId="00389B7E" w14:textId="77777777" w:rsidTr="00F57A0C">
        <w:trPr>
          <w:trHeight w:val="340"/>
        </w:trPr>
        <w:tc>
          <w:tcPr>
            <w:tcW w:w="2539" w:type="dxa"/>
            <w:shd w:val="clear" w:color="auto" w:fill="D1D3D4"/>
            <w:noWrap/>
            <w:vAlign w:val="center"/>
            <w:hideMark/>
          </w:tcPr>
          <w:p w14:paraId="6E067D05" w14:textId="77777777" w:rsidR="00B042DF" w:rsidRPr="007F6332" w:rsidRDefault="00B042DF" w:rsidP="00203953">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Variance to baseline ($m)</w:t>
            </w:r>
          </w:p>
        </w:tc>
        <w:tc>
          <w:tcPr>
            <w:tcW w:w="1147" w:type="dxa"/>
            <w:gridSpan w:val="2"/>
            <w:shd w:val="clear" w:color="auto" w:fill="D1D3D4"/>
            <w:noWrap/>
            <w:vAlign w:val="center"/>
            <w:hideMark/>
          </w:tcPr>
          <w:p w14:paraId="09F70AD4"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64</w:t>
            </w:r>
          </w:p>
        </w:tc>
        <w:tc>
          <w:tcPr>
            <w:tcW w:w="1134" w:type="dxa"/>
            <w:gridSpan w:val="2"/>
            <w:shd w:val="clear" w:color="auto" w:fill="D1D3D4"/>
            <w:noWrap/>
            <w:vAlign w:val="center"/>
            <w:hideMark/>
          </w:tcPr>
          <w:p w14:paraId="65670A9B"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242</w:t>
            </w:r>
          </w:p>
        </w:tc>
        <w:tc>
          <w:tcPr>
            <w:tcW w:w="1134" w:type="dxa"/>
            <w:gridSpan w:val="2"/>
            <w:shd w:val="clear" w:color="auto" w:fill="D1D3D4"/>
            <w:noWrap/>
            <w:vAlign w:val="center"/>
            <w:hideMark/>
          </w:tcPr>
          <w:p w14:paraId="3D0EC0DD"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476</w:t>
            </w:r>
          </w:p>
        </w:tc>
        <w:tc>
          <w:tcPr>
            <w:tcW w:w="1134" w:type="dxa"/>
            <w:gridSpan w:val="2"/>
            <w:tcBorders>
              <w:right w:val="dashed" w:sz="4" w:space="0" w:color="auto"/>
            </w:tcBorders>
            <w:shd w:val="clear" w:color="auto" w:fill="D1D3D4"/>
            <w:noWrap/>
            <w:vAlign w:val="center"/>
            <w:hideMark/>
          </w:tcPr>
          <w:p w14:paraId="7A09AEFB"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733</w:t>
            </w:r>
          </w:p>
        </w:tc>
        <w:tc>
          <w:tcPr>
            <w:tcW w:w="1134" w:type="dxa"/>
            <w:gridSpan w:val="2"/>
            <w:tcBorders>
              <w:left w:val="dashed" w:sz="4" w:space="0" w:color="auto"/>
              <w:right w:val="single" w:sz="4" w:space="0" w:color="auto"/>
            </w:tcBorders>
            <w:shd w:val="clear" w:color="auto" w:fill="D1D3D4"/>
            <w:noWrap/>
            <w:vAlign w:val="center"/>
            <w:hideMark/>
          </w:tcPr>
          <w:p w14:paraId="608AC513"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2,905</w:t>
            </w:r>
          </w:p>
        </w:tc>
        <w:tc>
          <w:tcPr>
            <w:tcW w:w="1134" w:type="dxa"/>
            <w:tcBorders>
              <w:left w:val="single" w:sz="4" w:space="0" w:color="auto"/>
            </w:tcBorders>
            <w:shd w:val="clear" w:color="auto" w:fill="D1D3D4"/>
            <w:noWrap/>
            <w:vAlign w:val="center"/>
            <w:hideMark/>
          </w:tcPr>
          <w:p w14:paraId="46B7475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1,514</w:t>
            </w:r>
          </w:p>
        </w:tc>
      </w:tr>
      <w:tr w:rsidR="00F57A0C" w:rsidRPr="007F6332" w14:paraId="0440B2A1" w14:textId="77777777" w:rsidTr="00F57A0C">
        <w:trPr>
          <w:trHeight w:val="340"/>
        </w:trPr>
        <w:tc>
          <w:tcPr>
            <w:tcW w:w="2539" w:type="dxa"/>
            <w:shd w:val="clear" w:color="auto" w:fill="A7A9AC"/>
            <w:noWrap/>
            <w:vAlign w:val="center"/>
            <w:hideMark/>
          </w:tcPr>
          <w:p w14:paraId="16B1DDCF" w14:textId="77777777" w:rsidR="00B042DF" w:rsidRPr="007F6332" w:rsidRDefault="00B042DF" w:rsidP="00203953">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Variance to baseline (%)</w:t>
            </w:r>
          </w:p>
        </w:tc>
        <w:tc>
          <w:tcPr>
            <w:tcW w:w="1147" w:type="dxa"/>
            <w:gridSpan w:val="2"/>
            <w:shd w:val="clear" w:color="auto" w:fill="A7A9AC"/>
            <w:noWrap/>
            <w:vAlign w:val="center"/>
            <w:hideMark/>
          </w:tcPr>
          <w:p w14:paraId="4097080C"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0.2%</w:t>
            </w:r>
          </w:p>
        </w:tc>
        <w:tc>
          <w:tcPr>
            <w:tcW w:w="1134" w:type="dxa"/>
            <w:gridSpan w:val="2"/>
            <w:shd w:val="clear" w:color="auto" w:fill="A7A9AC"/>
            <w:noWrap/>
            <w:vAlign w:val="center"/>
            <w:hideMark/>
          </w:tcPr>
          <w:p w14:paraId="7D1C7EE4"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1134" w:type="dxa"/>
            <w:gridSpan w:val="2"/>
            <w:shd w:val="clear" w:color="auto" w:fill="A7A9AC"/>
            <w:noWrap/>
            <w:vAlign w:val="center"/>
            <w:hideMark/>
          </w:tcPr>
          <w:p w14:paraId="493CEEA2"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1134" w:type="dxa"/>
            <w:gridSpan w:val="2"/>
            <w:tcBorders>
              <w:right w:val="dashed" w:sz="4" w:space="0" w:color="auto"/>
            </w:tcBorders>
            <w:shd w:val="clear" w:color="auto" w:fill="A7A9AC"/>
            <w:noWrap/>
            <w:vAlign w:val="center"/>
            <w:hideMark/>
          </w:tcPr>
          <w:p w14:paraId="419B95CB"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1134" w:type="dxa"/>
            <w:gridSpan w:val="2"/>
            <w:tcBorders>
              <w:left w:val="dashed" w:sz="4" w:space="0" w:color="auto"/>
              <w:right w:val="single" w:sz="4" w:space="0" w:color="auto"/>
            </w:tcBorders>
            <w:shd w:val="clear" w:color="auto" w:fill="A7A9AC"/>
            <w:noWrap/>
            <w:vAlign w:val="center"/>
            <w:hideMark/>
          </w:tcPr>
          <w:p w14:paraId="08CE5787"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3%</w:t>
            </w:r>
          </w:p>
        </w:tc>
        <w:tc>
          <w:tcPr>
            <w:tcW w:w="1134" w:type="dxa"/>
            <w:tcBorders>
              <w:left w:val="single" w:sz="4" w:space="0" w:color="auto"/>
            </w:tcBorders>
            <w:shd w:val="clear" w:color="auto" w:fill="A7A9AC"/>
            <w:noWrap/>
            <w:vAlign w:val="center"/>
            <w:hideMark/>
          </w:tcPr>
          <w:p w14:paraId="6F009428"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r>
      <w:tr w:rsidR="00F57A0C" w:rsidRPr="007F6332" w14:paraId="0F708DAE" w14:textId="77777777" w:rsidTr="00F57A0C">
        <w:trPr>
          <w:trHeight w:val="340"/>
        </w:trPr>
        <w:tc>
          <w:tcPr>
            <w:tcW w:w="9356" w:type="dxa"/>
            <w:gridSpan w:val="12"/>
            <w:shd w:val="clear" w:color="000000" w:fill="B398B8"/>
            <w:noWrap/>
            <w:vAlign w:val="center"/>
            <w:hideMark/>
          </w:tcPr>
          <w:p w14:paraId="55934FFD" w14:textId="5ADE3D99" w:rsidR="00B37B2B" w:rsidRPr="007F6332" w:rsidRDefault="00B37B2B" w:rsidP="00F57A0C">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Scenario 4: Lower rate of new entrants aged 15 and over, excluding those with autism</w:t>
            </w:r>
            <w:r w:rsidRPr="007F6332">
              <w:rPr>
                <w:rFonts w:eastAsia="Times New Roman" w:cs="Arial"/>
                <w:color w:val="000000"/>
                <w:sz w:val="20"/>
                <w:szCs w:val="20"/>
                <w:lang w:eastAsia="en-AU"/>
              </w:rPr>
              <w:t> </w:t>
            </w:r>
          </w:p>
        </w:tc>
      </w:tr>
      <w:tr w:rsidR="00F57A0C" w:rsidRPr="007F6332" w14:paraId="78286437" w14:textId="77777777" w:rsidTr="00F57A0C">
        <w:trPr>
          <w:trHeight w:val="340"/>
        </w:trPr>
        <w:tc>
          <w:tcPr>
            <w:tcW w:w="2539" w:type="dxa"/>
            <w:shd w:val="clear" w:color="auto" w:fill="auto"/>
            <w:noWrap/>
            <w:vAlign w:val="center"/>
            <w:hideMark/>
          </w:tcPr>
          <w:p w14:paraId="6BF80DD9" w14:textId="77777777" w:rsidR="00B042DF" w:rsidRPr="007F6332" w:rsidRDefault="00B042DF" w:rsidP="00D8325F">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Scheme expenses ($m)</w:t>
            </w:r>
          </w:p>
        </w:tc>
        <w:tc>
          <w:tcPr>
            <w:tcW w:w="1147" w:type="dxa"/>
            <w:gridSpan w:val="2"/>
            <w:shd w:val="clear" w:color="auto" w:fill="auto"/>
            <w:noWrap/>
            <w:vAlign w:val="center"/>
            <w:hideMark/>
          </w:tcPr>
          <w:p w14:paraId="26381C2B"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41,298</w:t>
            </w:r>
          </w:p>
        </w:tc>
        <w:tc>
          <w:tcPr>
            <w:tcW w:w="1134" w:type="dxa"/>
            <w:gridSpan w:val="2"/>
            <w:shd w:val="clear" w:color="auto" w:fill="auto"/>
            <w:noWrap/>
            <w:vAlign w:val="center"/>
            <w:hideMark/>
          </w:tcPr>
          <w:p w14:paraId="519D6B79"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46,141</w:t>
            </w:r>
          </w:p>
        </w:tc>
        <w:tc>
          <w:tcPr>
            <w:tcW w:w="1134" w:type="dxa"/>
            <w:gridSpan w:val="2"/>
            <w:shd w:val="clear" w:color="auto" w:fill="auto"/>
            <w:noWrap/>
            <w:vAlign w:val="center"/>
            <w:hideMark/>
          </w:tcPr>
          <w:p w14:paraId="1F30D03C"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50,327</w:t>
            </w:r>
          </w:p>
        </w:tc>
        <w:tc>
          <w:tcPr>
            <w:tcW w:w="1134" w:type="dxa"/>
            <w:gridSpan w:val="2"/>
            <w:tcBorders>
              <w:right w:val="dashed" w:sz="4" w:space="0" w:color="auto"/>
            </w:tcBorders>
            <w:shd w:val="clear" w:color="auto" w:fill="auto"/>
            <w:noWrap/>
            <w:vAlign w:val="center"/>
            <w:hideMark/>
          </w:tcPr>
          <w:p w14:paraId="2EB14804"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54,497</w:t>
            </w:r>
          </w:p>
        </w:tc>
        <w:tc>
          <w:tcPr>
            <w:tcW w:w="1134" w:type="dxa"/>
            <w:gridSpan w:val="2"/>
            <w:tcBorders>
              <w:left w:val="dashed" w:sz="4" w:space="0" w:color="auto"/>
              <w:right w:val="single" w:sz="4" w:space="0" w:color="auto"/>
            </w:tcBorders>
            <w:shd w:val="clear" w:color="auto" w:fill="auto"/>
            <w:noWrap/>
            <w:vAlign w:val="center"/>
            <w:hideMark/>
          </w:tcPr>
          <w:p w14:paraId="6224A07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89,525</w:t>
            </w:r>
          </w:p>
        </w:tc>
        <w:tc>
          <w:tcPr>
            <w:tcW w:w="1134" w:type="dxa"/>
            <w:tcBorders>
              <w:left w:val="single" w:sz="4" w:space="0" w:color="auto"/>
            </w:tcBorders>
            <w:shd w:val="clear" w:color="auto" w:fill="auto"/>
            <w:noWrap/>
            <w:vAlign w:val="center"/>
            <w:hideMark/>
          </w:tcPr>
          <w:p w14:paraId="322CB4FF"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192,263</w:t>
            </w:r>
          </w:p>
        </w:tc>
      </w:tr>
      <w:tr w:rsidR="00F57A0C" w:rsidRPr="007F6332" w14:paraId="3A82EB2D" w14:textId="77777777" w:rsidTr="00F57A0C">
        <w:trPr>
          <w:trHeight w:val="340"/>
        </w:trPr>
        <w:tc>
          <w:tcPr>
            <w:tcW w:w="2539" w:type="dxa"/>
            <w:shd w:val="clear" w:color="auto" w:fill="D1D3D4"/>
            <w:noWrap/>
            <w:vAlign w:val="center"/>
            <w:hideMark/>
          </w:tcPr>
          <w:p w14:paraId="40997A0E" w14:textId="77777777" w:rsidR="00B042DF" w:rsidRPr="007F6332" w:rsidRDefault="00B042DF" w:rsidP="00203953">
            <w:pPr>
              <w:spacing w:after="0" w:line="240" w:lineRule="auto"/>
              <w:ind w:firstLineChars="14" w:firstLine="28"/>
              <w:rPr>
                <w:rFonts w:eastAsia="Times New Roman" w:cs="Arial"/>
                <w:color w:val="000000"/>
                <w:sz w:val="20"/>
                <w:szCs w:val="20"/>
                <w:lang w:eastAsia="en-AU"/>
              </w:rPr>
            </w:pPr>
            <w:r w:rsidRPr="007F6332">
              <w:rPr>
                <w:rFonts w:eastAsia="Times New Roman" w:cs="Arial"/>
                <w:color w:val="000000"/>
                <w:sz w:val="20"/>
                <w:szCs w:val="20"/>
                <w:lang w:eastAsia="en-AU"/>
              </w:rPr>
              <w:t>Variance to baseline ($m)</w:t>
            </w:r>
          </w:p>
        </w:tc>
        <w:tc>
          <w:tcPr>
            <w:tcW w:w="1147" w:type="dxa"/>
            <w:gridSpan w:val="2"/>
            <w:shd w:val="clear" w:color="auto" w:fill="D1D3D4"/>
            <w:noWrap/>
            <w:vAlign w:val="center"/>
            <w:hideMark/>
          </w:tcPr>
          <w:p w14:paraId="5AEC5076"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-62</w:t>
            </w:r>
          </w:p>
        </w:tc>
        <w:tc>
          <w:tcPr>
            <w:tcW w:w="1134" w:type="dxa"/>
            <w:gridSpan w:val="2"/>
            <w:shd w:val="clear" w:color="auto" w:fill="D1D3D4"/>
            <w:noWrap/>
            <w:vAlign w:val="center"/>
            <w:hideMark/>
          </w:tcPr>
          <w:p w14:paraId="36D7B5DB"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-234</w:t>
            </w:r>
          </w:p>
        </w:tc>
        <w:tc>
          <w:tcPr>
            <w:tcW w:w="1134" w:type="dxa"/>
            <w:gridSpan w:val="2"/>
            <w:shd w:val="clear" w:color="auto" w:fill="D1D3D4"/>
            <w:noWrap/>
            <w:vAlign w:val="center"/>
            <w:hideMark/>
          </w:tcPr>
          <w:p w14:paraId="0C68571F"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-461</w:t>
            </w:r>
          </w:p>
        </w:tc>
        <w:tc>
          <w:tcPr>
            <w:tcW w:w="1134" w:type="dxa"/>
            <w:gridSpan w:val="2"/>
            <w:tcBorders>
              <w:right w:val="dashed" w:sz="4" w:space="0" w:color="auto"/>
            </w:tcBorders>
            <w:shd w:val="clear" w:color="auto" w:fill="D1D3D4"/>
            <w:noWrap/>
            <w:vAlign w:val="center"/>
            <w:hideMark/>
          </w:tcPr>
          <w:p w14:paraId="19E2FB75"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-710</w:t>
            </w:r>
          </w:p>
        </w:tc>
        <w:tc>
          <w:tcPr>
            <w:tcW w:w="1134" w:type="dxa"/>
            <w:gridSpan w:val="2"/>
            <w:tcBorders>
              <w:left w:val="dashed" w:sz="4" w:space="0" w:color="auto"/>
              <w:right w:val="single" w:sz="4" w:space="0" w:color="auto"/>
            </w:tcBorders>
            <w:shd w:val="clear" w:color="auto" w:fill="D1D3D4"/>
            <w:noWrap/>
            <w:vAlign w:val="center"/>
            <w:hideMark/>
          </w:tcPr>
          <w:p w14:paraId="33D57E03"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-2,816</w:t>
            </w:r>
          </w:p>
        </w:tc>
        <w:tc>
          <w:tcPr>
            <w:tcW w:w="1134" w:type="dxa"/>
            <w:tcBorders>
              <w:left w:val="single" w:sz="4" w:space="0" w:color="auto"/>
            </w:tcBorders>
            <w:shd w:val="clear" w:color="auto" w:fill="D1D3D4"/>
            <w:noWrap/>
            <w:vAlign w:val="center"/>
            <w:hideMark/>
          </w:tcPr>
          <w:p w14:paraId="20501002"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-1,468</w:t>
            </w:r>
          </w:p>
        </w:tc>
      </w:tr>
      <w:tr w:rsidR="00F57A0C" w:rsidRPr="007F6332" w14:paraId="0AB2BC59" w14:textId="77777777" w:rsidTr="00F57A0C">
        <w:trPr>
          <w:trHeight w:val="340"/>
        </w:trPr>
        <w:tc>
          <w:tcPr>
            <w:tcW w:w="2539" w:type="dxa"/>
            <w:tcBorders>
              <w:bottom w:val="single" w:sz="4" w:space="0" w:color="auto"/>
            </w:tcBorders>
            <w:shd w:val="clear" w:color="auto" w:fill="A7A9AC"/>
            <w:noWrap/>
            <w:vAlign w:val="center"/>
            <w:hideMark/>
          </w:tcPr>
          <w:p w14:paraId="4B84FE01" w14:textId="77777777" w:rsidR="00B042DF" w:rsidRPr="007F6332" w:rsidRDefault="00B042DF" w:rsidP="005E6CDA">
            <w:pPr>
              <w:spacing w:after="0" w:line="240" w:lineRule="auto"/>
              <w:ind w:right="-256" w:firstLineChars="14" w:firstLine="28"/>
              <w:rPr>
                <w:rFonts w:eastAsia="Times New Roman" w:cs="Arial"/>
                <w:color w:val="000000"/>
                <w:sz w:val="20"/>
                <w:szCs w:val="20"/>
                <w:lang w:eastAsia="en-AU"/>
              </w:rPr>
            </w:pPr>
            <w:r w:rsidRPr="007F6332">
              <w:rPr>
                <w:rFonts w:eastAsia="Times New Roman" w:cs="Arial"/>
                <w:color w:val="000000"/>
                <w:sz w:val="20"/>
                <w:szCs w:val="20"/>
                <w:lang w:eastAsia="en-AU"/>
              </w:rPr>
              <w:t>Variance to baseline (%)</w:t>
            </w:r>
          </w:p>
        </w:tc>
        <w:tc>
          <w:tcPr>
            <w:tcW w:w="1147" w:type="dxa"/>
            <w:gridSpan w:val="2"/>
            <w:tcBorders>
              <w:bottom w:val="single" w:sz="4" w:space="0" w:color="auto"/>
            </w:tcBorders>
            <w:shd w:val="clear" w:color="auto" w:fill="A7A9AC"/>
            <w:noWrap/>
            <w:vAlign w:val="center"/>
            <w:hideMark/>
          </w:tcPr>
          <w:p w14:paraId="48115257"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-0.1%</w:t>
            </w:r>
          </w:p>
        </w:tc>
        <w:tc>
          <w:tcPr>
            <w:tcW w:w="1134" w:type="dxa"/>
            <w:gridSpan w:val="2"/>
            <w:tcBorders>
              <w:bottom w:val="single" w:sz="4" w:space="0" w:color="auto"/>
            </w:tcBorders>
            <w:shd w:val="clear" w:color="auto" w:fill="A7A9AC"/>
            <w:noWrap/>
            <w:vAlign w:val="center"/>
            <w:hideMark/>
          </w:tcPr>
          <w:p w14:paraId="5B90B59C"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1134" w:type="dxa"/>
            <w:gridSpan w:val="2"/>
            <w:tcBorders>
              <w:bottom w:val="single" w:sz="4" w:space="0" w:color="auto"/>
            </w:tcBorders>
            <w:shd w:val="clear" w:color="auto" w:fill="A7A9AC"/>
            <w:noWrap/>
            <w:vAlign w:val="center"/>
            <w:hideMark/>
          </w:tcPr>
          <w:p w14:paraId="599411FD"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1134" w:type="dxa"/>
            <w:gridSpan w:val="2"/>
            <w:tcBorders>
              <w:bottom w:val="single" w:sz="4" w:space="0" w:color="auto"/>
              <w:right w:val="dashed" w:sz="4" w:space="0" w:color="auto"/>
            </w:tcBorders>
            <w:shd w:val="clear" w:color="auto" w:fill="A7A9AC"/>
            <w:noWrap/>
            <w:vAlign w:val="center"/>
            <w:hideMark/>
          </w:tcPr>
          <w:p w14:paraId="2082FB77"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1134" w:type="dxa"/>
            <w:gridSpan w:val="2"/>
            <w:tcBorders>
              <w:left w:val="dashed" w:sz="4" w:space="0" w:color="auto"/>
              <w:bottom w:val="single" w:sz="4" w:space="0" w:color="auto"/>
              <w:right w:val="single" w:sz="4" w:space="0" w:color="auto"/>
            </w:tcBorders>
            <w:shd w:val="clear" w:color="auto" w:fill="A7A9AC"/>
            <w:noWrap/>
            <w:vAlign w:val="center"/>
            <w:hideMark/>
          </w:tcPr>
          <w:p w14:paraId="5BF5D4ED"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-3%</w:t>
            </w:r>
          </w:p>
        </w:tc>
        <w:tc>
          <w:tcPr>
            <w:tcW w:w="1134" w:type="dxa"/>
            <w:tcBorders>
              <w:left w:val="single" w:sz="4" w:space="0" w:color="auto"/>
              <w:bottom w:val="single" w:sz="4" w:space="0" w:color="auto"/>
            </w:tcBorders>
            <w:shd w:val="clear" w:color="auto" w:fill="A7A9AC"/>
            <w:noWrap/>
            <w:vAlign w:val="center"/>
            <w:hideMark/>
          </w:tcPr>
          <w:p w14:paraId="00F679FE" w14:textId="77777777" w:rsidR="00B042DF" w:rsidRPr="007F6332" w:rsidRDefault="00B042DF" w:rsidP="00164534">
            <w:pPr>
              <w:spacing w:after="0" w:line="240" w:lineRule="auto"/>
              <w:ind w:firstLine="183"/>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r>
    </w:tbl>
    <w:p w14:paraId="730141E0" w14:textId="08799898" w:rsidR="00B042DF" w:rsidRPr="007F6332" w:rsidRDefault="00B042DF" w:rsidP="00EF79DA">
      <w:pPr>
        <w:pStyle w:val="Heading4"/>
        <w:ind w:left="851" w:hanging="851"/>
        <w:rPr>
          <w:rFonts w:cs="Arial"/>
        </w:rPr>
      </w:pPr>
      <w:r w:rsidRPr="007F6332">
        <w:rPr>
          <w:rFonts w:cs="Arial"/>
        </w:rPr>
        <w:t>Number of participants transitioning into Supported Independent Living</w:t>
      </w:r>
    </w:p>
    <w:p w14:paraId="12491D3C" w14:textId="4D62AEAD" w:rsidR="00B042DF" w:rsidRPr="007F6332" w:rsidRDefault="00B042DF" w:rsidP="00B042DF">
      <w:pPr>
        <w:rPr>
          <w:rFonts w:cs="Arial"/>
        </w:rPr>
      </w:pPr>
      <w:r w:rsidRPr="007F6332">
        <w:rPr>
          <w:rFonts w:cs="Arial"/>
        </w:rPr>
        <w:t xml:space="preserve">The number of participants with SIL supports has been greater than expected. </w:t>
      </w:r>
      <w:r w:rsidR="00043BF8" w:rsidRPr="007F6332">
        <w:rPr>
          <w:rFonts w:cs="Arial"/>
        </w:rPr>
        <w:t>Most</w:t>
      </w:r>
      <w:r w:rsidRPr="007F6332">
        <w:rPr>
          <w:rFonts w:cs="Arial"/>
        </w:rPr>
        <w:t xml:space="preserve"> participants in SIL are those that entered the Scheme and then subsequently transitioned to a plan with SIL. As such, anticipating the number of participants likely to require SIL supports is a challenge and is an area of significant uncertainty that also has a material impact on projected Scheme expenses.</w:t>
      </w:r>
    </w:p>
    <w:p w14:paraId="19F3436B" w14:textId="53E969E9" w:rsidR="00B042DF" w:rsidRPr="007F6332" w:rsidRDefault="00B042DF" w:rsidP="00B042DF">
      <w:pPr>
        <w:rPr>
          <w:rFonts w:cs="Arial"/>
        </w:rPr>
      </w:pPr>
      <w:r w:rsidRPr="007F6332">
        <w:rPr>
          <w:rFonts w:cs="Arial"/>
        </w:rPr>
        <w:t xml:space="preserve">To illustrate the impact of the number of participants with SIL on Scheme expenses, the following scenarios are presented in </w:t>
      </w:r>
      <w:r w:rsidR="00601AA4" w:rsidRPr="007F6332">
        <w:rPr>
          <w:rFonts w:cs="Arial"/>
        </w:rPr>
        <w:t>Table 6.5</w:t>
      </w:r>
      <w:r w:rsidRPr="007F6332">
        <w:rPr>
          <w:rFonts w:cs="Arial"/>
        </w:rPr>
        <w:t>:</w:t>
      </w:r>
    </w:p>
    <w:p w14:paraId="31813FD4" w14:textId="77777777" w:rsidR="00677443" w:rsidRPr="007F6332" w:rsidRDefault="00B042DF" w:rsidP="00C1755E">
      <w:pPr>
        <w:pStyle w:val="FSRlist"/>
        <w:rPr>
          <w:rFonts w:cs="Arial"/>
        </w:rPr>
      </w:pPr>
      <w:r w:rsidRPr="007F6332">
        <w:rPr>
          <w:rFonts w:cs="Arial"/>
          <w:b/>
          <w:bCs/>
        </w:rPr>
        <w:t>Higher number of participants in SIL</w:t>
      </w:r>
      <w:r w:rsidRPr="007F6332">
        <w:rPr>
          <w:rFonts w:cs="Arial"/>
        </w:rPr>
        <w:t>. This scenario adds $0.4 billion in 2026-27 and $1.7 billion in 2032-33.</w:t>
      </w:r>
    </w:p>
    <w:p w14:paraId="58290A4D" w14:textId="77777777" w:rsidR="00D34123" w:rsidRPr="007F6332" w:rsidRDefault="00B042DF" w:rsidP="00C1755E">
      <w:pPr>
        <w:pStyle w:val="FSRlist"/>
        <w:rPr>
          <w:rFonts w:cs="Arial"/>
        </w:rPr>
      </w:pPr>
      <w:r w:rsidRPr="007F6332">
        <w:rPr>
          <w:rFonts w:cs="Arial"/>
          <w:b/>
          <w:bCs/>
        </w:rPr>
        <w:t>Lower number of participants in SIL</w:t>
      </w:r>
      <w:r w:rsidRPr="007F6332">
        <w:rPr>
          <w:rFonts w:cs="Arial"/>
        </w:rPr>
        <w:t>. This scenario reduces Scheme expenses by $0.2 billion in 2026-27 and $0.7 billion in 2032-33.</w:t>
      </w:r>
    </w:p>
    <w:p w14:paraId="72F67FF9" w14:textId="77777777" w:rsidR="00BC6A52" w:rsidRPr="007F6332" w:rsidRDefault="00BC6A52" w:rsidP="00BC6A52">
      <w:pPr>
        <w:pStyle w:val="FSRlist"/>
        <w:numPr>
          <w:ilvl w:val="0"/>
          <w:numId w:val="0"/>
        </w:numPr>
        <w:ind w:left="360"/>
        <w:rPr>
          <w:rFonts w:cs="Arial"/>
        </w:rPr>
        <w:sectPr w:rsidR="00BC6A52" w:rsidRPr="007F6332" w:rsidSect="00CE7E91">
          <w:headerReference w:type="even" r:id="rId90"/>
          <w:headerReference w:type="default" r:id="rId91"/>
          <w:footerReference w:type="even" r:id="rId92"/>
          <w:footerReference w:type="default" r:id="rId93"/>
          <w:headerReference w:type="first" r:id="rId94"/>
          <w:footerReference w:type="first" r:id="rId95"/>
          <w:pgSz w:w="11906" w:h="16838"/>
          <w:pgMar w:top="1440" w:right="1440" w:bottom="1440" w:left="1440" w:header="708" w:footer="850" w:gutter="0"/>
          <w:cols w:space="708"/>
          <w:docGrid w:linePitch="360"/>
        </w:sectPr>
      </w:pPr>
    </w:p>
    <w:p w14:paraId="64A43265" w14:textId="31071344" w:rsidR="00B042DF" w:rsidRPr="007F6332" w:rsidRDefault="00950565" w:rsidP="00945CBF">
      <w:pPr>
        <w:pStyle w:val="FiguresandTablesHeading5"/>
      </w:pPr>
      <w:r w:rsidRPr="007F6332">
        <w:lastRenderedPageBreak/>
        <w:t>Table 6.5</w:t>
      </w:r>
      <w:r w:rsidR="00206583" w:rsidRPr="007F6332">
        <w:t>:</w:t>
      </w:r>
      <w:r w:rsidR="00B042DF" w:rsidRPr="007F6332">
        <w:t xml:space="preserve"> Scenarios with higher and lower number of participants in SIL – Projected Scheme expenses and variance to the </w:t>
      </w:r>
      <w:r w:rsidR="00206583" w:rsidRPr="007F6332">
        <w:t>June 2023 projections</w:t>
      </w:r>
    </w:p>
    <w:tbl>
      <w:tblPr>
        <w:tblW w:w="9498" w:type="dxa"/>
        <w:tblLayout w:type="fixed"/>
        <w:tblLook w:val="04A0" w:firstRow="1" w:lastRow="0" w:firstColumn="1" w:lastColumn="0" w:noHBand="0" w:noVBand="1"/>
      </w:tblPr>
      <w:tblGrid>
        <w:gridCol w:w="3261"/>
        <w:gridCol w:w="1157"/>
        <w:gridCol w:w="1016"/>
        <w:gridCol w:w="1016"/>
        <w:gridCol w:w="1016"/>
        <w:gridCol w:w="1016"/>
        <w:gridCol w:w="1016"/>
      </w:tblGrid>
      <w:tr w:rsidR="00B042DF" w:rsidRPr="007F6332" w14:paraId="2FE0BAE0" w14:textId="77777777" w:rsidTr="00CD33D0">
        <w:trPr>
          <w:trHeight w:val="260"/>
        </w:trPr>
        <w:tc>
          <w:tcPr>
            <w:tcW w:w="3261" w:type="dxa"/>
            <w:shd w:val="clear" w:color="000000" w:fill="6B2976"/>
            <w:noWrap/>
            <w:vAlign w:val="center"/>
            <w:hideMark/>
          </w:tcPr>
          <w:p w14:paraId="4394522D" w14:textId="77777777" w:rsidR="00B042DF" w:rsidRPr="007F6332" w:rsidRDefault="00B042DF" w:rsidP="00D8325F">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 </w:t>
            </w:r>
          </w:p>
        </w:tc>
        <w:tc>
          <w:tcPr>
            <w:tcW w:w="1157" w:type="dxa"/>
            <w:shd w:val="clear" w:color="000000" w:fill="6B2976"/>
            <w:noWrap/>
            <w:vAlign w:val="center"/>
            <w:hideMark/>
          </w:tcPr>
          <w:p w14:paraId="2C2156A6" w14:textId="0EF9505E" w:rsidR="00B042DF" w:rsidRPr="007F6332" w:rsidRDefault="00B042DF" w:rsidP="00E154C4">
            <w:pPr>
              <w:spacing w:after="0" w:line="240" w:lineRule="auto"/>
              <w:ind w:right="-64"/>
              <w:jc w:val="center"/>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016" w:type="dxa"/>
            <w:shd w:val="clear" w:color="000000" w:fill="6B2976"/>
            <w:noWrap/>
            <w:vAlign w:val="center"/>
            <w:hideMark/>
          </w:tcPr>
          <w:p w14:paraId="1605F107" w14:textId="0D8CD9A1" w:rsidR="00B042DF" w:rsidRPr="007F6332" w:rsidRDefault="00B042DF" w:rsidP="00E154C4">
            <w:pPr>
              <w:spacing w:after="0" w:line="240" w:lineRule="auto"/>
              <w:ind w:right="-64"/>
              <w:jc w:val="center"/>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016" w:type="dxa"/>
            <w:shd w:val="clear" w:color="000000" w:fill="6B2976"/>
            <w:noWrap/>
            <w:vAlign w:val="center"/>
            <w:hideMark/>
          </w:tcPr>
          <w:p w14:paraId="7CFC6165" w14:textId="6F85A0CB" w:rsidR="00B042DF" w:rsidRPr="007F6332" w:rsidRDefault="00B042DF" w:rsidP="00E154C4">
            <w:pPr>
              <w:spacing w:after="0" w:line="240" w:lineRule="auto"/>
              <w:ind w:right="-64"/>
              <w:jc w:val="center"/>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016" w:type="dxa"/>
            <w:tcBorders>
              <w:right w:val="dashed" w:sz="4" w:space="0" w:color="auto"/>
            </w:tcBorders>
            <w:shd w:val="clear" w:color="000000" w:fill="6B2976"/>
            <w:noWrap/>
            <w:vAlign w:val="center"/>
            <w:hideMark/>
          </w:tcPr>
          <w:p w14:paraId="7931674F" w14:textId="161883D2" w:rsidR="00B042DF" w:rsidRPr="007F6332" w:rsidRDefault="00B042DF" w:rsidP="00E154C4">
            <w:pPr>
              <w:spacing w:after="0" w:line="240" w:lineRule="auto"/>
              <w:ind w:left="-101" w:right="-64"/>
              <w:jc w:val="center"/>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016" w:type="dxa"/>
            <w:tcBorders>
              <w:left w:val="dashed" w:sz="4" w:space="0" w:color="auto"/>
              <w:right w:val="single" w:sz="4" w:space="0" w:color="auto"/>
            </w:tcBorders>
            <w:shd w:val="clear" w:color="000000" w:fill="6B2976"/>
            <w:noWrap/>
            <w:vAlign w:val="center"/>
            <w:hideMark/>
          </w:tcPr>
          <w:p w14:paraId="77553935" w14:textId="74768B7F" w:rsidR="00B042DF" w:rsidRPr="007F6332" w:rsidRDefault="00B042DF" w:rsidP="00E154C4">
            <w:pPr>
              <w:spacing w:after="0" w:line="240" w:lineRule="auto"/>
              <w:ind w:right="-64"/>
              <w:jc w:val="center"/>
              <w:rPr>
                <w:rFonts w:eastAsia="Times New Roman" w:cs="Arial"/>
                <w:b/>
                <w:bCs/>
                <w:color w:val="FFFFFF"/>
                <w:szCs w:val="22"/>
                <w:lang w:eastAsia="en-AU"/>
              </w:rPr>
            </w:pPr>
            <w:r w:rsidRPr="007F6332">
              <w:rPr>
                <w:rFonts w:eastAsia="Times New Roman" w:cs="Arial"/>
                <w:b/>
                <w:bCs/>
                <w:color w:val="FFFFFF"/>
                <w:szCs w:val="22"/>
                <w:lang w:eastAsia="en-AU"/>
              </w:rPr>
              <w:t>2032-33</w:t>
            </w:r>
          </w:p>
        </w:tc>
        <w:tc>
          <w:tcPr>
            <w:tcW w:w="1016" w:type="dxa"/>
            <w:tcBorders>
              <w:left w:val="single" w:sz="4" w:space="0" w:color="auto"/>
            </w:tcBorders>
            <w:shd w:val="clear" w:color="000000" w:fill="6B2976"/>
            <w:noWrap/>
            <w:vAlign w:val="center"/>
            <w:hideMark/>
          </w:tcPr>
          <w:p w14:paraId="1B809BAB" w14:textId="46FB44D5" w:rsidR="00B042DF" w:rsidRPr="007F6332" w:rsidRDefault="006739A1" w:rsidP="00E154C4">
            <w:pPr>
              <w:spacing w:after="0" w:line="240" w:lineRule="auto"/>
              <w:ind w:right="-64"/>
              <w:jc w:val="right"/>
              <w:rPr>
                <w:rFonts w:eastAsia="Times New Roman" w:cs="Arial"/>
                <w:b/>
                <w:bCs/>
                <w:color w:val="FFFFFF"/>
                <w:szCs w:val="22"/>
                <w:lang w:eastAsia="en-AU"/>
              </w:rPr>
            </w:pPr>
            <w:r w:rsidRPr="007F6332">
              <w:rPr>
                <w:rFonts w:eastAsia="Times New Roman" w:cs="Arial"/>
                <w:b/>
                <w:bCs/>
                <w:color w:val="FFFFFF"/>
                <w:sz w:val="20"/>
                <w:szCs w:val="20"/>
                <w:lang w:eastAsia="en-AU"/>
              </w:rPr>
              <w:t xml:space="preserve">Total </w:t>
            </w:r>
            <w:r w:rsidR="00B042DF" w:rsidRPr="007F6332">
              <w:rPr>
                <w:rFonts w:eastAsia="Times New Roman" w:cs="Arial"/>
                <w:b/>
                <w:bCs/>
                <w:color w:val="FFFFFF"/>
                <w:szCs w:val="22"/>
                <w:lang w:eastAsia="en-AU"/>
              </w:rPr>
              <w:t>2023-27</w:t>
            </w:r>
          </w:p>
        </w:tc>
      </w:tr>
      <w:tr w:rsidR="00B042DF" w:rsidRPr="007F6332" w14:paraId="53D2C8ED" w14:textId="77777777" w:rsidTr="00F57A0C">
        <w:trPr>
          <w:trHeight w:val="397"/>
        </w:trPr>
        <w:tc>
          <w:tcPr>
            <w:tcW w:w="3261" w:type="dxa"/>
            <w:shd w:val="clear" w:color="auto" w:fill="auto"/>
            <w:vAlign w:val="center"/>
            <w:hideMark/>
          </w:tcPr>
          <w:p w14:paraId="5129B87A" w14:textId="77777777" w:rsidR="00924D86" w:rsidRPr="007F6332" w:rsidRDefault="00B042DF" w:rsidP="00E154C4">
            <w:pPr>
              <w:spacing w:after="0" w:line="240" w:lineRule="auto"/>
              <w:ind w:right="-257"/>
              <w:rPr>
                <w:rFonts w:eastAsia="Times New Roman" w:cs="Arial"/>
                <w:color w:val="000000"/>
                <w:szCs w:val="22"/>
                <w:lang w:eastAsia="en-AU"/>
              </w:rPr>
            </w:pPr>
            <w:r w:rsidRPr="007F6332">
              <w:rPr>
                <w:rFonts w:eastAsia="Times New Roman" w:cs="Arial"/>
                <w:color w:val="000000"/>
                <w:szCs w:val="22"/>
                <w:lang w:eastAsia="en-AU"/>
              </w:rPr>
              <w:t xml:space="preserve">Baseline: </w:t>
            </w:r>
            <w:r w:rsidR="00E154C4" w:rsidRPr="007F6332">
              <w:rPr>
                <w:rFonts w:eastAsia="Times New Roman" w:cs="Arial"/>
                <w:color w:val="000000"/>
                <w:szCs w:val="22"/>
                <w:lang w:eastAsia="en-AU"/>
              </w:rPr>
              <w:t xml:space="preserve">June 2023 </w:t>
            </w:r>
          </w:p>
          <w:p w14:paraId="5B6DEF5A" w14:textId="24399C31" w:rsidR="00B042DF" w:rsidRPr="007F6332" w:rsidRDefault="00E154C4" w:rsidP="00E154C4">
            <w:pPr>
              <w:spacing w:after="0" w:line="240" w:lineRule="auto"/>
              <w:ind w:right="-257"/>
              <w:rPr>
                <w:rFonts w:eastAsia="Times New Roman" w:cs="Arial"/>
                <w:color w:val="000000"/>
                <w:szCs w:val="22"/>
                <w:lang w:eastAsia="en-AU"/>
              </w:rPr>
            </w:pPr>
            <w:r w:rsidRPr="007F6332">
              <w:rPr>
                <w:rFonts w:eastAsia="Times New Roman" w:cs="Arial"/>
                <w:color w:val="000000"/>
                <w:szCs w:val="22"/>
                <w:lang w:eastAsia="en-AU"/>
              </w:rPr>
              <w:t xml:space="preserve">projections </w:t>
            </w:r>
            <w:r w:rsidR="00B042DF" w:rsidRPr="007F6332">
              <w:rPr>
                <w:rFonts w:eastAsia="Times New Roman" w:cs="Arial"/>
                <w:color w:val="000000"/>
                <w:szCs w:val="22"/>
                <w:lang w:eastAsia="en-AU"/>
              </w:rPr>
              <w:t>($m)</w:t>
            </w:r>
          </w:p>
        </w:tc>
        <w:tc>
          <w:tcPr>
            <w:tcW w:w="1157" w:type="dxa"/>
            <w:shd w:val="clear" w:color="auto" w:fill="auto"/>
            <w:noWrap/>
            <w:vAlign w:val="center"/>
            <w:hideMark/>
          </w:tcPr>
          <w:p w14:paraId="23843094"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eastAsia="Times New Roman" w:cs="Arial"/>
                <w:color w:val="000000"/>
                <w:szCs w:val="22"/>
                <w:lang w:eastAsia="en-AU"/>
              </w:rPr>
              <w:t>41,360</w:t>
            </w:r>
          </w:p>
        </w:tc>
        <w:tc>
          <w:tcPr>
            <w:tcW w:w="1016" w:type="dxa"/>
            <w:shd w:val="clear" w:color="auto" w:fill="auto"/>
            <w:noWrap/>
            <w:vAlign w:val="center"/>
            <w:hideMark/>
          </w:tcPr>
          <w:p w14:paraId="21487249"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eastAsia="Times New Roman" w:cs="Arial"/>
                <w:color w:val="000000"/>
                <w:szCs w:val="22"/>
                <w:lang w:eastAsia="en-AU"/>
              </w:rPr>
              <w:t>46,376</w:t>
            </w:r>
          </w:p>
        </w:tc>
        <w:tc>
          <w:tcPr>
            <w:tcW w:w="1016" w:type="dxa"/>
            <w:shd w:val="clear" w:color="auto" w:fill="auto"/>
            <w:noWrap/>
            <w:vAlign w:val="center"/>
            <w:hideMark/>
          </w:tcPr>
          <w:p w14:paraId="73553029"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eastAsia="Times New Roman" w:cs="Arial"/>
                <w:color w:val="000000"/>
                <w:szCs w:val="22"/>
                <w:lang w:eastAsia="en-AU"/>
              </w:rPr>
              <w:t>50,788</w:t>
            </w:r>
          </w:p>
        </w:tc>
        <w:tc>
          <w:tcPr>
            <w:tcW w:w="1016" w:type="dxa"/>
            <w:tcBorders>
              <w:right w:val="dashed" w:sz="4" w:space="0" w:color="auto"/>
            </w:tcBorders>
            <w:shd w:val="clear" w:color="auto" w:fill="auto"/>
            <w:noWrap/>
            <w:vAlign w:val="center"/>
            <w:hideMark/>
          </w:tcPr>
          <w:p w14:paraId="26258656"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eastAsia="Times New Roman" w:cs="Arial"/>
                <w:color w:val="000000"/>
                <w:szCs w:val="22"/>
                <w:lang w:eastAsia="en-AU"/>
              </w:rPr>
              <w:t>55,207</w:t>
            </w:r>
          </w:p>
        </w:tc>
        <w:tc>
          <w:tcPr>
            <w:tcW w:w="1016" w:type="dxa"/>
            <w:tcBorders>
              <w:left w:val="dashed" w:sz="4" w:space="0" w:color="auto"/>
              <w:right w:val="single" w:sz="4" w:space="0" w:color="auto"/>
            </w:tcBorders>
            <w:shd w:val="clear" w:color="auto" w:fill="auto"/>
            <w:noWrap/>
            <w:vAlign w:val="center"/>
            <w:hideMark/>
          </w:tcPr>
          <w:p w14:paraId="089F6B62"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eastAsia="Times New Roman" w:cs="Arial"/>
                <w:color w:val="000000"/>
                <w:szCs w:val="22"/>
                <w:lang w:eastAsia="en-AU"/>
              </w:rPr>
              <w:t>92,341</w:t>
            </w:r>
          </w:p>
        </w:tc>
        <w:tc>
          <w:tcPr>
            <w:tcW w:w="1016" w:type="dxa"/>
            <w:tcBorders>
              <w:left w:val="single" w:sz="4" w:space="0" w:color="auto"/>
            </w:tcBorders>
            <w:shd w:val="clear" w:color="auto" w:fill="auto"/>
            <w:noWrap/>
            <w:vAlign w:val="center"/>
            <w:hideMark/>
          </w:tcPr>
          <w:p w14:paraId="66E755C8"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eastAsia="Times New Roman" w:cs="Arial"/>
                <w:color w:val="000000"/>
                <w:szCs w:val="22"/>
                <w:lang w:eastAsia="en-AU"/>
              </w:rPr>
              <w:t>193,731</w:t>
            </w:r>
          </w:p>
        </w:tc>
      </w:tr>
      <w:tr w:rsidR="00B042DF" w:rsidRPr="007F6332" w14:paraId="4E338B51" w14:textId="77777777" w:rsidTr="00F57A0C">
        <w:trPr>
          <w:trHeight w:val="397"/>
        </w:trPr>
        <w:tc>
          <w:tcPr>
            <w:tcW w:w="9498" w:type="dxa"/>
            <w:gridSpan w:val="7"/>
            <w:shd w:val="clear" w:color="000000" w:fill="B398B8"/>
            <w:noWrap/>
            <w:vAlign w:val="center"/>
            <w:hideMark/>
          </w:tcPr>
          <w:p w14:paraId="5872FBD2" w14:textId="77777777" w:rsidR="00B042DF" w:rsidRPr="007F6332" w:rsidRDefault="00B042DF" w:rsidP="00E154C4">
            <w:pPr>
              <w:spacing w:after="0" w:line="240" w:lineRule="auto"/>
              <w:ind w:right="-64"/>
              <w:rPr>
                <w:rFonts w:eastAsia="Times New Roman" w:cs="Arial"/>
                <w:b/>
                <w:bCs/>
                <w:color w:val="000000"/>
                <w:szCs w:val="22"/>
                <w:lang w:eastAsia="en-AU"/>
              </w:rPr>
            </w:pPr>
            <w:r w:rsidRPr="007F6332">
              <w:rPr>
                <w:rFonts w:eastAsia="Times New Roman" w:cs="Arial"/>
                <w:b/>
                <w:bCs/>
                <w:color w:val="000000"/>
                <w:szCs w:val="22"/>
                <w:lang w:eastAsia="en-AU"/>
              </w:rPr>
              <w:t>Scenario 1: Higher number of participants in SIL</w:t>
            </w:r>
          </w:p>
        </w:tc>
      </w:tr>
      <w:tr w:rsidR="00B042DF" w:rsidRPr="007F6332" w14:paraId="6635E6AE" w14:textId="77777777" w:rsidTr="00CD33D0">
        <w:trPr>
          <w:trHeight w:val="397"/>
        </w:trPr>
        <w:tc>
          <w:tcPr>
            <w:tcW w:w="3261" w:type="dxa"/>
            <w:shd w:val="clear" w:color="auto" w:fill="auto"/>
            <w:noWrap/>
            <w:vAlign w:val="center"/>
            <w:hideMark/>
          </w:tcPr>
          <w:p w14:paraId="2A748F13" w14:textId="77777777" w:rsidR="00B042DF" w:rsidRPr="007F6332" w:rsidRDefault="00B042DF" w:rsidP="00D8325F">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1157" w:type="dxa"/>
            <w:shd w:val="clear" w:color="auto" w:fill="auto"/>
            <w:noWrap/>
            <w:vAlign w:val="center"/>
          </w:tcPr>
          <w:p w14:paraId="54A18DEA"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41,460</w:t>
            </w:r>
          </w:p>
        </w:tc>
        <w:tc>
          <w:tcPr>
            <w:tcW w:w="1016" w:type="dxa"/>
            <w:shd w:val="clear" w:color="auto" w:fill="auto"/>
            <w:noWrap/>
            <w:vAlign w:val="center"/>
          </w:tcPr>
          <w:p w14:paraId="54CE24D2"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46,540</w:t>
            </w:r>
          </w:p>
        </w:tc>
        <w:tc>
          <w:tcPr>
            <w:tcW w:w="1016" w:type="dxa"/>
            <w:shd w:val="clear" w:color="auto" w:fill="auto"/>
            <w:noWrap/>
            <w:vAlign w:val="center"/>
          </w:tcPr>
          <w:p w14:paraId="03676BD4"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51,085</w:t>
            </w:r>
          </w:p>
        </w:tc>
        <w:tc>
          <w:tcPr>
            <w:tcW w:w="1016" w:type="dxa"/>
            <w:tcBorders>
              <w:right w:val="dashed" w:sz="4" w:space="0" w:color="auto"/>
            </w:tcBorders>
            <w:shd w:val="clear" w:color="auto" w:fill="auto"/>
            <w:noWrap/>
            <w:vAlign w:val="center"/>
          </w:tcPr>
          <w:p w14:paraId="31A047D5"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55,645</w:t>
            </w:r>
          </w:p>
        </w:tc>
        <w:tc>
          <w:tcPr>
            <w:tcW w:w="1016" w:type="dxa"/>
            <w:tcBorders>
              <w:left w:val="dashed" w:sz="4" w:space="0" w:color="auto"/>
              <w:right w:val="single" w:sz="4" w:space="0" w:color="auto"/>
            </w:tcBorders>
            <w:shd w:val="clear" w:color="auto" w:fill="auto"/>
            <w:noWrap/>
            <w:vAlign w:val="center"/>
          </w:tcPr>
          <w:p w14:paraId="6CF08979"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94,008</w:t>
            </w:r>
          </w:p>
        </w:tc>
        <w:tc>
          <w:tcPr>
            <w:tcW w:w="1016" w:type="dxa"/>
            <w:tcBorders>
              <w:left w:val="single" w:sz="4" w:space="0" w:color="auto"/>
            </w:tcBorders>
            <w:shd w:val="clear" w:color="auto" w:fill="auto"/>
            <w:noWrap/>
            <w:vAlign w:val="center"/>
          </w:tcPr>
          <w:p w14:paraId="62D6D1A7"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194,731</w:t>
            </w:r>
          </w:p>
        </w:tc>
      </w:tr>
      <w:tr w:rsidR="00B042DF" w:rsidRPr="007F6332" w14:paraId="45664F41" w14:textId="77777777" w:rsidTr="00CD33D0">
        <w:trPr>
          <w:trHeight w:val="397"/>
        </w:trPr>
        <w:tc>
          <w:tcPr>
            <w:tcW w:w="3261" w:type="dxa"/>
            <w:shd w:val="clear" w:color="auto" w:fill="D1D3D4"/>
            <w:noWrap/>
            <w:vAlign w:val="center"/>
            <w:hideMark/>
          </w:tcPr>
          <w:p w14:paraId="3CDF9A72" w14:textId="77777777" w:rsidR="00B042DF" w:rsidRPr="007F6332" w:rsidRDefault="00B042DF" w:rsidP="0067744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1157" w:type="dxa"/>
            <w:shd w:val="clear" w:color="auto" w:fill="D1D3D4"/>
            <w:noWrap/>
            <w:vAlign w:val="center"/>
          </w:tcPr>
          <w:p w14:paraId="6934DD34"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101</w:t>
            </w:r>
          </w:p>
        </w:tc>
        <w:tc>
          <w:tcPr>
            <w:tcW w:w="1016" w:type="dxa"/>
            <w:shd w:val="clear" w:color="auto" w:fill="D1D3D4"/>
            <w:noWrap/>
            <w:vAlign w:val="center"/>
          </w:tcPr>
          <w:p w14:paraId="2C171345"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165</w:t>
            </w:r>
          </w:p>
        </w:tc>
        <w:tc>
          <w:tcPr>
            <w:tcW w:w="1016" w:type="dxa"/>
            <w:shd w:val="clear" w:color="auto" w:fill="D1D3D4"/>
            <w:noWrap/>
            <w:vAlign w:val="center"/>
          </w:tcPr>
          <w:p w14:paraId="0C4B0FD1"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297</w:t>
            </w:r>
          </w:p>
        </w:tc>
        <w:tc>
          <w:tcPr>
            <w:tcW w:w="1016" w:type="dxa"/>
            <w:tcBorders>
              <w:right w:val="dashed" w:sz="4" w:space="0" w:color="auto"/>
            </w:tcBorders>
            <w:shd w:val="clear" w:color="auto" w:fill="D1D3D4"/>
            <w:noWrap/>
            <w:vAlign w:val="center"/>
          </w:tcPr>
          <w:p w14:paraId="36AA7EEC"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438</w:t>
            </w:r>
          </w:p>
        </w:tc>
        <w:tc>
          <w:tcPr>
            <w:tcW w:w="1016" w:type="dxa"/>
            <w:tcBorders>
              <w:left w:val="dashed" w:sz="4" w:space="0" w:color="auto"/>
              <w:right w:val="single" w:sz="4" w:space="0" w:color="auto"/>
            </w:tcBorders>
            <w:shd w:val="clear" w:color="auto" w:fill="D1D3D4"/>
            <w:noWrap/>
            <w:vAlign w:val="center"/>
          </w:tcPr>
          <w:p w14:paraId="45D3EDD7"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1,667</w:t>
            </w:r>
          </w:p>
        </w:tc>
        <w:tc>
          <w:tcPr>
            <w:tcW w:w="1016" w:type="dxa"/>
            <w:tcBorders>
              <w:left w:val="single" w:sz="4" w:space="0" w:color="auto"/>
            </w:tcBorders>
            <w:shd w:val="clear" w:color="auto" w:fill="D1D3D4"/>
            <w:noWrap/>
            <w:vAlign w:val="center"/>
          </w:tcPr>
          <w:p w14:paraId="6E581D3B"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1,000</w:t>
            </w:r>
          </w:p>
        </w:tc>
      </w:tr>
      <w:tr w:rsidR="00B042DF" w:rsidRPr="007F6332" w14:paraId="77A23637" w14:textId="77777777" w:rsidTr="00F57A0C">
        <w:trPr>
          <w:trHeight w:val="397"/>
        </w:trPr>
        <w:tc>
          <w:tcPr>
            <w:tcW w:w="3261" w:type="dxa"/>
            <w:shd w:val="clear" w:color="auto" w:fill="A7A9AC"/>
            <w:noWrap/>
            <w:vAlign w:val="center"/>
            <w:hideMark/>
          </w:tcPr>
          <w:p w14:paraId="00FB3CF8" w14:textId="77777777" w:rsidR="00B042DF" w:rsidRPr="007F6332" w:rsidRDefault="00B042DF" w:rsidP="0067744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1157" w:type="dxa"/>
            <w:shd w:val="clear" w:color="auto" w:fill="A7A9AC"/>
            <w:noWrap/>
            <w:vAlign w:val="center"/>
          </w:tcPr>
          <w:p w14:paraId="415EAD17"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0.2%</w:t>
            </w:r>
          </w:p>
        </w:tc>
        <w:tc>
          <w:tcPr>
            <w:tcW w:w="1016" w:type="dxa"/>
            <w:shd w:val="clear" w:color="auto" w:fill="A7A9AC"/>
            <w:noWrap/>
            <w:vAlign w:val="center"/>
          </w:tcPr>
          <w:p w14:paraId="682331A2"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0.4%</w:t>
            </w:r>
          </w:p>
        </w:tc>
        <w:tc>
          <w:tcPr>
            <w:tcW w:w="1016" w:type="dxa"/>
            <w:shd w:val="clear" w:color="auto" w:fill="A7A9AC"/>
            <w:noWrap/>
            <w:vAlign w:val="center"/>
          </w:tcPr>
          <w:p w14:paraId="2933F6D5"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w:t>
            </w:r>
          </w:p>
        </w:tc>
        <w:tc>
          <w:tcPr>
            <w:tcW w:w="1016" w:type="dxa"/>
            <w:tcBorders>
              <w:right w:val="dashed" w:sz="4" w:space="0" w:color="auto"/>
            </w:tcBorders>
            <w:shd w:val="clear" w:color="auto" w:fill="A7A9AC"/>
            <w:noWrap/>
            <w:vAlign w:val="center"/>
          </w:tcPr>
          <w:p w14:paraId="49912132"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w:t>
            </w:r>
          </w:p>
        </w:tc>
        <w:tc>
          <w:tcPr>
            <w:tcW w:w="1016" w:type="dxa"/>
            <w:tcBorders>
              <w:left w:val="dashed" w:sz="4" w:space="0" w:color="auto"/>
              <w:right w:val="single" w:sz="4" w:space="0" w:color="auto"/>
            </w:tcBorders>
            <w:shd w:val="clear" w:color="auto" w:fill="A7A9AC"/>
            <w:noWrap/>
            <w:vAlign w:val="center"/>
          </w:tcPr>
          <w:p w14:paraId="5FB35081"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2%</w:t>
            </w:r>
          </w:p>
        </w:tc>
        <w:tc>
          <w:tcPr>
            <w:tcW w:w="1016" w:type="dxa"/>
            <w:tcBorders>
              <w:left w:val="single" w:sz="4" w:space="0" w:color="auto"/>
            </w:tcBorders>
            <w:shd w:val="clear" w:color="auto" w:fill="A7A9AC"/>
            <w:noWrap/>
            <w:vAlign w:val="center"/>
          </w:tcPr>
          <w:p w14:paraId="7D2460CB"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0.5%</w:t>
            </w:r>
          </w:p>
        </w:tc>
      </w:tr>
      <w:tr w:rsidR="00B042DF" w:rsidRPr="007F6332" w14:paraId="13E08153" w14:textId="77777777" w:rsidTr="00F57A0C">
        <w:trPr>
          <w:trHeight w:val="397"/>
        </w:trPr>
        <w:tc>
          <w:tcPr>
            <w:tcW w:w="9498" w:type="dxa"/>
            <w:gridSpan w:val="7"/>
            <w:shd w:val="clear" w:color="000000" w:fill="B398B8"/>
            <w:noWrap/>
            <w:vAlign w:val="center"/>
            <w:hideMark/>
          </w:tcPr>
          <w:p w14:paraId="2506E088" w14:textId="77777777" w:rsidR="00B042DF" w:rsidRPr="007F6332" w:rsidRDefault="00B042DF" w:rsidP="00E154C4">
            <w:pPr>
              <w:spacing w:after="0" w:line="240" w:lineRule="auto"/>
              <w:ind w:right="-64"/>
              <w:rPr>
                <w:rFonts w:eastAsia="Times New Roman" w:cs="Arial"/>
                <w:b/>
                <w:bCs/>
                <w:color w:val="000000"/>
                <w:szCs w:val="22"/>
                <w:lang w:eastAsia="en-AU"/>
              </w:rPr>
            </w:pPr>
            <w:r w:rsidRPr="007F6332">
              <w:rPr>
                <w:rFonts w:eastAsia="Times New Roman" w:cs="Arial"/>
                <w:b/>
                <w:bCs/>
                <w:color w:val="000000"/>
                <w:szCs w:val="22"/>
                <w:lang w:eastAsia="en-AU"/>
              </w:rPr>
              <w:t>Scenario 2: Lower number of participants in SIL</w:t>
            </w:r>
          </w:p>
        </w:tc>
      </w:tr>
      <w:tr w:rsidR="00B042DF" w:rsidRPr="007F6332" w14:paraId="1DA1F900" w14:textId="77777777" w:rsidTr="00CD33D0">
        <w:trPr>
          <w:trHeight w:val="397"/>
        </w:trPr>
        <w:tc>
          <w:tcPr>
            <w:tcW w:w="3261" w:type="dxa"/>
            <w:shd w:val="clear" w:color="auto" w:fill="auto"/>
            <w:noWrap/>
            <w:vAlign w:val="center"/>
            <w:hideMark/>
          </w:tcPr>
          <w:p w14:paraId="26CDFE4F" w14:textId="77777777" w:rsidR="00B042DF" w:rsidRPr="007F6332" w:rsidRDefault="00B042DF" w:rsidP="00D8325F">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1157" w:type="dxa"/>
            <w:shd w:val="clear" w:color="auto" w:fill="auto"/>
            <w:noWrap/>
            <w:vAlign w:val="center"/>
          </w:tcPr>
          <w:p w14:paraId="47A1D62B"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41,320</w:t>
            </w:r>
          </w:p>
        </w:tc>
        <w:tc>
          <w:tcPr>
            <w:tcW w:w="1016" w:type="dxa"/>
            <w:shd w:val="clear" w:color="auto" w:fill="auto"/>
            <w:noWrap/>
            <w:vAlign w:val="center"/>
          </w:tcPr>
          <w:p w14:paraId="26A215AD"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46,310</w:t>
            </w:r>
          </w:p>
        </w:tc>
        <w:tc>
          <w:tcPr>
            <w:tcW w:w="1016" w:type="dxa"/>
            <w:shd w:val="clear" w:color="auto" w:fill="auto"/>
            <w:noWrap/>
            <w:vAlign w:val="center"/>
          </w:tcPr>
          <w:p w14:paraId="33265076"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50,669</w:t>
            </w:r>
          </w:p>
        </w:tc>
        <w:tc>
          <w:tcPr>
            <w:tcW w:w="1016" w:type="dxa"/>
            <w:tcBorders>
              <w:right w:val="dashed" w:sz="4" w:space="0" w:color="auto"/>
            </w:tcBorders>
            <w:shd w:val="clear" w:color="auto" w:fill="auto"/>
            <w:noWrap/>
            <w:vAlign w:val="center"/>
          </w:tcPr>
          <w:p w14:paraId="5FE984B3"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55,032</w:t>
            </w:r>
          </w:p>
        </w:tc>
        <w:tc>
          <w:tcPr>
            <w:tcW w:w="1016" w:type="dxa"/>
            <w:tcBorders>
              <w:left w:val="dashed" w:sz="4" w:space="0" w:color="auto"/>
              <w:right w:val="single" w:sz="4" w:space="0" w:color="auto"/>
            </w:tcBorders>
            <w:shd w:val="clear" w:color="auto" w:fill="auto"/>
            <w:noWrap/>
            <w:vAlign w:val="center"/>
          </w:tcPr>
          <w:p w14:paraId="1C94ABF5"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91,669</w:t>
            </w:r>
          </w:p>
        </w:tc>
        <w:tc>
          <w:tcPr>
            <w:tcW w:w="1016" w:type="dxa"/>
            <w:tcBorders>
              <w:left w:val="single" w:sz="4" w:space="0" w:color="auto"/>
            </w:tcBorders>
            <w:shd w:val="clear" w:color="auto" w:fill="auto"/>
            <w:noWrap/>
            <w:vAlign w:val="center"/>
          </w:tcPr>
          <w:p w14:paraId="0E95A32F"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193,330</w:t>
            </w:r>
          </w:p>
        </w:tc>
      </w:tr>
      <w:tr w:rsidR="00B042DF" w:rsidRPr="007F6332" w14:paraId="17100369" w14:textId="77777777" w:rsidTr="00CD33D0">
        <w:trPr>
          <w:trHeight w:val="397"/>
        </w:trPr>
        <w:tc>
          <w:tcPr>
            <w:tcW w:w="3261" w:type="dxa"/>
            <w:shd w:val="clear" w:color="auto" w:fill="D1D3D4"/>
            <w:noWrap/>
            <w:vAlign w:val="center"/>
            <w:hideMark/>
          </w:tcPr>
          <w:p w14:paraId="69DA2DF1" w14:textId="77777777" w:rsidR="00B042DF" w:rsidRPr="007F6332" w:rsidRDefault="00B042DF" w:rsidP="0067744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1157" w:type="dxa"/>
            <w:shd w:val="clear" w:color="auto" w:fill="D1D3D4"/>
            <w:noWrap/>
            <w:vAlign w:val="center"/>
          </w:tcPr>
          <w:p w14:paraId="7221788C"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-40</w:t>
            </w:r>
          </w:p>
        </w:tc>
        <w:tc>
          <w:tcPr>
            <w:tcW w:w="1016" w:type="dxa"/>
            <w:shd w:val="clear" w:color="auto" w:fill="D1D3D4"/>
            <w:noWrap/>
            <w:vAlign w:val="center"/>
          </w:tcPr>
          <w:p w14:paraId="091A98AF"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-66</w:t>
            </w:r>
          </w:p>
        </w:tc>
        <w:tc>
          <w:tcPr>
            <w:tcW w:w="1016" w:type="dxa"/>
            <w:shd w:val="clear" w:color="auto" w:fill="D1D3D4"/>
            <w:noWrap/>
            <w:vAlign w:val="center"/>
          </w:tcPr>
          <w:p w14:paraId="5C6034EF"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-119</w:t>
            </w:r>
          </w:p>
        </w:tc>
        <w:tc>
          <w:tcPr>
            <w:tcW w:w="1016" w:type="dxa"/>
            <w:tcBorders>
              <w:right w:val="dashed" w:sz="4" w:space="0" w:color="auto"/>
            </w:tcBorders>
            <w:shd w:val="clear" w:color="auto" w:fill="D1D3D4"/>
            <w:noWrap/>
            <w:vAlign w:val="center"/>
          </w:tcPr>
          <w:p w14:paraId="71DB99FA"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-176</w:t>
            </w:r>
          </w:p>
        </w:tc>
        <w:tc>
          <w:tcPr>
            <w:tcW w:w="1016" w:type="dxa"/>
            <w:tcBorders>
              <w:left w:val="dashed" w:sz="4" w:space="0" w:color="auto"/>
              <w:right w:val="single" w:sz="4" w:space="0" w:color="auto"/>
            </w:tcBorders>
            <w:shd w:val="clear" w:color="auto" w:fill="D1D3D4"/>
            <w:noWrap/>
            <w:vAlign w:val="center"/>
          </w:tcPr>
          <w:p w14:paraId="10AEEDE8"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-672</w:t>
            </w:r>
          </w:p>
        </w:tc>
        <w:tc>
          <w:tcPr>
            <w:tcW w:w="1016" w:type="dxa"/>
            <w:tcBorders>
              <w:left w:val="single" w:sz="4" w:space="0" w:color="auto"/>
            </w:tcBorders>
            <w:shd w:val="clear" w:color="auto" w:fill="D1D3D4"/>
            <w:noWrap/>
            <w:vAlign w:val="center"/>
          </w:tcPr>
          <w:p w14:paraId="21E987EB"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-401</w:t>
            </w:r>
          </w:p>
        </w:tc>
      </w:tr>
      <w:tr w:rsidR="00B042DF" w:rsidRPr="007F6332" w14:paraId="5FA2F34D" w14:textId="77777777" w:rsidTr="00CD33D0">
        <w:trPr>
          <w:trHeight w:val="260"/>
        </w:trPr>
        <w:tc>
          <w:tcPr>
            <w:tcW w:w="3261" w:type="dxa"/>
            <w:tcBorders>
              <w:bottom w:val="single" w:sz="4" w:space="0" w:color="auto"/>
            </w:tcBorders>
            <w:shd w:val="clear" w:color="auto" w:fill="A7A9AC"/>
            <w:noWrap/>
            <w:vAlign w:val="bottom"/>
            <w:hideMark/>
          </w:tcPr>
          <w:p w14:paraId="5C5FA018" w14:textId="77777777" w:rsidR="00B042DF" w:rsidRPr="007F6332" w:rsidRDefault="00B042DF" w:rsidP="0067744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1157" w:type="dxa"/>
            <w:tcBorders>
              <w:bottom w:val="single" w:sz="4" w:space="0" w:color="auto"/>
            </w:tcBorders>
            <w:shd w:val="clear" w:color="auto" w:fill="A7A9AC"/>
            <w:noWrap/>
            <w:vAlign w:val="bottom"/>
          </w:tcPr>
          <w:p w14:paraId="5B8DA776"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-0.1%</w:t>
            </w:r>
          </w:p>
        </w:tc>
        <w:tc>
          <w:tcPr>
            <w:tcW w:w="1016" w:type="dxa"/>
            <w:tcBorders>
              <w:bottom w:val="single" w:sz="4" w:space="0" w:color="auto"/>
            </w:tcBorders>
            <w:shd w:val="clear" w:color="auto" w:fill="A7A9AC"/>
            <w:noWrap/>
            <w:vAlign w:val="bottom"/>
          </w:tcPr>
          <w:p w14:paraId="645E458A"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-0.1%</w:t>
            </w:r>
          </w:p>
        </w:tc>
        <w:tc>
          <w:tcPr>
            <w:tcW w:w="1016" w:type="dxa"/>
            <w:tcBorders>
              <w:bottom w:val="single" w:sz="4" w:space="0" w:color="auto"/>
            </w:tcBorders>
            <w:shd w:val="clear" w:color="auto" w:fill="A7A9AC"/>
            <w:noWrap/>
            <w:vAlign w:val="bottom"/>
          </w:tcPr>
          <w:p w14:paraId="0F9E99A6"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-0.2%</w:t>
            </w:r>
          </w:p>
        </w:tc>
        <w:tc>
          <w:tcPr>
            <w:tcW w:w="1016" w:type="dxa"/>
            <w:tcBorders>
              <w:bottom w:val="single" w:sz="4" w:space="0" w:color="auto"/>
              <w:right w:val="dashed" w:sz="4" w:space="0" w:color="auto"/>
            </w:tcBorders>
            <w:shd w:val="clear" w:color="auto" w:fill="A7A9AC"/>
            <w:noWrap/>
            <w:vAlign w:val="bottom"/>
          </w:tcPr>
          <w:p w14:paraId="527938F7"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-0.3%</w:t>
            </w:r>
          </w:p>
        </w:tc>
        <w:tc>
          <w:tcPr>
            <w:tcW w:w="1016" w:type="dxa"/>
            <w:tcBorders>
              <w:left w:val="dashed" w:sz="4" w:space="0" w:color="auto"/>
              <w:bottom w:val="single" w:sz="4" w:space="0" w:color="auto"/>
              <w:right w:val="single" w:sz="4" w:space="0" w:color="auto"/>
            </w:tcBorders>
            <w:shd w:val="clear" w:color="auto" w:fill="A7A9AC"/>
            <w:noWrap/>
            <w:vAlign w:val="bottom"/>
          </w:tcPr>
          <w:p w14:paraId="0F8B3666"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-1%</w:t>
            </w:r>
          </w:p>
        </w:tc>
        <w:tc>
          <w:tcPr>
            <w:tcW w:w="1016" w:type="dxa"/>
            <w:tcBorders>
              <w:left w:val="single" w:sz="4" w:space="0" w:color="auto"/>
              <w:bottom w:val="single" w:sz="4" w:space="0" w:color="auto"/>
            </w:tcBorders>
            <w:shd w:val="clear" w:color="auto" w:fill="A7A9AC"/>
            <w:noWrap/>
            <w:vAlign w:val="bottom"/>
          </w:tcPr>
          <w:p w14:paraId="6AB29249" w14:textId="77777777" w:rsidR="00B042DF" w:rsidRPr="007F6332" w:rsidRDefault="00B042DF" w:rsidP="00E154C4">
            <w:pPr>
              <w:spacing w:after="0" w:line="240" w:lineRule="auto"/>
              <w:ind w:right="-64"/>
              <w:jc w:val="right"/>
              <w:rPr>
                <w:rFonts w:eastAsia="Times New Roman" w:cs="Arial"/>
                <w:color w:val="000000"/>
                <w:szCs w:val="22"/>
                <w:lang w:eastAsia="en-AU"/>
              </w:rPr>
            </w:pPr>
            <w:r w:rsidRPr="007F6332">
              <w:rPr>
                <w:rFonts w:cs="Arial"/>
                <w:color w:val="000000"/>
                <w:szCs w:val="22"/>
              </w:rPr>
              <w:t>-0.2%</w:t>
            </w:r>
          </w:p>
        </w:tc>
      </w:tr>
    </w:tbl>
    <w:p w14:paraId="47B209F4" w14:textId="77777777" w:rsidR="00B042DF" w:rsidRPr="007F6332" w:rsidRDefault="00B042DF" w:rsidP="00EF79DA">
      <w:pPr>
        <w:pStyle w:val="Heading4"/>
        <w:ind w:left="851" w:hanging="851"/>
        <w:rPr>
          <w:rFonts w:cs="Arial"/>
        </w:rPr>
      </w:pPr>
      <w:r w:rsidRPr="007F6332">
        <w:rPr>
          <w:rFonts w:cs="Arial"/>
        </w:rPr>
        <w:t>Rate of participants leaving the Scheme</w:t>
      </w:r>
    </w:p>
    <w:p w14:paraId="1434A524" w14:textId="44EA357F" w:rsidR="00B042DF" w:rsidRPr="007F6332" w:rsidRDefault="00B042DF" w:rsidP="00B042DF">
      <w:pPr>
        <w:rPr>
          <w:rFonts w:cs="Arial"/>
        </w:rPr>
      </w:pPr>
      <w:r w:rsidRPr="007F6332">
        <w:rPr>
          <w:rFonts w:cs="Arial"/>
        </w:rPr>
        <w:t xml:space="preserve">The observed rates of participants leaving the Scheme, for reasons other than death, are lower than projected in previous reports and the level of participants leaving the Scheme in the future remains uncertain. In particular, the projected Scheme expenses presented in this report assume a higher rate of participants leaving the Scheme relative to the previous review. This is in response to expectations of the impact of the planned </w:t>
      </w:r>
      <w:r w:rsidR="002D6881" w:rsidRPr="007F6332">
        <w:rPr>
          <w:rFonts w:cs="Arial"/>
        </w:rPr>
        <w:t>Budget initiatives</w:t>
      </w:r>
      <w:r w:rsidRPr="007F6332">
        <w:rPr>
          <w:rFonts w:cs="Arial"/>
        </w:rPr>
        <w:t>.</w:t>
      </w:r>
    </w:p>
    <w:p w14:paraId="1BA66F09" w14:textId="77777777" w:rsidR="00BC6A52" w:rsidRPr="007F6332" w:rsidRDefault="00B042DF" w:rsidP="00BC6A52">
      <w:pPr>
        <w:rPr>
          <w:rFonts w:cs="Arial"/>
        </w:rPr>
      </w:pPr>
      <w:r w:rsidRPr="007F6332">
        <w:rPr>
          <w:rFonts w:cs="Arial"/>
        </w:rPr>
        <w:t xml:space="preserve">To quantify the inherent uncertainty, </w:t>
      </w:r>
      <w:r w:rsidR="00601AA4" w:rsidRPr="007F6332">
        <w:rPr>
          <w:rFonts w:cs="Arial"/>
        </w:rPr>
        <w:t>Table 6.6</w:t>
      </w:r>
      <w:r w:rsidRPr="007F6332">
        <w:rPr>
          <w:rFonts w:cs="Arial"/>
        </w:rPr>
        <w:t xml:space="preserve"> presents a scenario where the impact of </w:t>
      </w:r>
      <w:r w:rsidR="002D6881" w:rsidRPr="007F6332">
        <w:rPr>
          <w:rFonts w:cs="Arial"/>
        </w:rPr>
        <w:t>Budget initiatives</w:t>
      </w:r>
      <w:r w:rsidRPr="007F6332">
        <w:rPr>
          <w:rFonts w:cs="Arial"/>
        </w:rPr>
        <w:t xml:space="preserve"> on the rate of participants leaving the Scheme is removed. The result is an additional $0.3 billion in 2026-27 and $1.2 billion in 2032-33 to total Scheme expenses.</w:t>
      </w:r>
    </w:p>
    <w:p w14:paraId="741DF657" w14:textId="6DBD8BBB" w:rsidR="00B042DF" w:rsidRPr="007F6332" w:rsidRDefault="00950565" w:rsidP="00945CBF">
      <w:pPr>
        <w:pStyle w:val="FiguresandTablesHeading5"/>
      </w:pPr>
      <w:r w:rsidRPr="007F6332">
        <w:t>Table 6.6</w:t>
      </w:r>
      <w:r w:rsidR="00206583" w:rsidRPr="007F6332">
        <w:t>:</w:t>
      </w:r>
      <w:r w:rsidR="00B042DF" w:rsidRPr="007F6332">
        <w:t xml:space="preserve"> </w:t>
      </w:r>
      <w:r w:rsidR="00E06963" w:rsidRPr="007F6332">
        <w:t>Scenarios</w:t>
      </w:r>
      <w:r w:rsidR="00B042DF" w:rsidRPr="007F6332">
        <w:t xml:space="preserve"> with a lower rate of participants leaving the Scheme – Projected Scheme expenses and variance to the </w:t>
      </w:r>
      <w:r w:rsidR="00206583" w:rsidRPr="007F6332">
        <w:t>June 2023 projections</w:t>
      </w:r>
    </w:p>
    <w:tbl>
      <w:tblPr>
        <w:tblW w:w="9356" w:type="dxa"/>
        <w:tblLayout w:type="fixed"/>
        <w:tblLook w:val="04A0" w:firstRow="1" w:lastRow="0" w:firstColumn="1" w:lastColumn="0" w:noHBand="0" w:noVBand="1"/>
      </w:tblPr>
      <w:tblGrid>
        <w:gridCol w:w="2268"/>
        <w:gridCol w:w="1181"/>
        <w:gridCol w:w="1181"/>
        <w:gridCol w:w="1182"/>
        <w:gridCol w:w="1181"/>
        <w:gridCol w:w="1181"/>
        <w:gridCol w:w="1182"/>
      </w:tblGrid>
      <w:tr w:rsidR="00B042DF" w:rsidRPr="007F6332" w14:paraId="38894816" w14:textId="77777777" w:rsidTr="00CD33D0">
        <w:trPr>
          <w:trHeight w:val="260"/>
        </w:trPr>
        <w:tc>
          <w:tcPr>
            <w:tcW w:w="2268" w:type="dxa"/>
            <w:shd w:val="clear" w:color="000000" w:fill="6B2976"/>
            <w:noWrap/>
            <w:vAlign w:val="center"/>
            <w:hideMark/>
          </w:tcPr>
          <w:p w14:paraId="2896397D" w14:textId="77777777" w:rsidR="00B042DF" w:rsidRPr="007F6332" w:rsidRDefault="00B042DF" w:rsidP="00D8325F">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Scheme expenses ($m)</w:t>
            </w:r>
          </w:p>
        </w:tc>
        <w:tc>
          <w:tcPr>
            <w:tcW w:w="1181" w:type="dxa"/>
            <w:shd w:val="clear" w:color="000000" w:fill="6B2976"/>
            <w:noWrap/>
            <w:vAlign w:val="center"/>
            <w:hideMark/>
          </w:tcPr>
          <w:p w14:paraId="26282B02" w14:textId="43FE7B14" w:rsidR="00B042DF" w:rsidRPr="007F6332" w:rsidRDefault="00B042DF" w:rsidP="00E154C4">
            <w:pPr>
              <w:spacing w:after="0" w:line="240" w:lineRule="auto"/>
              <w:ind w:left="-104"/>
              <w:jc w:val="center"/>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1181" w:type="dxa"/>
            <w:shd w:val="clear" w:color="000000" w:fill="6B2976"/>
            <w:noWrap/>
            <w:vAlign w:val="center"/>
            <w:hideMark/>
          </w:tcPr>
          <w:p w14:paraId="6E06A0D9" w14:textId="7A27E084" w:rsidR="00B042DF" w:rsidRPr="007F6332" w:rsidRDefault="00B042DF" w:rsidP="00E154C4">
            <w:pPr>
              <w:spacing w:after="0" w:line="240" w:lineRule="auto"/>
              <w:ind w:left="-104"/>
              <w:jc w:val="center"/>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82" w:type="dxa"/>
            <w:shd w:val="clear" w:color="000000" w:fill="6B2976"/>
            <w:noWrap/>
            <w:vAlign w:val="center"/>
            <w:hideMark/>
          </w:tcPr>
          <w:p w14:paraId="0F559CB8" w14:textId="59D879AB" w:rsidR="00B042DF" w:rsidRPr="007F6332" w:rsidRDefault="00B042DF" w:rsidP="00E154C4">
            <w:pPr>
              <w:spacing w:after="0" w:line="240" w:lineRule="auto"/>
              <w:ind w:left="-104"/>
              <w:jc w:val="center"/>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1181" w:type="dxa"/>
            <w:tcBorders>
              <w:right w:val="dashed" w:sz="4" w:space="0" w:color="auto"/>
            </w:tcBorders>
            <w:shd w:val="clear" w:color="000000" w:fill="6B2976"/>
            <w:noWrap/>
            <w:vAlign w:val="center"/>
            <w:hideMark/>
          </w:tcPr>
          <w:p w14:paraId="626A0A4B" w14:textId="6D1DD203" w:rsidR="00B042DF" w:rsidRPr="007F6332" w:rsidRDefault="00B042DF" w:rsidP="00E154C4">
            <w:pPr>
              <w:spacing w:after="0" w:line="240" w:lineRule="auto"/>
              <w:ind w:left="-104"/>
              <w:jc w:val="center"/>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1181" w:type="dxa"/>
            <w:tcBorders>
              <w:left w:val="dashed" w:sz="4" w:space="0" w:color="auto"/>
              <w:right w:val="single" w:sz="4" w:space="0" w:color="auto"/>
            </w:tcBorders>
            <w:shd w:val="clear" w:color="000000" w:fill="6B2976"/>
            <w:noWrap/>
            <w:vAlign w:val="center"/>
            <w:hideMark/>
          </w:tcPr>
          <w:p w14:paraId="1919DC14" w14:textId="3E3187CB" w:rsidR="00B042DF" w:rsidRPr="007F6332" w:rsidRDefault="00B042DF" w:rsidP="00E154C4">
            <w:pPr>
              <w:spacing w:after="0" w:line="240" w:lineRule="auto"/>
              <w:ind w:left="-104"/>
              <w:jc w:val="center"/>
              <w:rPr>
                <w:rFonts w:eastAsia="Times New Roman" w:cs="Arial"/>
                <w:b/>
                <w:bCs/>
                <w:color w:val="FFFFFF"/>
                <w:szCs w:val="22"/>
                <w:lang w:eastAsia="en-AU"/>
              </w:rPr>
            </w:pPr>
            <w:r w:rsidRPr="007F6332">
              <w:rPr>
                <w:rFonts w:eastAsia="Times New Roman" w:cs="Arial"/>
                <w:b/>
                <w:bCs/>
                <w:color w:val="FFFFFF"/>
                <w:szCs w:val="22"/>
                <w:lang w:eastAsia="en-AU"/>
              </w:rPr>
              <w:t>2032-33</w:t>
            </w:r>
          </w:p>
        </w:tc>
        <w:tc>
          <w:tcPr>
            <w:tcW w:w="1182" w:type="dxa"/>
            <w:tcBorders>
              <w:left w:val="single" w:sz="4" w:space="0" w:color="auto"/>
            </w:tcBorders>
            <w:shd w:val="clear" w:color="000000" w:fill="6B2976"/>
            <w:noWrap/>
            <w:vAlign w:val="center"/>
            <w:hideMark/>
          </w:tcPr>
          <w:p w14:paraId="101CB646" w14:textId="235200D3" w:rsidR="00B042DF" w:rsidRPr="007F6332" w:rsidRDefault="00206583" w:rsidP="00E154C4">
            <w:pPr>
              <w:spacing w:after="0" w:line="240" w:lineRule="auto"/>
              <w:ind w:left="-104"/>
              <w:jc w:val="right"/>
              <w:rPr>
                <w:rFonts w:eastAsia="Times New Roman" w:cs="Arial"/>
                <w:b/>
                <w:bCs/>
                <w:color w:val="FFFFFF"/>
                <w:szCs w:val="22"/>
                <w:lang w:eastAsia="en-AU"/>
              </w:rPr>
            </w:pPr>
            <w:r w:rsidRPr="007F6332">
              <w:rPr>
                <w:rFonts w:eastAsia="Times New Roman" w:cs="Arial"/>
                <w:b/>
                <w:bCs/>
                <w:color w:val="FFFFFF"/>
                <w:szCs w:val="22"/>
                <w:lang w:eastAsia="en-AU"/>
              </w:rPr>
              <w:t xml:space="preserve">Total </w:t>
            </w:r>
            <w:r w:rsidR="00B042DF" w:rsidRPr="007F6332">
              <w:rPr>
                <w:rFonts w:eastAsia="Times New Roman" w:cs="Arial"/>
                <w:b/>
                <w:bCs/>
                <w:color w:val="FFFFFF"/>
                <w:szCs w:val="22"/>
                <w:lang w:eastAsia="en-AU"/>
              </w:rPr>
              <w:t>2023-27</w:t>
            </w:r>
          </w:p>
        </w:tc>
      </w:tr>
      <w:tr w:rsidR="00B042DF" w:rsidRPr="007F6332" w14:paraId="349B74BB" w14:textId="77777777" w:rsidTr="00E81C0D">
        <w:trPr>
          <w:trHeight w:val="397"/>
        </w:trPr>
        <w:tc>
          <w:tcPr>
            <w:tcW w:w="2268" w:type="dxa"/>
            <w:shd w:val="clear" w:color="auto" w:fill="auto"/>
            <w:vAlign w:val="center"/>
            <w:hideMark/>
          </w:tcPr>
          <w:p w14:paraId="059F57BA" w14:textId="55F22FA7" w:rsidR="00B042DF" w:rsidRPr="007F6332" w:rsidRDefault="00B042DF" w:rsidP="00D8325F">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Baseline: </w:t>
            </w:r>
            <w:r w:rsidR="00206583" w:rsidRPr="007F6332">
              <w:rPr>
                <w:rFonts w:eastAsia="Times New Roman" w:cs="Arial"/>
                <w:color w:val="000000"/>
                <w:szCs w:val="22"/>
                <w:lang w:eastAsia="en-AU"/>
              </w:rPr>
              <w:t xml:space="preserve">June 2023 projections </w:t>
            </w:r>
            <w:r w:rsidRPr="007F6332">
              <w:rPr>
                <w:rFonts w:eastAsia="Times New Roman" w:cs="Arial"/>
                <w:color w:val="000000"/>
                <w:szCs w:val="22"/>
                <w:lang w:eastAsia="en-AU"/>
              </w:rPr>
              <w:t>($m)</w:t>
            </w:r>
          </w:p>
        </w:tc>
        <w:tc>
          <w:tcPr>
            <w:tcW w:w="1181" w:type="dxa"/>
            <w:shd w:val="clear" w:color="auto" w:fill="auto"/>
            <w:noWrap/>
            <w:vAlign w:val="center"/>
            <w:hideMark/>
          </w:tcPr>
          <w:p w14:paraId="4CF524FB" w14:textId="77777777" w:rsidR="00B042DF" w:rsidRPr="007F6332" w:rsidRDefault="00B042DF" w:rsidP="00E154C4">
            <w:pPr>
              <w:spacing w:after="0" w:line="240" w:lineRule="auto"/>
              <w:ind w:left="-104" w:right="146"/>
              <w:jc w:val="right"/>
              <w:rPr>
                <w:rFonts w:eastAsia="Times New Roman" w:cs="Arial"/>
                <w:color w:val="000000"/>
                <w:szCs w:val="22"/>
                <w:lang w:eastAsia="en-AU"/>
              </w:rPr>
            </w:pPr>
            <w:r w:rsidRPr="007F6332">
              <w:rPr>
                <w:rFonts w:eastAsia="Times New Roman" w:cs="Arial"/>
                <w:color w:val="000000"/>
                <w:szCs w:val="22"/>
                <w:lang w:eastAsia="en-AU"/>
              </w:rPr>
              <w:t>41,360</w:t>
            </w:r>
          </w:p>
        </w:tc>
        <w:tc>
          <w:tcPr>
            <w:tcW w:w="1181" w:type="dxa"/>
            <w:shd w:val="clear" w:color="auto" w:fill="auto"/>
            <w:noWrap/>
            <w:vAlign w:val="center"/>
            <w:hideMark/>
          </w:tcPr>
          <w:p w14:paraId="739883AD" w14:textId="77777777" w:rsidR="00B042DF" w:rsidRPr="007F6332" w:rsidRDefault="00B042DF" w:rsidP="00E154C4">
            <w:pPr>
              <w:spacing w:after="0" w:line="240" w:lineRule="auto"/>
              <w:ind w:left="-104" w:right="249"/>
              <w:jc w:val="right"/>
              <w:rPr>
                <w:rFonts w:eastAsia="Times New Roman" w:cs="Arial"/>
                <w:color w:val="000000"/>
                <w:szCs w:val="22"/>
                <w:lang w:eastAsia="en-AU"/>
              </w:rPr>
            </w:pPr>
            <w:r w:rsidRPr="007F6332">
              <w:rPr>
                <w:rFonts w:eastAsia="Times New Roman" w:cs="Arial"/>
                <w:color w:val="000000"/>
                <w:szCs w:val="22"/>
                <w:lang w:eastAsia="en-AU"/>
              </w:rPr>
              <w:t>46,376</w:t>
            </w:r>
          </w:p>
        </w:tc>
        <w:tc>
          <w:tcPr>
            <w:tcW w:w="1182" w:type="dxa"/>
            <w:shd w:val="clear" w:color="auto" w:fill="auto"/>
            <w:noWrap/>
            <w:vAlign w:val="center"/>
            <w:hideMark/>
          </w:tcPr>
          <w:p w14:paraId="3D008387" w14:textId="77777777" w:rsidR="00B042DF" w:rsidRPr="007F6332" w:rsidRDefault="00B042DF" w:rsidP="00E154C4">
            <w:pPr>
              <w:spacing w:after="0" w:line="240" w:lineRule="auto"/>
              <w:ind w:left="-104" w:right="227"/>
              <w:jc w:val="right"/>
              <w:rPr>
                <w:rFonts w:eastAsia="Times New Roman" w:cs="Arial"/>
                <w:color w:val="000000"/>
                <w:szCs w:val="22"/>
                <w:lang w:eastAsia="en-AU"/>
              </w:rPr>
            </w:pPr>
            <w:r w:rsidRPr="007F6332">
              <w:rPr>
                <w:rFonts w:eastAsia="Times New Roman" w:cs="Arial"/>
                <w:color w:val="000000"/>
                <w:szCs w:val="22"/>
                <w:lang w:eastAsia="en-AU"/>
              </w:rPr>
              <w:t>50,788</w:t>
            </w:r>
          </w:p>
        </w:tc>
        <w:tc>
          <w:tcPr>
            <w:tcW w:w="1181" w:type="dxa"/>
            <w:tcBorders>
              <w:right w:val="dashed" w:sz="4" w:space="0" w:color="auto"/>
            </w:tcBorders>
            <w:shd w:val="clear" w:color="auto" w:fill="auto"/>
            <w:noWrap/>
            <w:vAlign w:val="center"/>
            <w:hideMark/>
          </w:tcPr>
          <w:p w14:paraId="57C2994C" w14:textId="77777777" w:rsidR="00B042DF" w:rsidRPr="007F6332" w:rsidRDefault="00B042DF" w:rsidP="00E154C4">
            <w:pPr>
              <w:spacing w:after="0" w:line="240" w:lineRule="auto"/>
              <w:ind w:left="-104" w:right="187"/>
              <w:jc w:val="right"/>
              <w:rPr>
                <w:rFonts w:eastAsia="Times New Roman" w:cs="Arial"/>
                <w:color w:val="000000"/>
                <w:szCs w:val="22"/>
                <w:lang w:eastAsia="en-AU"/>
              </w:rPr>
            </w:pPr>
            <w:r w:rsidRPr="007F6332">
              <w:rPr>
                <w:rFonts w:eastAsia="Times New Roman" w:cs="Arial"/>
                <w:color w:val="000000"/>
                <w:szCs w:val="22"/>
                <w:lang w:eastAsia="en-AU"/>
              </w:rPr>
              <w:t>55,207</w:t>
            </w:r>
          </w:p>
        </w:tc>
        <w:tc>
          <w:tcPr>
            <w:tcW w:w="1181" w:type="dxa"/>
            <w:tcBorders>
              <w:left w:val="dashed" w:sz="4" w:space="0" w:color="auto"/>
              <w:right w:val="single" w:sz="4" w:space="0" w:color="auto"/>
            </w:tcBorders>
            <w:shd w:val="clear" w:color="auto" w:fill="auto"/>
            <w:noWrap/>
            <w:vAlign w:val="center"/>
            <w:hideMark/>
          </w:tcPr>
          <w:p w14:paraId="5F7FEED8" w14:textId="77777777" w:rsidR="00B042DF" w:rsidRPr="007F6332" w:rsidRDefault="00B042DF" w:rsidP="00E154C4">
            <w:pPr>
              <w:spacing w:after="0" w:line="240" w:lineRule="auto"/>
              <w:ind w:left="-104" w:right="165"/>
              <w:jc w:val="right"/>
              <w:rPr>
                <w:rFonts w:eastAsia="Times New Roman" w:cs="Arial"/>
                <w:color w:val="000000"/>
                <w:szCs w:val="22"/>
                <w:lang w:eastAsia="en-AU"/>
              </w:rPr>
            </w:pPr>
            <w:r w:rsidRPr="007F6332">
              <w:rPr>
                <w:rFonts w:eastAsia="Times New Roman" w:cs="Arial"/>
                <w:color w:val="000000"/>
                <w:szCs w:val="22"/>
                <w:lang w:eastAsia="en-AU"/>
              </w:rPr>
              <w:t>92,341</w:t>
            </w:r>
          </w:p>
        </w:tc>
        <w:tc>
          <w:tcPr>
            <w:tcW w:w="1182" w:type="dxa"/>
            <w:tcBorders>
              <w:left w:val="single" w:sz="4" w:space="0" w:color="auto"/>
            </w:tcBorders>
            <w:shd w:val="clear" w:color="auto" w:fill="auto"/>
            <w:noWrap/>
            <w:vAlign w:val="center"/>
            <w:hideMark/>
          </w:tcPr>
          <w:p w14:paraId="49FAC66F" w14:textId="77777777" w:rsidR="00B042DF" w:rsidRPr="007F6332" w:rsidRDefault="00B042DF" w:rsidP="00E154C4">
            <w:pPr>
              <w:spacing w:after="0" w:line="240" w:lineRule="auto"/>
              <w:ind w:left="-104"/>
              <w:jc w:val="right"/>
              <w:rPr>
                <w:rFonts w:eastAsia="Times New Roman" w:cs="Arial"/>
                <w:color w:val="000000"/>
                <w:szCs w:val="22"/>
                <w:lang w:eastAsia="en-AU"/>
              </w:rPr>
            </w:pPr>
            <w:r w:rsidRPr="007F6332">
              <w:rPr>
                <w:rFonts w:eastAsia="Times New Roman" w:cs="Arial"/>
                <w:color w:val="000000"/>
                <w:szCs w:val="22"/>
                <w:lang w:eastAsia="en-AU"/>
              </w:rPr>
              <w:t>193,731</w:t>
            </w:r>
          </w:p>
        </w:tc>
      </w:tr>
      <w:tr w:rsidR="00B042DF" w:rsidRPr="007F6332" w14:paraId="255A3C70" w14:textId="77777777" w:rsidTr="00E81C0D">
        <w:trPr>
          <w:trHeight w:val="397"/>
        </w:trPr>
        <w:tc>
          <w:tcPr>
            <w:tcW w:w="9356" w:type="dxa"/>
            <w:gridSpan w:val="7"/>
            <w:shd w:val="clear" w:color="000000" w:fill="B398B8"/>
            <w:noWrap/>
            <w:vAlign w:val="center"/>
            <w:hideMark/>
          </w:tcPr>
          <w:p w14:paraId="4AD9ECB2" w14:textId="77777777" w:rsidR="00B042DF" w:rsidRPr="007F6332" w:rsidRDefault="00B042DF" w:rsidP="00E154C4">
            <w:pPr>
              <w:spacing w:after="0" w:line="240" w:lineRule="auto"/>
              <w:ind w:left="-104" w:right="165"/>
              <w:rPr>
                <w:rFonts w:eastAsia="Times New Roman" w:cs="Arial"/>
                <w:b/>
                <w:bCs/>
                <w:color w:val="000000"/>
                <w:szCs w:val="22"/>
                <w:lang w:eastAsia="en-AU"/>
              </w:rPr>
            </w:pPr>
            <w:r w:rsidRPr="007F6332">
              <w:rPr>
                <w:rFonts w:eastAsia="Times New Roman" w:cs="Arial"/>
                <w:b/>
                <w:bCs/>
                <w:color w:val="000000"/>
                <w:szCs w:val="22"/>
                <w:lang w:eastAsia="en-AU"/>
              </w:rPr>
              <w:t>Scenario: Lower rate of participants leaving the Scheme</w:t>
            </w:r>
          </w:p>
        </w:tc>
      </w:tr>
      <w:tr w:rsidR="00B042DF" w:rsidRPr="007F6332" w14:paraId="0AA623D3" w14:textId="77777777" w:rsidTr="00CD33D0">
        <w:trPr>
          <w:trHeight w:val="397"/>
        </w:trPr>
        <w:tc>
          <w:tcPr>
            <w:tcW w:w="2268" w:type="dxa"/>
            <w:shd w:val="clear" w:color="auto" w:fill="auto"/>
            <w:noWrap/>
            <w:vAlign w:val="center"/>
            <w:hideMark/>
          </w:tcPr>
          <w:p w14:paraId="11CD4B03" w14:textId="77777777" w:rsidR="00B042DF" w:rsidRPr="007F6332" w:rsidRDefault="00B042DF" w:rsidP="00D8325F">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Scheme expenses ($m)</w:t>
            </w:r>
          </w:p>
        </w:tc>
        <w:tc>
          <w:tcPr>
            <w:tcW w:w="1181" w:type="dxa"/>
            <w:shd w:val="clear" w:color="auto" w:fill="auto"/>
            <w:noWrap/>
            <w:vAlign w:val="center"/>
            <w:hideMark/>
          </w:tcPr>
          <w:p w14:paraId="0BC38005" w14:textId="77777777" w:rsidR="00B042DF" w:rsidRPr="007F6332" w:rsidRDefault="00B042DF" w:rsidP="00E154C4">
            <w:pPr>
              <w:spacing w:after="0" w:line="240" w:lineRule="auto"/>
              <w:ind w:left="-104" w:right="146"/>
              <w:jc w:val="right"/>
              <w:rPr>
                <w:rFonts w:eastAsia="Times New Roman" w:cs="Arial"/>
                <w:color w:val="000000"/>
                <w:szCs w:val="22"/>
                <w:lang w:eastAsia="en-AU"/>
              </w:rPr>
            </w:pPr>
            <w:r w:rsidRPr="007F6332">
              <w:rPr>
                <w:rFonts w:eastAsia="Times New Roman" w:cs="Arial"/>
                <w:color w:val="000000"/>
                <w:szCs w:val="22"/>
                <w:lang w:eastAsia="en-AU"/>
              </w:rPr>
              <w:t>41,394</w:t>
            </w:r>
          </w:p>
        </w:tc>
        <w:tc>
          <w:tcPr>
            <w:tcW w:w="1181" w:type="dxa"/>
            <w:shd w:val="clear" w:color="auto" w:fill="auto"/>
            <w:noWrap/>
            <w:vAlign w:val="center"/>
            <w:hideMark/>
          </w:tcPr>
          <w:p w14:paraId="6612EFB2" w14:textId="77777777" w:rsidR="00B042DF" w:rsidRPr="007F6332" w:rsidRDefault="00B042DF" w:rsidP="00E154C4">
            <w:pPr>
              <w:spacing w:after="0" w:line="240" w:lineRule="auto"/>
              <w:ind w:left="-104" w:right="249"/>
              <w:jc w:val="right"/>
              <w:rPr>
                <w:rFonts w:eastAsia="Times New Roman" w:cs="Arial"/>
                <w:color w:val="000000"/>
                <w:szCs w:val="22"/>
                <w:lang w:eastAsia="en-AU"/>
              </w:rPr>
            </w:pPr>
            <w:r w:rsidRPr="007F6332">
              <w:rPr>
                <w:rFonts w:eastAsia="Times New Roman" w:cs="Arial"/>
                <w:color w:val="000000"/>
                <w:szCs w:val="22"/>
                <w:lang w:eastAsia="en-AU"/>
              </w:rPr>
              <w:t>46,477</w:t>
            </w:r>
          </w:p>
        </w:tc>
        <w:tc>
          <w:tcPr>
            <w:tcW w:w="1182" w:type="dxa"/>
            <w:shd w:val="clear" w:color="auto" w:fill="auto"/>
            <w:noWrap/>
            <w:vAlign w:val="center"/>
            <w:hideMark/>
          </w:tcPr>
          <w:p w14:paraId="7F825C1F" w14:textId="77777777" w:rsidR="00B042DF" w:rsidRPr="007F6332" w:rsidRDefault="00B042DF" w:rsidP="00E154C4">
            <w:pPr>
              <w:spacing w:after="0" w:line="240" w:lineRule="auto"/>
              <w:ind w:left="-104" w:right="227"/>
              <w:jc w:val="right"/>
              <w:rPr>
                <w:rFonts w:eastAsia="Times New Roman" w:cs="Arial"/>
                <w:color w:val="000000"/>
                <w:szCs w:val="22"/>
                <w:lang w:eastAsia="en-AU"/>
              </w:rPr>
            </w:pPr>
            <w:r w:rsidRPr="007F6332">
              <w:rPr>
                <w:rFonts w:eastAsia="Times New Roman" w:cs="Arial"/>
                <w:color w:val="000000"/>
                <w:szCs w:val="22"/>
                <w:lang w:eastAsia="en-AU"/>
              </w:rPr>
              <w:t>50,976</w:t>
            </w:r>
          </w:p>
        </w:tc>
        <w:tc>
          <w:tcPr>
            <w:tcW w:w="1181" w:type="dxa"/>
            <w:tcBorders>
              <w:right w:val="dashed" w:sz="4" w:space="0" w:color="auto"/>
            </w:tcBorders>
            <w:shd w:val="clear" w:color="auto" w:fill="auto"/>
            <w:noWrap/>
            <w:vAlign w:val="center"/>
            <w:hideMark/>
          </w:tcPr>
          <w:p w14:paraId="47151702" w14:textId="77777777" w:rsidR="00B042DF" w:rsidRPr="007F6332" w:rsidRDefault="00B042DF" w:rsidP="00E154C4">
            <w:pPr>
              <w:spacing w:after="0" w:line="240" w:lineRule="auto"/>
              <w:ind w:left="-104" w:right="187"/>
              <w:jc w:val="right"/>
              <w:rPr>
                <w:rFonts w:eastAsia="Times New Roman" w:cs="Arial"/>
                <w:color w:val="000000"/>
                <w:szCs w:val="22"/>
                <w:lang w:eastAsia="en-AU"/>
              </w:rPr>
            </w:pPr>
            <w:r w:rsidRPr="007F6332">
              <w:rPr>
                <w:rFonts w:eastAsia="Times New Roman" w:cs="Arial"/>
                <w:color w:val="000000"/>
                <w:szCs w:val="22"/>
                <w:lang w:eastAsia="en-AU"/>
              </w:rPr>
              <w:t>55,503</w:t>
            </w:r>
          </w:p>
        </w:tc>
        <w:tc>
          <w:tcPr>
            <w:tcW w:w="1181" w:type="dxa"/>
            <w:tcBorders>
              <w:left w:val="dashed" w:sz="4" w:space="0" w:color="auto"/>
              <w:right w:val="single" w:sz="4" w:space="0" w:color="auto"/>
            </w:tcBorders>
            <w:shd w:val="clear" w:color="auto" w:fill="auto"/>
            <w:noWrap/>
            <w:vAlign w:val="center"/>
            <w:hideMark/>
          </w:tcPr>
          <w:p w14:paraId="0F208A69" w14:textId="77777777" w:rsidR="00B042DF" w:rsidRPr="007F6332" w:rsidRDefault="00B042DF" w:rsidP="00E154C4">
            <w:pPr>
              <w:spacing w:after="0" w:line="240" w:lineRule="auto"/>
              <w:ind w:left="-104" w:right="165"/>
              <w:jc w:val="right"/>
              <w:rPr>
                <w:rFonts w:eastAsia="Times New Roman" w:cs="Arial"/>
                <w:color w:val="000000"/>
                <w:szCs w:val="22"/>
                <w:lang w:eastAsia="en-AU"/>
              </w:rPr>
            </w:pPr>
            <w:r w:rsidRPr="007F6332">
              <w:rPr>
                <w:rFonts w:eastAsia="Times New Roman" w:cs="Arial"/>
                <w:color w:val="000000"/>
                <w:szCs w:val="22"/>
                <w:lang w:eastAsia="en-AU"/>
              </w:rPr>
              <w:t>93,553</w:t>
            </w:r>
          </w:p>
        </w:tc>
        <w:tc>
          <w:tcPr>
            <w:tcW w:w="1182" w:type="dxa"/>
            <w:tcBorders>
              <w:left w:val="single" w:sz="4" w:space="0" w:color="auto"/>
            </w:tcBorders>
            <w:shd w:val="clear" w:color="auto" w:fill="auto"/>
            <w:noWrap/>
            <w:vAlign w:val="center"/>
            <w:hideMark/>
          </w:tcPr>
          <w:p w14:paraId="6E6A9A16" w14:textId="77777777" w:rsidR="00B042DF" w:rsidRPr="007F6332" w:rsidRDefault="00B042DF" w:rsidP="00E154C4">
            <w:pPr>
              <w:spacing w:after="0" w:line="240" w:lineRule="auto"/>
              <w:ind w:left="-104"/>
              <w:jc w:val="right"/>
              <w:rPr>
                <w:rFonts w:eastAsia="Times New Roman" w:cs="Arial"/>
                <w:color w:val="000000"/>
                <w:szCs w:val="22"/>
                <w:lang w:eastAsia="en-AU"/>
              </w:rPr>
            </w:pPr>
            <w:r w:rsidRPr="007F6332">
              <w:rPr>
                <w:rFonts w:eastAsia="Times New Roman" w:cs="Arial"/>
                <w:color w:val="000000"/>
                <w:szCs w:val="22"/>
                <w:lang w:eastAsia="en-AU"/>
              </w:rPr>
              <w:t>194,350</w:t>
            </w:r>
          </w:p>
        </w:tc>
      </w:tr>
      <w:tr w:rsidR="00B042DF" w:rsidRPr="007F6332" w14:paraId="5DC7C608" w14:textId="77777777" w:rsidTr="00CD33D0">
        <w:trPr>
          <w:trHeight w:val="397"/>
        </w:trPr>
        <w:tc>
          <w:tcPr>
            <w:tcW w:w="2268" w:type="dxa"/>
            <w:shd w:val="clear" w:color="auto" w:fill="D1D3D4"/>
            <w:noWrap/>
            <w:vAlign w:val="center"/>
            <w:hideMark/>
          </w:tcPr>
          <w:p w14:paraId="22B90370" w14:textId="77777777" w:rsidR="00B042DF" w:rsidRPr="007F6332" w:rsidRDefault="00B042DF" w:rsidP="0067744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($m)</w:t>
            </w:r>
          </w:p>
        </w:tc>
        <w:tc>
          <w:tcPr>
            <w:tcW w:w="1181" w:type="dxa"/>
            <w:shd w:val="clear" w:color="auto" w:fill="D1D3D4"/>
            <w:noWrap/>
            <w:vAlign w:val="center"/>
            <w:hideMark/>
          </w:tcPr>
          <w:p w14:paraId="2EC5927E" w14:textId="77777777" w:rsidR="00B042DF" w:rsidRPr="007F6332" w:rsidRDefault="00B042DF" w:rsidP="00E154C4">
            <w:pPr>
              <w:spacing w:after="0" w:line="240" w:lineRule="auto"/>
              <w:ind w:left="-104" w:right="146"/>
              <w:jc w:val="right"/>
              <w:rPr>
                <w:rFonts w:eastAsia="Times New Roman" w:cs="Arial"/>
                <w:color w:val="000000"/>
                <w:szCs w:val="22"/>
                <w:lang w:eastAsia="en-AU"/>
              </w:rPr>
            </w:pPr>
            <w:r w:rsidRPr="007F6332">
              <w:rPr>
                <w:rFonts w:eastAsia="Times New Roman" w:cs="Arial"/>
                <w:color w:val="000000"/>
                <w:szCs w:val="22"/>
                <w:lang w:eastAsia="en-AU"/>
              </w:rPr>
              <w:t>34</w:t>
            </w:r>
          </w:p>
        </w:tc>
        <w:tc>
          <w:tcPr>
            <w:tcW w:w="1181" w:type="dxa"/>
            <w:shd w:val="clear" w:color="auto" w:fill="D1D3D4"/>
            <w:noWrap/>
            <w:vAlign w:val="center"/>
            <w:hideMark/>
          </w:tcPr>
          <w:p w14:paraId="6C91A517" w14:textId="77777777" w:rsidR="00B042DF" w:rsidRPr="007F6332" w:rsidRDefault="00B042DF" w:rsidP="00E154C4">
            <w:pPr>
              <w:spacing w:after="0" w:line="240" w:lineRule="auto"/>
              <w:ind w:left="-104" w:right="249"/>
              <w:jc w:val="right"/>
              <w:rPr>
                <w:rFonts w:eastAsia="Times New Roman" w:cs="Arial"/>
                <w:color w:val="000000"/>
                <w:szCs w:val="22"/>
                <w:lang w:eastAsia="en-AU"/>
              </w:rPr>
            </w:pPr>
            <w:r w:rsidRPr="007F6332">
              <w:rPr>
                <w:rFonts w:eastAsia="Times New Roman" w:cs="Arial"/>
                <w:color w:val="000000"/>
                <w:szCs w:val="22"/>
                <w:lang w:eastAsia="en-AU"/>
              </w:rPr>
              <w:t>102</w:t>
            </w:r>
          </w:p>
        </w:tc>
        <w:tc>
          <w:tcPr>
            <w:tcW w:w="1182" w:type="dxa"/>
            <w:shd w:val="clear" w:color="auto" w:fill="D1D3D4"/>
            <w:noWrap/>
            <w:vAlign w:val="center"/>
            <w:hideMark/>
          </w:tcPr>
          <w:p w14:paraId="2A7761D6" w14:textId="77777777" w:rsidR="00B042DF" w:rsidRPr="007F6332" w:rsidRDefault="00B042DF" w:rsidP="00E154C4">
            <w:pPr>
              <w:spacing w:after="0" w:line="240" w:lineRule="auto"/>
              <w:ind w:left="-104" w:right="227"/>
              <w:jc w:val="right"/>
              <w:rPr>
                <w:rFonts w:eastAsia="Times New Roman" w:cs="Arial"/>
                <w:color w:val="000000"/>
                <w:szCs w:val="22"/>
                <w:lang w:eastAsia="en-AU"/>
              </w:rPr>
            </w:pPr>
            <w:r w:rsidRPr="007F6332">
              <w:rPr>
                <w:rFonts w:eastAsia="Times New Roman" w:cs="Arial"/>
                <w:color w:val="000000"/>
                <w:szCs w:val="22"/>
                <w:lang w:eastAsia="en-AU"/>
              </w:rPr>
              <w:t>188</w:t>
            </w:r>
          </w:p>
        </w:tc>
        <w:tc>
          <w:tcPr>
            <w:tcW w:w="1181" w:type="dxa"/>
            <w:tcBorders>
              <w:right w:val="dashed" w:sz="4" w:space="0" w:color="auto"/>
            </w:tcBorders>
            <w:shd w:val="clear" w:color="auto" w:fill="D1D3D4"/>
            <w:noWrap/>
            <w:vAlign w:val="center"/>
            <w:hideMark/>
          </w:tcPr>
          <w:p w14:paraId="40F11999" w14:textId="77777777" w:rsidR="00B042DF" w:rsidRPr="007F6332" w:rsidRDefault="00B042DF" w:rsidP="00E154C4">
            <w:pPr>
              <w:spacing w:after="0" w:line="240" w:lineRule="auto"/>
              <w:ind w:left="-104" w:right="187"/>
              <w:jc w:val="right"/>
              <w:rPr>
                <w:rFonts w:eastAsia="Times New Roman" w:cs="Arial"/>
                <w:color w:val="000000"/>
                <w:szCs w:val="22"/>
                <w:lang w:eastAsia="en-AU"/>
              </w:rPr>
            </w:pPr>
            <w:r w:rsidRPr="007F6332">
              <w:rPr>
                <w:rFonts w:eastAsia="Times New Roman" w:cs="Arial"/>
                <w:color w:val="000000"/>
                <w:szCs w:val="22"/>
                <w:lang w:eastAsia="en-AU"/>
              </w:rPr>
              <w:t>296</w:t>
            </w:r>
          </w:p>
        </w:tc>
        <w:tc>
          <w:tcPr>
            <w:tcW w:w="1181" w:type="dxa"/>
            <w:tcBorders>
              <w:left w:val="dashed" w:sz="4" w:space="0" w:color="auto"/>
              <w:right w:val="single" w:sz="4" w:space="0" w:color="auto"/>
            </w:tcBorders>
            <w:shd w:val="clear" w:color="auto" w:fill="D1D3D4"/>
            <w:noWrap/>
            <w:vAlign w:val="center"/>
            <w:hideMark/>
          </w:tcPr>
          <w:p w14:paraId="7C6FC7AA" w14:textId="77777777" w:rsidR="00B042DF" w:rsidRPr="007F6332" w:rsidRDefault="00B042DF" w:rsidP="00E154C4">
            <w:pPr>
              <w:spacing w:after="0" w:line="240" w:lineRule="auto"/>
              <w:ind w:left="-104" w:right="165"/>
              <w:jc w:val="right"/>
              <w:rPr>
                <w:rFonts w:eastAsia="Times New Roman" w:cs="Arial"/>
                <w:color w:val="000000"/>
                <w:szCs w:val="22"/>
                <w:lang w:eastAsia="en-AU"/>
              </w:rPr>
            </w:pPr>
            <w:r w:rsidRPr="007F6332">
              <w:rPr>
                <w:rFonts w:eastAsia="Times New Roman" w:cs="Arial"/>
                <w:color w:val="000000"/>
                <w:szCs w:val="22"/>
                <w:lang w:eastAsia="en-AU"/>
              </w:rPr>
              <w:t>1,212</w:t>
            </w:r>
          </w:p>
        </w:tc>
        <w:tc>
          <w:tcPr>
            <w:tcW w:w="1182" w:type="dxa"/>
            <w:tcBorders>
              <w:left w:val="single" w:sz="4" w:space="0" w:color="auto"/>
            </w:tcBorders>
            <w:shd w:val="clear" w:color="auto" w:fill="D1D3D4"/>
            <w:noWrap/>
            <w:vAlign w:val="center"/>
            <w:hideMark/>
          </w:tcPr>
          <w:p w14:paraId="674BB0BA" w14:textId="77777777" w:rsidR="00B042DF" w:rsidRPr="007F6332" w:rsidRDefault="00B042DF" w:rsidP="00E154C4">
            <w:pPr>
              <w:spacing w:after="0" w:line="240" w:lineRule="auto"/>
              <w:ind w:left="-104"/>
              <w:jc w:val="right"/>
              <w:rPr>
                <w:rFonts w:eastAsia="Times New Roman" w:cs="Arial"/>
                <w:color w:val="000000"/>
                <w:szCs w:val="22"/>
                <w:lang w:eastAsia="en-AU"/>
              </w:rPr>
            </w:pPr>
            <w:r w:rsidRPr="007F6332">
              <w:rPr>
                <w:rFonts w:eastAsia="Times New Roman" w:cs="Arial"/>
                <w:color w:val="000000"/>
                <w:szCs w:val="22"/>
                <w:lang w:eastAsia="en-AU"/>
              </w:rPr>
              <w:t>619</w:t>
            </w:r>
          </w:p>
        </w:tc>
      </w:tr>
      <w:tr w:rsidR="00B042DF" w:rsidRPr="007F6332" w14:paraId="56ACCE3B" w14:textId="77777777" w:rsidTr="00CD33D0">
        <w:trPr>
          <w:trHeight w:val="397"/>
        </w:trPr>
        <w:tc>
          <w:tcPr>
            <w:tcW w:w="2268" w:type="dxa"/>
            <w:tcBorders>
              <w:bottom w:val="single" w:sz="4" w:space="0" w:color="auto"/>
            </w:tcBorders>
            <w:shd w:val="clear" w:color="auto" w:fill="A7A9AC"/>
            <w:noWrap/>
            <w:vAlign w:val="center"/>
            <w:hideMark/>
          </w:tcPr>
          <w:p w14:paraId="5405016A" w14:textId="77777777" w:rsidR="00B042DF" w:rsidRPr="007F6332" w:rsidRDefault="00B042DF" w:rsidP="00677443">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 (%)</w:t>
            </w:r>
          </w:p>
        </w:tc>
        <w:tc>
          <w:tcPr>
            <w:tcW w:w="1181" w:type="dxa"/>
            <w:tcBorders>
              <w:bottom w:val="single" w:sz="4" w:space="0" w:color="auto"/>
            </w:tcBorders>
            <w:shd w:val="clear" w:color="auto" w:fill="A7A9AC"/>
            <w:noWrap/>
            <w:vAlign w:val="center"/>
            <w:hideMark/>
          </w:tcPr>
          <w:p w14:paraId="5F14178C" w14:textId="77777777" w:rsidR="00B042DF" w:rsidRPr="007F6332" w:rsidRDefault="00B042DF" w:rsidP="00E154C4">
            <w:pPr>
              <w:spacing w:after="0" w:line="240" w:lineRule="auto"/>
              <w:ind w:left="-104" w:right="146"/>
              <w:jc w:val="right"/>
              <w:rPr>
                <w:rFonts w:eastAsia="Times New Roman" w:cs="Arial"/>
                <w:color w:val="000000"/>
                <w:szCs w:val="22"/>
                <w:lang w:eastAsia="en-AU"/>
              </w:rPr>
            </w:pPr>
            <w:r w:rsidRPr="007F6332">
              <w:rPr>
                <w:rFonts w:eastAsia="Times New Roman" w:cs="Arial"/>
                <w:color w:val="000000"/>
                <w:szCs w:val="22"/>
                <w:lang w:eastAsia="en-AU"/>
              </w:rPr>
              <w:t>0.1%</w:t>
            </w:r>
          </w:p>
        </w:tc>
        <w:tc>
          <w:tcPr>
            <w:tcW w:w="1181" w:type="dxa"/>
            <w:tcBorders>
              <w:bottom w:val="single" w:sz="4" w:space="0" w:color="auto"/>
            </w:tcBorders>
            <w:shd w:val="clear" w:color="auto" w:fill="A7A9AC"/>
            <w:noWrap/>
            <w:vAlign w:val="center"/>
            <w:hideMark/>
          </w:tcPr>
          <w:p w14:paraId="20D8401C" w14:textId="77777777" w:rsidR="00B042DF" w:rsidRPr="007F6332" w:rsidRDefault="00B042DF" w:rsidP="00E154C4">
            <w:pPr>
              <w:spacing w:after="0" w:line="240" w:lineRule="auto"/>
              <w:ind w:left="-104" w:right="249"/>
              <w:jc w:val="right"/>
              <w:rPr>
                <w:rFonts w:eastAsia="Times New Roman" w:cs="Arial"/>
                <w:color w:val="000000"/>
                <w:szCs w:val="22"/>
                <w:lang w:eastAsia="en-AU"/>
              </w:rPr>
            </w:pPr>
            <w:r w:rsidRPr="007F6332">
              <w:rPr>
                <w:rFonts w:eastAsia="Times New Roman" w:cs="Arial"/>
                <w:color w:val="000000"/>
                <w:szCs w:val="22"/>
                <w:lang w:eastAsia="en-AU"/>
              </w:rPr>
              <w:t>0.2%</w:t>
            </w:r>
          </w:p>
        </w:tc>
        <w:tc>
          <w:tcPr>
            <w:tcW w:w="1182" w:type="dxa"/>
            <w:tcBorders>
              <w:bottom w:val="single" w:sz="4" w:space="0" w:color="auto"/>
            </w:tcBorders>
            <w:shd w:val="clear" w:color="auto" w:fill="A7A9AC"/>
            <w:noWrap/>
            <w:vAlign w:val="center"/>
            <w:hideMark/>
          </w:tcPr>
          <w:p w14:paraId="23203B61" w14:textId="77777777" w:rsidR="00B042DF" w:rsidRPr="007F6332" w:rsidRDefault="00B042DF" w:rsidP="00E154C4">
            <w:pPr>
              <w:spacing w:after="0" w:line="240" w:lineRule="auto"/>
              <w:ind w:left="-104" w:right="227"/>
              <w:jc w:val="right"/>
              <w:rPr>
                <w:rFonts w:eastAsia="Times New Roman" w:cs="Arial"/>
                <w:color w:val="000000"/>
                <w:szCs w:val="22"/>
                <w:lang w:eastAsia="en-AU"/>
              </w:rPr>
            </w:pPr>
            <w:r w:rsidRPr="007F6332">
              <w:rPr>
                <w:rFonts w:eastAsia="Times New Roman" w:cs="Arial"/>
                <w:color w:val="000000"/>
                <w:szCs w:val="22"/>
                <w:lang w:eastAsia="en-AU"/>
              </w:rPr>
              <w:t>0.4%</w:t>
            </w:r>
          </w:p>
        </w:tc>
        <w:tc>
          <w:tcPr>
            <w:tcW w:w="1181" w:type="dxa"/>
            <w:tcBorders>
              <w:bottom w:val="single" w:sz="4" w:space="0" w:color="auto"/>
              <w:right w:val="dashed" w:sz="4" w:space="0" w:color="auto"/>
            </w:tcBorders>
            <w:shd w:val="clear" w:color="auto" w:fill="A7A9AC"/>
            <w:noWrap/>
            <w:vAlign w:val="center"/>
            <w:hideMark/>
          </w:tcPr>
          <w:p w14:paraId="2692BD79" w14:textId="77777777" w:rsidR="00B042DF" w:rsidRPr="007F6332" w:rsidRDefault="00B042DF" w:rsidP="00E154C4">
            <w:pPr>
              <w:spacing w:after="0" w:line="240" w:lineRule="auto"/>
              <w:ind w:left="-104" w:right="187"/>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181" w:type="dxa"/>
            <w:tcBorders>
              <w:left w:val="dashed" w:sz="4" w:space="0" w:color="auto"/>
              <w:bottom w:val="single" w:sz="4" w:space="0" w:color="auto"/>
              <w:right w:val="single" w:sz="4" w:space="0" w:color="auto"/>
            </w:tcBorders>
            <w:shd w:val="clear" w:color="auto" w:fill="A7A9AC"/>
            <w:noWrap/>
            <w:vAlign w:val="center"/>
            <w:hideMark/>
          </w:tcPr>
          <w:p w14:paraId="667B9E80" w14:textId="77777777" w:rsidR="00B042DF" w:rsidRPr="007F6332" w:rsidRDefault="00B042DF" w:rsidP="00E154C4">
            <w:pPr>
              <w:spacing w:after="0" w:line="240" w:lineRule="auto"/>
              <w:ind w:left="-104" w:right="165"/>
              <w:jc w:val="right"/>
              <w:rPr>
                <w:rFonts w:eastAsia="Times New Roman" w:cs="Arial"/>
                <w:color w:val="000000"/>
                <w:szCs w:val="22"/>
                <w:lang w:eastAsia="en-AU"/>
              </w:rPr>
            </w:pPr>
            <w:r w:rsidRPr="007F6332">
              <w:rPr>
                <w:rFonts w:eastAsia="Times New Roman" w:cs="Arial"/>
                <w:color w:val="000000"/>
                <w:szCs w:val="22"/>
                <w:lang w:eastAsia="en-AU"/>
              </w:rPr>
              <w:t>1%</w:t>
            </w:r>
          </w:p>
        </w:tc>
        <w:tc>
          <w:tcPr>
            <w:tcW w:w="1182" w:type="dxa"/>
            <w:tcBorders>
              <w:left w:val="single" w:sz="4" w:space="0" w:color="auto"/>
              <w:bottom w:val="single" w:sz="4" w:space="0" w:color="auto"/>
            </w:tcBorders>
            <w:shd w:val="clear" w:color="auto" w:fill="A7A9AC"/>
            <w:noWrap/>
            <w:vAlign w:val="center"/>
            <w:hideMark/>
          </w:tcPr>
          <w:p w14:paraId="2F7C82A5" w14:textId="77777777" w:rsidR="00B042DF" w:rsidRPr="007F6332" w:rsidRDefault="00B042DF" w:rsidP="00E154C4">
            <w:pPr>
              <w:spacing w:after="0" w:line="240" w:lineRule="auto"/>
              <w:ind w:left="-104"/>
              <w:jc w:val="right"/>
              <w:rPr>
                <w:rFonts w:eastAsia="Times New Roman" w:cs="Arial"/>
                <w:color w:val="000000"/>
                <w:szCs w:val="22"/>
                <w:lang w:eastAsia="en-AU"/>
              </w:rPr>
            </w:pPr>
            <w:r w:rsidRPr="007F6332">
              <w:rPr>
                <w:rFonts w:eastAsia="Times New Roman" w:cs="Arial"/>
                <w:color w:val="000000"/>
                <w:szCs w:val="22"/>
                <w:lang w:eastAsia="en-AU"/>
              </w:rPr>
              <w:t>0.3%</w:t>
            </w:r>
          </w:p>
        </w:tc>
      </w:tr>
    </w:tbl>
    <w:p w14:paraId="5DE55E8A" w14:textId="77777777" w:rsidR="00BC6A52" w:rsidRPr="007F6332" w:rsidRDefault="00BC6A52" w:rsidP="00CD33D0">
      <w:pPr>
        <w:pStyle w:val="Heading3"/>
        <w:numPr>
          <w:ilvl w:val="0"/>
          <w:numId w:val="0"/>
        </w:numPr>
        <w:ind w:left="720"/>
        <w:rPr>
          <w:rFonts w:cs="Arial"/>
        </w:rPr>
        <w:sectPr w:rsidR="00BC6A52" w:rsidRPr="007F6332" w:rsidSect="00CE7E91">
          <w:pgSz w:w="11906" w:h="16838"/>
          <w:pgMar w:top="1440" w:right="1440" w:bottom="1440" w:left="1440" w:header="708" w:footer="850" w:gutter="0"/>
          <w:cols w:space="708"/>
          <w:docGrid w:linePitch="360"/>
        </w:sectPr>
      </w:pPr>
      <w:bookmarkStart w:id="207" w:name="_Toc146286169"/>
      <w:bookmarkStart w:id="208" w:name="_Toc152614995"/>
    </w:p>
    <w:p w14:paraId="5AD0A857" w14:textId="639B46B0" w:rsidR="00B042DF" w:rsidRPr="007F6332" w:rsidRDefault="00B042DF" w:rsidP="00E81C0D">
      <w:pPr>
        <w:pStyle w:val="Heading3"/>
        <w:ind w:left="709" w:hanging="709"/>
        <w:rPr>
          <w:rFonts w:cs="Arial"/>
        </w:rPr>
      </w:pPr>
      <w:r w:rsidRPr="007F6332">
        <w:rPr>
          <w:rFonts w:cs="Arial"/>
        </w:rPr>
        <w:lastRenderedPageBreak/>
        <w:t>Stochastic modelling</w:t>
      </w:r>
      <w:bookmarkEnd w:id="207"/>
      <w:bookmarkEnd w:id="208"/>
    </w:p>
    <w:p w14:paraId="0AC21DDE" w14:textId="77777777" w:rsidR="00E154C4" w:rsidRPr="007F6332" w:rsidRDefault="00B042DF" w:rsidP="00A66C1E">
      <w:pPr>
        <w:pStyle w:val="Heading4"/>
        <w:ind w:left="851" w:hanging="851"/>
        <w:rPr>
          <w:rFonts w:cs="Arial"/>
        </w:rPr>
      </w:pPr>
      <w:r w:rsidRPr="007F6332">
        <w:rPr>
          <w:rFonts w:cs="Arial"/>
        </w:rPr>
        <w:t>Approach</w:t>
      </w:r>
    </w:p>
    <w:p w14:paraId="23E44E88" w14:textId="4D2EC48E" w:rsidR="008603DE" w:rsidRPr="007F6332" w:rsidRDefault="008603DE" w:rsidP="00E154C4">
      <w:pPr>
        <w:rPr>
          <w:rFonts w:cs="Arial"/>
        </w:rPr>
      </w:pPr>
      <w:r w:rsidRPr="007F6332">
        <w:rPr>
          <w:rFonts w:cs="Arial"/>
        </w:rPr>
        <w:t>The risks underlying the projected expenses of the Scheme</w:t>
      </w:r>
      <w:r w:rsidR="0006157F" w:rsidRPr="007F6332">
        <w:rPr>
          <w:rStyle w:val="FootnoteReference"/>
          <w:rFonts w:cs="Arial"/>
        </w:rPr>
        <w:footnoteReference w:id="112"/>
      </w:r>
      <w:r w:rsidR="0006157F" w:rsidRPr="007F6332">
        <w:rPr>
          <w:rFonts w:cs="Arial"/>
        </w:rPr>
        <w:t xml:space="preserve"> </w:t>
      </w:r>
      <w:r w:rsidRPr="007F6332">
        <w:rPr>
          <w:rFonts w:cs="Arial"/>
        </w:rPr>
        <w:t xml:space="preserve">are continually monitored and analysed and the </w:t>
      </w:r>
      <w:r w:rsidR="005B51E6" w:rsidRPr="007F6332">
        <w:rPr>
          <w:rFonts w:cs="Arial"/>
        </w:rPr>
        <w:t>S</w:t>
      </w:r>
      <w:r w:rsidRPr="007F6332">
        <w:rPr>
          <w:rFonts w:cs="Arial"/>
        </w:rPr>
        <w:t xml:space="preserve">tochastic </w:t>
      </w:r>
      <w:r w:rsidR="005B51E6" w:rsidRPr="007F6332">
        <w:rPr>
          <w:rFonts w:cs="Arial"/>
        </w:rPr>
        <w:t>M</w:t>
      </w:r>
      <w:r w:rsidRPr="007F6332">
        <w:rPr>
          <w:rFonts w:cs="Arial"/>
        </w:rPr>
        <w:t xml:space="preserve">odel is used as a tool to measure the level of uncertainty in relation to Scheme expenses. The </w:t>
      </w:r>
      <w:r w:rsidR="005B51E6" w:rsidRPr="007F6332">
        <w:rPr>
          <w:rFonts w:cs="Arial"/>
        </w:rPr>
        <w:t>S</w:t>
      </w:r>
      <w:r w:rsidRPr="007F6332">
        <w:rPr>
          <w:rFonts w:cs="Arial"/>
        </w:rPr>
        <w:t xml:space="preserve">tochastic </w:t>
      </w:r>
      <w:r w:rsidR="005B51E6" w:rsidRPr="007F6332">
        <w:rPr>
          <w:rFonts w:cs="Arial"/>
        </w:rPr>
        <w:t>M</w:t>
      </w:r>
      <w:r w:rsidRPr="007F6332">
        <w:rPr>
          <w:rFonts w:cs="Arial"/>
        </w:rPr>
        <w:t>odel varies the assumptions of the June 2023 projections relating to the key risks to determine the probability distribution of expected future Scheme expense outcomes</w:t>
      </w:r>
      <w:r w:rsidRPr="007F6332">
        <w:rPr>
          <w:rStyle w:val="FootnoteReference"/>
          <w:rFonts w:cs="Arial"/>
        </w:rPr>
        <w:footnoteReference w:id="113"/>
      </w:r>
      <w:r w:rsidRPr="007F6332">
        <w:rPr>
          <w:rFonts w:cs="Arial"/>
        </w:rPr>
        <w:t>.</w:t>
      </w:r>
    </w:p>
    <w:p w14:paraId="7CDCD482" w14:textId="640E85AE" w:rsidR="00B042DF" w:rsidRPr="007F6332" w:rsidRDefault="008D7F3D" w:rsidP="008D7F3D">
      <w:pPr>
        <w:pStyle w:val="FSRnormal"/>
        <w:rPr>
          <w:rFonts w:cs="Arial"/>
        </w:rPr>
      </w:pPr>
      <w:r w:rsidRPr="007F6332">
        <w:rPr>
          <w:rFonts w:cs="Arial"/>
        </w:rPr>
        <w:t xml:space="preserve">The material risks identified are additional growth, model specification risk, the number of new entrants to the Scheme, normal inflation and the number of participants transitioning to SIL arrangements. The impact of the </w:t>
      </w:r>
      <w:r w:rsidR="00D70C6D" w:rsidRPr="007F6332">
        <w:rPr>
          <w:rFonts w:cs="Arial"/>
        </w:rPr>
        <w:t>2023</w:t>
      </w:r>
      <w:r w:rsidRPr="007F6332">
        <w:rPr>
          <w:rFonts w:cs="Arial"/>
        </w:rPr>
        <w:t>-</w:t>
      </w:r>
      <w:r w:rsidR="00D70C6D" w:rsidRPr="007F6332">
        <w:rPr>
          <w:rFonts w:cs="Arial"/>
        </w:rPr>
        <w:t xml:space="preserve">24 </w:t>
      </w:r>
      <w:r w:rsidR="002D6881" w:rsidRPr="007F6332">
        <w:rPr>
          <w:rFonts w:cs="Arial"/>
        </w:rPr>
        <w:t>Budget initiatives</w:t>
      </w:r>
      <w:r w:rsidRPr="007F6332">
        <w:rPr>
          <w:rFonts w:cs="Arial"/>
        </w:rPr>
        <w:t xml:space="preserve"> remains another key source of uncertainty. It is noted that these results do not consider the possibility of legislative or major policy interventions by government.</w:t>
      </w:r>
    </w:p>
    <w:p w14:paraId="3ED1807A" w14:textId="77777777" w:rsidR="00B042DF" w:rsidRPr="007F6332" w:rsidRDefault="00B042DF" w:rsidP="00A66C1E">
      <w:pPr>
        <w:pStyle w:val="Heading4"/>
        <w:ind w:left="851" w:hanging="851"/>
        <w:rPr>
          <w:rFonts w:cs="Arial"/>
        </w:rPr>
      </w:pPr>
      <w:r w:rsidRPr="007F6332">
        <w:rPr>
          <w:rFonts w:cs="Arial"/>
        </w:rPr>
        <w:t>Summary of the key risks modelled stochastically</w:t>
      </w:r>
    </w:p>
    <w:p w14:paraId="4A7C29FC" w14:textId="77777777" w:rsidR="008D7F3D" w:rsidRPr="007F6332" w:rsidRDefault="008D7F3D" w:rsidP="008D7F3D">
      <w:pPr>
        <w:rPr>
          <w:rFonts w:cs="Arial"/>
        </w:rPr>
      </w:pPr>
      <w:r w:rsidRPr="007F6332">
        <w:rPr>
          <w:rFonts w:cs="Arial"/>
        </w:rPr>
        <w:t xml:space="preserve">The following section provides an overview of the uncertainty relating to each of the key risks varied stochastically. </w:t>
      </w:r>
    </w:p>
    <w:p w14:paraId="1863944C" w14:textId="77777777" w:rsidR="008D7F3D" w:rsidRPr="007F6332" w:rsidRDefault="008D7F3D" w:rsidP="00945CBF">
      <w:pPr>
        <w:pStyle w:val="HeadingH5"/>
      </w:pPr>
      <w:r w:rsidRPr="007F6332">
        <w:t>Additional growth</w:t>
      </w:r>
    </w:p>
    <w:p w14:paraId="3858C263" w14:textId="77777777" w:rsidR="00BC6A52" w:rsidRPr="007F6332" w:rsidRDefault="008D7F3D" w:rsidP="00BC6A52">
      <w:pPr>
        <w:pStyle w:val="FSRnormal"/>
        <w:rPr>
          <w:rFonts w:cs="Arial"/>
        </w:rPr>
      </w:pPr>
      <w:r w:rsidRPr="007F6332">
        <w:rPr>
          <w:rFonts w:cs="Arial"/>
        </w:rPr>
        <w:t>The historic escalation in average payments has remained above normal inflation. Sustained high levels of additional growth remains one of the most critical sustainability pressures for the Scheme given the material impact on projected Scheme expenses. Given the evolving nature of the Scheme, assumptions relating to additional growth involve considerable judgement and thus, remain highly uncertain.</w:t>
      </w:r>
    </w:p>
    <w:p w14:paraId="1DD2DF7A" w14:textId="2716FF9C" w:rsidR="008D7F3D" w:rsidRPr="007F6332" w:rsidRDefault="008D7F3D" w:rsidP="00945CBF">
      <w:pPr>
        <w:pStyle w:val="HeadingH5"/>
      </w:pPr>
      <w:r w:rsidRPr="007F6332">
        <w:t>Model specification risk</w:t>
      </w:r>
    </w:p>
    <w:p w14:paraId="0762FAC0" w14:textId="77777777" w:rsidR="0006157F" w:rsidRPr="007F6332" w:rsidRDefault="0006157F" w:rsidP="0006157F">
      <w:pPr>
        <w:pStyle w:val="FSRnormal"/>
        <w:rPr>
          <w:rFonts w:cs="Arial"/>
        </w:rPr>
      </w:pPr>
      <w:r w:rsidRPr="007F6332">
        <w:rPr>
          <w:rFonts w:cs="Arial"/>
        </w:rPr>
        <w:t>The deterministic projection model is an imperfect representation of the future payment process, leading to potential biases in the projection of Scheme expenses. The risk that actual outcomes vary from the projections remains high, given NDIS processes are still evolving. There is a limited history available for setting assumptions, as well as some limitations in the data available for analysis. However, this risk has reduced slightly compared to the previous review primarily driven by enhancements to the June 2023 projection model, inclusion of an additional year’s experience and building a replication of the projection model in SAS and R.</w:t>
      </w:r>
    </w:p>
    <w:p w14:paraId="0910A7B7" w14:textId="77777777" w:rsidR="008D7F3D" w:rsidRPr="007F6332" w:rsidRDefault="008D7F3D" w:rsidP="00945CBF">
      <w:pPr>
        <w:pStyle w:val="HeadingH5"/>
      </w:pPr>
      <w:r w:rsidRPr="007F6332">
        <w:t xml:space="preserve">Transitions into Supported Independent Living (SIL) </w:t>
      </w:r>
    </w:p>
    <w:p w14:paraId="5EFED54B" w14:textId="6E92C9F9" w:rsidR="008D7F3D" w:rsidRPr="007F6332" w:rsidRDefault="008D7F3D" w:rsidP="008D7F3D">
      <w:pPr>
        <w:pStyle w:val="FSRnormal"/>
        <w:rPr>
          <w:rFonts w:cs="Arial"/>
        </w:rPr>
      </w:pPr>
      <w:r w:rsidRPr="007F6332">
        <w:rPr>
          <w:rFonts w:cs="Arial"/>
        </w:rPr>
        <w:t xml:space="preserve">There are a number of drivers of uncertainty relating to expenses for participants with SIL arrangements, one of which is the number of transitions of participants into SIL each year. A </w:t>
      </w:r>
      <w:r w:rsidRPr="007F6332">
        <w:rPr>
          <w:rFonts w:cs="Arial"/>
        </w:rPr>
        <w:lastRenderedPageBreak/>
        <w:t xml:space="preserve">more explicit approach to modelling transitions into SIL has been implemented this year in the baseline projections, with transition rates set based on an experience analysis of participants gaining access to SIL supports. The number of participants with SIL supports has increased significantly over the last year and the level of transitions into SIL in the future remains uncertain. </w:t>
      </w:r>
    </w:p>
    <w:p w14:paraId="714998D3" w14:textId="77777777" w:rsidR="008D7F3D" w:rsidRPr="007F6332" w:rsidRDefault="008D7F3D" w:rsidP="00945CBF">
      <w:pPr>
        <w:pStyle w:val="HeadingH5"/>
      </w:pPr>
      <w:r w:rsidRPr="007F6332">
        <w:t>New entrants</w:t>
      </w:r>
    </w:p>
    <w:p w14:paraId="2F78DD26" w14:textId="77777777" w:rsidR="008D7F3D" w:rsidRPr="007F6332" w:rsidRDefault="008D7F3D" w:rsidP="008D7F3D">
      <w:pPr>
        <w:pStyle w:val="FSRnormal"/>
        <w:rPr>
          <w:rFonts w:cs="Arial"/>
        </w:rPr>
      </w:pPr>
      <w:r w:rsidRPr="007F6332">
        <w:rPr>
          <w:rFonts w:cs="Arial"/>
        </w:rPr>
        <w:t xml:space="preserve">The Scheme continues to experience high levels of new entrants, particularly for participants with autism and developmental delay. There remains a high level of uncertainty in the new entrants assumption.  </w:t>
      </w:r>
    </w:p>
    <w:p w14:paraId="4AC8D671" w14:textId="77777777" w:rsidR="008D7F3D" w:rsidRPr="007F6332" w:rsidRDefault="008D7F3D" w:rsidP="00945CBF">
      <w:pPr>
        <w:pStyle w:val="HeadingH5"/>
      </w:pPr>
      <w:r w:rsidRPr="007F6332">
        <w:t>Normal inflation</w:t>
      </w:r>
    </w:p>
    <w:p w14:paraId="15D78C83" w14:textId="77777777" w:rsidR="008D7F3D" w:rsidRPr="007F6332" w:rsidRDefault="008D7F3D" w:rsidP="008D7F3D">
      <w:pPr>
        <w:pStyle w:val="FSRnormal"/>
        <w:rPr>
          <w:rFonts w:cs="Arial"/>
        </w:rPr>
      </w:pPr>
      <w:r w:rsidRPr="007F6332">
        <w:rPr>
          <w:rFonts w:cs="Arial"/>
        </w:rPr>
        <w:t xml:space="preserve">Future increases in wages and consumer prices are key sources of uncertainty. The uncertainty reflects increased economic uncertainties, significant supply chain issues, the residual impacts of previous monetary policy initiatives and the impact of Fair Work Commission decisions. </w:t>
      </w:r>
    </w:p>
    <w:p w14:paraId="45C5A81A" w14:textId="77777777" w:rsidR="00B042DF" w:rsidRPr="007F6332" w:rsidRDefault="00B042DF" w:rsidP="001137E8">
      <w:pPr>
        <w:pStyle w:val="Heading4"/>
        <w:ind w:left="851" w:hanging="851"/>
        <w:rPr>
          <w:rFonts w:cs="Arial"/>
        </w:rPr>
      </w:pPr>
      <w:r w:rsidRPr="007F6332">
        <w:rPr>
          <w:rFonts w:cs="Arial"/>
        </w:rPr>
        <w:t>Summary of results</w:t>
      </w:r>
    </w:p>
    <w:p w14:paraId="2A61910E" w14:textId="3F5A5592" w:rsidR="006552B8" w:rsidRPr="007F6332" w:rsidRDefault="008603DE" w:rsidP="00677443">
      <w:pPr>
        <w:pStyle w:val="FSRnormal"/>
        <w:rPr>
          <w:rFonts w:cs="Arial"/>
        </w:rPr>
      </w:pPr>
      <w:r w:rsidRPr="007F6332">
        <w:rPr>
          <w:rFonts w:cs="Arial"/>
        </w:rPr>
        <w:t>Figure 6.1 illustrates the stochastic simulation of Scheme expense outcomes, with varying confidence intervals</w:t>
      </w:r>
      <w:r w:rsidR="00B5477F" w:rsidRPr="007F6332">
        <w:rPr>
          <w:rStyle w:val="FootnoteReference"/>
          <w:rFonts w:cs="Arial"/>
        </w:rPr>
        <w:footnoteReference w:id="114"/>
      </w:r>
      <w:r w:rsidRPr="007F6332">
        <w:rPr>
          <w:rFonts w:cs="Arial"/>
        </w:rPr>
        <w:t>. Scheme expenses are expected to increase over time and the uncertainty associated with the Scheme expenses is also expected to increase over time as demonstrated by the increasing Coefficient of Variation (CoV)</w:t>
      </w:r>
      <w:r w:rsidRPr="007F6332">
        <w:rPr>
          <w:rStyle w:val="FootnoteReference"/>
          <w:rFonts w:cs="Arial"/>
        </w:rPr>
        <w:footnoteReference w:id="115"/>
      </w:r>
      <w:r w:rsidRPr="007F6332">
        <w:rPr>
          <w:rFonts w:cs="Arial"/>
        </w:rPr>
        <w:t xml:space="preserve"> in Table 6.7. The compounding uncertainty over time reflects the challenges in projecting future outcomes in the long term</w:t>
      </w:r>
      <w:r w:rsidR="00B042DF" w:rsidRPr="007F6332">
        <w:rPr>
          <w:rFonts w:cs="Arial"/>
        </w:rPr>
        <w:t>.</w:t>
      </w:r>
    </w:p>
    <w:p w14:paraId="11E6BEF1" w14:textId="77777777" w:rsidR="005A6E4E" w:rsidRPr="007F6332" w:rsidRDefault="005A6E4E">
      <w:pPr>
        <w:spacing w:line="276" w:lineRule="auto"/>
        <w:rPr>
          <w:rFonts w:cs="Arial"/>
          <w:lang w:val="en-AU"/>
        </w:rPr>
      </w:pPr>
      <w:r w:rsidRPr="007F6332">
        <w:rPr>
          <w:rFonts w:cs="Arial"/>
        </w:rPr>
        <w:br w:type="page"/>
      </w:r>
    </w:p>
    <w:p w14:paraId="402EE41F" w14:textId="26833075" w:rsidR="005A6E4E" w:rsidRPr="007F6332" w:rsidRDefault="005A6E4E" w:rsidP="00945CBF">
      <w:pPr>
        <w:pStyle w:val="FiguresandTablesHeading5"/>
      </w:pPr>
      <w:r w:rsidRPr="007F6332">
        <w:lastRenderedPageBreak/>
        <w:t>Figure 6.1: Ranges of uncertainty in June 2023 projected Scheme expenses ($bn)</w:t>
      </w:r>
    </w:p>
    <w:p w14:paraId="13276839" w14:textId="2DEB1A72" w:rsidR="0006157F" w:rsidRPr="007F6332" w:rsidRDefault="008D7F3D" w:rsidP="005A6E4E">
      <w:pPr>
        <w:pStyle w:val="FSRnormal"/>
        <w:rPr>
          <w:rFonts w:cs="Arial"/>
        </w:rPr>
      </w:pPr>
      <w:r w:rsidRPr="007F6332">
        <w:rPr>
          <w:rFonts w:cs="Arial"/>
          <w:noProof/>
        </w:rPr>
        <w:drawing>
          <wp:inline distT="0" distB="0" distL="0" distR="0" wp14:anchorId="1F84F624" wp14:editId="5E42C780">
            <wp:extent cx="6200775" cy="3381375"/>
            <wp:effectExtent l="0" t="0" r="9525" b="9525"/>
            <wp:docPr id="26" name="Picture 26" descr="Figure 6.1 This figures shows the projected Scheme expenses in billion dollars from the June 2023 projections and for different percentiles to show a range of uncertainty in results. For the year ending 30 June 2024, the June 2023 projection result is $41.4 billion, the 5% percentile result is $39.0 billion and the 95% percentile result is $45.6 billion. For the year ending  30 June 2033, the June 2023 projection result is $92.3 billion, the 5% percentile result is $70.9 billion and the 95% percentile result is $121.5 b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6.1 This figures shows the projected Scheme expenses in billion dollars from the June 2023 projections and for different percentiles to show a range of uncertainty in results. For the year ending 30 June 2024, the June 2023 projection result is $41.4 billion, the 5% percentile result is $39.0 billion and the 95% percentile result is $45.6 billion. For the year ending  30 June 2033, the June 2023 projection result is $92.3 billion, the 5% percentile result is $70.9 billion and the 95% percentile result is $121.5 billion."/>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00775" cy="3381375"/>
                    </a:xfrm>
                    <a:prstGeom prst="rect">
                      <a:avLst/>
                    </a:prstGeom>
                    <a:noFill/>
                  </pic:spPr>
                </pic:pic>
              </a:graphicData>
            </a:graphic>
          </wp:inline>
        </w:drawing>
      </w:r>
      <w:r w:rsidR="008603DE" w:rsidRPr="007F6332">
        <w:rPr>
          <w:rFonts w:cs="Arial"/>
        </w:rPr>
        <w:t>Table 6.7 quantifies this increasing level of uncertainty in both absolute terms as well as a percentage of GDP. The table shows the deviation from the baseline projection is greater at the 95th percentile than at the 5th percentile</w:t>
      </w:r>
      <w:r w:rsidR="008603DE" w:rsidRPr="007F6332">
        <w:rPr>
          <w:rStyle w:val="FootnoteReference"/>
          <w:rFonts w:cs="Arial"/>
        </w:rPr>
        <w:footnoteReference w:id="116"/>
      </w:r>
      <w:r w:rsidR="008603DE" w:rsidRPr="007F6332">
        <w:rPr>
          <w:rFonts w:cs="Arial"/>
        </w:rPr>
        <w:t>. Therefore, the likelihood of extremely high values of Scheme expenses is greater than the likelihood of extremely low values of Scheme expenses, primarily driven by the skewed nature of uncertainty in additional growth.</w:t>
      </w:r>
      <w:r w:rsidR="00E92D44" w:rsidRPr="007F6332">
        <w:rPr>
          <w:rFonts w:cs="Arial"/>
        </w:rPr>
        <w:t xml:space="preserve"> </w:t>
      </w:r>
      <w:r w:rsidR="0006157F" w:rsidRPr="007F6332">
        <w:rPr>
          <w:rFonts w:cs="Arial"/>
        </w:rPr>
        <w:t>The average of all 20,000 simulations (which is equivalent to the baseline projection) is greater than the median result (50</w:t>
      </w:r>
      <w:r w:rsidR="0006157F" w:rsidRPr="007F6332">
        <w:rPr>
          <w:rFonts w:cs="Arial"/>
          <w:vertAlign w:val="superscript"/>
        </w:rPr>
        <w:t>th</w:t>
      </w:r>
      <w:r w:rsidR="0006157F" w:rsidRPr="007F6332">
        <w:rPr>
          <w:rFonts w:cs="Arial"/>
        </w:rPr>
        <w:t xml:space="preserve"> percentile) as the more extreme high values </w:t>
      </w:r>
      <w:r w:rsidR="001F626F" w:rsidRPr="007F6332">
        <w:rPr>
          <w:rFonts w:cs="Arial"/>
        </w:rPr>
        <w:t>increase t</w:t>
      </w:r>
      <w:r w:rsidR="0006157F" w:rsidRPr="007F6332">
        <w:rPr>
          <w:rFonts w:cs="Arial"/>
        </w:rPr>
        <w:t xml:space="preserve">he average. </w:t>
      </w:r>
    </w:p>
    <w:p w14:paraId="78388465" w14:textId="2B3C0F8D" w:rsidR="008603DE" w:rsidRPr="007F6332" w:rsidRDefault="008603DE" w:rsidP="008603DE">
      <w:pPr>
        <w:rPr>
          <w:rFonts w:cs="Arial"/>
        </w:rPr>
      </w:pPr>
      <w:r w:rsidRPr="007F6332">
        <w:rPr>
          <w:rFonts w:cs="Arial"/>
        </w:rPr>
        <w:t>The 5th percentile and 95th percentile results form a 90% confidence interval for the range of expected outcomes for projected Scheme expenses. The 90% confidence interval for the range of outcomes for Scheme expenses is:</w:t>
      </w:r>
    </w:p>
    <w:p w14:paraId="1463C07A" w14:textId="24840820" w:rsidR="00B042DF" w:rsidRPr="007F6332" w:rsidRDefault="00B042DF" w:rsidP="00E92D44">
      <w:pPr>
        <w:pStyle w:val="DotPoint"/>
        <w:rPr>
          <w:rFonts w:cs="Arial"/>
        </w:rPr>
      </w:pPr>
      <w:r w:rsidRPr="007F6332">
        <w:rPr>
          <w:rFonts w:cs="Arial"/>
        </w:rPr>
        <w:t>$39.0 billion to $45.6 billion for the year to 30 June 2024 (1.65% to 1.92% of GDP).</w:t>
      </w:r>
    </w:p>
    <w:p w14:paraId="51DBD3FF" w14:textId="4E9A4FE1" w:rsidR="00B042DF" w:rsidRPr="007F6332" w:rsidRDefault="00B042DF" w:rsidP="00E92D44">
      <w:pPr>
        <w:pStyle w:val="DotPoint"/>
        <w:rPr>
          <w:rFonts w:cs="Arial"/>
        </w:rPr>
      </w:pPr>
      <w:r w:rsidRPr="007F6332">
        <w:rPr>
          <w:rFonts w:cs="Arial"/>
        </w:rPr>
        <w:t>$176.1 billion to $221.1 billion for the four years to 30 June 2027 (1.72% to 2.16% of GDP).</w:t>
      </w:r>
    </w:p>
    <w:p w14:paraId="7960C901" w14:textId="09217BD8" w:rsidR="00B042DF" w:rsidRPr="007F6332" w:rsidRDefault="00B042DF" w:rsidP="00E92D44">
      <w:pPr>
        <w:pStyle w:val="DotPoint"/>
        <w:rPr>
          <w:rFonts w:cs="Arial"/>
        </w:rPr>
      </w:pPr>
      <w:r w:rsidRPr="007F6332">
        <w:rPr>
          <w:rFonts w:cs="Arial"/>
        </w:rPr>
        <w:t>$70.9 billion to $121.5 billion for the year to 30 June 2033 (1.93% to 3.30% of GDP).</w:t>
      </w:r>
    </w:p>
    <w:p w14:paraId="3AD4EB40" w14:textId="77777777" w:rsidR="00E92D44" w:rsidRPr="007F6332" w:rsidRDefault="00E92D44" w:rsidP="007232D6">
      <w:pPr>
        <w:pStyle w:val="FSRlist"/>
        <w:numPr>
          <w:ilvl w:val="0"/>
          <w:numId w:val="0"/>
        </w:numPr>
        <w:ind w:left="720" w:hanging="360"/>
        <w:rPr>
          <w:rFonts w:cs="Arial"/>
        </w:rPr>
        <w:sectPr w:rsidR="00E92D44" w:rsidRPr="007F6332" w:rsidSect="00A66C1E">
          <w:pgSz w:w="11906" w:h="16838"/>
          <w:pgMar w:top="1440" w:right="1440" w:bottom="1440" w:left="1440" w:header="708" w:footer="708" w:gutter="0"/>
          <w:cols w:space="708"/>
          <w:docGrid w:linePitch="360"/>
        </w:sectPr>
      </w:pPr>
    </w:p>
    <w:p w14:paraId="110C36BC" w14:textId="4393110D" w:rsidR="00B042DF" w:rsidRPr="007F6332" w:rsidRDefault="00B042DF" w:rsidP="00945CBF">
      <w:pPr>
        <w:pStyle w:val="FiguresandTablesHeading5"/>
      </w:pPr>
      <w:bookmarkStart w:id="210" w:name="_Hlk147471077"/>
      <w:r w:rsidRPr="007F6332">
        <w:lastRenderedPageBreak/>
        <w:t xml:space="preserve">Table </w:t>
      </w:r>
      <w:r w:rsidR="00E06963" w:rsidRPr="007F6332">
        <w:t>6.</w:t>
      </w:r>
      <w:r w:rsidR="008D7F3D" w:rsidRPr="007F6332">
        <w:t>7</w:t>
      </w:r>
      <w:r w:rsidRPr="007F6332">
        <w:t>: Scheme expenses as a proportion of projected GDP by projection year</w:t>
      </w:r>
    </w:p>
    <w:tbl>
      <w:tblPr>
        <w:tblW w:w="8949" w:type="dxa"/>
        <w:tblLook w:val="04A0" w:firstRow="1" w:lastRow="0" w:firstColumn="1" w:lastColumn="0" w:noHBand="0" w:noVBand="1"/>
      </w:tblPr>
      <w:tblGrid>
        <w:gridCol w:w="3160"/>
        <w:gridCol w:w="963"/>
        <w:gridCol w:w="957"/>
        <w:gridCol w:w="958"/>
        <w:gridCol w:w="964"/>
        <w:gridCol w:w="1012"/>
        <w:gridCol w:w="1012"/>
      </w:tblGrid>
      <w:tr w:rsidR="00915257" w:rsidRPr="007F6332" w14:paraId="3A0824EA" w14:textId="77777777" w:rsidTr="009226A9">
        <w:trPr>
          <w:trHeight w:val="397"/>
        </w:trPr>
        <w:tc>
          <w:tcPr>
            <w:tcW w:w="3162" w:type="dxa"/>
            <w:tcBorders>
              <w:top w:val="nil"/>
              <w:bottom w:val="single" w:sz="4" w:space="0" w:color="auto"/>
              <w:right w:val="single" w:sz="4" w:space="0" w:color="auto"/>
            </w:tcBorders>
            <w:shd w:val="clear" w:color="000000" w:fill="6B2976"/>
            <w:noWrap/>
            <w:vAlign w:val="center"/>
            <w:hideMark/>
          </w:tcPr>
          <w:p w14:paraId="43EA118E" w14:textId="18F1EED3" w:rsidR="00915257" w:rsidRPr="007F6332" w:rsidRDefault="00915257" w:rsidP="00416EC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Scheme expense ($m) for projection year Percentiles</w:t>
            </w:r>
          </w:p>
        </w:tc>
        <w:tc>
          <w:tcPr>
            <w:tcW w:w="963" w:type="dxa"/>
            <w:tcBorders>
              <w:top w:val="nil"/>
              <w:left w:val="nil"/>
              <w:bottom w:val="single" w:sz="4" w:space="0" w:color="auto"/>
              <w:right w:val="nil"/>
            </w:tcBorders>
            <w:shd w:val="clear" w:color="000000" w:fill="6B2976"/>
            <w:noWrap/>
            <w:vAlign w:val="center"/>
            <w:hideMark/>
          </w:tcPr>
          <w:p w14:paraId="05B04E5B" w14:textId="77777777" w:rsidR="00915257" w:rsidRPr="007F6332" w:rsidRDefault="00915257" w:rsidP="00915257">
            <w:pPr>
              <w:spacing w:after="0" w:line="240" w:lineRule="auto"/>
              <w:ind w:right="-98"/>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2023-24</w:t>
            </w:r>
          </w:p>
        </w:tc>
        <w:tc>
          <w:tcPr>
            <w:tcW w:w="957" w:type="dxa"/>
            <w:tcBorders>
              <w:top w:val="nil"/>
              <w:left w:val="nil"/>
              <w:bottom w:val="single" w:sz="4" w:space="0" w:color="auto"/>
              <w:right w:val="nil"/>
            </w:tcBorders>
            <w:shd w:val="clear" w:color="000000" w:fill="6B2976"/>
            <w:noWrap/>
            <w:vAlign w:val="center"/>
            <w:hideMark/>
          </w:tcPr>
          <w:p w14:paraId="57BA9D66" w14:textId="77777777" w:rsidR="00915257" w:rsidRPr="007F6332" w:rsidRDefault="00915257" w:rsidP="00915257">
            <w:pPr>
              <w:spacing w:after="0" w:line="240" w:lineRule="auto"/>
              <w:ind w:right="-130"/>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2024-25</w:t>
            </w:r>
          </w:p>
        </w:tc>
        <w:tc>
          <w:tcPr>
            <w:tcW w:w="958" w:type="dxa"/>
            <w:tcBorders>
              <w:top w:val="nil"/>
              <w:left w:val="nil"/>
              <w:bottom w:val="single" w:sz="4" w:space="0" w:color="auto"/>
              <w:right w:val="nil"/>
            </w:tcBorders>
            <w:shd w:val="clear" w:color="000000" w:fill="6B2976"/>
            <w:noWrap/>
            <w:vAlign w:val="center"/>
            <w:hideMark/>
          </w:tcPr>
          <w:p w14:paraId="2D352F91" w14:textId="77777777" w:rsidR="00915257" w:rsidRPr="007F6332" w:rsidRDefault="00915257" w:rsidP="00915257">
            <w:pPr>
              <w:spacing w:after="0" w:line="240" w:lineRule="auto"/>
              <w:ind w:right="-163"/>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2025-26</w:t>
            </w:r>
          </w:p>
        </w:tc>
        <w:tc>
          <w:tcPr>
            <w:tcW w:w="964" w:type="dxa"/>
            <w:tcBorders>
              <w:top w:val="nil"/>
              <w:left w:val="nil"/>
              <w:bottom w:val="single" w:sz="4" w:space="0" w:color="auto"/>
              <w:right w:val="nil"/>
            </w:tcBorders>
            <w:shd w:val="clear" w:color="000000" w:fill="6B2976"/>
            <w:noWrap/>
            <w:vAlign w:val="center"/>
            <w:hideMark/>
          </w:tcPr>
          <w:p w14:paraId="6C6E9B86" w14:textId="77777777" w:rsidR="00915257" w:rsidRPr="007F6332" w:rsidRDefault="00915257" w:rsidP="00915257">
            <w:pPr>
              <w:spacing w:after="0" w:line="240" w:lineRule="auto"/>
              <w:ind w:right="-194"/>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2026-27</w:t>
            </w:r>
          </w:p>
        </w:tc>
        <w:tc>
          <w:tcPr>
            <w:tcW w:w="934" w:type="dxa"/>
            <w:tcBorders>
              <w:top w:val="nil"/>
              <w:left w:val="dotted" w:sz="4" w:space="0" w:color="auto"/>
              <w:bottom w:val="single" w:sz="4" w:space="0" w:color="auto"/>
              <w:right w:val="nil"/>
            </w:tcBorders>
            <w:shd w:val="clear" w:color="000000" w:fill="6B2976"/>
            <w:noWrap/>
            <w:vAlign w:val="center"/>
            <w:hideMark/>
          </w:tcPr>
          <w:p w14:paraId="6A515951" w14:textId="77777777" w:rsidR="00915257" w:rsidRPr="007F6332" w:rsidRDefault="00915257" w:rsidP="00915257">
            <w:pPr>
              <w:spacing w:after="0" w:line="240" w:lineRule="auto"/>
              <w:ind w:right="-174"/>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2032-33</w:t>
            </w:r>
          </w:p>
        </w:tc>
        <w:tc>
          <w:tcPr>
            <w:tcW w:w="1011" w:type="dxa"/>
            <w:tcBorders>
              <w:top w:val="nil"/>
              <w:left w:val="nil"/>
              <w:bottom w:val="single" w:sz="4" w:space="0" w:color="auto"/>
            </w:tcBorders>
            <w:shd w:val="clear" w:color="000000" w:fill="6B2976"/>
            <w:noWrap/>
            <w:vAlign w:val="center"/>
            <w:hideMark/>
          </w:tcPr>
          <w:p w14:paraId="4DDC5928" w14:textId="77777777" w:rsidR="00915257" w:rsidRPr="007F6332" w:rsidRDefault="00915257" w:rsidP="00915257">
            <w:pPr>
              <w:spacing w:after="0" w:line="240" w:lineRule="auto"/>
              <w:ind w:right="-152"/>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2023-27</w:t>
            </w:r>
          </w:p>
        </w:tc>
      </w:tr>
      <w:tr w:rsidR="00915257" w:rsidRPr="007F6332" w14:paraId="6FD95146" w14:textId="77777777" w:rsidTr="009226A9">
        <w:trPr>
          <w:trHeight w:val="397"/>
        </w:trPr>
        <w:tc>
          <w:tcPr>
            <w:tcW w:w="3162" w:type="dxa"/>
            <w:tcBorders>
              <w:top w:val="nil"/>
              <w:bottom w:val="nil"/>
              <w:right w:val="single" w:sz="4" w:space="0" w:color="auto"/>
            </w:tcBorders>
            <w:shd w:val="clear" w:color="auto" w:fill="FFFFFF" w:themeFill="background1"/>
            <w:noWrap/>
            <w:vAlign w:val="center"/>
            <w:hideMark/>
          </w:tcPr>
          <w:p w14:paraId="657CEEF6"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5.0%</w:t>
            </w:r>
          </w:p>
        </w:tc>
        <w:tc>
          <w:tcPr>
            <w:tcW w:w="963" w:type="dxa"/>
            <w:tcBorders>
              <w:top w:val="nil"/>
              <w:left w:val="nil"/>
              <w:bottom w:val="nil"/>
              <w:right w:val="nil"/>
            </w:tcBorders>
            <w:shd w:val="clear" w:color="auto" w:fill="FFFFFF" w:themeFill="background1"/>
            <w:noWrap/>
            <w:vAlign w:val="center"/>
            <w:hideMark/>
          </w:tcPr>
          <w:p w14:paraId="04E837ED"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39,047</w:t>
            </w:r>
          </w:p>
        </w:tc>
        <w:tc>
          <w:tcPr>
            <w:tcW w:w="957" w:type="dxa"/>
            <w:tcBorders>
              <w:top w:val="nil"/>
              <w:left w:val="nil"/>
              <w:bottom w:val="nil"/>
              <w:right w:val="nil"/>
            </w:tcBorders>
            <w:shd w:val="clear" w:color="auto" w:fill="FFFFFF" w:themeFill="background1"/>
            <w:noWrap/>
            <w:vAlign w:val="center"/>
            <w:hideMark/>
          </w:tcPr>
          <w:p w14:paraId="5BB6296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42,356</w:t>
            </w:r>
          </w:p>
        </w:tc>
        <w:tc>
          <w:tcPr>
            <w:tcW w:w="958" w:type="dxa"/>
            <w:tcBorders>
              <w:top w:val="nil"/>
              <w:left w:val="nil"/>
              <w:bottom w:val="nil"/>
              <w:right w:val="nil"/>
            </w:tcBorders>
            <w:shd w:val="clear" w:color="auto" w:fill="FFFFFF" w:themeFill="background1"/>
            <w:noWrap/>
            <w:vAlign w:val="center"/>
            <w:hideMark/>
          </w:tcPr>
          <w:p w14:paraId="766052D9"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45,153</w:t>
            </w:r>
          </w:p>
        </w:tc>
        <w:tc>
          <w:tcPr>
            <w:tcW w:w="964" w:type="dxa"/>
            <w:tcBorders>
              <w:top w:val="nil"/>
              <w:left w:val="nil"/>
              <w:bottom w:val="nil"/>
              <w:right w:val="nil"/>
            </w:tcBorders>
            <w:shd w:val="clear" w:color="auto" w:fill="FFFFFF" w:themeFill="background1"/>
            <w:noWrap/>
            <w:vAlign w:val="center"/>
            <w:hideMark/>
          </w:tcPr>
          <w:p w14:paraId="685752A1"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48,077</w:t>
            </w:r>
          </w:p>
        </w:tc>
        <w:tc>
          <w:tcPr>
            <w:tcW w:w="934" w:type="dxa"/>
            <w:tcBorders>
              <w:top w:val="nil"/>
              <w:left w:val="dotted" w:sz="4" w:space="0" w:color="auto"/>
              <w:bottom w:val="nil"/>
              <w:right w:val="nil"/>
            </w:tcBorders>
            <w:shd w:val="clear" w:color="auto" w:fill="FFFFFF" w:themeFill="background1"/>
            <w:noWrap/>
            <w:vAlign w:val="center"/>
            <w:hideMark/>
          </w:tcPr>
          <w:p w14:paraId="7909D7C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70,935</w:t>
            </w:r>
          </w:p>
        </w:tc>
        <w:tc>
          <w:tcPr>
            <w:tcW w:w="1011" w:type="dxa"/>
            <w:tcBorders>
              <w:top w:val="nil"/>
              <w:left w:val="single" w:sz="4" w:space="0" w:color="auto"/>
              <w:bottom w:val="nil"/>
            </w:tcBorders>
            <w:shd w:val="clear" w:color="auto" w:fill="FFFFFF" w:themeFill="background1"/>
            <w:noWrap/>
            <w:vAlign w:val="center"/>
            <w:hideMark/>
          </w:tcPr>
          <w:p w14:paraId="09A8FA91"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176,067</w:t>
            </w:r>
          </w:p>
        </w:tc>
      </w:tr>
      <w:tr w:rsidR="00915257" w:rsidRPr="007F6332" w14:paraId="75C521E8" w14:textId="77777777" w:rsidTr="009226A9">
        <w:trPr>
          <w:trHeight w:val="397"/>
        </w:trPr>
        <w:tc>
          <w:tcPr>
            <w:tcW w:w="3162" w:type="dxa"/>
            <w:tcBorders>
              <w:top w:val="nil"/>
              <w:bottom w:val="nil"/>
              <w:right w:val="single" w:sz="4" w:space="0" w:color="auto"/>
            </w:tcBorders>
            <w:shd w:val="clear" w:color="auto" w:fill="A6A6A6" w:themeFill="background1" w:themeFillShade="A6"/>
            <w:noWrap/>
            <w:vAlign w:val="center"/>
            <w:hideMark/>
          </w:tcPr>
          <w:p w14:paraId="7F0FCE61"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25.0%</w:t>
            </w:r>
          </w:p>
        </w:tc>
        <w:tc>
          <w:tcPr>
            <w:tcW w:w="963" w:type="dxa"/>
            <w:tcBorders>
              <w:top w:val="nil"/>
              <w:left w:val="nil"/>
              <w:bottom w:val="nil"/>
              <w:right w:val="nil"/>
            </w:tcBorders>
            <w:shd w:val="clear" w:color="auto" w:fill="A6A6A6" w:themeFill="background1" w:themeFillShade="A6"/>
            <w:noWrap/>
            <w:vAlign w:val="center"/>
            <w:hideMark/>
          </w:tcPr>
          <w:p w14:paraId="1C6D6B6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39,984</w:t>
            </w:r>
          </w:p>
        </w:tc>
        <w:tc>
          <w:tcPr>
            <w:tcW w:w="957" w:type="dxa"/>
            <w:tcBorders>
              <w:top w:val="nil"/>
              <w:left w:val="nil"/>
              <w:bottom w:val="nil"/>
              <w:right w:val="nil"/>
            </w:tcBorders>
            <w:shd w:val="clear" w:color="auto" w:fill="A6A6A6" w:themeFill="background1" w:themeFillShade="A6"/>
            <w:noWrap/>
            <w:vAlign w:val="center"/>
            <w:hideMark/>
          </w:tcPr>
          <w:p w14:paraId="2CBF2F1B"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44,260</w:t>
            </w:r>
          </w:p>
        </w:tc>
        <w:tc>
          <w:tcPr>
            <w:tcW w:w="958" w:type="dxa"/>
            <w:tcBorders>
              <w:top w:val="nil"/>
              <w:left w:val="nil"/>
              <w:bottom w:val="nil"/>
              <w:right w:val="nil"/>
            </w:tcBorders>
            <w:shd w:val="clear" w:color="auto" w:fill="A6A6A6" w:themeFill="background1" w:themeFillShade="A6"/>
            <w:noWrap/>
            <w:vAlign w:val="center"/>
            <w:hideMark/>
          </w:tcPr>
          <w:p w14:paraId="3D7EF7F9"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47,907</w:t>
            </w:r>
          </w:p>
        </w:tc>
        <w:tc>
          <w:tcPr>
            <w:tcW w:w="964" w:type="dxa"/>
            <w:tcBorders>
              <w:top w:val="nil"/>
              <w:left w:val="nil"/>
              <w:bottom w:val="nil"/>
              <w:right w:val="nil"/>
            </w:tcBorders>
            <w:shd w:val="clear" w:color="auto" w:fill="A6A6A6" w:themeFill="background1" w:themeFillShade="A6"/>
            <w:noWrap/>
            <w:vAlign w:val="center"/>
            <w:hideMark/>
          </w:tcPr>
          <w:p w14:paraId="4AFBEB24"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51,623</w:t>
            </w:r>
          </w:p>
        </w:tc>
        <w:tc>
          <w:tcPr>
            <w:tcW w:w="934" w:type="dxa"/>
            <w:tcBorders>
              <w:top w:val="nil"/>
              <w:left w:val="dotted" w:sz="4" w:space="0" w:color="auto"/>
              <w:bottom w:val="nil"/>
              <w:right w:val="nil"/>
            </w:tcBorders>
            <w:shd w:val="clear" w:color="auto" w:fill="A6A6A6" w:themeFill="background1" w:themeFillShade="A6"/>
            <w:noWrap/>
            <w:vAlign w:val="center"/>
            <w:hideMark/>
          </w:tcPr>
          <w:p w14:paraId="3D789C32"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82,083</w:t>
            </w:r>
          </w:p>
        </w:tc>
        <w:tc>
          <w:tcPr>
            <w:tcW w:w="1011" w:type="dxa"/>
            <w:tcBorders>
              <w:top w:val="nil"/>
              <w:left w:val="single" w:sz="4" w:space="0" w:color="auto"/>
              <w:bottom w:val="nil"/>
            </w:tcBorders>
            <w:shd w:val="clear" w:color="auto" w:fill="A6A6A6" w:themeFill="background1" w:themeFillShade="A6"/>
            <w:noWrap/>
            <w:vAlign w:val="center"/>
            <w:hideMark/>
          </w:tcPr>
          <w:p w14:paraId="570CF504"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184,484</w:t>
            </w:r>
          </w:p>
        </w:tc>
      </w:tr>
      <w:tr w:rsidR="00915257" w:rsidRPr="007F6332" w14:paraId="4A3D7A17" w14:textId="77777777" w:rsidTr="009226A9">
        <w:trPr>
          <w:trHeight w:val="397"/>
        </w:trPr>
        <w:tc>
          <w:tcPr>
            <w:tcW w:w="3162" w:type="dxa"/>
            <w:tcBorders>
              <w:top w:val="nil"/>
              <w:bottom w:val="nil"/>
              <w:right w:val="single" w:sz="4" w:space="0" w:color="auto"/>
            </w:tcBorders>
            <w:shd w:val="clear" w:color="auto" w:fill="FFFFFF" w:themeFill="background1"/>
            <w:noWrap/>
            <w:vAlign w:val="center"/>
            <w:hideMark/>
          </w:tcPr>
          <w:p w14:paraId="26B2A982"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50.0%</w:t>
            </w:r>
          </w:p>
        </w:tc>
        <w:tc>
          <w:tcPr>
            <w:tcW w:w="963" w:type="dxa"/>
            <w:tcBorders>
              <w:top w:val="nil"/>
              <w:left w:val="nil"/>
              <w:bottom w:val="nil"/>
              <w:right w:val="nil"/>
            </w:tcBorders>
            <w:shd w:val="clear" w:color="auto" w:fill="FFFFFF" w:themeFill="background1"/>
            <w:noWrap/>
            <w:vAlign w:val="center"/>
            <w:hideMark/>
          </w:tcPr>
          <w:p w14:paraId="2F1DAD2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40,831</w:t>
            </w:r>
          </w:p>
        </w:tc>
        <w:tc>
          <w:tcPr>
            <w:tcW w:w="957" w:type="dxa"/>
            <w:tcBorders>
              <w:top w:val="nil"/>
              <w:left w:val="nil"/>
              <w:bottom w:val="nil"/>
              <w:right w:val="nil"/>
            </w:tcBorders>
            <w:shd w:val="clear" w:color="auto" w:fill="FFFFFF" w:themeFill="background1"/>
            <w:noWrap/>
            <w:vAlign w:val="center"/>
            <w:hideMark/>
          </w:tcPr>
          <w:p w14:paraId="20898618"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45,836</w:t>
            </w:r>
          </w:p>
        </w:tc>
        <w:tc>
          <w:tcPr>
            <w:tcW w:w="958" w:type="dxa"/>
            <w:tcBorders>
              <w:top w:val="nil"/>
              <w:left w:val="nil"/>
              <w:bottom w:val="nil"/>
              <w:right w:val="nil"/>
            </w:tcBorders>
            <w:shd w:val="clear" w:color="auto" w:fill="FFFFFF" w:themeFill="background1"/>
            <w:noWrap/>
            <w:vAlign w:val="center"/>
            <w:hideMark/>
          </w:tcPr>
          <w:p w14:paraId="56EA0C07"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50,175</w:t>
            </w:r>
          </w:p>
        </w:tc>
        <w:tc>
          <w:tcPr>
            <w:tcW w:w="964" w:type="dxa"/>
            <w:tcBorders>
              <w:top w:val="nil"/>
              <w:left w:val="nil"/>
              <w:bottom w:val="nil"/>
              <w:right w:val="nil"/>
            </w:tcBorders>
            <w:shd w:val="clear" w:color="auto" w:fill="FFFFFF" w:themeFill="background1"/>
            <w:noWrap/>
            <w:vAlign w:val="center"/>
            <w:hideMark/>
          </w:tcPr>
          <w:p w14:paraId="6BDC430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54,568</w:t>
            </w:r>
          </w:p>
        </w:tc>
        <w:tc>
          <w:tcPr>
            <w:tcW w:w="934" w:type="dxa"/>
            <w:tcBorders>
              <w:top w:val="nil"/>
              <w:left w:val="dotted" w:sz="4" w:space="0" w:color="auto"/>
              <w:bottom w:val="nil"/>
              <w:right w:val="nil"/>
            </w:tcBorders>
            <w:shd w:val="clear" w:color="auto" w:fill="FFFFFF" w:themeFill="background1"/>
            <w:noWrap/>
            <w:vAlign w:val="center"/>
            <w:hideMark/>
          </w:tcPr>
          <w:p w14:paraId="7C055A1B"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91,259</w:t>
            </w:r>
          </w:p>
        </w:tc>
        <w:tc>
          <w:tcPr>
            <w:tcW w:w="1011" w:type="dxa"/>
            <w:tcBorders>
              <w:top w:val="nil"/>
              <w:left w:val="single" w:sz="4" w:space="0" w:color="auto"/>
              <w:bottom w:val="nil"/>
            </w:tcBorders>
            <w:shd w:val="clear" w:color="auto" w:fill="FFFFFF" w:themeFill="background1"/>
            <w:noWrap/>
            <w:vAlign w:val="center"/>
            <w:hideMark/>
          </w:tcPr>
          <w:p w14:paraId="745EBEE8"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191,532</w:t>
            </w:r>
          </w:p>
        </w:tc>
      </w:tr>
      <w:tr w:rsidR="00915257" w:rsidRPr="007F6332" w14:paraId="60E88556" w14:textId="77777777" w:rsidTr="009226A9">
        <w:trPr>
          <w:trHeight w:val="397"/>
        </w:trPr>
        <w:tc>
          <w:tcPr>
            <w:tcW w:w="3162" w:type="dxa"/>
            <w:tcBorders>
              <w:top w:val="nil"/>
              <w:bottom w:val="nil"/>
              <w:right w:val="single" w:sz="4" w:space="0" w:color="auto"/>
            </w:tcBorders>
            <w:shd w:val="clear" w:color="auto" w:fill="A6A6A6" w:themeFill="background1" w:themeFillShade="A6"/>
            <w:noWrap/>
            <w:vAlign w:val="center"/>
            <w:hideMark/>
          </w:tcPr>
          <w:p w14:paraId="3381A204"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75.0%</w:t>
            </w:r>
          </w:p>
        </w:tc>
        <w:tc>
          <w:tcPr>
            <w:tcW w:w="963" w:type="dxa"/>
            <w:tcBorders>
              <w:top w:val="nil"/>
              <w:left w:val="nil"/>
              <w:bottom w:val="nil"/>
              <w:right w:val="nil"/>
            </w:tcBorders>
            <w:shd w:val="clear" w:color="auto" w:fill="A6A6A6" w:themeFill="background1" w:themeFillShade="A6"/>
            <w:noWrap/>
            <w:vAlign w:val="center"/>
            <w:hideMark/>
          </w:tcPr>
          <w:p w14:paraId="0F314F3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42,027</w:t>
            </w:r>
          </w:p>
        </w:tc>
        <w:tc>
          <w:tcPr>
            <w:tcW w:w="957" w:type="dxa"/>
            <w:tcBorders>
              <w:top w:val="nil"/>
              <w:left w:val="nil"/>
              <w:bottom w:val="nil"/>
              <w:right w:val="nil"/>
            </w:tcBorders>
            <w:shd w:val="clear" w:color="auto" w:fill="A6A6A6" w:themeFill="background1" w:themeFillShade="A6"/>
            <w:noWrap/>
            <w:vAlign w:val="center"/>
            <w:hideMark/>
          </w:tcPr>
          <w:p w14:paraId="71B9C48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47,959</w:t>
            </w:r>
          </w:p>
        </w:tc>
        <w:tc>
          <w:tcPr>
            <w:tcW w:w="958" w:type="dxa"/>
            <w:tcBorders>
              <w:top w:val="nil"/>
              <w:left w:val="nil"/>
              <w:bottom w:val="nil"/>
              <w:right w:val="nil"/>
            </w:tcBorders>
            <w:shd w:val="clear" w:color="auto" w:fill="A6A6A6" w:themeFill="background1" w:themeFillShade="A6"/>
            <w:noWrap/>
            <w:vAlign w:val="center"/>
            <w:hideMark/>
          </w:tcPr>
          <w:p w14:paraId="7EB65CEA"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53,056</w:t>
            </w:r>
          </w:p>
        </w:tc>
        <w:tc>
          <w:tcPr>
            <w:tcW w:w="964" w:type="dxa"/>
            <w:tcBorders>
              <w:top w:val="nil"/>
              <w:left w:val="nil"/>
              <w:bottom w:val="nil"/>
              <w:right w:val="nil"/>
            </w:tcBorders>
            <w:shd w:val="clear" w:color="auto" w:fill="A6A6A6" w:themeFill="background1" w:themeFillShade="A6"/>
            <w:noWrap/>
            <w:vAlign w:val="center"/>
            <w:hideMark/>
          </w:tcPr>
          <w:p w14:paraId="35177B6A"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58,150</w:t>
            </w:r>
          </w:p>
        </w:tc>
        <w:tc>
          <w:tcPr>
            <w:tcW w:w="934" w:type="dxa"/>
            <w:tcBorders>
              <w:top w:val="nil"/>
              <w:left w:val="dotted" w:sz="4" w:space="0" w:color="auto"/>
              <w:bottom w:val="nil"/>
              <w:right w:val="nil"/>
            </w:tcBorders>
            <w:shd w:val="clear" w:color="auto" w:fill="A6A6A6" w:themeFill="background1" w:themeFillShade="A6"/>
            <w:noWrap/>
            <w:vAlign w:val="center"/>
            <w:hideMark/>
          </w:tcPr>
          <w:p w14:paraId="60E65577"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101,739</w:t>
            </w:r>
          </w:p>
        </w:tc>
        <w:tc>
          <w:tcPr>
            <w:tcW w:w="1011" w:type="dxa"/>
            <w:tcBorders>
              <w:top w:val="nil"/>
              <w:left w:val="single" w:sz="4" w:space="0" w:color="auto"/>
              <w:bottom w:val="nil"/>
            </w:tcBorders>
            <w:shd w:val="clear" w:color="auto" w:fill="A6A6A6" w:themeFill="background1" w:themeFillShade="A6"/>
            <w:noWrap/>
            <w:vAlign w:val="center"/>
            <w:hideMark/>
          </w:tcPr>
          <w:p w14:paraId="7F69ACC3"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200,638</w:t>
            </w:r>
          </w:p>
        </w:tc>
      </w:tr>
      <w:tr w:rsidR="00915257" w:rsidRPr="007F6332" w14:paraId="5CE2028F" w14:textId="77777777" w:rsidTr="00C1755E">
        <w:trPr>
          <w:trHeight w:val="397"/>
        </w:trPr>
        <w:tc>
          <w:tcPr>
            <w:tcW w:w="3162" w:type="dxa"/>
            <w:tcBorders>
              <w:top w:val="nil"/>
              <w:right w:val="single" w:sz="4" w:space="0" w:color="auto"/>
            </w:tcBorders>
            <w:shd w:val="clear" w:color="auto" w:fill="FFFFFF" w:themeFill="background1"/>
            <w:noWrap/>
            <w:vAlign w:val="center"/>
            <w:hideMark/>
          </w:tcPr>
          <w:p w14:paraId="53501C77"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95.0%</w:t>
            </w:r>
          </w:p>
        </w:tc>
        <w:tc>
          <w:tcPr>
            <w:tcW w:w="963" w:type="dxa"/>
            <w:tcBorders>
              <w:top w:val="nil"/>
              <w:left w:val="nil"/>
              <w:right w:val="nil"/>
            </w:tcBorders>
            <w:shd w:val="clear" w:color="auto" w:fill="FFFFFF" w:themeFill="background1"/>
            <w:noWrap/>
            <w:vAlign w:val="center"/>
            <w:hideMark/>
          </w:tcPr>
          <w:p w14:paraId="4360F478"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45,632</w:t>
            </w:r>
          </w:p>
        </w:tc>
        <w:tc>
          <w:tcPr>
            <w:tcW w:w="957" w:type="dxa"/>
            <w:tcBorders>
              <w:top w:val="nil"/>
              <w:left w:val="nil"/>
              <w:right w:val="nil"/>
            </w:tcBorders>
            <w:shd w:val="clear" w:color="auto" w:fill="FFFFFF" w:themeFill="background1"/>
            <w:noWrap/>
            <w:vAlign w:val="center"/>
            <w:hideMark/>
          </w:tcPr>
          <w:p w14:paraId="798F875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52,962</w:t>
            </w:r>
          </w:p>
        </w:tc>
        <w:tc>
          <w:tcPr>
            <w:tcW w:w="958" w:type="dxa"/>
            <w:tcBorders>
              <w:top w:val="nil"/>
              <w:left w:val="nil"/>
              <w:right w:val="nil"/>
            </w:tcBorders>
            <w:shd w:val="clear" w:color="auto" w:fill="FFFFFF" w:themeFill="background1"/>
            <w:noWrap/>
            <w:vAlign w:val="center"/>
            <w:hideMark/>
          </w:tcPr>
          <w:p w14:paraId="124910F2"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59,250</w:t>
            </w:r>
          </w:p>
        </w:tc>
        <w:tc>
          <w:tcPr>
            <w:tcW w:w="964" w:type="dxa"/>
            <w:tcBorders>
              <w:top w:val="nil"/>
              <w:left w:val="nil"/>
              <w:right w:val="nil"/>
            </w:tcBorders>
            <w:shd w:val="clear" w:color="auto" w:fill="FFFFFF" w:themeFill="background1"/>
            <w:noWrap/>
            <w:vAlign w:val="center"/>
            <w:hideMark/>
          </w:tcPr>
          <w:p w14:paraId="181BC7B1"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65,292</w:t>
            </w:r>
          </w:p>
        </w:tc>
        <w:tc>
          <w:tcPr>
            <w:tcW w:w="934" w:type="dxa"/>
            <w:tcBorders>
              <w:top w:val="nil"/>
              <w:left w:val="dotted" w:sz="4" w:space="0" w:color="auto"/>
              <w:right w:val="nil"/>
            </w:tcBorders>
            <w:shd w:val="clear" w:color="auto" w:fill="FFFFFF" w:themeFill="background1"/>
            <w:noWrap/>
            <w:vAlign w:val="center"/>
            <w:hideMark/>
          </w:tcPr>
          <w:p w14:paraId="7CC8987B"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121,504</w:t>
            </w:r>
          </w:p>
        </w:tc>
        <w:tc>
          <w:tcPr>
            <w:tcW w:w="1011" w:type="dxa"/>
            <w:tcBorders>
              <w:top w:val="nil"/>
              <w:left w:val="single" w:sz="4" w:space="0" w:color="auto"/>
            </w:tcBorders>
            <w:shd w:val="clear" w:color="auto" w:fill="FFFFFF" w:themeFill="background1"/>
            <w:noWrap/>
            <w:vAlign w:val="center"/>
            <w:hideMark/>
          </w:tcPr>
          <w:p w14:paraId="368E95F4"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221,080</w:t>
            </w:r>
          </w:p>
        </w:tc>
      </w:tr>
      <w:tr w:rsidR="00915257" w:rsidRPr="007F6332" w14:paraId="716D2CAD" w14:textId="77777777" w:rsidTr="00C1755E">
        <w:trPr>
          <w:trHeight w:val="397"/>
        </w:trPr>
        <w:tc>
          <w:tcPr>
            <w:tcW w:w="3162" w:type="dxa"/>
            <w:tcBorders>
              <w:right w:val="single" w:sz="4" w:space="0" w:color="auto"/>
            </w:tcBorders>
            <w:shd w:val="clear" w:color="auto" w:fill="97719D"/>
            <w:noWrap/>
            <w:vAlign w:val="center"/>
            <w:hideMark/>
          </w:tcPr>
          <w:p w14:paraId="65890FCC" w14:textId="77777777" w:rsidR="00915257" w:rsidRPr="007F6332" w:rsidRDefault="00915257" w:rsidP="00416EC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Standard Deviation</w:t>
            </w:r>
          </w:p>
        </w:tc>
        <w:tc>
          <w:tcPr>
            <w:tcW w:w="963" w:type="dxa"/>
            <w:tcBorders>
              <w:left w:val="nil"/>
              <w:right w:val="nil"/>
            </w:tcBorders>
            <w:shd w:val="clear" w:color="auto" w:fill="97719D"/>
            <w:noWrap/>
            <w:vAlign w:val="center"/>
            <w:hideMark/>
          </w:tcPr>
          <w:p w14:paraId="562FFBDF" w14:textId="77777777" w:rsidR="00915257" w:rsidRPr="007F6332" w:rsidRDefault="00915257" w:rsidP="00416EC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2,469</w:t>
            </w:r>
          </w:p>
        </w:tc>
        <w:tc>
          <w:tcPr>
            <w:tcW w:w="957" w:type="dxa"/>
            <w:tcBorders>
              <w:left w:val="nil"/>
              <w:right w:val="nil"/>
            </w:tcBorders>
            <w:shd w:val="clear" w:color="auto" w:fill="97719D"/>
            <w:noWrap/>
            <w:vAlign w:val="center"/>
            <w:hideMark/>
          </w:tcPr>
          <w:p w14:paraId="09DE7008" w14:textId="77777777" w:rsidR="00915257" w:rsidRPr="007F6332" w:rsidRDefault="00915257" w:rsidP="00416EC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3,652</w:t>
            </w:r>
          </w:p>
        </w:tc>
        <w:tc>
          <w:tcPr>
            <w:tcW w:w="958" w:type="dxa"/>
            <w:tcBorders>
              <w:left w:val="nil"/>
              <w:right w:val="nil"/>
            </w:tcBorders>
            <w:shd w:val="clear" w:color="auto" w:fill="97719D"/>
            <w:noWrap/>
            <w:vAlign w:val="center"/>
            <w:hideMark/>
          </w:tcPr>
          <w:p w14:paraId="357CAA77" w14:textId="77777777" w:rsidR="00915257" w:rsidRPr="007F6332" w:rsidRDefault="00915257" w:rsidP="00416EC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4,694</w:t>
            </w:r>
          </w:p>
        </w:tc>
        <w:tc>
          <w:tcPr>
            <w:tcW w:w="964" w:type="dxa"/>
            <w:tcBorders>
              <w:left w:val="nil"/>
              <w:right w:val="nil"/>
            </w:tcBorders>
            <w:shd w:val="clear" w:color="auto" w:fill="97719D"/>
            <w:noWrap/>
            <w:vAlign w:val="center"/>
            <w:hideMark/>
          </w:tcPr>
          <w:p w14:paraId="0AA45C9E" w14:textId="77777777" w:rsidR="00915257" w:rsidRPr="007F6332" w:rsidRDefault="00915257" w:rsidP="00416EC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5,699</w:t>
            </w:r>
          </w:p>
        </w:tc>
        <w:tc>
          <w:tcPr>
            <w:tcW w:w="934" w:type="dxa"/>
            <w:tcBorders>
              <w:left w:val="dotted" w:sz="4" w:space="0" w:color="auto"/>
              <w:right w:val="nil"/>
            </w:tcBorders>
            <w:shd w:val="clear" w:color="auto" w:fill="97719D"/>
            <w:noWrap/>
            <w:vAlign w:val="center"/>
            <w:hideMark/>
          </w:tcPr>
          <w:p w14:paraId="5E81D484" w14:textId="77777777" w:rsidR="00915257" w:rsidRPr="007F6332" w:rsidRDefault="00915257" w:rsidP="00416EC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16,093</w:t>
            </w:r>
          </w:p>
        </w:tc>
        <w:tc>
          <w:tcPr>
            <w:tcW w:w="1011" w:type="dxa"/>
            <w:tcBorders>
              <w:left w:val="single" w:sz="4" w:space="0" w:color="auto"/>
            </w:tcBorders>
            <w:shd w:val="clear" w:color="auto" w:fill="97719D"/>
            <w:noWrap/>
            <w:vAlign w:val="center"/>
            <w:hideMark/>
          </w:tcPr>
          <w:p w14:paraId="35C2B1DB" w14:textId="77777777" w:rsidR="00915257" w:rsidRPr="007F6332" w:rsidRDefault="00915257" w:rsidP="00416EC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15,384</w:t>
            </w:r>
          </w:p>
        </w:tc>
      </w:tr>
      <w:tr w:rsidR="00915257" w:rsidRPr="007F6332" w14:paraId="0FFB5F0B" w14:textId="77777777" w:rsidTr="00C1755E">
        <w:trPr>
          <w:trHeight w:val="397"/>
        </w:trPr>
        <w:tc>
          <w:tcPr>
            <w:tcW w:w="3162" w:type="dxa"/>
            <w:tcBorders>
              <w:bottom w:val="nil"/>
              <w:right w:val="single" w:sz="4" w:space="0" w:color="auto"/>
            </w:tcBorders>
            <w:shd w:val="clear" w:color="auto" w:fill="FFFFFF" w:themeFill="background1"/>
            <w:noWrap/>
            <w:vAlign w:val="center"/>
            <w:hideMark/>
          </w:tcPr>
          <w:p w14:paraId="0457D68C"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Coefficient of Variation</w:t>
            </w:r>
          </w:p>
        </w:tc>
        <w:tc>
          <w:tcPr>
            <w:tcW w:w="963" w:type="dxa"/>
            <w:tcBorders>
              <w:left w:val="nil"/>
              <w:bottom w:val="nil"/>
              <w:right w:val="nil"/>
            </w:tcBorders>
            <w:shd w:val="clear" w:color="auto" w:fill="FFFFFF" w:themeFill="background1"/>
            <w:noWrap/>
            <w:vAlign w:val="center"/>
            <w:hideMark/>
          </w:tcPr>
          <w:p w14:paraId="38CE6957"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5.96%</w:t>
            </w:r>
          </w:p>
        </w:tc>
        <w:tc>
          <w:tcPr>
            <w:tcW w:w="957" w:type="dxa"/>
            <w:tcBorders>
              <w:left w:val="nil"/>
              <w:bottom w:val="nil"/>
              <w:right w:val="nil"/>
            </w:tcBorders>
            <w:shd w:val="clear" w:color="auto" w:fill="FFFFFF" w:themeFill="background1"/>
            <w:noWrap/>
            <w:vAlign w:val="center"/>
            <w:hideMark/>
          </w:tcPr>
          <w:p w14:paraId="61ABF616"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7.85%</w:t>
            </w:r>
          </w:p>
        </w:tc>
        <w:tc>
          <w:tcPr>
            <w:tcW w:w="958" w:type="dxa"/>
            <w:tcBorders>
              <w:left w:val="nil"/>
              <w:bottom w:val="nil"/>
              <w:right w:val="nil"/>
            </w:tcBorders>
            <w:shd w:val="clear" w:color="auto" w:fill="FFFFFF" w:themeFill="background1"/>
            <w:noWrap/>
            <w:vAlign w:val="center"/>
            <w:hideMark/>
          </w:tcPr>
          <w:p w14:paraId="1D0C8EC6"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9.21%</w:t>
            </w:r>
          </w:p>
        </w:tc>
        <w:tc>
          <w:tcPr>
            <w:tcW w:w="964" w:type="dxa"/>
            <w:tcBorders>
              <w:left w:val="nil"/>
              <w:bottom w:val="nil"/>
              <w:right w:val="nil"/>
            </w:tcBorders>
            <w:shd w:val="clear" w:color="auto" w:fill="FFFFFF" w:themeFill="background1"/>
            <w:noWrap/>
            <w:vAlign w:val="center"/>
            <w:hideMark/>
          </w:tcPr>
          <w:p w14:paraId="05CE012C"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10.29%</w:t>
            </w:r>
          </w:p>
        </w:tc>
        <w:tc>
          <w:tcPr>
            <w:tcW w:w="934" w:type="dxa"/>
            <w:tcBorders>
              <w:left w:val="dotted" w:sz="4" w:space="0" w:color="auto"/>
              <w:bottom w:val="nil"/>
              <w:right w:val="nil"/>
            </w:tcBorders>
            <w:shd w:val="clear" w:color="auto" w:fill="FFFFFF" w:themeFill="background1"/>
            <w:noWrap/>
            <w:vAlign w:val="center"/>
            <w:hideMark/>
          </w:tcPr>
          <w:p w14:paraId="4B0FB426"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17.28%</w:t>
            </w:r>
          </w:p>
        </w:tc>
        <w:tc>
          <w:tcPr>
            <w:tcW w:w="1011" w:type="dxa"/>
            <w:tcBorders>
              <w:left w:val="single" w:sz="4" w:space="0" w:color="auto"/>
              <w:bottom w:val="nil"/>
            </w:tcBorders>
            <w:shd w:val="clear" w:color="auto" w:fill="FFFFFF" w:themeFill="background1"/>
            <w:noWrap/>
            <w:vAlign w:val="center"/>
            <w:hideMark/>
          </w:tcPr>
          <w:p w14:paraId="347EF45D"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7.92%</w:t>
            </w:r>
          </w:p>
        </w:tc>
      </w:tr>
      <w:tr w:rsidR="00915257" w:rsidRPr="007F6332" w14:paraId="33A82711" w14:textId="77777777" w:rsidTr="00C1755E">
        <w:trPr>
          <w:trHeight w:val="397"/>
        </w:trPr>
        <w:tc>
          <w:tcPr>
            <w:tcW w:w="3162" w:type="dxa"/>
            <w:tcBorders>
              <w:top w:val="nil"/>
              <w:right w:val="single" w:sz="4" w:space="0" w:color="auto"/>
            </w:tcBorders>
            <w:shd w:val="clear" w:color="auto" w:fill="D4C5D7"/>
            <w:noWrap/>
            <w:vAlign w:val="center"/>
            <w:hideMark/>
          </w:tcPr>
          <w:p w14:paraId="3979EB9C"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Baseline</w:t>
            </w:r>
          </w:p>
        </w:tc>
        <w:tc>
          <w:tcPr>
            <w:tcW w:w="963" w:type="dxa"/>
            <w:tcBorders>
              <w:top w:val="nil"/>
              <w:left w:val="nil"/>
              <w:right w:val="nil"/>
            </w:tcBorders>
            <w:shd w:val="clear" w:color="auto" w:fill="D4C5D7"/>
            <w:noWrap/>
            <w:vAlign w:val="center"/>
            <w:hideMark/>
          </w:tcPr>
          <w:p w14:paraId="15508582"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41,360</w:t>
            </w:r>
          </w:p>
        </w:tc>
        <w:tc>
          <w:tcPr>
            <w:tcW w:w="957" w:type="dxa"/>
            <w:tcBorders>
              <w:top w:val="nil"/>
              <w:left w:val="nil"/>
              <w:right w:val="nil"/>
            </w:tcBorders>
            <w:shd w:val="clear" w:color="auto" w:fill="D4C5D7"/>
            <w:noWrap/>
            <w:vAlign w:val="center"/>
            <w:hideMark/>
          </w:tcPr>
          <w:p w14:paraId="4D1E8ACB"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46,376</w:t>
            </w:r>
          </w:p>
        </w:tc>
        <w:tc>
          <w:tcPr>
            <w:tcW w:w="958" w:type="dxa"/>
            <w:tcBorders>
              <w:top w:val="nil"/>
              <w:left w:val="nil"/>
              <w:right w:val="nil"/>
            </w:tcBorders>
            <w:shd w:val="clear" w:color="auto" w:fill="D4C5D7"/>
            <w:noWrap/>
            <w:vAlign w:val="center"/>
            <w:hideMark/>
          </w:tcPr>
          <w:p w14:paraId="27BF5AED"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50,788</w:t>
            </w:r>
          </w:p>
        </w:tc>
        <w:tc>
          <w:tcPr>
            <w:tcW w:w="964" w:type="dxa"/>
            <w:tcBorders>
              <w:top w:val="nil"/>
              <w:left w:val="nil"/>
              <w:right w:val="nil"/>
            </w:tcBorders>
            <w:shd w:val="clear" w:color="auto" w:fill="D4C5D7"/>
            <w:noWrap/>
            <w:vAlign w:val="center"/>
            <w:hideMark/>
          </w:tcPr>
          <w:p w14:paraId="730FED04"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55,207</w:t>
            </w:r>
          </w:p>
        </w:tc>
        <w:tc>
          <w:tcPr>
            <w:tcW w:w="934" w:type="dxa"/>
            <w:tcBorders>
              <w:top w:val="nil"/>
              <w:left w:val="dotted" w:sz="4" w:space="0" w:color="auto"/>
              <w:right w:val="nil"/>
            </w:tcBorders>
            <w:shd w:val="clear" w:color="auto" w:fill="D4C5D7"/>
            <w:noWrap/>
            <w:vAlign w:val="center"/>
            <w:hideMark/>
          </w:tcPr>
          <w:p w14:paraId="4504B820"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92,341</w:t>
            </w:r>
          </w:p>
        </w:tc>
        <w:tc>
          <w:tcPr>
            <w:tcW w:w="1011" w:type="dxa"/>
            <w:tcBorders>
              <w:top w:val="nil"/>
              <w:left w:val="single" w:sz="4" w:space="0" w:color="auto"/>
            </w:tcBorders>
            <w:shd w:val="clear" w:color="auto" w:fill="D4C5D7"/>
            <w:noWrap/>
            <w:vAlign w:val="center"/>
            <w:hideMark/>
          </w:tcPr>
          <w:p w14:paraId="61187F43"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193,731</w:t>
            </w:r>
          </w:p>
        </w:tc>
      </w:tr>
      <w:tr w:rsidR="00915257" w:rsidRPr="007F6332" w14:paraId="1269D866" w14:textId="77777777" w:rsidTr="00C1755E">
        <w:trPr>
          <w:trHeight w:val="397"/>
        </w:trPr>
        <w:tc>
          <w:tcPr>
            <w:tcW w:w="3162" w:type="dxa"/>
            <w:tcBorders>
              <w:top w:val="nil"/>
              <w:right w:val="single" w:sz="4" w:space="0" w:color="auto"/>
            </w:tcBorders>
            <w:shd w:val="clear" w:color="auto" w:fill="97719D"/>
            <w:noWrap/>
            <w:vAlign w:val="center"/>
          </w:tcPr>
          <w:p w14:paraId="22DE0A92" w14:textId="15F3206A"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b/>
                <w:bCs/>
                <w:szCs w:val="22"/>
                <w:lang w:val="en-AU" w:eastAsia="en-AU"/>
              </w:rPr>
              <w:t>Proportion of GDP</w:t>
            </w:r>
          </w:p>
        </w:tc>
        <w:tc>
          <w:tcPr>
            <w:tcW w:w="963" w:type="dxa"/>
            <w:tcBorders>
              <w:top w:val="nil"/>
              <w:left w:val="nil"/>
              <w:right w:val="nil"/>
            </w:tcBorders>
            <w:shd w:val="clear" w:color="auto" w:fill="97719D"/>
            <w:noWrap/>
            <w:vAlign w:val="center"/>
          </w:tcPr>
          <w:p w14:paraId="3B484F8B" w14:textId="77777777" w:rsidR="00915257" w:rsidRPr="007F6332" w:rsidRDefault="00915257" w:rsidP="00416EC5">
            <w:pPr>
              <w:spacing w:after="0" w:line="240" w:lineRule="auto"/>
              <w:jc w:val="center"/>
              <w:rPr>
                <w:rFonts w:eastAsia="Times New Roman" w:cs="Arial"/>
                <w:color w:val="000000"/>
                <w:szCs w:val="22"/>
                <w:lang w:val="en-AU" w:eastAsia="en-AU"/>
              </w:rPr>
            </w:pPr>
          </w:p>
        </w:tc>
        <w:tc>
          <w:tcPr>
            <w:tcW w:w="957" w:type="dxa"/>
            <w:tcBorders>
              <w:top w:val="nil"/>
              <w:left w:val="nil"/>
              <w:right w:val="nil"/>
            </w:tcBorders>
            <w:shd w:val="clear" w:color="auto" w:fill="97719D"/>
            <w:noWrap/>
            <w:vAlign w:val="center"/>
          </w:tcPr>
          <w:p w14:paraId="60204C6E" w14:textId="77777777" w:rsidR="00915257" w:rsidRPr="007F6332" w:rsidRDefault="00915257" w:rsidP="00416EC5">
            <w:pPr>
              <w:spacing w:after="0" w:line="240" w:lineRule="auto"/>
              <w:jc w:val="center"/>
              <w:rPr>
                <w:rFonts w:eastAsia="Times New Roman" w:cs="Arial"/>
                <w:color w:val="000000"/>
                <w:szCs w:val="22"/>
                <w:lang w:val="en-AU" w:eastAsia="en-AU"/>
              </w:rPr>
            </w:pPr>
          </w:p>
        </w:tc>
        <w:tc>
          <w:tcPr>
            <w:tcW w:w="958" w:type="dxa"/>
            <w:tcBorders>
              <w:top w:val="nil"/>
              <w:left w:val="nil"/>
              <w:right w:val="nil"/>
            </w:tcBorders>
            <w:shd w:val="clear" w:color="auto" w:fill="97719D"/>
            <w:noWrap/>
            <w:vAlign w:val="center"/>
          </w:tcPr>
          <w:p w14:paraId="5220F5FF" w14:textId="77777777" w:rsidR="00915257" w:rsidRPr="007F6332" w:rsidRDefault="00915257" w:rsidP="00416EC5">
            <w:pPr>
              <w:spacing w:after="0" w:line="240" w:lineRule="auto"/>
              <w:jc w:val="center"/>
              <w:rPr>
                <w:rFonts w:eastAsia="Times New Roman" w:cs="Arial"/>
                <w:color w:val="000000"/>
                <w:szCs w:val="22"/>
                <w:lang w:val="en-AU" w:eastAsia="en-AU"/>
              </w:rPr>
            </w:pPr>
          </w:p>
        </w:tc>
        <w:tc>
          <w:tcPr>
            <w:tcW w:w="964" w:type="dxa"/>
            <w:tcBorders>
              <w:top w:val="nil"/>
              <w:left w:val="nil"/>
              <w:right w:val="nil"/>
            </w:tcBorders>
            <w:shd w:val="clear" w:color="auto" w:fill="97719D"/>
            <w:noWrap/>
            <w:vAlign w:val="center"/>
          </w:tcPr>
          <w:p w14:paraId="558A0FE7" w14:textId="77777777" w:rsidR="00915257" w:rsidRPr="007F6332" w:rsidRDefault="00915257" w:rsidP="00416EC5">
            <w:pPr>
              <w:spacing w:after="0" w:line="240" w:lineRule="auto"/>
              <w:jc w:val="center"/>
              <w:rPr>
                <w:rFonts w:eastAsia="Times New Roman" w:cs="Arial"/>
                <w:color w:val="000000"/>
                <w:szCs w:val="22"/>
                <w:lang w:val="en-AU" w:eastAsia="en-AU"/>
              </w:rPr>
            </w:pPr>
          </w:p>
        </w:tc>
        <w:tc>
          <w:tcPr>
            <w:tcW w:w="934" w:type="dxa"/>
            <w:tcBorders>
              <w:top w:val="nil"/>
              <w:left w:val="dotted" w:sz="4" w:space="0" w:color="auto"/>
              <w:right w:val="nil"/>
            </w:tcBorders>
            <w:shd w:val="clear" w:color="auto" w:fill="97719D"/>
            <w:noWrap/>
            <w:vAlign w:val="center"/>
          </w:tcPr>
          <w:p w14:paraId="2C90E9B6" w14:textId="77777777" w:rsidR="00915257" w:rsidRPr="007F6332" w:rsidRDefault="00915257" w:rsidP="00416EC5">
            <w:pPr>
              <w:spacing w:after="0" w:line="240" w:lineRule="auto"/>
              <w:jc w:val="center"/>
              <w:rPr>
                <w:rFonts w:eastAsia="Times New Roman" w:cs="Arial"/>
                <w:color w:val="000000"/>
                <w:szCs w:val="22"/>
                <w:lang w:val="en-AU" w:eastAsia="en-AU"/>
              </w:rPr>
            </w:pPr>
          </w:p>
        </w:tc>
        <w:tc>
          <w:tcPr>
            <w:tcW w:w="1011" w:type="dxa"/>
            <w:tcBorders>
              <w:top w:val="nil"/>
              <w:left w:val="single" w:sz="4" w:space="0" w:color="auto"/>
            </w:tcBorders>
            <w:shd w:val="clear" w:color="auto" w:fill="97719D"/>
            <w:noWrap/>
            <w:vAlign w:val="center"/>
          </w:tcPr>
          <w:p w14:paraId="4E62A7F5" w14:textId="77777777" w:rsidR="00915257" w:rsidRPr="007F6332" w:rsidRDefault="00915257" w:rsidP="00416EC5">
            <w:pPr>
              <w:spacing w:after="0" w:line="240" w:lineRule="auto"/>
              <w:jc w:val="center"/>
              <w:rPr>
                <w:rFonts w:eastAsia="Times New Roman" w:cs="Arial"/>
                <w:color w:val="000000"/>
                <w:szCs w:val="22"/>
                <w:lang w:val="en-AU" w:eastAsia="en-AU"/>
              </w:rPr>
            </w:pPr>
          </w:p>
        </w:tc>
      </w:tr>
      <w:tr w:rsidR="00915257" w:rsidRPr="007F6332" w14:paraId="60108225" w14:textId="77777777" w:rsidTr="00C1755E">
        <w:trPr>
          <w:trHeight w:val="397"/>
        </w:trPr>
        <w:tc>
          <w:tcPr>
            <w:tcW w:w="3162" w:type="dxa"/>
            <w:tcBorders>
              <w:bottom w:val="nil"/>
              <w:right w:val="single" w:sz="4" w:space="0" w:color="auto"/>
            </w:tcBorders>
            <w:shd w:val="clear" w:color="auto" w:fill="D4C5D7"/>
            <w:noWrap/>
            <w:vAlign w:val="center"/>
            <w:hideMark/>
          </w:tcPr>
          <w:p w14:paraId="3DCD7FFB" w14:textId="58206231"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Baseline</w:t>
            </w:r>
          </w:p>
        </w:tc>
        <w:tc>
          <w:tcPr>
            <w:tcW w:w="963" w:type="dxa"/>
            <w:tcBorders>
              <w:left w:val="nil"/>
              <w:bottom w:val="nil"/>
              <w:right w:val="nil"/>
            </w:tcBorders>
            <w:shd w:val="clear" w:color="auto" w:fill="D4C5D7"/>
            <w:noWrap/>
            <w:vAlign w:val="center"/>
            <w:hideMark/>
          </w:tcPr>
          <w:p w14:paraId="0FB38592"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1.74%</w:t>
            </w:r>
          </w:p>
        </w:tc>
        <w:tc>
          <w:tcPr>
            <w:tcW w:w="957" w:type="dxa"/>
            <w:tcBorders>
              <w:left w:val="nil"/>
              <w:bottom w:val="nil"/>
              <w:right w:val="nil"/>
            </w:tcBorders>
            <w:shd w:val="clear" w:color="auto" w:fill="D4C5D7"/>
            <w:noWrap/>
            <w:vAlign w:val="center"/>
            <w:hideMark/>
          </w:tcPr>
          <w:p w14:paraId="7517ED28"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1.86%</w:t>
            </w:r>
          </w:p>
        </w:tc>
        <w:tc>
          <w:tcPr>
            <w:tcW w:w="958" w:type="dxa"/>
            <w:tcBorders>
              <w:left w:val="nil"/>
              <w:bottom w:val="nil"/>
              <w:right w:val="nil"/>
            </w:tcBorders>
            <w:shd w:val="clear" w:color="auto" w:fill="D4C5D7"/>
            <w:noWrap/>
            <w:vAlign w:val="center"/>
            <w:hideMark/>
          </w:tcPr>
          <w:p w14:paraId="31F1FD6F"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1.94%</w:t>
            </w:r>
          </w:p>
        </w:tc>
        <w:tc>
          <w:tcPr>
            <w:tcW w:w="964" w:type="dxa"/>
            <w:tcBorders>
              <w:left w:val="nil"/>
              <w:bottom w:val="nil"/>
              <w:right w:val="nil"/>
            </w:tcBorders>
            <w:shd w:val="clear" w:color="auto" w:fill="D4C5D7"/>
            <w:noWrap/>
            <w:vAlign w:val="center"/>
            <w:hideMark/>
          </w:tcPr>
          <w:p w14:paraId="2B94665D"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2.01%</w:t>
            </w:r>
          </w:p>
        </w:tc>
        <w:tc>
          <w:tcPr>
            <w:tcW w:w="934" w:type="dxa"/>
            <w:tcBorders>
              <w:left w:val="dotted" w:sz="4" w:space="0" w:color="auto"/>
              <w:bottom w:val="nil"/>
              <w:right w:val="dotted" w:sz="4" w:space="0" w:color="auto"/>
            </w:tcBorders>
            <w:shd w:val="clear" w:color="auto" w:fill="D4C5D7"/>
            <w:noWrap/>
            <w:vAlign w:val="center"/>
            <w:hideMark/>
          </w:tcPr>
          <w:p w14:paraId="7727CBDB"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2.51%</w:t>
            </w:r>
          </w:p>
        </w:tc>
        <w:tc>
          <w:tcPr>
            <w:tcW w:w="1011" w:type="dxa"/>
            <w:tcBorders>
              <w:left w:val="single" w:sz="4" w:space="0" w:color="auto"/>
              <w:bottom w:val="nil"/>
            </w:tcBorders>
            <w:shd w:val="clear" w:color="auto" w:fill="D4C5D7"/>
            <w:noWrap/>
            <w:vAlign w:val="center"/>
            <w:hideMark/>
          </w:tcPr>
          <w:p w14:paraId="4CC49B1A"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1.90%</w:t>
            </w:r>
          </w:p>
        </w:tc>
      </w:tr>
      <w:tr w:rsidR="00915257" w:rsidRPr="007F6332" w14:paraId="78A854A7" w14:textId="77777777" w:rsidTr="009226A9">
        <w:trPr>
          <w:trHeight w:val="397"/>
        </w:trPr>
        <w:tc>
          <w:tcPr>
            <w:tcW w:w="3162" w:type="dxa"/>
            <w:tcBorders>
              <w:top w:val="nil"/>
              <w:bottom w:val="nil"/>
              <w:right w:val="single" w:sz="4" w:space="0" w:color="auto"/>
            </w:tcBorders>
            <w:shd w:val="clear" w:color="auto" w:fill="FFFFFF" w:themeFill="background1"/>
            <w:noWrap/>
            <w:vAlign w:val="center"/>
            <w:hideMark/>
          </w:tcPr>
          <w:p w14:paraId="745DBB73"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5.0%</w:t>
            </w:r>
          </w:p>
        </w:tc>
        <w:tc>
          <w:tcPr>
            <w:tcW w:w="963" w:type="dxa"/>
            <w:tcBorders>
              <w:top w:val="nil"/>
              <w:left w:val="nil"/>
              <w:bottom w:val="nil"/>
              <w:right w:val="nil"/>
            </w:tcBorders>
            <w:shd w:val="clear" w:color="auto" w:fill="FFFFFF" w:themeFill="background1"/>
            <w:noWrap/>
            <w:vAlign w:val="center"/>
            <w:hideMark/>
          </w:tcPr>
          <w:p w14:paraId="4AED2E34"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1.65%</w:t>
            </w:r>
          </w:p>
        </w:tc>
        <w:tc>
          <w:tcPr>
            <w:tcW w:w="957" w:type="dxa"/>
            <w:tcBorders>
              <w:top w:val="nil"/>
              <w:left w:val="nil"/>
              <w:bottom w:val="nil"/>
              <w:right w:val="nil"/>
            </w:tcBorders>
            <w:shd w:val="clear" w:color="auto" w:fill="FFFFFF" w:themeFill="background1"/>
            <w:noWrap/>
            <w:vAlign w:val="center"/>
            <w:hideMark/>
          </w:tcPr>
          <w:p w14:paraId="08124B73"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1.70%</w:t>
            </w:r>
          </w:p>
        </w:tc>
        <w:tc>
          <w:tcPr>
            <w:tcW w:w="958" w:type="dxa"/>
            <w:tcBorders>
              <w:top w:val="nil"/>
              <w:left w:val="nil"/>
              <w:bottom w:val="nil"/>
              <w:right w:val="nil"/>
            </w:tcBorders>
            <w:shd w:val="clear" w:color="auto" w:fill="FFFFFF" w:themeFill="background1"/>
            <w:noWrap/>
            <w:vAlign w:val="center"/>
            <w:hideMark/>
          </w:tcPr>
          <w:p w14:paraId="40E523FD"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1.73%</w:t>
            </w:r>
          </w:p>
        </w:tc>
        <w:tc>
          <w:tcPr>
            <w:tcW w:w="964" w:type="dxa"/>
            <w:tcBorders>
              <w:top w:val="nil"/>
              <w:left w:val="nil"/>
              <w:bottom w:val="nil"/>
              <w:right w:val="nil"/>
            </w:tcBorders>
            <w:shd w:val="clear" w:color="auto" w:fill="FFFFFF" w:themeFill="background1"/>
            <w:noWrap/>
            <w:vAlign w:val="center"/>
            <w:hideMark/>
          </w:tcPr>
          <w:p w14:paraId="31A27701"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1.75%</w:t>
            </w:r>
          </w:p>
        </w:tc>
        <w:tc>
          <w:tcPr>
            <w:tcW w:w="934" w:type="dxa"/>
            <w:tcBorders>
              <w:top w:val="nil"/>
              <w:left w:val="dotted" w:sz="4" w:space="0" w:color="auto"/>
              <w:bottom w:val="nil"/>
              <w:right w:val="dotted" w:sz="4" w:space="0" w:color="auto"/>
            </w:tcBorders>
            <w:shd w:val="clear" w:color="auto" w:fill="FFFFFF" w:themeFill="background1"/>
            <w:noWrap/>
            <w:vAlign w:val="center"/>
            <w:hideMark/>
          </w:tcPr>
          <w:p w14:paraId="40BC2FE3"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1.93%</w:t>
            </w:r>
          </w:p>
        </w:tc>
        <w:tc>
          <w:tcPr>
            <w:tcW w:w="1011" w:type="dxa"/>
            <w:tcBorders>
              <w:top w:val="nil"/>
              <w:left w:val="single" w:sz="4" w:space="0" w:color="auto"/>
              <w:bottom w:val="nil"/>
            </w:tcBorders>
            <w:shd w:val="clear" w:color="auto" w:fill="FFFFFF" w:themeFill="background1"/>
            <w:noWrap/>
            <w:vAlign w:val="center"/>
            <w:hideMark/>
          </w:tcPr>
          <w:p w14:paraId="0E85FF18"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1.72%</w:t>
            </w:r>
          </w:p>
        </w:tc>
      </w:tr>
      <w:tr w:rsidR="00915257" w:rsidRPr="007F6332" w14:paraId="6CA4E20B" w14:textId="77777777" w:rsidTr="009226A9">
        <w:trPr>
          <w:trHeight w:val="397"/>
        </w:trPr>
        <w:tc>
          <w:tcPr>
            <w:tcW w:w="3162" w:type="dxa"/>
            <w:tcBorders>
              <w:top w:val="nil"/>
              <w:bottom w:val="single" w:sz="4" w:space="0" w:color="auto"/>
              <w:right w:val="single" w:sz="4" w:space="0" w:color="auto"/>
            </w:tcBorders>
            <w:shd w:val="clear" w:color="auto" w:fill="A6A6A6" w:themeFill="background1" w:themeFillShade="A6"/>
            <w:noWrap/>
            <w:vAlign w:val="center"/>
            <w:hideMark/>
          </w:tcPr>
          <w:p w14:paraId="6CC48147" w14:textId="77777777" w:rsidR="00915257" w:rsidRPr="007F6332" w:rsidRDefault="00915257" w:rsidP="00416EC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95.0%</w:t>
            </w:r>
          </w:p>
        </w:tc>
        <w:tc>
          <w:tcPr>
            <w:tcW w:w="963" w:type="dxa"/>
            <w:tcBorders>
              <w:top w:val="nil"/>
              <w:left w:val="nil"/>
              <w:bottom w:val="single" w:sz="4" w:space="0" w:color="auto"/>
              <w:right w:val="nil"/>
            </w:tcBorders>
            <w:shd w:val="clear" w:color="auto" w:fill="A6A6A6" w:themeFill="background1" w:themeFillShade="A6"/>
            <w:noWrap/>
            <w:vAlign w:val="center"/>
            <w:hideMark/>
          </w:tcPr>
          <w:p w14:paraId="49A06F50"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1.92%</w:t>
            </w:r>
          </w:p>
        </w:tc>
        <w:tc>
          <w:tcPr>
            <w:tcW w:w="957" w:type="dxa"/>
            <w:tcBorders>
              <w:top w:val="nil"/>
              <w:left w:val="nil"/>
              <w:bottom w:val="single" w:sz="4" w:space="0" w:color="auto"/>
              <w:right w:val="nil"/>
            </w:tcBorders>
            <w:shd w:val="clear" w:color="auto" w:fill="A6A6A6" w:themeFill="background1" w:themeFillShade="A6"/>
            <w:noWrap/>
            <w:vAlign w:val="center"/>
            <w:hideMark/>
          </w:tcPr>
          <w:p w14:paraId="2ADB26E8"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2.13%</w:t>
            </w:r>
          </w:p>
        </w:tc>
        <w:tc>
          <w:tcPr>
            <w:tcW w:w="958" w:type="dxa"/>
            <w:tcBorders>
              <w:top w:val="nil"/>
              <w:left w:val="nil"/>
              <w:bottom w:val="single" w:sz="4" w:space="0" w:color="auto"/>
              <w:right w:val="nil"/>
            </w:tcBorders>
            <w:shd w:val="clear" w:color="auto" w:fill="A6A6A6" w:themeFill="background1" w:themeFillShade="A6"/>
            <w:noWrap/>
            <w:vAlign w:val="center"/>
            <w:hideMark/>
          </w:tcPr>
          <w:p w14:paraId="347059C4"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2.27%</w:t>
            </w:r>
          </w:p>
        </w:tc>
        <w:tc>
          <w:tcPr>
            <w:tcW w:w="964" w:type="dxa"/>
            <w:tcBorders>
              <w:top w:val="nil"/>
              <w:left w:val="nil"/>
              <w:bottom w:val="single" w:sz="4" w:space="0" w:color="auto"/>
              <w:right w:val="nil"/>
            </w:tcBorders>
            <w:shd w:val="clear" w:color="auto" w:fill="A6A6A6" w:themeFill="background1" w:themeFillShade="A6"/>
            <w:noWrap/>
            <w:vAlign w:val="center"/>
            <w:hideMark/>
          </w:tcPr>
          <w:p w14:paraId="5530729E"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2.38%</w:t>
            </w:r>
          </w:p>
        </w:tc>
        <w:tc>
          <w:tcPr>
            <w:tcW w:w="934" w:type="dxa"/>
            <w:tcBorders>
              <w:top w:val="nil"/>
              <w:left w:val="dotted" w:sz="4" w:space="0" w:color="auto"/>
              <w:bottom w:val="single" w:sz="4" w:space="0" w:color="auto"/>
              <w:right w:val="dotted" w:sz="4" w:space="0" w:color="auto"/>
            </w:tcBorders>
            <w:shd w:val="clear" w:color="auto" w:fill="A6A6A6" w:themeFill="background1" w:themeFillShade="A6"/>
            <w:noWrap/>
            <w:vAlign w:val="center"/>
            <w:hideMark/>
          </w:tcPr>
          <w:p w14:paraId="3EA9FD00"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3.30%</w:t>
            </w:r>
          </w:p>
        </w:tc>
        <w:tc>
          <w:tcPr>
            <w:tcW w:w="1011" w:type="dxa"/>
            <w:tcBorders>
              <w:top w:val="nil"/>
              <w:left w:val="single" w:sz="4" w:space="0" w:color="auto"/>
              <w:bottom w:val="single" w:sz="4" w:space="0" w:color="auto"/>
            </w:tcBorders>
            <w:shd w:val="clear" w:color="auto" w:fill="A6A6A6" w:themeFill="background1" w:themeFillShade="A6"/>
            <w:noWrap/>
            <w:vAlign w:val="center"/>
            <w:hideMark/>
          </w:tcPr>
          <w:p w14:paraId="1A5BCE88" w14:textId="77777777" w:rsidR="00915257" w:rsidRPr="007F6332" w:rsidRDefault="00915257" w:rsidP="00416EC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2.16%</w:t>
            </w:r>
          </w:p>
        </w:tc>
      </w:tr>
    </w:tbl>
    <w:bookmarkEnd w:id="210"/>
    <w:p w14:paraId="39B7706E" w14:textId="26878A30" w:rsidR="00B042DF" w:rsidRPr="007F6332" w:rsidRDefault="00B042DF" w:rsidP="00B042DF">
      <w:pPr>
        <w:pStyle w:val="FSRnormal"/>
        <w:rPr>
          <w:rFonts w:cs="Arial"/>
        </w:rPr>
      </w:pPr>
      <w:r w:rsidRPr="007F6332">
        <w:rPr>
          <w:rFonts w:cs="Arial"/>
        </w:rPr>
        <w:t>Table</w:t>
      </w:r>
      <w:r w:rsidR="00E06963" w:rsidRPr="007F6332">
        <w:rPr>
          <w:rFonts w:cs="Arial"/>
        </w:rPr>
        <w:t xml:space="preserve"> 6</w:t>
      </w:r>
      <w:r w:rsidR="008603DE" w:rsidRPr="007F6332">
        <w:rPr>
          <w:rFonts w:cs="Arial"/>
        </w:rPr>
        <w:t>.</w:t>
      </w:r>
      <w:r w:rsidR="008D7F3D" w:rsidRPr="007F6332">
        <w:rPr>
          <w:rFonts w:cs="Arial"/>
        </w:rPr>
        <w:t>8</w:t>
      </w:r>
      <w:r w:rsidRPr="007F6332">
        <w:rPr>
          <w:rFonts w:cs="Arial"/>
        </w:rPr>
        <w:t xml:space="preserve"> shows the projection results expressed as the difference between the projected Scheme expense and the baseline projection. The 90% confidence interval for the range of expected outcomes for projected Scheme expense is:</w:t>
      </w:r>
    </w:p>
    <w:p w14:paraId="4D610BA5" w14:textId="08F16D6C" w:rsidR="00B042DF" w:rsidRPr="007F6332" w:rsidRDefault="008603DE" w:rsidP="00C1755E">
      <w:pPr>
        <w:pStyle w:val="FSRlist"/>
        <w:rPr>
          <w:rFonts w:cs="Arial"/>
        </w:rPr>
      </w:pPr>
      <w:r w:rsidRPr="007F6332">
        <w:rPr>
          <w:rFonts w:cs="Arial"/>
        </w:rPr>
        <w:t xml:space="preserve">From </w:t>
      </w:r>
      <w:r w:rsidR="00B042DF" w:rsidRPr="007F6332">
        <w:rPr>
          <w:rFonts w:cs="Arial"/>
        </w:rPr>
        <w:t>$2.3 billion below to $4.3 billion above the baseline projection, for the year to 30 June 2024, which is a range of $6.6 billion (16% of the baseline projection).</w:t>
      </w:r>
      <w:r w:rsidR="00B042DF" w:rsidRPr="007F6332">
        <w:rPr>
          <w:rFonts w:cs="Arial"/>
        </w:rPr>
        <w:tab/>
      </w:r>
    </w:p>
    <w:p w14:paraId="1F08910F" w14:textId="77777777" w:rsidR="00B042DF" w:rsidRPr="007F6332" w:rsidRDefault="00B042DF" w:rsidP="00C1755E">
      <w:pPr>
        <w:pStyle w:val="FSRlist"/>
        <w:rPr>
          <w:rFonts w:cs="Arial"/>
        </w:rPr>
      </w:pPr>
      <w:r w:rsidRPr="007F6332">
        <w:rPr>
          <w:rFonts w:cs="Arial"/>
        </w:rPr>
        <w:t>From $17.7 billion below to $27.3 billion above the baseline projection, for the four years to 30 June 2027, which is a range of $45.0 billion (23% of the baseline projection).</w:t>
      </w:r>
    </w:p>
    <w:p w14:paraId="26B1B74E" w14:textId="77777777" w:rsidR="00B042DF" w:rsidRPr="007F6332" w:rsidRDefault="00B042DF" w:rsidP="00C1755E">
      <w:pPr>
        <w:pStyle w:val="FSRlist"/>
        <w:rPr>
          <w:rFonts w:cs="Arial"/>
        </w:rPr>
      </w:pPr>
      <w:r w:rsidRPr="007F6332">
        <w:rPr>
          <w:rFonts w:cs="Arial"/>
        </w:rPr>
        <w:t>From $21.4 billion below to $29.2 billion above the baseline projection, for the year to 30 June 2033, which is a range of $50.6 billion (55% of the baseline projection).</w:t>
      </w:r>
    </w:p>
    <w:p w14:paraId="0AD1F06C" w14:textId="7E339AB8" w:rsidR="00B042DF" w:rsidRPr="007F6332" w:rsidRDefault="00B042DF" w:rsidP="00945CBF">
      <w:pPr>
        <w:pStyle w:val="FiguresandTablesHeading5"/>
      </w:pPr>
      <w:r w:rsidRPr="007F6332">
        <w:t xml:space="preserve">Table </w:t>
      </w:r>
      <w:r w:rsidR="00E06963" w:rsidRPr="007F6332">
        <w:t>6.</w:t>
      </w:r>
      <w:r w:rsidR="008D7F3D" w:rsidRPr="007F6332">
        <w:t>8</w:t>
      </w:r>
      <w:r w:rsidRPr="007F6332">
        <w:t>: Scheme expense for percentiles less baseline projection</w:t>
      </w:r>
      <w:r w:rsidR="00206583" w:rsidRPr="007F6332">
        <w:t xml:space="preserve"> ($m)</w:t>
      </w:r>
    </w:p>
    <w:tbl>
      <w:tblPr>
        <w:tblW w:w="9149" w:type="dxa"/>
        <w:tblLayout w:type="fixed"/>
        <w:tblLook w:val="04A0" w:firstRow="1" w:lastRow="0" w:firstColumn="1" w:lastColumn="0" w:noHBand="0" w:noVBand="1"/>
      </w:tblPr>
      <w:tblGrid>
        <w:gridCol w:w="2127"/>
        <w:gridCol w:w="1126"/>
        <w:gridCol w:w="1126"/>
        <w:gridCol w:w="1126"/>
        <w:gridCol w:w="1132"/>
        <w:gridCol w:w="1138"/>
        <w:gridCol w:w="1138"/>
        <w:gridCol w:w="236"/>
      </w:tblGrid>
      <w:tr w:rsidR="006552B8" w:rsidRPr="007F6332" w14:paraId="799D6737" w14:textId="77777777" w:rsidTr="009226A9">
        <w:trPr>
          <w:trHeight w:val="397"/>
        </w:trPr>
        <w:tc>
          <w:tcPr>
            <w:tcW w:w="2127" w:type="dxa"/>
            <w:tcBorders>
              <w:top w:val="nil"/>
              <w:right w:val="nil"/>
            </w:tcBorders>
            <w:shd w:val="clear" w:color="000000" w:fill="6B2976"/>
            <w:noWrap/>
            <w:vAlign w:val="center"/>
            <w:hideMark/>
          </w:tcPr>
          <w:p w14:paraId="38416EE0" w14:textId="77777777" w:rsidR="006552B8" w:rsidRPr="007F6332" w:rsidRDefault="006552B8" w:rsidP="006552B8">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Percentiles</w:t>
            </w:r>
          </w:p>
        </w:tc>
        <w:tc>
          <w:tcPr>
            <w:tcW w:w="1126" w:type="dxa"/>
            <w:tcBorders>
              <w:top w:val="nil"/>
              <w:left w:val="nil"/>
            </w:tcBorders>
            <w:shd w:val="clear" w:color="000000" w:fill="6B2976"/>
            <w:noWrap/>
            <w:vAlign w:val="center"/>
            <w:hideMark/>
          </w:tcPr>
          <w:p w14:paraId="41475886" w14:textId="77777777" w:rsidR="006552B8" w:rsidRPr="007F6332" w:rsidRDefault="006552B8" w:rsidP="006552B8">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2023-24</w:t>
            </w:r>
          </w:p>
        </w:tc>
        <w:tc>
          <w:tcPr>
            <w:tcW w:w="1126" w:type="dxa"/>
            <w:tcBorders>
              <w:top w:val="nil"/>
            </w:tcBorders>
            <w:shd w:val="clear" w:color="000000" w:fill="6B2976"/>
            <w:noWrap/>
            <w:vAlign w:val="center"/>
            <w:hideMark/>
          </w:tcPr>
          <w:p w14:paraId="691BDBA7" w14:textId="77777777" w:rsidR="006552B8" w:rsidRPr="007F6332" w:rsidRDefault="006552B8" w:rsidP="006552B8">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2024-25</w:t>
            </w:r>
          </w:p>
        </w:tc>
        <w:tc>
          <w:tcPr>
            <w:tcW w:w="1126" w:type="dxa"/>
            <w:tcBorders>
              <w:top w:val="nil"/>
            </w:tcBorders>
            <w:shd w:val="clear" w:color="000000" w:fill="6B2976"/>
            <w:noWrap/>
            <w:vAlign w:val="center"/>
            <w:hideMark/>
          </w:tcPr>
          <w:p w14:paraId="6CC680BD" w14:textId="77777777" w:rsidR="006552B8" w:rsidRPr="007F6332" w:rsidRDefault="006552B8" w:rsidP="006552B8">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2025-26</w:t>
            </w:r>
          </w:p>
        </w:tc>
        <w:tc>
          <w:tcPr>
            <w:tcW w:w="1132" w:type="dxa"/>
            <w:tcBorders>
              <w:top w:val="nil"/>
            </w:tcBorders>
            <w:shd w:val="clear" w:color="000000" w:fill="6B2976"/>
            <w:noWrap/>
            <w:vAlign w:val="center"/>
            <w:hideMark/>
          </w:tcPr>
          <w:p w14:paraId="1645C228" w14:textId="77777777" w:rsidR="006552B8" w:rsidRPr="007F6332" w:rsidRDefault="006552B8" w:rsidP="006552B8">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2026-27</w:t>
            </w:r>
          </w:p>
        </w:tc>
        <w:tc>
          <w:tcPr>
            <w:tcW w:w="1138" w:type="dxa"/>
            <w:tcBorders>
              <w:top w:val="nil"/>
            </w:tcBorders>
            <w:shd w:val="clear" w:color="000000" w:fill="6B2976"/>
            <w:noWrap/>
            <w:vAlign w:val="center"/>
            <w:hideMark/>
          </w:tcPr>
          <w:p w14:paraId="0D3636CD" w14:textId="77777777" w:rsidR="006552B8" w:rsidRPr="007F6332" w:rsidRDefault="006552B8" w:rsidP="006552B8">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2032-33</w:t>
            </w:r>
          </w:p>
        </w:tc>
        <w:tc>
          <w:tcPr>
            <w:tcW w:w="1138" w:type="dxa"/>
            <w:tcBorders>
              <w:top w:val="nil"/>
            </w:tcBorders>
            <w:shd w:val="clear" w:color="000000" w:fill="6B2976"/>
            <w:noWrap/>
            <w:vAlign w:val="center"/>
            <w:hideMark/>
          </w:tcPr>
          <w:p w14:paraId="73E107C6" w14:textId="77777777" w:rsidR="006552B8" w:rsidRPr="007F6332" w:rsidRDefault="006552B8" w:rsidP="006552B8">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2023-27</w:t>
            </w:r>
          </w:p>
        </w:tc>
        <w:tc>
          <w:tcPr>
            <w:tcW w:w="236" w:type="dxa"/>
            <w:tcBorders>
              <w:left w:val="nil"/>
            </w:tcBorders>
            <w:vAlign w:val="center"/>
          </w:tcPr>
          <w:p w14:paraId="1AF424B4" w14:textId="77777777" w:rsidR="006552B8" w:rsidRPr="007F6332" w:rsidRDefault="006552B8" w:rsidP="006552B8">
            <w:pPr>
              <w:spacing w:after="0" w:line="240" w:lineRule="auto"/>
              <w:rPr>
                <w:rFonts w:eastAsia="Times New Roman" w:cs="Arial"/>
                <w:sz w:val="20"/>
                <w:szCs w:val="20"/>
                <w:lang w:val="en-AU" w:eastAsia="en-AU"/>
              </w:rPr>
            </w:pPr>
          </w:p>
        </w:tc>
      </w:tr>
      <w:tr w:rsidR="006552B8" w:rsidRPr="007F6332" w14:paraId="10A7C624" w14:textId="77777777" w:rsidTr="009226A9">
        <w:trPr>
          <w:trHeight w:val="397"/>
        </w:trPr>
        <w:tc>
          <w:tcPr>
            <w:tcW w:w="2127" w:type="dxa"/>
            <w:tcBorders>
              <w:bottom w:val="nil"/>
              <w:right w:val="nil"/>
            </w:tcBorders>
            <w:shd w:val="clear" w:color="000000" w:fill="A7A9AC"/>
            <w:noWrap/>
            <w:vAlign w:val="center"/>
            <w:hideMark/>
          </w:tcPr>
          <w:p w14:paraId="268D9A0D" w14:textId="77777777" w:rsidR="006552B8" w:rsidRPr="007F6332" w:rsidRDefault="006552B8" w:rsidP="006552B8">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5.0%</w:t>
            </w:r>
          </w:p>
        </w:tc>
        <w:tc>
          <w:tcPr>
            <w:tcW w:w="1126" w:type="dxa"/>
            <w:tcBorders>
              <w:left w:val="nil"/>
              <w:bottom w:val="nil"/>
            </w:tcBorders>
            <w:shd w:val="clear" w:color="000000" w:fill="A7A9AC"/>
            <w:noWrap/>
            <w:vAlign w:val="center"/>
            <w:hideMark/>
          </w:tcPr>
          <w:p w14:paraId="215B9BF2"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-2,313</w:t>
            </w:r>
          </w:p>
        </w:tc>
        <w:tc>
          <w:tcPr>
            <w:tcW w:w="1126" w:type="dxa"/>
            <w:tcBorders>
              <w:bottom w:val="nil"/>
            </w:tcBorders>
            <w:shd w:val="clear" w:color="000000" w:fill="A7A9AC"/>
            <w:noWrap/>
            <w:vAlign w:val="center"/>
            <w:hideMark/>
          </w:tcPr>
          <w:p w14:paraId="527A67BB"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-4,019</w:t>
            </w:r>
          </w:p>
        </w:tc>
        <w:tc>
          <w:tcPr>
            <w:tcW w:w="1126" w:type="dxa"/>
            <w:tcBorders>
              <w:bottom w:val="nil"/>
            </w:tcBorders>
            <w:shd w:val="clear" w:color="000000" w:fill="A7A9AC"/>
            <w:noWrap/>
            <w:vAlign w:val="center"/>
            <w:hideMark/>
          </w:tcPr>
          <w:p w14:paraId="3CEA6273"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-5,635</w:t>
            </w:r>
          </w:p>
        </w:tc>
        <w:tc>
          <w:tcPr>
            <w:tcW w:w="1132" w:type="dxa"/>
            <w:tcBorders>
              <w:bottom w:val="nil"/>
            </w:tcBorders>
            <w:shd w:val="clear" w:color="000000" w:fill="A7A9AC"/>
            <w:noWrap/>
            <w:vAlign w:val="center"/>
            <w:hideMark/>
          </w:tcPr>
          <w:p w14:paraId="06CFB6BD"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-7,130</w:t>
            </w:r>
          </w:p>
        </w:tc>
        <w:tc>
          <w:tcPr>
            <w:tcW w:w="1138" w:type="dxa"/>
            <w:tcBorders>
              <w:bottom w:val="nil"/>
            </w:tcBorders>
            <w:shd w:val="clear" w:color="000000" w:fill="A7A9AC"/>
            <w:noWrap/>
            <w:vAlign w:val="center"/>
            <w:hideMark/>
          </w:tcPr>
          <w:p w14:paraId="69A225C8"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-21,405</w:t>
            </w:r>
          </w:p>
        </w:tc>
        <w:tc>
          <w:tcPr>
            <w:tcW w:w="1138" w:type="dxa"/>
            <w:tcBorders>
              <w:bottom w:val="nil"/>
            </w:tcBorders>
            <w:shd w:val="clear" w:color="000000" w:fill="A7A9AC"/>
            <w:noWrap/>
            <w:vAlign w:val="center"/>
            <w:hideMark/>
          </w:tcPr>
          <w:p w14:paraId="0C90618C"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-17,664</w:t>
            </w:r>
          </w:p>
        </w:tc>
        <w:tc>
          <w:tcPr>
            <w:tcW w:w="236" w:type="dxa"/>
            <w:tcBorders>
              <w:left w:val="nil"/>
            </w:tcBorders>
            <w:vAlign w:val="center"/>
          </w:tcPr>
          <w:p w14:paraId="19FADCF4" w14:textId="77777777" w:rsidR="006552B8" w:rsidRPr="007F6332" w:rsidRDefault="006552B8" w:rsidP="006552B8">
            <w:pPr>
              <w:spacing w:after="0" w:line="240" w:lineRule="auto"/>
              <w:rPr>
                <w:rFonts w:eastAsia="Times New Roman" w:cs="Arial"/>
                <w:sz w:val="20"/>
                <w:szCs w:val="20"/>
                <w:lang w:val="en-AU" w:eastAsia="en-AU"/>
              </w:rPr>
            </w:pPr>
          </w:p>
        </w:tc>
      </w:tr>
      <w:tr w:rsidR="006552B8" w:rsidRPr="007F6332" w14:paraId="17540642" w14:textId="77777777" w:rsidTr="009226A9">
        <w:trPr>
          <w:trHeight w:val="397"/>
        </w:trPr>
        <w:tc>
          <w:tcPr>
            <w:tcW w:w="2127" w:type="dxa"/>
            <w:tcBorders>
              <w:top w:val="nil"/>
              <w:bottom w:val="nil"/>
              <w:right w:val="nil"/>
            </w:tcBorders>
            <w:shd w:val="clear" w:color="auto" w:fill="auto"/>
            <w:noWrap/>
            <w:vAlign w:val="center"/>
            <w:hideMark/>
          </w:tcPr>
          <w:p w14:paraId="0F6913F8" w14:textId="77777777" w:rsidR="006552B8" w:rsidRPr="007F6332" w:rsidRDefault="006552B8" w:rsidP="006552B8">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25.0%</w:t>
            </w:r>
          </w:p>
        </w:tc>
        <w:tc>
          <w:tcPr>
            <w:tcW w:w="1126" w:type="dxa"/>
            <w:tcBorders>
              <w:top w:val="nil"/>
              <w:left w:val="nil"/>
              <w:bottom w:val="nil"/>
            </w:tcBorders>
            <w:shd w:val="clear" w:color="auto" w:fill="auto"/>
            <w:noWrap/>
            <w:vAlign w:val="center"/>
            <w:hideMark/>
          </w:tcPr>
          <w:p w14:paraId="4D2FD01C"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-1,376</w:t>
            </w:r>
          </w:p>
        </w:tc>
        <w:tc>
          <w:tcPr>
            <w:tcW w:w="1126" w:type="dxa"/>
            <w:tcBorders>
              <w:top w:val="nil"/>
              <w:bottom w:val="nil"/>
            </w:tcBorders>
            <w:shd w:val="clear" w:color="auto" w:fill="auto"/>
            <w:noWrap/>
            <w:vAlign w:val="center"/>
            <w:hideMark/>
          </w:tcPr>
          <w:p w14:paraId="3E4F92CC"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-2,116</w:t>
            </w:r>
          </w:p>
        </w:tc>
        <w:tc>
          <w:tcPr>
            <w:tcW w:w="1126" w:type="dxa"/>
            <w:tcBorders>
              <w:top w:val="nil"/>
              <w:bottom w:val="nil"/>
            </w:tcBorders>
            <w:shd w:val="clear" w:color="auto" w:fill="auto"/>
            <w:noWrap/>
            <w:vAlign w:val="center"/>
            <w:hideMark/>
          </w:tcPr>
          <w:p w14:paraId="0DBF60AC"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-2,881</w:t>
            </w:r>
          </w:p>
        </w:tc>
        <w:tc>
          <w:tcPr>
            <w:tcW w:w="1132" w:type="dxa"/>
            <w:tcBorders>
              <w:top w:val="nil"/>
              <w:bottom w:val="nil"/>
            </w:tcBorders>
            <w:shd w:val="clear" w:color="auto" w:fill="auto"/>
            <w:noWrap/>
            <w:vAlign w:val="center"/>
            <w:hideMark/>
          </w:tcPr>
          <w:p w14:paraId="01EC61AF"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-3,584</w:t>
            </w:r>
          </w:p>
        </w:tc>
        <w:tc>
          <w:tcPr>
            <w:tcW w:w="1138" w:type="dxa"/>
            <w:tcBorders>
              <w:top w:val="nil"/>
              <w:bottom w:val="nil"/>
            </w:tcBorders>
            <w:shd w:val="clear" w:color="auto" w:fill="auto"/>
            <w:noWrap/>
            <w:vAlign w:val="center"/>
            <w:hideMark/>
          </w:tcPr>
          <w:p w14:paraId="646C16B7"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-10,258</w:t>
            </w:r>
          </w:p>
        </w:tc>
        <w:tc>
          <w:tcPr>
            <w:tcW w:w="1138" w:type="dxa"/>
            <w:tcBorders>
              <w:top w:val="nil"/>
              <w:bottom w:val="nil"/>
            </w:tcBorders>
            <w:shd w:val="clear" w:color="auto" w:fill="auto"/>
            <w:noWrap/>
            <w:vAlign w:val="center"/>
            <w:hideMark/>
          </w:tcPr>
          <w:p w14:paraId="21B067C4"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-9,247</w:t>
            </w:r>
          </w:p>
        </w:tc>
        <w:tc>
          <w:tcPr>
            <w:tcW w:w="236" w:type="dxa"/>
            <w:tcBorders>
              <w:left w:val="nil"/>
            </w:tcBorders>
            <w:vAlign w:val="center"/>
          </w:tcPr>
          <w:p w14:paraId="0789894C" w14:textId="77777777" w:rsidR="006552B8" w:rsidRPr="007F6332" w:rsidRDefault="006552B8" w:rsidP="006552B8">
            <w:pPr>
              <w:spacing w:after="0" w:line="240" w:lineRule="auto"/>
              <w:rPr>
                <w:rFonts w:eastAsia="Times New Roman" w:cs="Arial"/>
                <w:sz w:val="20"/>
                <w:szCs w:val="20"/>
                <w:lang w:val="en-AU" w:eastAsia="en-AU"/>
              </w:rPr>
            </w:pPr>
          </w:p>
        </w:tc>
      </w:tr>
      <w:tr w:rsidR="006552B8" w:rsidRPr="007F6332" w14:paraId="38614A44" w14:textId="77777777" w:rsidTr="009226A9">
        <w:trPr>
          <w:trHeight w:val="397"/>
        </w:trPr>
        <w:tc>
          <w:tcPr>
            <w:tcW w:w="2127" w:type="dxa"/>
            <w:tcBorders>
              <w:top w:val="nil"/>
              <w:bottom w:val="nil"/>
              <w:right w:val="nil"/>
            </w:tcBorders>
            <w:shd w:val="clear" w:color="000000" w:fill="A7A9AC"/>
            <w:noWrap/>
            <w:vAlign w:val="center"/>
            <w:hideMark/>
          </w:tcPr>
          <w:p w14:paraId="0D80C1A2" w14:textId="77777777" w:rsidR="006552B8" w:rsidRPr="007F6332" w:rsidRDefault="006552B8" w:rsidP="006552B8">
            <w:pPr>
              <w:spacing w:after="0" w:line="240" w:lineRule="auto"/>
              <w:outlineLvl w:val="0"/>
              <w:rPr>
                <w:rFonts w:eastAsia="Times New Roman" w:cs="Arial"/>
                <w:color w:val="000000"/>
                <w:szCs w:val="22"/>
                <w:lang w:val="en-AU" w:eastAsia="en-AU"/>
              </w:rPr>
            </w:pPr>
            <w:r w:rsidRPr="007F6332">
              <w:rPr>
                <w:rFonts w:eastAsia="Times New Roman" w:cs="Arial"/>
                <w:color w:val="000000"/>
                <w:szCs w:val="22"/>
                <w:lang w:val="en-AU" w:eastAsia="en-AU"/>
              </w:rPr>
              <w:t>50.0%</w:t>
            </w:r>
          </w:p>
        </w:tc>
        <w:tc>
          <w:tcPr>
            <w:tcW w:w="1126" w:type="dxa"/>
            <w:tcBorders>
              <w:top w:val="nil"/>
              <w:left w:val="nil"/>
              <w:bottom w:val="nil"/>
            </w:tcBorders>
            <w:shd w:val="clear" w:color="000000" w:fill="A7A9AC"/>
            <w:noWrap/>
            <w:vAlign w:val="center"/>
            <w:hideMark/>
          </w:tcPr>
          <w:p w14:paraId="1F912B69" w14:textId="77777777" w:rsidR="006552B8" w:rsidRPr="007F6332" w:rsidRDefault="006552B8" w:rsidP="006552B8">
            <w:pPr>
              <w:spacing w:after="0" w:line="240" w:lineRule="auto"/>
              <w:jc w:val="center"/>
              <w:outlineLvl w:val="0"/>
              <w:rPr>
                <w:rFonts w:eastAsia="Times New Roman" w:cs="Arial"/>
                <w:color w:val="000000"/>
                <w:szCs w:val="22"/>
                <w:lang w:val="en-AU" w:eastAsia="en-AU"/>
              </w:rPr>
            </w:pPr>
            <w:r w:rsidRPr="007F6332">
              <w:rPr>
                <w:rFonts w:eastAsia="Times New Roman" w:cs="Arial"/>
                <w:color w:val="000000"/>
                <w:szCs w:val="22"/>
                <w:lang w:val="en-AU" w:eastAsia="en-AU"/>
              </w:rPr>
              <w:t>-529</w:t>
            </w:r>
          </w:p>
        </w:tc>
        <w:tc>
          <w:tcPr>
            <w:tcW w:w="1126" w:type="dxa"/>
            <w:tcBorders>
              <w:top w:val="nil"/>
              <w:bottom w:val="nil"/>
            </w:tcBorders>
            <w:shd w:val="clear" w:color="000000" w:fill="A7A9AC"/>
            <w:noWrap/>
            <w:vAlign w:val="center"/>
            <w:hideMark/>
          </w:tcPr>
          <w:p w14:paraId="1F3B2088" w14:textId="77777777" w:rsidR="006552B8" w:rsidRPr="007F6332" w:rsidRDefault="006552B8" w:rsidP="006552B8">
            <w:pPr>
              <w:spacing w:after="0" w:line="240" w:lineRule="auto"/>
              <w:jc w:val="center"/>
              <w:outlineLvl w:val="0"/>
              <w:rPr>
                <w:rFonts w:eastAsia="Times New Roman" w:cs="Arial"/>
                <w:color w:val="000000"/>
                <w:szCs w:val="22"/>
                <w:lang w:val="en-AU" w:eastAsia="en-AU"/>
              </w:rPr>
            </w:pPr>
            <w:r w:rsidRPr="007F6332">
              <w:rPr>
                <w:rFonts w:eastAsia="Times New Roman" w:cs="Arial"/>
                <w:color w:val="000000"/>
                <w:szCs w:val="22"/>
                <w:lang w:val="en-AU" w:eastAsia="en-AU"/>
              </w:rPr>
              <w:t>-540</w:t>
            </w:r>
          </w:p>
        </w:tc>
        <w:tc>
          <w:tcPr>
            <w:tcW w:w="1126" w:type="dxa"/>
            <w:tcBorders>
              <w:top w:val="nil"/>
              <w:bottom w:val="nil"/>
            </w:tcBorders>
            <w:shd w:val="clear" w:color="000000" w:fill="A7A9AC"/>
            <w:noWrap/>
            <w:vAlign w:val="center"/>
            <w:hideMark/>
          </w:tcPr>
          <w:p w14:paraId="3A5BBC86" w14:textId="77777777" w:rsidR="006552B8" w:rsidRPr="007F6332" w:rsidRDefault="006552B8" w:rsidP="006552B8">
            <w:pPr>
              <w:spacing w:after="0" w:line="240" w:lineRule="auto"/>
              <w:jc w:val="center"/>
              <w:outlineLvl w:val="0"/>
              <w:rPr>
                <w:rFonts w:eastAsia="Times New Roman" w:cs="Arial"/>
                <w:color w:val="000000"/>
                <w:szCs w:val="22"/>
                <w:lang w:val="en-AU" w:eastAsia="en-AU"/>
              </w:rPr>
            </w:pPr>
            <w:r w:rsidRPr="007F6332">
              <w:rPr>
                <w:rFonts w:eastAsia="Times New Roman" w:cs="Arial"/>
                <w:color w:val="000000"/>
                <w:szCs w:val="22"/>
                <w:lang w:val="en-AU" w:eastAsia="en-AU"/>
              </w:rPr>
              <w:t>-613</w:t>
            </w:r>
          </w:p>
        </w:tc>
        <w:tc>
          <w:tcPr>
            <w:tcW w:w="1132" w:type="dxa"/>
            <w:tcBorders>
              <w:top w:val="nil"/>
              <w:bottom w:val="nil"/>
            </w:tcBorders>
            <w:shd w:val="clear" w:color="000000" w:fill="A7A9AC"/>
            <w:noWrap/>
            <w:vAlign w:val="center"/>
            <w:hideMark/>
          </w:tcPr>
          <w:p w14:paraId="6C5C4694" w14:textId="77777777" w:rsidR="006552B8" w:rsidRPr="007F6332" w:rsidRDefault="006552B8" w:rsidP="006552B8">
            <w:pPr>
              <w:spacing w:after="0" w:line="240" w:lineRule="auto"/>
              <w:jc w:val="center"/>
              <w:outlineLvl w:val="0"/>
              <w:rPr>
                <w:rFonts w:eastAsia="Times New Roman" w:cs="Arial"/>
                <w:color w:val="000000"/>
                <w:szCs w:val="22"/>
                <w:lang w:val="en-AU" w:eastAsia="en-AU"/>
              </w:rPr>
            </w:pPr>
            <w:r w:rsidRPr="007F6332">
              <w:rPr>
                <w:rFonts w:eastAsia="Times New Roman" w:cs="Arial"/>
                <w:color w:val="000000"/>
                <w:szCs w:val="22"/>
                <w:lang w:val="en-AU" w:eastAsia="en-AU"/>
              </w:rPr>
              <w:t>-639</w:t>
            </w:r>
          </w:p>
        </w:tc>
        <w:tc>
          <w:tcPr>
            <w:tcW w:w="1138" w:type="dxa"/>
            <w:tcBorders>
              <w:top w:val="nil"/>
              <w:bottom w:val="nil"/>
            </w:tcBorders>
            <w:shd w:val="clear" w:color="000000" w:fill="A7A9AC"/>
            <w:noWrap/>
            <w:vAlign w:val="center"/>
            <w:hideMark/>
          </w:tcPr>
          <w:p w14:paraId="2B0C9D2B" w14:textId="77777777" w:rsidR="006552B8" w:rsidRPr="007F6332" w:rsidRDefault="006552B8" w:rsidP="006552B8">
            <w:pPr>
              <w:spacing w:after="0" w:line="240" w:lineRule="auto"/>
              <w:jc w:val="center"/>
              <w:outlineLvl w:val="0"/>
              <w:rPr>
                <w:rFonts w:eastAsia="Times New Roman" w:cs="Arial"/>
                <w:color w:val="000000"/>
                <w:szCs w:val="22"/>
                <w:lang w:val="en-AU" w:eastAsia="en-AU"/>
              </w:rPr>
            </w:pPr>
            <w:r w:rsidRPr="007F6332">
              <w:rPr>
                <w:rFonts w:eastAsia="Times New Roman" w:cs="Arial"/>
                <w:color w:val="000000"/>
                <w:szCs w:val="22"/>
                <w:lang w:val="en-AU" w:eastAsia="en-AU"/>
              </w:rPr>
              <w:t>-1,082</w:t>
            </w:r>
          </w:p>
        </w:tc>
        <w:tc>
          <w:tcPr>
            <w:tcW w:w="1138" w:type="dxa"/>
            <w:tcBorders>
              <w:top w:val="nil"/>
              <w:bottom w:val="nil"/>
            </w:tcBorders>
            <w:shd w:val="clear" w:color="000000" w:fill="A7A9AC"/>
            <w:noWrap/>
            <w:vAlign w:val="center"/>
            <w:hideMark/>
          </w:tcPr>
          <w:p w14:paraId="1DF648C6" w14:textId="77777777" w:rsidR="006552B8" w:rsidRPr="007F6332" w:rsidRDefault="006552B8" w:rsidP="006552B8">
            <w:pPr>
              <w:spacing w:after="0" w:line="240" w:lineRule="auto"/>
              <w:jc w:val="center"/>
              <w:outlineLvl w:val="0"/>
              <w:rPr>
                <w:rFonts w:eastAsia="Times New Roman" w:cs="Arial"/>
                <w:color w:val="000000"/>
                <w:szCs w:val="22"/>
                <w:lang w:val="en-AU" w:eastAsia="en-AU"/>
              </w:rPr>
            </w:pPr>
            <w:r w:rsidRPr="007F6332">
              <w:rPr>
                <w:rFonts w:eastAsia="Times New Roman" w:cs="Arial"/>
                <w:color w:val="000000"/>
                <w:szCs w:val="22"/>
                <w:lang w:val="en-AU" w:eastAsia="en-AU"/>
              </w:rPr>
              <w:t>-2,199</w:t>
            </w:r>
          </w:p>
        </w:tc>
        <w:tc>
          <w:tcPr>
            <w:tcW w:w="236" w:type="dxa"/>
            <w:tcBorders>
              <w:left w:val="nil"/>
            </w:tcBorders>
            <w:vAlign w:val="center"/>
          </w:tcPr>
          <w:p w14:paraId="0C5298B8" w14:textId="77777777" w:rsidR="006552B8" w:rsidRPr="007F6332" w:rsidRDefault="006552B8" w:rsidP="006552B8">
            <w:pPr>
              <w:spacing w:after="0" w:line="240" w:lineRule="auto"/>
              <w:rPr>
                <w:rFonts w:eastAsia="Times New Roman" w:cs="Arial"/>
                <w:sz w:val="20"/>
                <w:szCs w:val="20"/>
                <w:lang w:val="en-AU" w:eastAsia="en-AU"/>
              </w:rPr>
            </w:pPr>
          </w:p>
        </w:tc>
      </w:tr>
      <w:tr w:rsidR="006552B8" w:rsidRPr="007F6332" w14:paraId="4DF1E967" w14:textId="77777777" w:rsidTr="009226A9">
        <w:trPr>
          <w:trHeight w:val="397"/>
        </w:trPr>
        <w:tc>
          <w:tcPr>
            <w:tcW w:w="2127" w:type="dxa"/>
            <w:tcBorders>
              <w:top w:val="nil"/>
              <w:bottom w:val="nil"/>
              <w:right w:val="nil"/>
            </w:tcBorders>
            <w:shd w:val="clear" w:color="auto" w:fill="auto"/>
            <w:noWrap/>
            <w:vAlign w:val="center"/>
            <w:hideMark/>
          </w:tcPr>
          <w:p w14:paraId="076AE008" w14:textId="77777777" w:rsidR="006552B8" w:rsidRPr="007F6332" w:rsidRDefault="006552B8" w:rsidP="006552B8">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75.0%</w:t>
            </w:r>
          </w:p>
        </w:tc>
        <w:tc>
          <w:tcPr>
            <w:tcW w:w="1126" w:type="dxa"/>
            <w:tcBorders>
              <w:top w:val="nil"/>
              <w:left w:val="nil"/>
              <w:bottom w:val="nil"/>
            </w:tcBorders>
            <w:shd w:val="clear" w:color="auto" w:fill="auto"/>
            <w:noWrap/>
            <w:vAlign w:val="center"/>
            <w:hideMark/>
          </w:tcPr>
          <w:p w14:paraId="2A2157C4"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667</w:t>
            </w:r>
          </w:p>
        </w:tc>
        <w:tc>
          <w:tcPr>
            <w:tcW w:w="1126" w:type="dxa"/>
            <w:tcBorders>
              <w:top w:val="nil"/>
              <w:bottom w:val="nil"/>
            </w:tcBorders>
            <w:shd w:val="clear" w:color="auto" w:fill="auto"/>
            <w:noWrap/>
            <w:vAlign w:val="center"/>
            <w:hideMark/>
          </w:tcPr>
          <w:p w14:paraId="5C30D145"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1,583</w:t>
            </w:r>
          </w:p>
        </w:tc>
        <w:tc>
          <w:tcPr>
            <w:tcW w:w="1126" w:type="dxa"/>
            <w:tcBorders>
              <w:top w:val="nil"/>
              <w:bottom w:val="nil"/>
            </w:tcBorders>
            <w:shd w:val="clear" w:color="auto" w:fill="auto"/>
            <w:noWrap/>
            <w:vAlign w:val="center"/>
            <w:hideMark/>
          </w:tcPr>
          <w:p w14:paraId="57D92074"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2,268</w:t>
            </w:r>
          </w:p>
        </w:tc>
        <w:tc>
          <w:tcPr>
            <w:tcW w:w="1132" w:type="dxa"/>
            <w:tcBorders>
              <w:top w:val="nil"/>
              <w:bottom w:val="nil"/>
            </w:tcBorders>
            <w:shd w:val="clear" w:color="auto" w:fill="auto"/>
            <w:noWrap/>
            <w:vAlign w:val="center"/>
            <w:hideMark/>
          </w:tcPr>
          <w:p w14:paraId="3FBEDA8E"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2,943</w:t>
            </w:r>
          </w:p>
        </w:tc>
        <w:tc>
          <w:tcPr>
            <w:tcW w:w="1138" w:type="dxa"/>
            <w:tcBorders>
              <w:top w:val="nil"/>
              <w:bottom w:val="nil"/>
            </w:tcBorders>
            <w:shd w:val="clear" w:color="auto" w:fill="auto"/>
            <w:noWrap/>
            <w:vAlign w:val="center"/>
            <w:hideMark/>
          </w:tcPr>
          <w:p w14:paraId="17D36051"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9,398</w:t>
            </w:r>
          </w:p>
        </w:tc>
        <w:tc>
          <w:tcPr>
            <w:tcW w:w="1138" w:type="dxa"/>
            <w:tcBorders>
              <w:top w:val="nil"/>
              <w:bottom w:val="nil"/>
            </w:tcBorders>
            <w:shd w:val="clear" w:color="auto" w:fill="auto"/>
            <w:noWrap/>
            <w:vAlign w:val="center"/>
            <w:hideMark/>
          </w:tcPr>
          <w:p w14:paraId="2322B807"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6,907</w:t>
            </w:r>
          </w:p>
        </w:tc>
        <w:tc>
          <w:tcPr>
            <w:tcW w:w="236" w:type="dxa"/>
            <w:tcBorders>
              <w:left w:val="nil"/>
            </w:tcBorders>
            <w:vAlign w:val="center"/>
          </w:tcPr>
          <w:p w14:paraId="05FAABA7" w14:textId="77777777" w:rsidR="006552B8" w:rsidRPr="007F6332" w:rsidRDefault="006552B8" w:rsidP="006552B8">
            <w:pPr>
              <w:spacing w:after="0" w:line="240" w:lineRule="auto"/>
              <w:rPr>
                <w:rFonts w:eastAsia="Times New Roman" w:cs="Arial"/>
                <w:sz w:val="20"/>
                <w:szCs w:val="20"/>
                <w:lang w:val="en-AU" w:eastAsia="en-AU"/>
              </w:rPr>
            </w:pPr>
          </w:p>
        </w:tc>
      </w:tr>
      <w:tr w:rsidR="006552B8" w:rsidRPr="007F6332" w14:paraId="134F709A" w14:textId="77777777" w:rsidTr="009226A9">
        <w:trPr>
          <w:trHeight w:val="397"/>
        </w:trPr>
        <w:tc>
          <w:tcPr>
            <w:tcW w:w="2127" w:type="dxa"/>
            <w:tcBorders>
              <w:top w:val="nil"/>
              <w:right w:val="nil"/>
            </w:tcBorders>
            <w:shd w:val="clear" w:color="000000" w:fill="A7A9AC"/>
            <w:noWrap/>
            <w:vAlign w:val="center"/>
            <w:hideMark/>
          </w:tcPr>
          <w:p w14:paraId="5494020A" w14:textId="77777777" w:rsidR="006552B8" w:rsidRPr="007F6332" w:rsidRDefault="006552B8" w:rsidP="006552B8">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95.0%</w:t>
            </w:r>
          </w:p>
        </w:tc>
        <w:tc>
          <w:tcPr>
            <w:tcW w:w="1126" w:type="dxa"/>
            <w:tcBorders>
              <w:top w:val="nil"/>
              <w:left w:val="nil"/>
            </w:tcBorders>
            <w:shd w:val="clear" w:color="000000" w:fill="A7A9AC"/>
            <w:noWrap/>
            <w:vAlign w:val="center"/>
            <w:hideMark/>
          </w:tcPr>
          <w:p w14:paraId="4D1F0982"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4,273</w:t>
            </w:r>
          </w:p>
        </w:tc>
        <w:tc>
          <w:tcPr>
            <w:tcW w:w="1126" w:type="dxa"/>
            <w:tcBorders>
              <w:top w:val="nil"/>
            </w:tcBorders>
            <w:shd w:val="clear" w:color="000000" w:fill="A7A9AC"/>
            <w:noWrap/>
            <w:vAlign w:val="center"/>
            <w:hideMark/>
          </w:tcPr>
          <w:p w14:paraId="3ABC8BD4"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6,587</w:t>
            </w:r>
          </w:p>
        </w:tc>
        <w:tc>
          <w:tcPr>
            <w:tcW w:w="1126" w:type="dxa"/>
            <w:tcBorders>
              <w:top w:val="nil"/>
            </w:tcBorders>
            <w:shd w:val="clear" w:color="000000" w:fill="A7A9AC"/>
            <w:noWrap/>
            <w:vAlign w:val="center"/>
            <w:hideMark/>
          </w:tcPr>
          <w:p w14:paraId="6E4D286B"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8,462</w:t>
            </w:r>
          </w:p>
        </w:tc>
        <w:tc>
          <w:tcPr>
            <w:tcW w:w="1132" w:type="dxa"/>
            <w:tcBorders>
              <w:top w:val="nil"/>
            </w:tcBorders>
            <w:shd w:val="clear" w:color="000000" w:fill="A7A9AC"/>
            <w:noWrap/>
            <w:vAlign w:val="center"/>
            <w:hideMark/>
          </w:tcPr>
          <w:p w14:paraId="211479FF"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10,085</w:t>
            </w:r>
          </w:p>
        </w:tc>
        <w:tc>
          <w:tcPr>
            <w:tcW w:w="1138" w:type="dxa"/>
            <w:tcBorders>
              <w:top w:val="nil"/>
            </w:tcBorders>
            <w:shd w:val="clear" w:color="000000" w:fill="A7A9AC"/>
            <w:noWrap/>
            <w:vAlign w:val="center"/>
            <w:hideMark/>
          </w:tcPr>
          <w:p w14:paraId="2998FF7C"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29,164</w:t>
            </w:r>
          </w:p>
        </w:tc>
        <w:tc>
          <w:tcPr>
            <w:tcW w:w="1138" w:type="dxa"/>
            <w:tcBorders>
              <w:top w:val="nil"/>
            </w:tcBorders>
            <w:shd w:val="clear" w:color="000000" w:fill="A7A9AC"/>
            <w:noWrap/>
            <w:vAlign w:val="center"/>
            <w:hideMark/>
          </w:tcPr>
          <w:p w14:paraId="6D8DF556" w14:textId="77777777" w:rsidR="006552B8" w:rsidRPr="007F6332" w:rsidRDefault="006552B8" w:rsidP="006552B8">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27,350</w:t>
            </w:r>
          </w:p>
        </w:tc>
        <w:tc>
          <w:tcPr>
            <w:tcW w:w="236" w:type="dxa"/>
            <w:tcBorders>
              <w:left w:val="nil"/>
            </w:tcBorders>
            <w:vAlign w:val="center"/>
          </w:tcPr>
          <w:p w14:paraId="7A09D468" w14:textId="77777777" w:rsidR="006552B8" w:rsidRPr="007F6332" w:rsidRDefault="006552B8" w:rsidP="006552B8">
            <w:pPr>
              <w:spacing w:after="0" w:line="240" w:lineRule="auto"/>
              <w:rPr>
                <w:rFonts w:eastAsia="Times New Roman" w:cs="Arial"/>
                <w:sz w:val="20"/>
                <w:szCs w:val="20"/>
                <w:lang w:val="en-AU" w:eastAsia="en-AU"/>
              </w:rPr>
            </w:pPr>
          </w:p>
        </w:tc>
      </w:tr>
      <w:tr w:rsidR="006552B8" w:rsidRPr="007F6332" w14:paraId="3645AFFF" w14:textId="77777777" w:rsidTr="009226A9">
        <w:trPr>
          <w:trHeight w:val="397"/>
        </w:trPr>
        <w:tc>
          <w:tcPr>
            <w:tcW w:w="2127" w:type="dxa"/>
            <w:tcBorders>
              <w:bottom w:val="single" w:sz="4" w:space="0" w:color="auto"/>
              <w:right w:val="nil"/>
            </w:tcBorders>
            <w:shd w:val="clear" w:color="000000" w:fill="B398B8"/>
            <w:noWrap/>
            <w:vAlign w:val="center"/>
            <w:hideMark/>
          </w:tcPr>
          <w:p w14:paraId="699F8E46" w14:textId="77777777" w:rsidR="006552B8" w:rsidRPr="007F6332" w:rsidRDefault="006552B8" w:rsidP="006552B8">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Baseline</w:t>
            </w:r>
          </w:p>
        </w:tc>
        <w:tc>
          <w:tcPr>
            <w:tcW w:w="1126" w:type="dxa"/>
            <w:tcBorders>
              <w:left w:val="nil"/>
              <w:bottom w:val="single" w:sz="4" w:space="0" w:color="auto"/>
            </w:tcBorders>
            <w:shd w:val="clear" w:color="000000" w:fill="B398B8"/>
            <w:noWrap/>
            <w:vAlign w:val="center"/>
            <w:hideMark/>
          </w:tcPr>
          <w:p w14:paraId="2921F477" w14:textId="77777777" w:rsidR="006552B8" w:rsidRPr="007F6332" w:rsidRDefault="006552B8" w:rsidP="006552B8">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41,360</w:t>
            </w:r>
          </w:p>
        </w:tc>
        <w:tc>
          <w:tcPr>
            <w:tcW w:w="1126" w:type="dxa"/>
            <w:tcBorders>
              <w:bottom w:val="single" w:sz="4" w:space="0" w:color="auto"/>
            </w:tcBorders>
            <w:shd w:val="clear" w:color="000000" w:fill="B398B8"/>
            <w:noWrap/>
            <w:vAlign w:val="center"/>
            <w:hideMark/>
          </w:tcPr>
          <w:p w14:paraId="16AC3553" w14:textId="77777777" w:rsidR="006552B8" w:rsidRPr="007F6332" w:rsidRDefault="006552B8" w:rsidP="006552B8">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46,376</w:t>
            </w:r>
          </w:p>
        </w:tc>
        <w:tc>
          <w:tcPr>
            <w:tcW w:w="1126" w:type="dxa"/>
            <w:tcBorders>
              <w:bottom w:val="single" w:sz="4" w:space="0" w:color="auto"/>
            </w:tcBorders>
            <w:shd w:val="clear" w:color="000000" w:fill="B398B8"/>
            <w:noWrap/>
            <w:vAlign w:val="center"/>
            <w:hideMark/>
          </w:tcPr>
          <w:p w14:paraId="67867E8D" w14:textId="77777777" w:rsidR="006552B8" w:rsidRPr="007F6332" w:rsidRDefault="006552B8" w:rsidP="006552B8">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50,788</w:t>
            </w:r>
          </w:p>
        </w:tc>
        <w:tc>
          <w:tcPr>
            <w:tcW w:w="1132" w:type="dxa"/>
            <w:tcBorders>
              <w:bottom w:val="single" w:sz="4" w:space="0" w:color="auto"/>
            </w:tcBorders>
            <w:shd w:val="clear" w:color="000000" w:fill="B398B8"/>
            <w:noWrap/>
            <w:vAlign w:val="center"/>
            <w:hideMark/>
          </w:tcPr>
          <w:p w14:paraId="2DB1D96A" w14:textId="77777777" w:rsidR="006552B8" w:rsidRPr="007F6332" w:rsidRDefault="006552B8" w:rsidP="006552B8">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55,207</w:t>
            </w:r>
          </w:p>
        </w:tc>
        <w:tc>
          <w:tcPr>
            <w:tcW w:w="1138" w:type="dxa"/>
            <w:tcBorders>
              <w:bottom w:val="single" w:sz="4" w:space="0" w:color="auto"/>
            </w:tcBorders>
            <w:shd w:val="clear" w:color="000000" w:fill="B398B8"/>
            <w:noWrap/>
            <w:vAlign w:val="center"/>
            <w:hideMark/>
          </w:tcPr>
          <w:p w14:paraId="1AEE8A75" w14:textId="77777777" w:rsidR="006552B8" w:rsidRPr="007F6332" w:rsidRDefault="006552B8" w:rsidP="006552B8">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92,341</w:t>
            </w:r>
          </w:p>
        </w:tc>
        <w:tc>
          <w:tcPr>
            <w:tcW w:w="1138" w:type="dxa"/>
            <w:tcBorders>
              <w:bottom w:val="single" w:sz="4" w:space="0" w:color="auto"/>
            </w:tcBorders>
            <w:shd w:val="clear" w:color="000000" w:fill="B398B8"/>
            <w:noWrap/>
            <w:vAlign w:val="center"/>
            <w:hideMark/>
          </w:tcPr>
          <w:p w14:paraId="4C4260E7" w14:textId="77777777" w:rsidR="006552B8" w:rsidRPr="007F6332" w:rsidRDefault="006552B8" w:rsidP="006552B8">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193,731</w:t>
            </w:r>
          </w:p>
        </w:tc>
        <w:tc>
          <w:tcPr>
            <w:tcW w:w="236" w:type="dxa"/>
            <w:tcBorders>
              <w:left w:val="nil"/>
            </w:tcBorders>
            <w:vAlign w:val="center"/>
          </w:tcPr>
          <w:p w14:paraId="298C52D0" w14:textId="77777777" w:rsidR="006552B8" w:rsidRPr="007F6332" w:rsidRDefault="006552B8" w:rsidP="006552B8">
            <w:pPr>
              <w:spacing w:after="0" w:line="240" w:lineRule="auto"/>
              <w:rPr>
                <w:rFonts w:eastAsia="Times New Roman" w:cs="Arial"/>
                <w:sz w:val="20"/>
                <w:szCs w:val="20"/>
                <w:lang w:val="en-AU" w:eastAsia="en-AU"/>
              </w:rPr>
            </w:pPr>
          </w:p>
        </w:tc>
      </w:tr>
    </w:tbl>
    <w:p w14:paraId="591D5B36" w14:textId="77777777" w:rsidR="009351A2" w:rsidRPr="007F6332" w:rsidRDefault="009351A2" w:rsidP="00A31C47">
      <w:pPr>
        <w:pStyle w:val="FSRnormal"/>
        <w:spacing w:before="120" w:after="120"/>
        <w:rPr>
          <w:rFonts w:cs="Arial"/>
        </w:rPr>
      </w:pPr>
    </w:p>
    <w:p w14:paraId="15E9839F" w14:textId="77777777" w:rsidR="009351A2" w:rsidRPr="007F6332" w:rsidRDefault="009351A2">
      <w:pPr>
        <w:spacing w:line="276" w:lineRule="auto"/>
        <w:rPr>
          <w:rFonts w:cs="Arial"/>
          <w:lang w:val="en-AU"/>
        </w:rPr>
      </w:pPr>
      <w:r w:rsidRPr="007F6332">
        <w:rPr>
          <w:rFonts w:cs="Arial"/>
        </w:rPr>
        <w:br w:type="page"/>
      </w:r>
    </w:p>
    <w:p w14:paraId="4DEF427E" w14:textId="5640FAFC" w:rsidR="00B042DF" w:rsidRPr="007F6332" w:rsidRDefault="00B042DF" w:rsidP="00A31C47">
      <w:pPr>
        <w:pStyle w:val="FSRnormal"/>
        <w:spacing w:before="120" w:after="120"/>
        <w:rPr>
          <w:rFonts w:cs="Arial"/>
        </w:rPr>
      </w:pPr>
      <w:r w:rsidRPr="007F6332">
        <w:rPr>
          <w:rFonts w:cs="Arial"/>
        </w:rPr>
        <w:lastRenderedPageBreak/>
        <w:t>Table</w:t>
      </w:r>
      <w:r w:rsidR="00E06963" w:rsidRPr="007F6332">
        <w:rPr>
          <w:rFonts w:cs="Arial"/>
        </w:rPr>
        <w:t xml:space="preserve"> 6.</w:t>
      </w:r>
      <w:r w:rsidR="008D7F3D" w:rsidRPr="007F6332">
        <w:rPr>
          <w:rFonts w:cs="Arial"/>
        </w:rPr>
        <w:t>9</w:t>
      </w:r>
      <w:r w:rsidRPr="007F6332">
        <w:rPr>
          <w:rFonts w:cs="Arial"/>
        </w:rPr>
        <w:t xml:space="preserve"> shows the results in </w:t>
      </w:r>
      <w:r w:rsidR="00E06963" w:rsidRPr="007F6332">
        <w:rPr>
          <w:rFonts w:cs="Arial"/>
        </w:rPr>
        <w:t>Table 6.8</w:t>
      </w:r>
      <w:r w:rsidRPr="007F6332">
        <w:rPr>
          <w:rFonts w:cs="Arial"/>
        </w:rPr>
        <w:t xml:space="preserve"> expressed as a percentage of the baseline projection. There is an equal 5% likelihood that the Scheme expense would be:</w:t>
      </w:r>
    </w:p>
    <w:p w14:paraId="6ED6B54F" w14:textId="77777777" w:rsidR="00B042DF" w:rsidRPr="007F6332" w:rsidRDefault="00B042DF" w:rsidP="00C1755E">
      <w:pPr>
        <w:pStyle w:val="FSRlist"/>
        <w:rPr>
          <w:rFonts w:cs="Arial"/>
        </w:rPr>
      </w:pPr>
      <w:r w:rsidRPr="007F6332">
        <w:rPr>
          <w:rFonts w:cs="Arial"/>
        </w:rPr>
        <w:t>at least 5.6% below, or at least 10.3% above the baseline projection for the year to 30 June 2024.</w:t>
      </w:r>
    </w:p>
    <w:p w14:paraId="3DF69A3A" w14:textId="77777777" w:rsidR="00B042DF" w:rsidRPr="007F6332" w:rsidRDefault="00B042DF" w:rsidP="00C1755E">
      <w:pPr>
        <w:pStyle w:val="FSRlist"/>
        <w:rPr>
          <w:rFonts w:cs="Arial"/>
        </w:rPr>
      </w:pPr>
      <w:r w:rsidRPr="007F6332">
        <w:rPr>
          <w:rFonts w:cs="Arial"/>
        </w:rPr>
        <w:t>at least 9.1% below, or at least 14.1% above the baseline projection for the four years to 30 June 2027.</w:t>
      </w:r>
    </w:p>
    <w:p w14:paraId="388766BB" w14:textId="77777777" w:rsidR="00B042DF" w:rsidRPr="007F6332" w:rsidRDefault="00B042DF" w:rsidP="00C1755E">
      <w:pPr>
        <w:pStyle w:val="FSRlist"/>
        <w:rPr>
          <w:rFonts w:cs="Arial"/>
        </w:rPr>
      </w:pPr>
      <w:r w:rsidRPr="007F6332">
        <w:rPr>
          <w:rFonts w:cs="Arial"/>
        </w:rPr>
        <w:t>at least 23.2% below, or at least 31.6% above the baseline projection for the year to 30 June 2033.</w:t>
      </w:r>
    </w:p>
    <w:p w14:paraId="3D7CEE99" w14:textId="1333821B" w:rsidR="00B042DF" w:rsidRPr="007F6332" w:rsidRDefault="00B042DF" w:rsidP="00945CBF">
      <w:pPr>
        <w:pStyle w:val="FiguresandTablesHeading5"/>
      </w:pPr>
      <w:r w:rsidRPr="007F6332">
        <w:t xml:space="preserve">Table </w:t>
      </w:r>
      <w:r w:rsidR="00E06963" w:rsidRPr="007F6332">
        <w:t>6.9</w:t>
      </w:r>
      <w:r w:rsidRPr="007F6332">
        <w:t>: Difference in Scheme expense percentiles as a proportion of baseline projection</w:t>
      </w:r>
      <w:r w:rsidR="00206583" w:rsidRPr="007F6332">
        <w:t xml:space="preserve"> (%)</w:t>
      </w:r>
    </w:p>
    <w:tbl>
      <w:tblPr>
        <w:tblW w:w="8788" w:type="dxa"/>
        <w:tblLayout w:type="fixed"/>
        <w:tblLook w:val="04A0" w:firstRow="1" w:lastRow="0" w:firstColumn="1" w:lastColumn="0" w:noHBand="0" w:noVBand="1"/>
      </w:tblPr>
      <w:tblGrid>
        <w:gridCol w:w="1843"/>
        <w:gridCol w:w="1127"/>
        <w:gridCol w:w="1127"/>
        <w:gridCol w:w="1126"/>
        <w:gridCol w:w="1132"/>
        <w:gridCol w:w="1138"/>
        <w:gridCol w:w="1295"/>
      </w:tblGrid>
      <w:tr w:rsidR="00E408E2" w:rsidRPr="007F6332" w14:paraId="317E0BC9" w14:textId="77777777" w:rsidTr="009226A9">
        <w:trPr>
          <w:trHeight w:val="566"/>
        </w:trPr>
        <w:tc>
          <w:tcPr>
            <w:tcW w:w="1843" w:type="dxa"/>
            <w:tcBorders>
              <w:top w:val="nil"/>
            </w:tcBorders>
            <w:shd w:val="clear" w:color="000000" w:fill="6B2976"/>
            <w:noWrap/>
            <w:vAlign w:val="center"/>
            <w:hideMark/>
          </w:tcPr>
          <w:p w14:paraId="0E53680E" w14:textId="77777777" w:rsidR="00E408E2" w:rsidRPr="007F6332" w:rsidRDefault="00E408E2" w:rsidP="00CB4B00">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Percentiles</w:t>
            </w:r>
          </w:p>
        </w:tc>
        <w:tc>
          <w:tcPr>
            <w:tcW w:w="1127" w:type="dxa"/>
            <w:tcBorders>
              <w:top w:val="nil"/>
            </w:tcBorders>
            <w:shd w:val="clear" w:color="000000" w:fill="6B2976"/>
            <w:noWrap/>
            <w:vAlign w:val="center"/>
            <w:hideMark/>
          </w:tcPr>
          <w:p w14:paraId="30CB96A9" w14:textId="77777777" w:rsidR="00E408E2" w:rsidRPr="007F6332" w:rsidRDefault="00E408E2" w:rsidP="00CB4B00">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2023-24</w:t>
            </w:r>
          </w:p>
        </w:tc>
        <w:tc>
          <w:tcPr>
            <w:tcW w:w="1127" w:type="dxa"/>
            <w:tcBorders>
              <w:top w:val="nil"/>
            </w:tcBorders>
            <w:shd w:val="clear" w:color="000000" w:fill="6B2976"/>
            <w:noWrap/>
            <w:vAlign w:val="center"/>
            <w:hideMark/>
          </w:tcPr>
          <w:p w14:paraId="0D5FA65E" w14:textId="77777777" w:rsidR="00E408E2" w:rsidRPr="007F6332" w:rsidRDefault="00E408E2" w:rsidP="00CB4B00">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2024-25</w:t>
            </w:r>
          </w:p>
        </w:tc>
        <w:tc>
          <w:tcPr>
            <w:tcW w:w="1126" w:type="dxa"/>
            <w:tcBorders>
              <w:top w:val="nil"/>
            </w:tcBorders>
            <w:shd w:val="clear" w:color="000000" w:fill="6B2976"/>
            <w:noWrap/>
            <w:vAlign w:val="center"/>
            <w:hideMark/>
          </w:tcPr>
          <w:p w14:paraId="297E16E0" w14:textId="77777777" w:rsidR="00E408E2" w:rsidRPr="007F6332" w:rsidRDefault="00E408E2" w:rsidP="00CB4B00">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2025-26</w:t>
            </w:r>
          </w:p>
        </w:tc>
        <w:tc>
          <w:tcPr>
            <w:tcW w:w="1132" w:type="dxa"/>
            <w:tcBorders>
              <w:top w:val="nil"/>
            </w:tcBorders>
            <w:shd w:val="clear" w:color="000000" w:fill="6B2976"/>
            <w:noWrap/>
            <w:vAlign w:val="center"/>
            <w:hideMark/>
          </w:tcPr>
          <w:p w14:paraId="65406817" w14:textId="77777777" w:rsidR="00E408E2" w:rsidRPr="007F6332" w:rsidRDefault="00E408E2" w:rsidP="00CB4B00">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2026-27</w:t>
            </w:r>
          </w:p>
        </w:tc>
        <w:tc>
          <w:tcPr>
            <w:tcW w:w="1138" w:type="dxa"/>
            <w:tcBorders>
              <w:top w:val="nil"/>
            </w:tcBorders>
            <w:shd w:val="clear" w:color="000000" w:fill="6B2976"/>
            <w:noWrap/>
            <w:vAlign w:val="center"/>
            <w:hideMark/>
          </w:tcPr>
          <w:p w14:paraId="72E61697" w14:textId="77777777" w:rsidR="00E408E2" w:rsidRPr="007F6332" w:rsidRDefault="00E408E2" w:rsidP="00CB4B00">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2032-33</w:t>
            </w:r>
          </w:p>
        </w:tc>
        <w:tc>
          <w:tcPr>
            <w:tcW w:w="1295" w:type="dxa"/>
            <w:tcBorders>
              <w:top w:val="nil"/>
            </w:tcBorders>
            <w:shd w:val="clear" w:color="000000" w:fill="6B2976"/>
            <w:noWrap/>
            <w:vAlign w:val="center"/>
            <w:hideMark/>
          </w:tcPr>
          <w:p w14:paraId="7FFD8FB2" w14:textId="77777777" w:rsidR="00E408E2" w:rsidRPr="007F6332" w:rsidRDefault="00E408E2" w:rsidP="00CB4B00">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2023-27</w:t>
            </w:r>
          </w:p>
        </w:tc>
      </w:tr>
      <w:tr w:rsidR="00E408E2" w:rsidRPr="007F6332" w14:paraId="11B73DC0" w14:textId="77777777" w:rsidTr="00C1755E">
        <w:trPr>
          <w:trHeight w:val="397"/>
        </w:trPr>
        <w:tc>
          <w:tcPr>
            <w:tcW w:w="1843" w:type="dxa"/>
            <w:tcBorders>
              <w:bottom w:val="nil"/>
            </w:tcBorders>
            <w:shd w:val="clear" w:color="auto" w:fill="A6A6A6" w:themeFill="background1" w:themeFillShade="A6"/>
            <w:noWrap/>
            <w:vAlign w:val="center"/>
            <w:hideMark/>
          </w:tcPr>
          <w:p w14:paraId="4B96F550"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5.0%</w:t>
            </w:r>
          </w:p>
        </w:tc>
        <w:tc>
          <w:tcPr>
            <w:tcW w:w="1127" w:type="dxa"/>
            <w:tcBorders>
              <w:bottom w:val="nil"/>
            </w:tcBorders>
            <w:shd w:val="clear" w:color="auto" w:fill="A6A6A6" w:themeFill="background1" w:themeFillShade="A6"/>
            <w:noWrap/>
            <w:vAlign w:val="center"/>
            <w:hideMark/>
          </w:tcPr>
          <w:p w14:paraId="794DC8FD"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-5.6%</w:t>
            </w:r>
          </w:p>
        </w:tc>
        <w:tc>
          <w:tcPr>
            <w:tcW w:w="1127" w:type="dxa"/>
            <w:tcBorders>
              <w:bottom w:val="nil"/>
            </w:tcBorders>
            <w:shd w:val="clear" w:color="auto" w:fill="A6A6A6" w:themeFill="background1" w:themeFillShade="A6"/>
            <w:noWrap/>
            <w:vAlign w:val="center"/>
            <w:hideMark/>
          </w:tcPr>
          <w:p w14:paraId="38248454"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-8.7%</w:t>
            </w:r>
          </w:p>
        </w:tc>
        <w:tc>
          <w:tcPr>
            <w:tcW w:w="1126" w:type="dxa"/>
            <w:tcBorders>
              <w:bottom w:val="nil"/>
            </w:tcBorders>
            <w:shd w:val="clear" w:color="auto" w:fill="A6A6A6" w:themeFill="background1" w:themeFillShade="A6"/>
            <w:noWrap/>
            <w:vAlign w:val="center"/>
            <w:hideMark/>
          </w:tcPr>
          <w:p w14:paraId="6BF54C13"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-11.1%</w:t>
            </w:r>
          </w:p>
        </w:tc>
        <w:tc>
          <w:tcPr>
            <w:tcW w:w="1132" w:type="dxa"/>
            <w:tcBorders>
              <w:bottom w:val="nil"/>
            </w:tcBorders>
            <w:shd w:val="clear" w:color="auto" w:fill="A6A6A6" w:themeFill="background1" w:themeFillShade="A6"/>
            <w:noWrap/>
            <w:vAlign w:val="center"/>
            <w:hideMark/>
          </w:tcPr>
          <w:p w14:paraId="3C7472A2"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-12.9%</w:t>
            </w:r>
          </w:p>
        </w:tc>
        <w:tc>
          <w:tcPr>
            <w:tcW w:w="1138" w:type="dxa"/>
            <w:tcBorders>
              <w:bottom w:val="nil"/>
            </w:tcBorders>
            <w:shd w:val="clear" w:color="auto" w:fill="A6A6A6" w:themeFill="background1" w:themeFillShade="A6"/>
            <w:noWrap/>
            <w:vAlign w:val="center"/>
            <w:hideMark/>
          </w:tcPr>
          <w:p w14:paraId="5A5E82E6"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-23.2%</w:t>
            </w:r>
          </w:p>
        </w:tc>
        <w:tc>
          <w:tcPr>
            <w:tcW w:w="1295" w:type="dxa"/>
            <w:tcBorders>
              <w:bottom w:val="nil"/>
            </w:tcBorders>
            <w:shd w:val="clear" w:color="auto" w:fill="A6A6A6" w:themeFill="background1" w:themeFillShade="A6"/>
            <w:noWrap/>
            <w:vAlign w:val="center"/>
            <w:hideMark/>
          </w:tcPr>
          <w:p w14:paraId="76D0876B"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-9.1%</w:t>
            </w:r>
          </w:p>
        </w:tc>
      </w:tr>
      <w:tr w:rsidR="00E408E2" w:rsidRPr="007F6332" w14:paraId="7301520E" w14:textId="77777777" w:rsidTr="009226A9">
        <w:trPr>
          <w:trHeight w:val="397"/>
        </w:trPr>
        <w:tc>
          <w:tcPr>
            <w:tcW w:w="1843" w:type="dxa"/>
            <w:tcBorders>
              <w:top w:val="nil"/>
              <w:bottom w:val="nil"/>
            </w:tcBorders>
            <w:shd w:val="clear" w:color="auto" w:fill="auto"/>
            <w:noWrap/>
            <w:vAlign w:val="center"/>
            <w:hideMark/>
          </w:tcPr>
          <w:p w14:paraId="3DC8B3AF"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25.0%</w:t>
            </w:r>
          </w:p>
        </w:tc>
        <w:tc>
          <w:tcPr>
            <w:tcW w:w="1127" w:type="dxa"/>
            <w:tcBorders>
              <w:top w:val="nil"/>
              <w:bottom w:val="nil"/>
            </w:tcBorders>
            <w:shd w:val="clear" w:color="auto" w:fill="auto"/>
            <w:noWrap/>
            <w:vAlign w:val="center"/>
            <w:hideMark/>
          </w:tcPr>
          <w:p w14:paraId="57A21E9C"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-3.3%</w:t>
            </w:r>
          </w:p>
        </w:tc>
        <w:tc>
          <w:tcPr>
            <w:tcW w:w="1127" w:type="dxa"/>
            <w:tcBorders>
              <w:top w:val="nil"/>
              <w:bottom w:val="nil"/>
            </w:tcBorders>
            <w:shd w:val="clear" w:color="auto" w:fill="auto"/>
            <w:noWrap/>
            <w:vAlign w:val="center"/>
            <w:hideMark/>
          </w:tcPr>
          <w:p w14:paraId="017D1EF1"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-4.6%</w:t>
            </w:r>
          </w:p>
        </w:tc>
        <w:tc>
          <w:tcPr>
            <w:tcW w:w="1126" w:type="dxa"/>
            <w:tcBorders>
              <w:top w:val="nil"/>
              <w:bottom w:val="nil"/>
            </w:tcBorders>
            <w:shd w:val="clear" w:color="auto" w:fill="auto"/>
            <w:noWrap/>
            <w:vAlign w:val="center"/>
            <w:hideMark/>
          </w:tcPr>
          <w:p w14:paraId="3818B5FA"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-5.7%</w:t>
            </w:r>
          </w:p>
        </w:tc>
        <w:tc>
          <w:tcPr>
            <w:tcW w:w="1132" w:type="dxa"/>
            <w:tcBorders>
              <w:top w:val="nil"/>
              <w:bottom w:val="nil"/>
            </w:tcBorders>
            <w:shd w:val="clear" w:color="auto" w:fill="auto"/>
            <w:noWrap/>
            <w:vAlign w:val="center"/>
            <w:hideMark/>
          </w:tcPr>
          <w:p w14:paraId="270A1B07"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-6.5%</w:t>
            </w:r>
          </w:p>
        </w:tc>
        <w:tc>
          <w:tcPr>
            <w:tcW w:w="1138" w:type="dxa"/>
            <w:tcBorders>
              <w:top w:val="nil"/>
              <w:bottom w:val="nil"/>
            </w:tcBorders>
            <w:shd w:val="clear" w:color="auto" w:fill="auto"/>
            <w:noWrap/>
            <w:vAlign w:val="center"/>
            <w:hideMark/>
          </w:tcPr>
          <w:p w14:paraId="49BBAD5D"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-11.1%</w:t>
            </w:r>
          </w:p>
        </w:tc>
        <w:tc>
          <w:tcPr>
            <w:tcW w:w="1295" w:type="dxa"/>
            <w:tcBorders>
              <w:top w:val="nil"/>
              <w:bottom w:val="nil"/>
            </w:tcBorders>
            <w:shd w:val="clear" w:color="auto" w:fill="auto"/>
            <w:noWrap/>
            <w:vAlign w:val="center"/>
            <w:hideMark/>
          </w:tcPr>
          <w:p w14:paraId="3FF6B01D"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-4.8%</w:t>
            </w:r>
          </w:p>
        </w:tc>
      </w:tr>
      <w:tr w:rsidR="00E408E2" w:rsidRPr="007F6332" w14:paraId="31D2A96B" w14:textId="77777777" w:rsidTr="00C1755E">
        <w:trPr>
          <w:trHeight w:val="397"/>
        </w:trPr>
        <w:tc>
          <w:tcPr>
            <w:tcW w:w="1843" w:type="dxa"/>
            <w:tcBorders>
              <w:top w:val="nil"/>
              <w:bottom w:val="nil"/>
            </w:tcBorders>
            <w:shd w:val="clear" w:color="auto" w:fill="A6A6A6" w:themeFill="background1" w:themeFillShade="A6"/>
            <w:noWrap/>
            <w:vAlign w:val="center"/>
            <w:hideMark/>
          </w:tcPr>
          <w:p w14:paraId="14B5E191"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50.0%</w:t>
            </w:r>
          </w:p>
        </w:tc>
        <w:tc>
          <w:tcPr>
            <w:tcW w:w="1127" w:type="dxa"/>
            <w:tcBorders>
              <w:top w:val="nil"/>
              <w:bottom w:val="nil"/>
            </w:tcBorders>
            <w:shd w:val="clear" w:color="auto" w:fill="A6A6A6" w:themeFill="background1" w:themeFillShade="A6"/>
            <w:noWrap/>
            <w:vAlign w:val="center"/>
            <w:hideMark/>
          </w:tcPr>
          <w:p w14:paraId="209B4288"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-1.3%</w:t>
            </w:r>
          </w:p>
        </w:tc>
        <w:tc>
          <w:tcPr>
            <w:tcW w:w="1127" w:type="dxa"/>
            <w:tcBorders>
              <w:top w:val="nil"/>
              <w:bottom w:val="nil"/>
            </w:tcBorders>
            <w:shd w:val="clear" w:color="auto" w:fill="A6A6A6" w:themeFill="background1" w:themeFillShade="A6"/>
            <w:noWrap/>
            <w:vAlign w:val="center"/>
            <w:hideMark/>
          </w:tcPr>
          <w:p w14:paraId="7F54207D"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w:t>
            </w:r>
          </w:p>
        </w:tc>
        <w:tc>
          <w:tcPr>
            <w:tcW w:w="1126" w:type="dxa"/>
            <w:tcBorders>
              <w:top w:val="nil"/>
              <w:bottom w:val="nil"/>
            </w:tcBorders>
            <w:shd w:val="clear" w:color="auto" w:fill="A6A6A6" w:themeFill="background1" w:themeFillShade="A6"/>
            <w:noWrap/>
            <w:vAlign w:val="center"/>
            <w:hideMark/>
          </w:tcPr>
          <w:p w14:paraId="596F4761"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w:t>
            </w:r>
          </w:p>
        </w:tc>
        <w:tc>
          <w:tcPr>
            <w:tcW w:w="1132" w:type="dxa"/>
            <w:tcBorders>
              <w:top w:val="nil"/>
              <w:bottom w:val="nil"/>
            </w:tcBorders>
            <w:shd w:val="clear" w:color="auto" w:fill="A6A6A6" w:themeFill="background1" w:themeFillShade="A6"/>
            <w:noWrap/>
            <w:vAlign w:val="center"/>
            <w:hideMark/>
          </w:tcPr>
          <w:p w14:paraId="1D124AB4"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w:t>
            </w:r>
          </w:p>
        </w:tc>
        <w:tc>
          <w:tcPr>
            <w:tcW w:w="1138" w:type="dxa"/>
            <w:tcBorders>
              <w:top w:val="nil"/>
              <w:bottom w:val="nil"/>
            </w:tcBorders>
            <w:shd w:val="clear" w:color="auto" w:fill="A6A6A6" w:themeFill="background1" w:themeFillShade="A6"/>
            <w:noWrap/>
            <w:vAlign w:val="center"/>
            <w:hideMark/>
          </w:tcPr>
          <w:p w14:paraId="61C89589"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w:t>
            </w:r>
          </w:p>
        </w:tc>
        <w:tc>
          <w:tcPr>
            <w:tcW w:w="1295" w:type="dxa"/>
            <w:tcBorders>
              <w:top w:val="nil"/>
              <w:bottom w:val="nil"/>
            </w:tcBorders>
            <w:shd w:val="clear" w:color="auto" w:fill="A6A6A6" w:themeFill="background1" w:themeFillShade="A6"/>
            <w:noWrap/>
            <w:vAlign w:val="center"/>
            <w:hideMark/>
          </w:tcPr>
          <w:p w14:paraId="671D80CF"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-1.1%</w:t>
            </w:r>
          </w:p>
        </w:tc>
      </w:tr>
      <w:tr w:rsidR="00E408E2" w:rsidRPr="007F6332" w14:paraId="2916D2E4" w14:textId="77777777" w:rsidTr="009226A9">
        <w:trPr>
          <w:trHeight w:val="397"/>
        </w:trPr>
        <w:tc>
          <w:tcPr>
            <w:tcW w:w="1843" w:type="dxa"/>
            <w:tcBorders>
              <w:top w:val="nil"/>
            </w:tcBorders>
            <w:shd w:val="clear" w:color="auto" w:fill="auto"/>
            <w:noWrap/>
            <w:vAlign w:val="center"/>
            <w:hideMark/>
          </w:tcPr>
          <w:p w14:paraId="79BA404A"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75.0%</w:t>
            </w:r>
          </w:p>
        </w:tc>
        <w:tc>
          <w:tcPr>
            <w:tcW w:w="1127" w:type="dxa"/>
            <w:tcBorders>
              <w:top w:val="nil"/>
            </w:tcBorders>
            <w:shd w:val="clear" w:color="auto" w:fill="auto"/>
            <w:noWrap/>
            <w:vAlign w:val="center"/>
            <w:hideMark/>
          </w:tcPr>
          <w:p w14:paraId="79414F97"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w:t>
            </w:r>
          </w:p>
        </w:tc>
        <w:tc>
          <w:tcPr>
            <w:tcW w:w="1127" w:type="dxa"/>
            <w:tcBorders>
              <w:top w:val="nil"/>
            </w:tcBorders>
            <w:shd w:val="clear" w:color="auto" w:fill="auto"/>
            <w:noWrap/>
            <w:vAlign w:val="center"/>
            <w:hideMark/>
          </w:tcPr>
          <w:p w14:paraId="599745AC"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3.4%</w:t>
            </w:r>
          </w:p>
        </w:tc>
        <w:tc>
          <w:tcPr>
            <w:tcW w:w="1126" w:type="dxa"/>
            <w:tcBorders>
              <w:top w:val="nil"/>
            </w:tcBorders>
            <w:shd w:val="clear" w:color="auto" w:fill="auto"/>
            <w:noWrap/>
            <w:vAlign w:val="center"/>
            <w:hideMark/>
          </w:tcPr>
          <w:p w14:paraId="1B58AE07"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4.5%</w:t>
            </w:r>
          </w:p>
        </w:tc>
        <w:tc>
          <w:tcPr>
            <w:tcW w:w="1132" w:type="dxa"/>
            <w:tcBorders>
              <w:top w:val="nil"/>
            </w:tcBorders>
            <w:shd w:val="clear" w:color="auto" w:fill="auto"/>
            <w:noWrap/>
            <w:vAlign w:val="center"/>
            <w:hideMark/>
          </w:tcPr>
          <w:p w14:paraId="34191484"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5.3%</w:t>
            </w:r>
          </w:p>
        </w:tc>
        <w:tc>
          <w:tcPr>
            <w:tcW w:w="1138" w:type="dxa"/>
            <w:tcBorders>
              <w:top w:val="nil"/>
            </w:tcBorders>
            <w:shd w:val="clear" w:color="auto" w:fill="auto"/>
            <w:noWrap/>
            <w:vAlign w:val="center"/>
            <w:hideMark/>
          </w:tcPr>
          <w:p w14:paraId="4134DADA"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10.2%</w:t>
            </w:r>
          </w:p>
        </w:tc>
        <w:tc>
          <w:tcPr>
            <w:tcW w:w="1295" w:type="dxa"/>
            <w:tcBorders>
              <w:top w:val="nil"/>
            </w:tcBorders>
            <w:shd w:val="clear" w:color="auto" w:fill="auto"/>
            <w:noWrap/>
            <w:vAlign w:val="center"/>
            <w:hideMark/>
          </w:tcPr>
          <w:p w14:paraId="23BCC14D"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3.6%</w:t>
            </w:r>
          </w:p>
        </w:tc>
      </w:tr>
      <w:tr w:rsidR="00E408E2" w:rsidRPr="007F6332" w14:paraId="5CB6D54B" w14:textId="77777777" w:rsidTr="00C1755E">
        <w:trPr>
          <w:trHeight w:val="397"/>
        </w:trPr>
        <w:tc>
          <w:tcPr>
            <w:tcW w:w="1843" w:type="dxa"/>
            <w:tcBorders>
              <w:top w:val="nil"/>
              <w:bottom w:val="single" w:sz="4" w:space="0" w:color="auto"/>
            </w:tcBorders>
            <w:shd w:val="clear" w:color="auto" w:fill="A6A6A6" w:themeFill="background1" w:themeFillShade="A6"/>
            <w:noWrap/>
            <w:vAlign w:val="center"/>
            <w:hideMark/>
          </w:tcPr>
          <w:p w14:paraId="6BA52AA0"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95.0%</w:t>
            </w:r>
          </w:p>
        </w:tc>
        <w:tc>
          <w:tcPr>
            <w:tcW w:w="1127" w:type="dxa"/>
            <w:tcBorders>
              <w:top w:val="nil"/>
              <w:bottom w:val="single" w:sz="4" w:space="0" w:color="auto"/>
            </w:tcBorders>
            <w:shd w:val="clear" w:color="auto" w:fill="A6A6A6" w:themeFill="background1" w:themeFillShade="A6"/>
            <w:noWrap/>
            <w:vAlign w:val="center"/>
            <w:hideMark/>
          </w:tcPr>
          <w:p w14:paraId="3A612600"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10.3%</w:t>
            </w:r>
          </w:p>
        </w:tc>
        <w:tc>
          <w:tcPr>
            <w:tcW w:w="1127" w:type="dxa"/>
            <w:tcBorders>
              <w:top w:val="nil"/>
              <w:bottom w:val="single" w:sz="4" w:space="0" w:color="auto"/>
            </w:tcBorders>
            <w:shd w:val="clear" w:color="auto" w:fill="A6A6A6" w:themeFill="background1" w:themeFillShade="A6"/>
            <w:noWrap/>
            <w:vAlign w:val="center"/>
            <w:hideMark/>
          </w:tcPr>
          <w:p w14:paraId="3BFB9ACD"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14.2%</w:t>
            </w:r>
          </w:p>
        </w:tc>
        <w:tc>
          <w:tcPr>
            <w:tcW w:w="1126" w:type="dxa"/>
            <w:tcBorders>
              <w:top w:val="nil"/>
              <w:bottom w:val="single" w:sz="4" w:space="0" w:color="auto"/>
            </w:tcBorders>
            <w:shd w:val="clear" w:color="auto" w:fill="A6A6A6" w:themeFill="background1" w:themeFillShade="A6"/>
            <w:noWrap/>
            <w:vAlign w:val="center"/>
            <w:hideMark/>
          </w:tcPr>
          <w:p w14:paraId="3E6E8B48"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16.7%</w:t>
            </w:r>
          </w:p>
        </w:tc>
        <w:tc>
          <w:tcPr>
            <w:tcW w:w="1132" w:type="dxa"/>
            <w:tcBorders>
              <w:top w:val="nil"/>
              <w:bottom w:val="single" w:sz="4" w:space="0" w:color="auto"/>
            </w:tcBorders>
            <w:shd w:val="clear" w:color="auto" w:fill="A6A6A6" w:themeFill="background1" w:themeFillShade="A6"/>
            <w:noWrap/>
            <w:vAlign w:val="center"/>
            <w:hideMark/>
          </w:tcPr>
          <w:p w14:paraId="31E216B5"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18.3%</w:t>
            </w:r>
          </w:p>
        </w:tc>
        <w:tc>
          <w:tcPr>
            <w:tcW w:w="1138" w:type="dxa"/>
            <w:tcBorders>
              <w:top w:val="nil"/>
              <w:bottom w:val="single" w:sz="4" w:space="0" w:color="auto"/>
            </w:tcBorders>
            <w:shd w:val="clear" w:color="auto" w:fill="A6A6A6" w:themeFill="background1" w:themeFillShade="A6"/>
            <w:noWrap/>
            <w:vAlign w:val="center"/>
            <w:hideMark/>
          </w:tcPr>
          <w:p w14:paraId="498DF785"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31.6%</w:t>
            </w:r>
          </w:p>
        </w:tc>
        <w:tc>
          <w:tcPr>
            <w:tcW w:w="1295" w:type="dxa"/>
            <w:tcBorders>
              <w:top w:val="nil"/>
              <w:bottom w:val="single" w:sz="4" w:space="0" w:color="auto"/>
            </w:tcBorders>
            <w:shd w:val="clear" w:color="auto" w:fill="A6A6A6" w:themeFill="background1" w:themeFillShade="A6"/>
            <w:noWrap/>
            <w:vAlign w:val="center"/>
            <w:hideMark/>
          </w:tcPr>
          <w:p w14:paraId="665D7405"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14.1%</w:t>
            </w:r>
          </w:p>
        </w:tc>
      </w:tr>
    </w:tbl>
    <w:p w14:paraId="5A36F821" w14:textId="77777777" w:rsidR="00B042DF" w:rsidRPr="007F6332" w:rsidRDefault="00B042DF" w:rsidP="00EF79DA">
      <w:pPr>
        <w:pStyle w:val="Heading4"/>
        <w:ind w:left="851" w:hanging="851"/>
        <w:rPr>
          <w:rFonts w:cs="Arial"/>
        </w:rPr>
      </w:pPr>
      <w:r w:rsidRPr="007F6332">
        <w:rPr>
          <w:rFonts w:cs="Arial"/>
        </w:rPr>
        <w:t>Quantification of key risks</w:t>
      </w:r>
    </w:p>
    <w:p w14:paraId="36815A6C" w14:textId="77777777" w:rsidR="007232D6" w:rsidRPr="007F6332" w:rsidRDefault="00B042DF" w:rsidP="007232D6">
      <w:pPr>
        <w:pStyle w:val="FSRnormal"/>
        <w:spacing w:before="120" w:after="120"/>
        <w:rPr>
          <w:rFonts w:cs="Arial"/>
        </w:rPr>
      </w:pPr>
      <w:r w:rsidRPr="007F6332">
        <w:rPr>
          <w:rFonts w:cs="Arial"/>
        </w:rPr>
        <w:t xml:space="preserve">Table </w:t>
      </w:r>
      <w:r w:rsidR="00E06963" w:rsidRPr="007F6332">
        <w:rPr>
          <w:rFonts w:cs="Arial"/>
        </w:rPr>
        <w:t>6.10</w:t>
      </w:r>
      <w:r w:rsidRPr="007F6332">
        <w:rPr>
          <w:rFonts w:cs="Arial"/>
        </w:rPr>
        <w:t xml:space="preserve"> shows the Coefficient of Variation (CoV) of the Scheme expense associated with each risk if it were modelled separately and independently of the other key risks. The largest contributor to risk is additional growth, however, in the longer term, model specification risk and new entrant risk become more significant. </w:t>
      </w:r>
    </w:p>
    <w:p w14:paraId="0BA65869" w14:textId="623C1869" w:rsidR="00B042DF" w:rsidRPr="007F6332" w:rsidRDefault="00B042DF" w:rsidP="00945CBF">
      <w:pPr>
        <w:pStyle w:val="FiguresandTablesHeading5"/>
      </w:pPr>
      <w:r w:rsidRPr="007F6332">
        <w:rPr>
          <w:rStyle w:val="TablesChar"/>
          <w:b/>
        </w:rPr>
        <w:t xml:space="preserve">Table </w:t>
      </w:r>
      <w:r w:rsidR="00E06963" w:rsidRPr="007F6332">
        <w:rPr>
          <w:rStyle w:val="TablesChar"/>
          <w:b/>
        </w:rPr>
        <w:t>6.10</w:t>
      </w:r>
      <w:r w:rsidRPr="007F6332">
        <w:rPr>
          <w:rStyle w:val="TablesChar"/>
          <w:b/>
        </w:rPr>
        <w:t>: CoV assessment</w:t>
      </w:r>
      <w:r w:rsidRPr="007F6332">
        <w:t xml:space="preserve"> of each individual component of risk</w:t>
      </w:r>
    </w:p>
    <w:tbl>
      <w:tblPr>
        <w:tblW w:w="8935" w:type="dxa"/>
        <w:tblLayout w:type="fixed"/>
        <w:tblLook w:val="04A0" w:firstRow="1" w:lastRow="0" w:firstColumn="1" w:lastColumn="0" w:noHBand="0" w:noVBand="1"/>
      </w:tblPr>
      <w:tblGrid>
        <w:gridCol w:w="2127"/>
        <w:gridCol w:w="1125"/>
        <w:gridCol w:w="1127"/>
        <w:gridCol w:w="1126"/>
        <w:gridCol w:w="1132"/>
        <w:gridCol w:w="1161"/>
        <w:gridCol w:w="1137"/>
      </w:tblGrid>
      <w:tr w:rsidR="00E408E2" w:rsidRPr="007F6332" w14:paraId="2D74C6E4" w14:textId="77777777" w:rsidTr="009226A9">
        <w:trPr>
          <w:trHeight w:val="397"/>
        </w:trPr>
        <w:tc>
          <w:tcPr>
            <w:tcW w:w="2127" w:type="dxa"/>
            <w:tcBorders>
              <w:top w:val="nil"/>
            </w:tcBorders>
            <w:shd w:val="clear" w:color="000000" w:fill="6B2976"/>
            <w:noWrap/>
            <w:vAlign w:val="center"/>
            <w:hideMark/>
          </w:tcPr>
          <w:p w14:paraId="5376F951" w14:textId="77777777" w:rsidR="00E408E2" w:rsidRPr="007F6332" w:rsidRDefault="00E408E2" w:rsidP="00CB4B00">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Risk Type</w:t>
            </w:r>
          </w:p>
        </w:tc>
        <w:tc>
          <w:tcPr>
            <w:tcW w:w="1125" w:type="dxa"/>
            <w:tcBorders>
              <w:top w:val="nil"/>
            </w:tcBorders>
            <w:shd w:val="clear" w:color="000000" w:fill="6B2976"/>
            <w:noWrap/>
            <w:vAlign w:val="center"/>
            <w:hideMark/>
          </w:tcPr>
          <w:p w14:paraId="1647781D" w14:textId="77777777" w:rsidR="00E408E2" w:rsidRPr="007F6332" w:rsidRDefault="00E408E2" w:rsidP="00CB4B00">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2023-24</w:t>
            </w:r>
          </w:p>
        </w:tc>
        <w:tc>
          <w:tcPr>
            <w:tcW w:w="1127" w:type="dxa"/>
            <w:tcBorders>
              <w:top w:val="nil"/>
            </w:tcBorders>
            <w:shd w:val="clear" w:color="000000" w:fill="6B2976"/>
            <w:noWrap/>
            <w:vAlign w:val="center"/>
            <w:hideMark/>
          </w:tcPr>
          <w:p w14:paraId="4ED7B94A" w14:textId="77777777" w:rsidR="00E408E2" w:rsidRPr="007F6332" w:rsidRDefault="00E408E2" w:rsidP="00CB4B00">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2024-25</w:t>
            </w:r>
          </w:p>
        </w:tc>
        <w:tc>
          <w:tcPr>
            <w:tcW w:w="1126" w:type="dxa"/>
            <w:tcBorders>
              <w:top w:val="nil"/>
            </w:tcBorders>
            <w:shd w:val="clear" w:color="000000" w:fill="6B2976"/>
            <w:noWrap/>
            <w:vAlign w:val="center"/>
            <w:hideMark/>
          </w:tcPr>
          <w:p w14:paraId="44EC3408" w14:textId="77777777" w:rsidR="00E408E2" w:rsidRPr="007F6332" w:rsidRDefault="00E408E2" w:rsidP="00CB4B00">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2025-26</w:t>
            </w:r>
          </w:p>
        </w:tc>
        <w:tc>
          <w:tcPr>
            <w:tcW w:w="1132" w:type="dxa"/>
            <w:tcBorders>
              <w:top w:val="nil"/>
            </w:tcBorders>
            <w:shd w:val="clear" w:color="000000" w:fill="6B2976"/>
            <w:noWrap/>
            <w:vAlign w:val="center"/>
            <w:hideMark/>
          </w:tcPr>
          <w:p w14:paraId="3495032E" w14:textId="77777777" w:rsidR="00E408E2" w:rsidRPr="007F6332" w:rsidRDefault="00E408E2" w:rsidP="00CB4B00">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2026-27</w:t>
            </w:r>
          </w:p>
        </w:tc>
        <w:tc>
          <w:tcPr>
            <w:tcW w:w="1161" w:type="dxa"/>
            <w:tcBorders>
              <w:top w:val="nil"/>
            </w:tcBorders>
            <w:shd w:val="clear" w:color="000000" w:fill="6B2976"/>
            <w:noWrap/>
            <w:vAlign w:val="center"/>
            <w:hideMark/>
          </w:tcPr>
          <w:p w14:paraId="53A7C13E" w14:textId="77777777" w:rsidR="00E408E2" w:rsidRPr="007F6332" w:rsidRDefault="00E408E2" w:rsidP="00CB4B00">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2032-33</w:t>
            </w:r>
          </w:p>
        </w:tc>
        <w:tc>
          <w:tcPr>
            <w:tcW w:w="1137" w:type="dxa"/>
            <w:tcBorders>
              <w:top w:val="nil"/>
            </w:tcBorders>
            <w:shd w:val="clear" w:color="000000" w:fill="6B2976"/>
            <w:noWrap/>
            <w:vAlign w:val="center"/>
            <w:hideMark/>
          </w:tcPr>
          <w:p w14:paraId="65AD56F1" w14:textId="77777777" w:rsidR="00E408E2" w:rsidRPr="007F6332" w:rsidRDefault="00E408E2" w:rsidP="00CB4B00">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2023-27</w:t>
            </w:r>
          </w:p>
        </w:tc>
      </w:tr>
      <w:tr w:rsidR="00E408E2" w:rsidRPr="007F6332" w14:paraId="62406649" w14:textId="77777777" w:rsidTr="00C1755E">
        <w:trPr>
          <w:trHeight w:val="397"/>
        </w:trPr>
        <w:tc>
          <w:tcPr>
            <w:tcW w:w="2127" w:type="dxa"/>
            <w:tcBorders>
              <w:bottom w:val="nil"/>
            </w:tcBorders>
            <w:shd w:val="clear" w:color="auto" w:fill="A6A6A6" w:themeFill="background1" w:themeFillShade="A6"/>
            <w:noWrap/>
            <w:vAlign w:val="center"/>
            <w:hideMark/>
          </w:tcPr>
          <w:p w14:paraId="73FEDDAF"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Additional growth</w:t>
            </w:r>
          </w:p>
        </w:tc>
        <w:tc>
          <w:tcPr>
            <w:tcW w:w="1125" w:type="dxa"/>
            <w:tcBorders>
              <w:bottom w:val="nil"/>
            </w:tcBorders>
            <w:shd w:val="clear" w:color="auto" w:fill="A6A6A6" w:themeFill="background1" w:themeFillShade="A6"/>
            <w:noWrap/>
            <w:vAlign w:val="center"/>
            <w:hideMark/>
          </w:tcPr>
          <w:p w14:paraId="138B8002"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5.5%</w:t>
            </w:r>
          </w:p>
        </w:tc>
        <w:tc>
          <w:tcPr>
            <w:tcW w:w="1127" w:type="dxa"/>
            <w:tcBorders>
              <w:bottom w:val="nil"/>
            </w:tcBorders>
            <w:shd w:val="clear" w:color="auto" w:fill="A6A6A6" w:themeFill="background1" w:themeFillShade="A6"/>
            <w:noWrap/>
            <w:vAlign w:val="center"/>
            <w:hideMark/>
          </w:tcPr>
          <w:p w14:paraId="69BA82E6"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7.0%</w:t>
            </w:r>
          </w:p>
        </w:tc>
        <w:tc>
          <w:tcPr>
            <w:tcW w:w="1126" w:type="dxa"/>
            <w:tcBorders>
              <w:bottom w:val="nil"/>
            </w:tcBorders>
            <w:shd w:val="clear" w:color="auto" w:fill="A6A6A6" w:themeFill="background1" w:themeFillShade="A6"/>
            <w:noWrap/>
            <w:vAlign w:val="center"/>
            <w:hideMark/>
          </w:tcPr>
          <w:p w14:paraId="333C97E8"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8.0%</w:t>
            </w:r>
          </w:p>
        </w:tc>
        <w:tc>
          <w:tcPr>
            <w:tcW w:w="1132" w:type="dxa"/>
            <w:tcBorders>
              <w:bottom w:val="nil"/>
            </w:tcBorders>
            <w:shd w:val="clear" w:color="auto" w:fill="A6A6A6" w:themeFill="background1" w:themeFillShade="A6"/>
            <w:noWrap/>
            <w:vAlign w:val="center"/>
            <w:hideMark/>
          </w:tcPr>
          <w:p w14:paraId="369C7DC4"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8.5%</w:t>
            </w:r>
          </w:p>
        </w:tc>
        <w:tc>
          <w:tcPr>
            <w:tcW w:w="1161" w:type="dxa"/>
            <w:tcBorders>
              <w:bottom w:val="nil"/>
            </w:tcBorders>
            <w:shd w:val="clear" w:color="auto" w:fill="A6A6A6" w:themeFill="background1" w:themeFillShade="A6"/>
            <w:noWrap/>
            <w:vAlign w:val="center"/>
            <w:hideMark/>
          </w:tcPr>
          <w:p w14:paraId="2C91A3EB"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11.7%</w:t>
            </w:r>
          </w:p>
        </w:tc>
        <w:tc>
          <w:tcPr>
            <w:tcW w:w="1137" w:type="dxa"/>
            <w:tcBorders>
              <w:bottom w:val="nil"/>
            </w:tcBorders>
            <w:shd w:val="clear" w:color="auto" w:fill="A6A6A6" w:themeFill="background1" w:themeFillShade="A6"/>
            <w:noWrap/>
            <w:vAlign w:val="center"/>
            <w:hideMark/>
          </w:tcPr>
          <w:p w14:paraId="6A4A2E6F"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7.0%</w:t>
            </w:r>
          </w:p>
        </w:tc>
      </w:tr>
      <w:tr w:rsidR="00E408E2" w:rsidRPr="007F6332" w14:paraId="285E142B" w14:textId="77777777" w:rsidTr="009226A9">
        <w:trPr>
          <w:trHeight w:val="397"/>
        </w:trPr>
        <w:tc>
          <w:tcPr>
            <w:tcW w:w="2127" w:type="dxa"/>
            <w:tcBorders>
              <w:top w:val="nil"/>
              <w:bottom w:val="nil"/>
            </w:tcBorders>
            <w:shd w:val="clear" w:color="auto" w:fill="auto"/>
            <w:noWrap/>
            <w:vAlign w:val="center"/>
            <w:hideMark/>
          </w:tcPr>
          <w:p w14:paraId="5BA0F3EE"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Model specification risk</w:t>
            </w:r>
          </w:p>
        </w:tc>
        <w:tc>
          <w:tcPr>
            <w:tcW w:w="1125" w:type="dxa"/>
            <w:tcBorders>
              <w:top w:val="nil"/>
              <w:bottom w:val="nil"/>
            </w:tcBorders>
            <w:shd w:val="clear" w:color="auto" w:fill="auto"/>
            <w:noWrap/>
            <w:vAlign w:val="center"/>
            <w:hideMark/>
          </w:tcPr>
          <w:p w14:paraId="48BAE380"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1.8%</w:t>
            </w:r>
          </w:p>
        </w:tc>
        <w:tc>
          <w:tcPr>
            <w:tcW w:w="1127" w:type="dxa"/>
            <w:tcBorders>
              <w:top w:val="nil"/>
              <w:bottom w:val="nil"/>
            </w:tcBorders>
            <w:shd w:val="clear" w:color="auto" w:fill="auto"/>
            <w:noWrap/>
            <w:vAlign w:val="center"/>
            <w:hideMark/>
          </w:tcPr>
          <w:p w14:paraId="44B690DF"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2.8%</w:t>
            </w:r>
          </w:p>
        </w:tc>
        <w:tc>
          <w:tcPr>
            <w:tcW w:w="1126" w:type="dxa"/>
            <w:tcBorders>
              <w:top w:val="nil"/>
              <w:bottom w:val="nil"/>
            </w:tcBorders>
            <w:shd w:val="clear" w:color="auto" w:fill="auto"/>
            <w:noWrap/>
            <w:vAlign w:val="center"/>
            <w:hideMark/>
          </w:tcPr>
          <w:p w14:paraId="2AE0A004"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3.6%</w:t>
            </w:r>
          </w:p>
        </w:tc>
        <w:tc>
          <w:tcPr>
            <w:tcW w:w="1132" w:type="dxa"/>
            <w:tcBorders>
              <w:top w:val="nil"/>
              <w:bottom w:val="nil"/>
            </w:tcBorders>
            <w:shd w:val="clear" w:color="auto" w:fill="auto"/>
            <w:noWrap/>
            <w:vAlign w:val="center"/>
            <w:hideMark/>
          </w:tcPr>
          <w:p w14:paraId="06678D9A"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4.3%</w:t>
            </w:r>
          </w:p>
        </w:tc>
        <w:tc>
          <w:tcPr>
            <w:tcW w:w="1161" w:type="dxa"/>
            <w:tcBorders>
              <w:top w:val="nil"/>
              <w:bottom w:val="nil"/>
            </w:tcBorders>
            <w:shd w:val="clear" w:color="auto" w:fill="auto"/>
            <w:noWrap/>
            <w:vAlign w:val="center"/>
            <w:hideMark/>
          </w:tcPr>
          <w:p w14:paraId="4DAFFFBF"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8.1%</w:t>
            </w:r>
          </w:p>
        </w:tc>
        <w:tc>
          <w:tcPr>
            <w:tcW w:w="1137" w:type="dxa"/>
            <w:tcBorders>
              <w:top w:val="nil"/>
              <w:bottom w:val="nil"/>
            </w:tcBorders>
            <w:shd w:val="clear" w:color="auto" w:fill="auto"/>
            <w:noWrap/>
            <w:vAlign w:val="center"/>
            <w:hideMark/>
          </w:tcPr>
          <w:p w14:paraId="73F32211"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2.9%</w:t>
            </w:r>
          </w:p>
        </w:tc>
      </w:tr>
      <w:tr w:rsidR="00E408E2" w:rsidRPr="007F6332" w14:paraId="146696C6" w14:textId="77777777" w:rsidTr="00C1755E">
        <w:trPr>
          <w:trHeight w:val="397"/>
        </w:trPr>
        <w:tc>
          <w:tcPr>
            <w:tcW w:w="2127" w:type="dxa"/>
            <w:tcBorders>
              <w:top w:val="nil"/>
              <w:bottom w:val="nil"/>
            </w:tcBorders>
            <w:shd w:val="clear" w:color="auto" w:fill="A6A6A6" w:themeFill="background1" w:themeFillShade="A6"/>
            <w:noWrap/>
            <w:vAlign w:val="center"/>
            <w:hideMark/>
          </w:tcPr>
          <w:p w14:paraId="3C387922"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New entrants</w:t>
            </w:r>
          </w:p>
        </w:tc>
        <w:tc>
          <w:tcPr>
            <w:tcW w:w="1125" w:type="dxa"/>
            <w:tcBorders>
              <w:top w:val="nil"/>
              <w:bottom w:val="nil"/>
            </w:tcBorders>
            <w:shd w:val="clear" w:color="auto" w:fill="A6A6A6" w:themeFill="background1" w:themeFillShade="A6"/>
            <w:noWrap/>
            <w:vAlign w:val="center"/>
            <w:hideMark/>
          </w:tcPr>
          <w:p w14:paraId="5D8BDA14"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0.2%</w:t>
            </w:r>
          </w:p>
        </w:tc>
        <w:tc>
          <w:tcPr>
            <w:tcW w:w="1127" w:type="dxa"/>
            <w:tcBorders>
              <w:top w:val="nil"/>
              <w:bottom w:val="nil"/>
            </w:tcBorders>
            <w:shd w:val="clear" w:color="auto" w:fill="A6A6A6" w:themeFill="background1" w:themeFillShade="A6"/>
            <w:noWrap/>
            <w:vAlign w:val="center"/>
            <w:hideMark/>
          </w:tcPr>
          <w:p w14:paraId="593A0B1A"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0.7%</w:t>
            </w:r>
          </w:p>
        </w:tc>
        <w:tc>
          <w:tcPr>
            <w:tcW w:w="1126" w:type="dxa"/>
            <w:tcBorders>
              <w:top w:val="nil"/>
              <w:bottom w:val="nil"/>
            </w:tcBorders>
            <w:shd w:val="clear" w:color="auto" w:fill="A6A6A6" w:themeFill="background1" w:themeFillShade="A6"/>
            <w:noWrap/>
            <w:vAlign w:val="center"/>
            <w:hideMark/>
          </w:tcPr>
          <w:p w14:paraId="22C8DC7C"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1.4%</w:t>
            </w:r>
          </w:p>
        </w:tc>
        <w:tc>
          <w:tcPr>
            <w:tcW w:w="1132" w:type="dxa"/>
            <w:tcBorders>
              <w:top w:val="nil"/>
              <w:bottom w:val="nil"/>
            </w:tcBorders>
            <w:shd w:val="clear" w:color="auto" w:fill="A6A6A6" w:themeFill="background1" w:themeFillShade="A6"/>
            <w:noWrap/>
            <w:vAlign w:val="center"/>
            <w:hideMark/>
          </w:tcPr>
          <w:p w14:paraId="0EBF3414"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2.2%</w:t>
            </w:r>
          </w:p>
        </w:tc>
        <w:tc>
          <w:tcPr>
            <w:tcW w:w="1161" w:type="dxa"/>
            <w:tcBorders>
              <w:top w:val="nil"/>
              <w:bottom w:val="nil"/>
            </w:tcBorders>
            <w:shd w:val="clear" w:color="auto" w:fill="A6A6A6" w:themeFill="background1" w:themeFillShade="A6"/>
            <w:noWrap/>
            <w:vAlign w:val="center"/>
            <w:hideMark/>
          </w:tcPr>
          <w:p w14:paraId="583D8B20"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7.6%</w:t>
            </w:r>
          </w:p>
        </w:tc>
        <w:tc>
          <w:tcPr>
            <w:tcW w:w="1137" w:type="dxa"/>
            <w:tcBorders>
              <w:top w:val="nil"/>
              <w:bottom w:val="nil"/>
            </w:tcBorders>
            <w:shd w:val="clear" w:color="auto" w:fill="A6A6A6" w:themeFill="background1" w:themeFillShade="A6"/>
            <w:noWrap/>
            <w:vAlign w:val="center"/>
            <w:hideMark/>
          </w:tcPr>
          <w:p w14:paraId="4C0F3CBE"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w:t>
            </w:r>
          </w:p>
        </w:tc>
      </w:tr>
      <w:tr w:rsidR="00E408E2" w:rsidRPr="007F6332" w14:paraId="2906CBC3" w14:textId="77777777" w:rsidTr="009226A9">
        <w:trPr>
          <w:trHeight w:val="397"/>
        </w:trPr>
        <w:tc>
          <w:tcPr>
            <w:tcW w:w="2127" w:type="dxa"/>
            <w:tcBorders>
              <w:top w:val="nil"/>
            </w:tcBorders>
            <w:shd w:val="clear" w:color="auto" w:fill="auto"/>
            <w:noWrap/>
            <w:vAlign w:val="center"/>
            <w:hideMark/>
          </w:tcPr>
          <w:p w14:paraId="3EB2F47C" w14:textId="77777777"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Normal inflation</w:t>
            </w:r>
          </w:p>
        </w:tc>
        <w:tc>
          <w:tcPr>
            <w:tcW w:w="1125" w:type="dxa"/>
            <w:tcBorders>
              <w:top w:val="nil"/>
            </w:tcBorders>
            <w:shd w:val="clear" w:color="auto" w:fill="auto"/>
            <w:noWrap/>
            <w:vAlign w:val="center"/>
            <w:hideMark/>
          </w:tcPr>
          <w:p w14:paraId="725A089E"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0.0%</w:t>
            </w:r>
          </w:p>
        </w:tc>
        <w:tc>
          <w:tcPr>
            <w:tcW w:w="1127" w:type="dxa"/>
            <w:tcBorders>
              <w:top w:val="nil"/>
            </w:tcBorders>
            <w:shd w:val="clear" w:color="auto" w:fill="auto"/>
            <w:noWrap/>
            <w:vAlign w:val="center"/>
            <w:hideMark/>
          </w:tcPr>
          <w:p w14:paraId="030991DC"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0.8%</w:t>
            </w:r>
          </w:p>
        </w:tc>
        <w:tc>
          <w:tcPr>
            <w:tcW w:w="1126" w:type="dxa"/>
            <w:tcBorders>
              <w:top w:val="nil"/>
            </w:tcBorders>
            <w:shd w:val="clear" w:color="auto" w:fill="auto"/>
            <w:noWrap/>
            <w:vAlign w:val="center"/>
            <w:hideMark/>
          </w:tcPr>
          <w:p w14:paraId="212D4D29"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1.4%</w:t>
            </w:r>
          </w:p>
        </w:tc>
        <w:tc>
          <w:tcPr>
            <w:tcW w:w="1132" w:type="dxa"/>
            <w:tcBorders>
              <w:top w:val="nil"/>
            </w:tcBorders>
            <w:shd w:val="clear" w:color="auto" w:fill="auto"/>
            <w:noWrap/>
            <w:vAlign w:val="center"/>
            <w:hideMark/>
          </w:tcPr>
          <w:p w14:paraId="61F5E620"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2.0%</w:t>
            </w:r>
          </w:p>
        </w:tc>
        <w:tc>
          <w:tcPr>
            <w:tcW w:w="1161" w:type="dxa"/>
            <w:tcBorders>
              <w:top w:val="nil"/>
            </w:tcBorders>
            <w:shd w:val="clear" w:color="auto" w:fill="auto"/>
            <w:noWrap/>
            <w:vAlign w:val="center"/>
            <w:hideMark/>
          </w:tcPr>
          <w:p w14:paraId="318A4E5D"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4.6%</w:t>
            </w:r>
          </w:p>
        </w:tc>
        <w:tc>
          <w:tcPr>
            <w:tcW w:w="1137" w:type="dxa"/>
            <w:tcBorders>
              <w:top w:val="nil"/>
            </w:tcBorders>
            <w:shd w:val="clear" w:color="auto" w:fill="auto"/>
            <w:noWrap/>
            <w:vAlign w:val="center"/>
            <w:hideMark/>
          </w:tcPr>
          <w:p w14:paraId="21ED1F7A"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1.1%</w:t>
            </w:r>
          </w:p>
        </w:tc>
      </w:tr>
      <w:tr w:rsidR="00E408E2" w:rsidRPr="007F6332" w14:paraId="273AAF17" w14:textId="77777777" w:rsidTr="00C1755E">
        <w:trPr>
          <w:trHeight w:val="397"/>
        </w:trPr>
        <w:tc>
          <w:tcPr>
            <w:tcW w:w="2127" w:type="dxa"/>
            <w:tcBorders>
              <w:top w:val="nil"/>
              <w:bottom w:val="single" w:sz="4" w:space="0" w:color="auto"/>
            </w:tcBorders>
            <w:shd w:val="clear" w:color="auto" w:fill="A6A6A6" w:themeFill="background1" w:themeFillShade="A6"/>
            <w:noWrap/>
            <w:vAlign w:val="center"/>
            <w:hideMark/>
          </w:tcPr>
          <w:p w14:paraId="04C3BC54" w14:textId="2790BB11" w:rsidR="00E408E2" w:rsidRPr="007F6332" w:rsidRDefault="00E408E2" w:rsidP="00CB4B00">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 xml:space="preserve">Supported </w:t>
            </w:r>
            <w:r w:rsidR="005B51E6" w:rsidRPr="007F6332">
              <w:rPr>
                <w:rFonts w:eastAsia="Times New Roman" w:cs="Arial"/>
                <w:color w:val="000000"/>
                <w:szCs w:val="22"/>
                <w:lang w:val="en-AU" w:eastAsia="en-AU"/>
              </w:rPr>
              <w:t>I</w:t>
            </w:r>
            <w:r w:rsidRPr="007F6332">
              <w:rPr>
                <w:rFonts w:eastAsia="Times New Roman" w:cs="Arial"/>
                <w:color w:val="000000"/>
                <w:szCs w:val="22"/>
                <w:lang w:val="en-AU" w:eastAsia="en-AU"/>
              </w:rPr>
              <w:t xml:space="preserve">ndependent </w:t>
            </w:r>
            <w:r w:rsidR="005B51E6" w:rsidRPr="007F6332">
              <w:rPr>
                <w:rFonts w:eastAsia="Times New Roman" w:cs="Arial"/>
                <w:color w:val="000000"/>
                <w:szCs w:val="22"/>
                <w:lang w:val="en-AU" w:eastAsia="en-AU"/>
              </w:rPr>
              <w:t>L</w:t>
            </w:r>
            <w:r w:rsidRPr="007F6332">
              <w:rPr>
                <w:rFonts w:eastAsia="Times New Roman" w:cs="Arial"/>
                <w:color w:val="000000"/>
                <w:szCs w:val="22"/>
                <w:lang w:val="en-AU" w:eastAsia="en-AU"/>
              </w:rPr>
              <w:t>iving</w:t>
            </w:r>
          </w:p>
        </w:tc>
        <w:tc>
          <w:tcPr>
            <w:tcW w:w="1125" w:type="dxa"/>
            <w:tcBorders>
              <w:top w:val="nil"/>
              <w:bottom w:val="single" w:sz="4" w:space="0" w:color="auto"/>
            </w:tcBorders>
            <w:shd w:val="clear" w:color="auto" w:fill="A6A6A6" w:themeFill="background1" w:themeFillShade="A6"/>
            <w:noWrap/>
            <w:vAlign w:val="center"/>
            <w:hideMark/>
          </w:tcPr>
          <w:p w14:paraId="641C96BD"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0.4%</w:t>
            </w:r>
          </w:p>
        </w:tc>
        <w:tc>
          <w:tcPr>
            <w:tcW w:w="1127" w:type="dxa"/>
            <w:tcBorders>
              <w:top w:val="nil"/>
              <w:bottom w:val="single" w:sz="4" w:space="0" w:color="auto"/>
            </w:tcBorders>
            <w:shd w:val="clear" w:color="auto" w:fill="A6A6A6" w:themeFill="background1" w:themeFillShade="A6"/>
            <w:noWrap/>
            <w:vAlign w:val="center"/>
            <w:hideMark/>
          </w:tcPr>
          <w:p w14:paraId="37CFC1A7"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0.8%</w:t>
            </w:r>
          </w:p>
        </w:tc>
        <w:tc>
          <w:tcPr>
            <w:tcW w:w="1126" w:type="dxa"/>
            <w:tcBorders>
              <w:top w:val="nil"/>
              <w:bottom w:val="single" w:sz="4" w:space="0" w:color="auto"/>
            </w:tcBorders>
            <w:shd w:val="clear" w:color="auto" w:fill="A6A6A6" w:themeFill="background1" w:themeFillShade="A6"/>
            <w:noWrap/>
            <w:vAlign w:val="center"/>
            <w:hideMark/>
          </w:tcPr>
          <w:p w14:paraId="3844FA36"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w:t>
            </w:r>
          </w:p>
        </w:tc>
        <w:tc>
          <w:tcPr>
            <w:tcW w:w="1132" w:type="dxa"/>
            <w:tcBorders>
              <w:top w:val="nil"/>
              <w:bottom w:val="single" w:sz="4" w:space="0" w:color="auto"/>
            </w:tcBorders>
            <w:shd w:val="clear" w:color="auto" w:fill="A6A6A6" w:themeFill="background1" w:themeFillShade="A6"/>
            <w:noWrap/>
            <w:vAlign w:val="center"/>
            <w:hideMark/>
          </w:tcPr>
          <w:p w14:paraId="493FBB97"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1.2%</w:t>
            </w:r>
          </w:p>
        </w:tc>
        <w:tc>
          <w:tcPr>
            <w:tcW w:w="1161" w:type="dxa"/>
            <w:tcBorders>
              <w:top w:val="nil"/>
              <w:bottom w:val="single" w:sz="4" w:space="0" w:color="auto"/>
            </w:tcBorders>
            <w:shd w:val="clear" w:color="auto" w:fill="A6A6A6" w:themeFill="background1" w:themeFillShade="A6"/>
            <w:noWrap/>
            <w:vAlign w:val="center"/>
            <w:hideMark/>
          </w:tcPr>
          <w:p w14:paraId="2D0C5EC2"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1.4%</w:t>
            </w:r>
          </w:p>
        </w:tc>
        <w:tc>
          <w:tcPr>
            <w:tcW w:w="1137" w:type="dxa"/>
            <w:tcBorders>
              <w:top w:val="nil"/>
              <w:bottom w:val="single" w:sz="4" w:space="0" w:color="auto"/>
            </w:tcBorders>
            <w:shd w:val="clear" w:color="auto" w:fill="A6A6A6" w:themeFill="background1" w:themeFillShade="A6"/>
            <w:noWrap/>
            <w:vAlign w:val="center"/>
            <w:hideMark/>
          </w:tcPr>
          <w:p w14:paraId="4E9BF638" w14:textId="77777777" w:rsidR="00E408E2" w:rsidRPr="007F6332" w:rsidRDefault="00E408E2" w:rsidP="00CB4B00">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0.9%</w:t>
            </w:r>
          </w:p>
        </w:tc>
      </w:tr>
    </w:tbl>
    <w:p w14:paraId="47F96248" w14:textId="77777777" w:rsidR="00B042DF" w:rsidRPr="007F6332" w:rsidRDefault="00B042DF" w:rsidP="00B042DF">
      <w:pPr>
        <w:pStyle w:val="FSRnormal"/>
        <w:rPr>
          <w:rFonts w:cs="Arial"/>
        </w:rPr>
      </w:pPr>
      <w:r w:rsidRPr="007F6332">
        <w:rPr>
          <w:rFonts w:cs="Arial"/>
        </w:rPr>
        <w:t>The key observations for each risk are as follows:</w:t>
      </w:r>
    </w:p>
    <w:p w14:paraId="29BE4C40" w14:textId="77777777" w:rsidR="0006157F" w:rsidRPr="007F6332" w:rsidRDefault="0006157F" w:rsidP="00945CBF">
      <w:pPr>
        <w:pStyle w:val="tablelistbullet"/>
      </w:pPr>
      <w:r w:rsidRPr="007F6332">
        <w:rPr>
          <w:b/>
          <w:bCs/>
        </w:rPr>
        <w:t>Additional growth</w:t>
      </w:r>
      <w:r w:rsidRPr="007F6332">
        <w:t xml:space="preserve"> has the highest CoV compared to the other risks for each projection year. Assumptions relating to additional growth remain highly uncertain, given the evolving nature of the Scheme, and the level of judgement involved in determining the additional growth assumptions. </w:t>
      </w:r>
    </w:p>
    <w:p w14:paraId="04800035" w14:textId="77777777" w:rsidR="0006157F" w:rsidRPr="007F6332" w:rsidRDefault="0006157F" w:rsidP="00945CBF">
      <w:pPr>
        <w:pStyle w:val="tablelistbullet"/>
      </w:pPr>
      <w:r w:rsidRPr="007F6332">
        <w:rPr>
          <w:b/>
          <w:bCs/>
        </w:rPr>
        <w:t>Model specification risk</w:t>
      </w:r>
      <w:r w:rsidRPr="007F6332">
        <w:t xml:space="preserve"> has a high CoV, increasing over time, reflecting the inherent complexity in modelling and projecting Scheme expenses.</w:t>
      </w:r>
    </w:p>
    <w:p w14:paraId="3D949346" w14:textId="70E26221" w:rsidR="0006157F" w:rsidRPr="007F6332" w:rsidRDefault="0006157F" w:rsidP="00945CBF">
      <w:pPr>
        <w:pStyle w:val="tablelistbullet"/>
      </w:pPr>
      <w:r w:rsidRPr="007F6332">
        <w:rPr>
          <w:b/>
          <w:bCs/>
        </w:rPr>
        <w:lastRenderedPageBreak/>
        <w:t>New entrant risk</w:t>
      </w:r>
      <w:r w:rsidRPr="007F6332">
        <w:t xml:space="preserve"> increases over time</w:t>
      </w:r>
      <w:r w:rsidR="00E92D44" w:rsidRPr="007F6332">
        <w:rPr>
          <w:b/>
          <w:bCs/>
        </w:rPr>
        <w:t xml:space="preserve"> </w:t>
      </w:r>
      <w:r w:rsidRPr="007F6332">
        <w:t>due to the number of new entrants in earlier years impacting the Scheme expense in future years</w:t>
      </w:r>
      <w:r w:rsidR="00E92D44" w:rsidRPr="007F6332">
        <w:t xml:space="preserve">, and </w:t>
      </w:r>
      <w:r w:rsidRPr="007F6332">
        <w:t>the uncertainty in estimating the incremental number of new entrants in future years.</w:t>
      </w:r>
    </w:p>
    <w:p w14:paraId="07E2A9BE" w14:textId="77777777" w:rsidR="0006157F" w:rsidRPr="007F6332" w:rsidRDefault="0006157F" w:rsidP="00945CBF">
      <w:pPr>
        <w:pStyle w:val="tablelistbullet"/>
      </w:pPr>
      <w:r w:rsidRPr="007F6332">
        <w:rPr>
          <w:b/>
          <w:bCs/>
        </w:rPr>
        <w:t>Normal inflation risk</w:t>
      </w:r>
      <w:r w:rsidRPr="007F6332">
        <w:t xml:space="preserve"> is zero in the first projection year. Assumptions relating to normal inflation are deterministic</w:t>
      </w:r>
      <w:r w:rsidRPr="007F6332">
        <w:rPr>
          <w:rStyle w:val="FootnoteReference"/>
          <w:rFonts w:cs="Arial"/>
        </w:rPr>
        <w:footnoteReference w:id="117"/>
      </w:r>
      <w:r w:rsidRPr="007F6332">
        <w:t xml:space="preserve"> in the first projection year as they are based on the 2022-23 Annual Pricing Review. Normal inflation risk has lower CoV compared to most of the other risks during the period from 2023-27. The CoV in later years reflects increasing uncertainty in the level of wage and consumer prices over time.</w:t>
      </w:r>
    </w:p>
    <w:p w14:paraId="1D96922D" w14:textId="53B0795E" w:rsidR="0006157F" w:rsidRPr="007F6332" w:rsidRDefault="001B053A" w:rsidP="00945CBF">
      <w:pPr>
        <w:pStyle w:val="tablelistbullet"/>
      </w:pPr>
      <w:r w:rsidRPr="007F6332">
        <w:rPr>
          <w:b/>
          <w:bCs/>
        </w:rPr>
        <w:t xml:space="preserve">SIL </w:t>
      </w:r>
      <w:r w:rsidR="0006157F" w:rsidRPr="007F6332">
        <w:rPr>
          <w:b/>
          <w:bCs/>
        </w:rPr>
        <w:t>transitions</w:t>
      </w:r>
      <w:r w:rsidRPr="007F6332">
        <w:rPr>
          <w:b/>
          <w:bCs/>
        </w:rPr>
        <w:t xml:space="preserve"> risk</w:t>
      </w:r>
      <w:r w:rsidR="0006157F" w:rsidRPr="007F6332">
        <w:rPr>
          <w:b/>
          <w:bCs/>
        </w:rPr>
        <w:t xml:space="preserve"> </w:t>
      </w:r>
      <w:r w:rsidR="0006157F" w:rsidRPr="007F6332">
        <w:t xml:space="preserve">is reduced during the first projection year since a proportion of the participants who are expected to transition into SIL in that year already have a finalised Home and Living decision. In later years, the level of uncertainty relating to SIL transitions, as measured by its impact on total Scheme expenses, is expected to </w:t>
      </w:r>
      <w:r w:rsidR="008D6828" w:rsidRPr="007F6332">
        <w:t xml:space="preserve">increase only </w:t>
      </w:r>
      <w:r w:rsidR="00557AF4" w:rsidRPr="007F6332">
        <w:t>slightly.</w:t>
      </w:r>
      <w:r w:rsidR="0006157F" w:rsidRPr="007F6332">
        <w:t xml:space="preserve"> This is because the uncertainty in total Scheme expenses will increasingly be driven by younger new entrants, who are less likely to require SIL supports compared to existing, older, participants.</w:t>
      </w:r>
    </w:p>
    <w:p w14:paraId="7E0CF568" w14:textId="05654F74" w:rsidR="00E408E2" w:rsidRPr="007F6332" w:rsidRDefault="005B4951" w:rsidP="00E81C0D">
      <w:pPr>
        <w:pStyle w:val="Heading3"/>
        <w:ind w:left="709" w:hanging="709"/>
        <w:rPr>
          <w:rFonts w:cs="Arial"/>
        </w:rPr>
      </w:pPr>
      <w:bookmarkStart w:id="211" w:name="_Toc152614996"/>
      <w:r w:rsidRPr="007F6332">
        <w:rPr>
          <w:rFonts w:cs="Arial"/>
        </w:rPr>
        <w:t>Judgement and materiality of assumptions</w:t>
      </w:r>
      <w:bookmarkEnd w:id="211"/>
    </w:p>
    <w:p w14:paraId="17EA9DA7" w14:textId="7665510A" w:rsidR="00536E9E" w:rsidRPr="007F6332" w:rsidRDefault="00536E9E" w:rsidP="00536E9E">
      <w:pPr>
        <w:pStyle w:val="FSRnormal"/>
        <w:rPr>
          <w:rFonts w:cs="Arial"/>
        </w:rPr>
      </w:pPr>
      <w:bookmarkStart w:id="212" w:name="_Hlk148111509"/>
      <w:r w:rsidRPr="007F6332">
        <w:rPr>
          <w:rFonts w:cs="Arial"/>
        </w:rPr>
        <w:t xml:space="preserve">A level of judgement is required in setting assumptions about future experience of the Scheme, where the level of judgment varies depending on the extent </w:t>
      </w:r>
      <w:r w:rsidR="005B51E6" w:rsidRPr="007F6332">
        <w:rPr>
          <w:rFonts w:cs="Arial"/>
        </w:rPr>
        <w:t xml:space="preserve">to which </w:t>
      </w:r>
      <w:r w:rsidRPr="007F6332">
        <w:rPr>
          <w:rFonts w:cs="Arial"/>
        </w:rPr>
        <w:t>there is supporting evidence, based on credible and reliable data (</w:t>
      </w:r>
      <w:r w:rsidRPr="007F6332">
        <w:rPr>
          <w:rFonts w:cs="Arial"/>
          <w:i/>
          <w:iCs/>
        </w:rPr>
        <w:t>lower</w:t>
      </w:r>
      <w:r w:rsidRPr="007F6332">
        <w:rPr>
          <w:rFonts w:cs="Arial"/>
        </w:rPr>
        <w:t xml:space="preserve"> degree of judgement), or other factors where there is less certainty (</w:t>
      </w:r>
      <w:r w:rsidRPr="007F6332">
        <w:rPr>
          <w:rFonts w:cs="Arial"/>
          <w:i/>
          <w:iCs/>
        </w:rPr>
        <w:t>higher</w:t>
      </w:r>
      <w:r w:rsidRPr="007F6332">
        <w:rPr>
          <w:rFonts w:cs="Arial"/>
        </w:rPr>
        <w:t xml:space="preserve"> degree of judgement). Further, different assumptions impact Scheme projections to a greater or less</w:t>
      </w:r>
      <w:r w:rsidR="005B51E6" w:rsidRPr="007F6332">
        <w:rPr>
          <w:rFonts w:cs="Arial"/>
        </w:rPr>
        <w:t>er</w:t>
      </w:r>
      <w:r w:rsidRPr="007F6332">
        <w:rPr>
          <w:rFonts w:cs="Arial"/>
        </w:rPr>
        <w:t xml:space="preserve"> degree, referred to as the materiality</w:t>
      </w:r>
      <w:r w:rsidRPr="007F6332">
        <w:rPr>
          <w:rStyle w:val="FootnoteReference"/>
          <w:rFonts w:cs="Arial"/>
        </w:rPr>
        <w:footnoteReference w:id="118"/>
      </w:r>
      <w:r w:rsidRPr="007F6332">
        <w:rPr>
          <w:rFonts w:cs="Arial"/>
        </w:rPr>
        <w:t xml:space="preserve"> of the respective assumptions, </w:t>
      </w:r>
      <w:r w:rsidR="005B51E6" w:rsidRPr="007F6332">
        <w:rPr>
          <w:rFonts w:cs="Arial"/>
        </w:rPr>
        <w:t xml:space="preserve">which is </w:t>
      </w:r>
      <w:r w:rsidRPr="007F6332">
        <w:rPr>
          <w:rFonts w:cs="Arial"/>
        </w:rPr>
        <w:t>informed by the scenario analysis results (Section 6.1).</w:t>
      </w:r>
    </w:p>
    <w:bookmarkEnd w:id="212"/>
    <w:p w14:paraId="1BA1FEB5" w14:textId="07641DAC" w:rsidR="005B4951" w:rsidRPr="007F6332" w:rsidRDefault="005B4951" w:rsidP="005B4951">
      <w:pPr>
        <w:pStyle w:val="FSRnormal"/>
        <w:rPr>
          <w:rFonts w:cs="Arial"/>
        </w:rPr>
      </w:pPr>
      <w:r w:rsidRPr="007F6332">
        <w:rPr>
          <w:rFonts w:cs="Arial"/>
        </w:rPr>
        <w:t xml:space="preserve">Tables </w:t>
      </w:r>
      <w:r w:rsidR="00AE3366" w:rsidRPr="007F6332">
        <w:rPr>
          <w:rFonts w:cs="Arial"/>
        </w:rPr>
        <w:t>6.11</w:t>
      </w:r>
      <w:r w:rsidRPr="007F6332">
        <w:rPr>
          <w:rFonts w:cs="Arial"/>
        </w:rPr>
        <w:t xml:space="preserve"> and </w:t>
      </w:r>
      <w:r w:rsidR="00AE3366" w:rsidRPr="007F6332">
        <w:rPr>
          <w:rFonts w:cs="Arial"/>
        </w:rPr>
        <w:t>6.12</w:t>
      </w:r>
      <w:r w:rsidRPr="007F6332">
        <w:rPr>
          <w:rFonts w:cs="Arial"/>
        </w:rPr>
        <w:t xml:space="preserve"> set out the relative level of judgement</w:t>
      </w:r>
      <w:r w:rsidRPr="007F6332">
        <w:rPr>
          <w:rStyle w:val="FootnoteReference"/>
          <w:rFonts w:cs="Arial"/>
        </w:rPr>
        <w:footnoteReference w:id="119"/>
      </w:r>
      <w:r w:rsidRPr="007F6332">
        <w:rPr>
          <w:rFonts w:cs="Arial"/>
        </w:rPr>
        <w:t xml:space="preserve"> involved and materiality associated with each of the main assumptions underlying the projection of future Scheme expenses, both in the short-term (four years 2023-24 to 2026-27) and the medium to long term (years 2027-28 and beyond). </w:t>
      </w:r>
    </w:p>
    <w:p w14:paraId="3A6DC3F0" w14:textId="77777777" w:rsidR="009226A9" w:rsidRPr="007F6332" w:rsidRDefault="005B4951" w:rsidP="009226A9">
      <w:pPr>
        <w:pStyle w:val="FSRnormal"/>
        <w:rPr>
          <w:rFonts w:cs="Arial"/>
        </w:rPr>
      </w:pPr>
      <w:bookmarkStart w:id="213" w:name="_Hlk150369381"/>
      <w:r w:rsidRPr="007F6332">
        <w:rPr>
          <w:rFonts w:cs="Arial"/>
        </w:rPr>
        <w:t>In both the short and medium to long term, a high degree of judgment is involved in setting the additional growth assumptions which are influenced by a number of factors. By contrast, mortality rate</w:t>
      </w:r>
      <w:r w:rsidR="005B51E6" w:rsidRPr="007F6332">
        <w:rPr>
          <w:rFonts w:cs="Arial"/>
        </w:rPr>
        <w:t xml:space="preserve"> assumptions,</w:t>
      </w:r>
      <w:r w:rsidRPr="007F6332">
        <w:rPr>
          <w:rFonts w:cs="Arial"/>
        </w:rPr>
        <w:t xml:space="preserve"> which are derived from experience and not impacted by changes to decisions and actions of the </w:t>
      </w:r>
      <w:r w:rsidR="005B51E6" w:rsidRPr="007F6332">
        <w:rPr>
          <w:rFonts w:cs="Arial"/>
        </w:rPr>
        <w:t>g</w:t>
      </w:r>
      <w:r w:rsidRPr="007F6332">
        <w:rPr>
          <w:rFonts w:cs="Arial"/>
        </w:rPr>
        <w:t xml:space="preserve">overnment and Agency involve little judgement. New entrant </w:t>
      </w:r>
      <w:r w:rsidRPr="007F6332">
        <w:rPr>
          <w:rFonts w:cs="Arial"/>
        </w:rPr>
        <w:lastRenderedPageBreak/>
        <w:t>assumptions are split between children (aged 0 to 14) and older children and adults (aged 15 and above), as different factors influence the respective group of new entrants</w:t>
      </w:r>
      <w:bookmarkEnd w:id="213"/>
      <w:r w:rsidRPr="007F6332">
        <w:rPr>
          <w:rFonts w:cs="Arial"/>
        </w:rPr>
        <w:t>.</w:t>
      </w:r>
    </w:p>
    <w:p w14:paraId="2DF4C559" w14:textId="1F708367" w:rsidR="005B4951" w:rsidRPr="007F6332" w:rsidRDefault="005B4951" w:rsidP="00110394">
      <w:pPr>
        <w:pStyle w:val="FiguresandTablesHeading4"/>
      </w:pPr>
      <w:r w:rsidRPr="007F6332">
        <w:t xml:space="preserve">Table </w:t>
      </w:r>
      <w:r w:rsidR="00AE3366" w:rsidRPr="007F6332">
        <w:t>6.11</w:t>
      </w:r>
      <w:r w:rsidRPr="007F6332">
        <w:t>: Short-term relative level of judgement and impact on Scheme expense projections of main assumptions</w:t>
      </w:r>
    </w:p>
    <w:tbl>
      <w:tblPr>
        <w:tblW w:w="901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2551"/>
        <w:gridCol w:w="2530"/>
        <w:gridCol w:w="2513"/>
      </w:tblGrid>
      <w:tr w:rsidR="005B4951" w:rsidRPr="007F6332" w14:paraId="451F665C" w14:textId="77777777" w:rsidTr="008D57CB">
        <w:trPr>
          <w:trHeight w:val="360"/>
        </w:trPr>
        <w:tc>
          <w:tcPr>
            <w:tcW w:w="1418" w:type="dxa"/>
            <w:shd w:val="clear" w:color="000000" w:fill="6B2976"/>
            <w:noWrap/>
            <w:vAlign w:val="bottom"/>
            <w:hideMark/>
          </w:tcPr>
          <w:p w14:paraId="2243C153" w14:textId="77777777" w:rsidR="005B4951" w:rsidRPr="007F6332" w:rsidRDefault="005B4951" w:rsidP="008D57CB">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Level of Judgement</w:t>
            </w:r>
          </w:p>
        </w:tc>
        <w:tc>
          <w:tcPr>
            <w:tcW w:w="2551" w:type="dxa"/>
            <w:shd w:val="clear" w:color="000000" w:fill="6B2976"/>
            <w:noWrap/>
            <w:vAlign w:val="bottom"/>
            <w:hideMark/>
          </w:tcPr>
          <w:p w14:paraId="1C5C4666" w14:textId="77777777" w:rsidR="005B4951" w:rsidRPr="007F6332" w:rsidRDefault="005B4951" w:rsidP="008D57CB">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Short Term (2023-27) Low</w:t>
            </w:r>
          </w:p>
        </w:tc>
        <w:tc>
          <w:tcPr>
            <w:tcW w:w="2513" w:type="dxa"/>
            <w:shd w:val="clear" w:color="000000" w:fill="6B2976"/>
            <w:noWrap/>
            <w:vAlign w:val="bottom"/>
            <w:hideMark/>
          </w:tcPr>
          <w:p w14:paraId="1B058834" w14:textId="77777777" w:rsidR="005B4951" w:rsidRPr="007F6332" w:rsidRDefault="005B4951" w:rsidP="008D57CB">
            <w:pPr>
              <w:spacing w:after="0" w:line="240" w:lineRule="auto"/>
              <w:ind w:left="-107" w:right="-112"/>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Short Term (2023-27) Medium</w:t>
            </w:r>
          </w:p>
        </w:tc>
        <w:tc>
          <w:tcPr>
            <w:tcW w:w="2513" w:type="dxa"/>
            <w:shd w:val="clear" w:color="000000" w:fill="6B2976"/>
            <w:noWrap/>
            <w:vAlign w:val="bottom"/>
            <w:hideMark/>
          </w:tcPr>
          <w:p w14:paraId="3E4701DE" w14:textId="77777777" w:rsidR="005B4951" w:rsidRPr="007F6332" w:rsidRDefault="005B4951" w:rsidP="008D57CB">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Short Term (2023-27) High</w:t>
            </w:r>
          </w:p>
        </w:tc>
      </w:tr>
      <w:tr w:rsidR="005B4951" w:rsidRPr="007F6332" w14:paraId="65871FDA" w14:textId="77777777" w:rsidTr="008D57CB">
        <w:trPr>
          <w:trHeight w:val="578"/>
        </w:trPr>
        <w:tc>
          <w:tcPr>
            <w:tcW w:w="1418" w:type="dxa"/>
            <w:shd w:val="clear" w:color="000000" w:fill="6B2976"/>
            <w:noWrap/>
            <w:vAlign w:val="center"/>
            <w:hideMark/>
          </w:tcPr>
          <w:p w14:paraId="60A6A08D"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High</w:t>
            </w:r>
          </w:p>
        </w:tc>
        <w:tc>
          <w:tcPr>
            <w:tcW w:w="2551" w:type="dxa"/>
            <w:shd w:val="clear" w:color="000000" w:fill="A7A9AC"/>
            <w:noWrap/>
            <w:vAlign w:val="center"/>
            <w:hideMark/>
          </w:tcPr>
          <w:p w14:paraId="736A25D9"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30" w:type="dxa"/>
            <w:shd w:val="clear" w:color="000000" w:fill="A7A9AC"/>
            <w:noWrap/>
            <w:vAlign w:val="center"/>
            <w:hideMark/>
          </w:tcPr>
          <w:p w14:paraId="4A3AF3DC" w14:textId="77777777" w:rsidR="005B4951" w:rsidRPr="007F6332" w:rsidRDefault="005B4951" w:rsidP="008D57CB">
            <w:pPr>
              <w:spacing w:after="0" w:line="240" w:lineRule="auto"/>
              <w:ind w:left="-107" w:right="-112"/>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13" w:type="dxa"/>
            <w:shd w:val="clear" w:color="000000" w:fill="A7A9AC"/>
            <w:vAlign w:val="center"/>
            <w:hideMark/>
          </w:tcPr>
          <w:p w14:paraId="52AA2CD7"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Additional Growth rates</w:t>
            </w:r>
          </w:p>
        </w:tc>
      </w:tr>
      <w:tr w:rsidR="005B4951" w:rsidRPr="007F6332" w14:paraId="0D960CB0" w14:textId="77777777" w:rsidTr="008D57CB">
        <w:trPr>
          <w:trHeight w:val="1297"/>
        </w:trPr>
        <w:tc>
          <w:tcPr>
            <w:tcW w:w="1418" w:type="dxa"/>
            <w:shd w:val="clear" w:color="000000" w:fill="6B2976"/>
            <w:noWrap/>
            <w:vAlign w:val="center"/>
            <w:hideMark/>
          </w:tcPr>
          <w:p w14:paraId="0BDDCFAE"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Medium</w:t>
            </w:r>
          </w:p>
        </w:tc>
        <w:tc>
          <w:tcPr>
            <w:tcW w:w="2551" w:type="dxa"/>
            <w:shd w:val="clear" w:color="auto" w:fill="auto"/>
            <w:vAlign w:val="center"/>
            <w:hideMark/>
          </w:tcPr>
          <w:p w14:paraId="577505C0"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New Entrants (0-14)</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Leaving and Transition rates</w:t>
            </w:r>
          </w:p>
        </w:tc>
        <w:tc>
          <w:tcPr>
            <w:tcW w:w="2530" w:type="dxa"/>
            <w:shd w:val="clear" w:color="auto" w:fill="auto"/>
            <w:vAlign w:val="center"/>
            <w:hideMark/>
          </w:tcPr>
          <w:p w14:paraId="3F6A71CA" w14:textId="77777777" w:rsidR="005B4951" w:rsidRPr="007F6332" w:rsidRDefault="005B4951" w:rsidP="008D57CB">
            <w:pPr>
              <w:spacing w:after="0" w:line="240" w:lineRule="auto"/>
              <w:ind w:left="-107" w:right="-112"/>
              <w:rPr>
                <w:rFonts w:eastAsia="Times New Roman" w:cs="Arial"/>
                <w:b/>
                <w:bCs/>
                <w:color w:val="000000"/>
                <w:sz w:val="20"/>
                <w:szCs w:val="20"/>
                <w:lang w:eastAsia="en-AU"/>
              </w:rPr>
            </w:pPr>
            <w:r w:rsidRPr="007F6332">
              <w:rPr>
                <w:rFonts w:eastAsia="Times New Roman" w:cs="Arial"/>
                <w:b/>
                <w:bCs/>
                <w:color w:val="000000"/>
                <w:sz w:val="20"/>
                <w:szCs w:val="20"/>
                <w:lang w:eastAsia="en-AU"/>
              </w:rPr>
              <w:t>New Entrants (15+)</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SIL Transition rates</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Future Price Increases</w:t>
            </w:r>
          </w:p>
        </w:tc>
        <w:tc>
          <w:tcPr>
            <w:tcW w:w="2513" w:type="dxa"/>
            <w:shd w:val="clear" w:color="auto" w:fill="auto"/>
            <w:vAlign w:val="center"/>
            <w:hideMark/>
          </w:tcPr>
          <w:p w14:paraId="719C2075" w14:textId="77777777" w:rsidR="005B4951" w:rsidRPr="007F6332" w:rsidRDefault="005B4951" w:rsidP="008D57CB">
            <w:pPr>
              <w:spacing w:after="0" w:line="240" w:lineRule="auto"/>
              <w:rPr>
                <w:rFonts w:eastAsia="Times New Roman" w:cs="Arial"/>
                <w:b/>
                <w:bCs/>
                <w:color w:val="000000"/>
                <w:sz w:val="20"/>
                <w:szCs w:val="20"/>
                <w:lang w:eastAsia="en-AU"/>
              </w:rPr>
            </w:pPr>
          </w:p>
        </w:tc>
      </w:tr>
      <w:tr w:rsidR="005B4951" w:rsidRPr="007F6332" w14:paraId="1885A8EF" w14:textId="77777777" w:rsidTr="008D57CB">
        <w:trPr>
          <w:trHeight w:val="578"/>
        </w:trPr>
        <w:tc>
          <w:tcPr>
            <w:tcW w:w="1418" w:type="dxa"/>
            <w:shd w:val="clear" w:color="000000" w:fill="6B2976"/>
            <w:noWrap/>
            <w:vAlign w:val="center"/>
            <w:hideMark/>
          </w:tcPr>
          <w:p w14:paraId="507169DE"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Low</w:t>
            </w:r>
          </w:p>
        </w:tc>
        <w:tc>
          <w:tcPr>
            <w:tcW w:w="2551" w:type="dxa"/>
            <w:shd w:val="clear" w:color="000000" w:fill="A7A9AC"/>
            <w:vAlign w:val="center"/>
            <w:hideMark/>
          </w:tcPr>
          <w:p w14:paraId="29F750C0"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Mortality rates</w:t>
            </w:r>
          </w:p>
        </w:tc>
        <w:tc>
          <w:tcPr>
            <w:tcW w:w="2530" w:type="dxa"/>
            <w:shd w:val="clear" w:color="000000" w:fill="A7A9AC"/>
            <w:noWrap/>
            <w:vAlign w:val="center"/>
            <w:hideMark/>
          </w:tcPr>
          <w:p w14:paraId="0FE1AD32"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13" w:type="dxa"/>
            <w:shd w:val="clear" w:color="000000" w:fill="A7A9AC"/>
            <w:noWrap/>
            <w:vAlign w:val="center"/>
            <w:hideMark/>
          </w:tcPr>
          <w:p w14:paraId="5FBE09AA"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r>
    </w:tbl>
    <w:p w14:paraId="5AAE9B0F" w14:textId="1FBD264D" w:rsidR="005B4951" w:rsidRPr="007F6332" w:rsidRDefault="005B4951" w:rsidP="005B4951">
      <w:pPr>
        <w:pStyle w:val="FSRnormal"/>
        <w:rPr>
          <w:rFonts w:cs="Arial"/>
        </w:rPr>
      </w:pPr>
      <w:r w:rsidRPr="007F6332">
        <w:rPr>
          <w:rFonts w:cs="Arial"/>
        </w:rPr>
        <w:t xml:space="preserve">Whilst the relative level of judgement associated in setting the various assumptions remains consistent over the long-term, compared to the short-term, the level of materiality increases over the long-term. As the Scheme continues to grow from year to year, the cumulative impact on the projected Scheme expenses becomes greater in the medium to long-term (Table </w:t>
      </w:r>
      <w:r w:rsidR="00AE3366" w:rsidRPr="007F6332">
        <w:rPr>
          <w:rFonts w:cs="Arial"/>
        </w:rPr>
        <w:t>6.12</w:t>
      </w:r>
      <w:r w:rsidRPr="007F6332">
        <w:rPr>
          <w:rFonts w:cs="Arial"/>
        </w:rPr>
        <w:t>).</w:t>
      </w:r>
    </w:p>
    <w:p w14:paraId="777F7E2A" w14:textId="29A3C74B" w:rsidR="005B4951" w:rsidRPr="007F6332" w:rsidRDefault="005B4951" w:rsidP="00110394">
      <w:pPr>
        <w:pStyle w:val="FiguresandTablesHeading4"/>
      </w:pPr>
      <w:r w:rsidRPr="007F6332">
        <w:t xml:space="preserve">Table </w:t>
      </w:r>
      <w:r w:rsidR="00AE3366" w:rsidRPr="007F6332">
        <w:t>6.12</w:t>
      </w:r>
      <w:r w:rsidRPr="007F6332">
        <w:t>: Long-term relative level of judgement and impact on Scheme expense projections of main assumptions</w:t>
      </w:r>
    </w:p>
    <w:tbl>
      <w:tblPr>
        <w:tblW w:w="90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2551"/>
        <w:gridCol w:w="151"/>
        <w:gridCol w:w="2401"/>
        <w:gridCol w:w="155"/>
        <w:gridCol w:w="2396"/>
      </w:tblGrid>
      <w:tr w:rsidR="005B4951" w:rsidRPr="007F6332" w14:paraId="44B5347D" w14:textId="77777777" w:rsidTr="008D57CB">
        <w:trPr>
          <w:trHeight w:val="300"/>
        </w:trPr>
        <w:tc>
          <w:tcPr>
            <w:tcW w:w="1418" w:type="dxa"/>
            <w:shd w:val="clear" w:color="000000" w:fill="6B2976"/>
            <w:noWrap/>
            <w:hideMark/>
          </w:tcPr>
          <w:p w14:paraId="71180ACA" w14:textId="77777777" w:rsidR="005B4951" w:rsidRPr="007F6332" w:rsidRDefault="005B4951" w:rsidP="008D57CB">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 Level of Judgement</w:t>
            </w:r>
          </w:p>
        </w:tc>
        <w:tc>
          <w:tcPr>
            <w:tcW w:w="2702" w:type="dxa"/>
            <w:gridSpan w:val="2"/>
            <w:shd w:val="clear" w:color="000000" w:fill="6B2976"/>
            <w:noWrap/>
            <w:vAlign w:val="bottom"/>
            <w:hideMark/>
          </w:tcPr>
          <w:p w14:paraId="4262D933"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Long Term (2027-28 and beyond) Low</w:t>
            </w:r>
          </w:p>
        </w:tc>
        <w:tc>
          <w:tcPr>
            <w:tcW w:w="2556" w:type="dxa"/>
            <w:gridSpan w:val="2"/>
            <w:shd w:val="clear" w:color="000000" w:fill="6B2976"/>
            <w:noWrap/>
            <w:vAlign w:val="bottom"/>
            <w:hideMark/>
          </w:tcPr>
          <w:p w14:paraId="65335011"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Long Term (2027-28 and beyond) Medium</w:t>
            </w:r>
          </w:p>
        </w:tc>
        <w:tc>
          <w:tcPr>
            <w:tcW w:w="2396" w:type="dxa"/>
            <w:shd w:val="clear" w:color="000000" w:fill="6B2976"/>
            <w:noWrap/>
            <w:vAlign w:val="bottom"/>
            <w:hideMark/>
          </w:tcPr>
          <w:p w14:paraId="7C939482"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Materiality: Long Term (2027-28 and beyond) High</w:t>
            </w:r>
          </w:p>
        </w:tc>
      </w:tr>
      <w:tr w:rsidR="005B4951" w:rsidRPr="007F6332" w14:paraId="5ACF24DE" w14:textId="77777777" w:rsidTr="008D57CB">
        <w:trPr>
          <w:trHeight w:val="578"/>
        </w:trPr>
        <w:tc>
          <w:tcPr>
            <w:tcW w:w="1418" w:type="dxa"/>
            <w:shd w:val="clear" w:color="000000" w:fill="6B2976"/>
            <w:noWrap/>
            <w:vAlign w:val="center"/>
            <w:hideMark/>
          </w:tcPr>
          <w:p w14:paraId="76AB8396"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 xml:space="preserve"> High</w:t>
            </w:r>
          </w:p>
        </w:tc>
        <w:tc>
          <w:tcPr>
            <w:tcW w:w="2551" w:type="dxa"/>
            <w:shd w:val="clear" w:color="auto" w:fill="A7A9AC"/>
            <w:noWrap/>
            <w:vAlign w:val="center"/>
            <w:hideMark/>
          </w:tcPr>
          <w:p w14:paraId="2CE40C14"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52" w:type="dxa"/>
            <w:gridSpan w:val="2"/>
            <w:shd w:val="clear" w:color="auto" w:fill="A7A9AC"/>
            <w:noWrap/>
            <w:vAlign w:val="center"/>
            <w:hideMark/>
          </w:tcPr>
          <w:p w14:paraId="43B01509"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51" w:type="dxa"/>
            <w:gridSpan w:val="2"/>
            <w:shd w:val="clear" w:color="auto" w:fill="A7A9AC"/>
            <w:vAlign w:val="center"/>
            <w:hideMark/>
          </w:tcPr>
          <w:p w14:paraId="5523D5D5"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Additional Growth rates</w:t>
            </w:r>
          </w:p>
        </w:tc>
      </w:tr>
      <w:tr w:rsidR="005B4951" w:rsidRPr="007F6332" w14:paraId="094A94B8" w14:textId="77777777" w:rsidTr="008D57CB">
        <w:trPr>
          <w:trHeight w:val="1165"/>
        </w:trPr>
        <w:tc>
          <w:tcPr>
            <w:tcW w:w="1418" w:type="dxa"/>
            <w:shd w:val="clear" w:color="000000" w:fill="6B2976"/>
            <w:noWrap/>
            <w:vAlign w:val="center"/>
            <w:hideMark/>
          </w:tcPr>
          <w:p w14:paraId="57C64658"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Medium</w:t>
            </w:r>
          </w:p>
        </w:tc>
        <w:tc>
          <w:tcPr>
            <w:tcW w:w="2551" w:type="dxa"/>
            <w:shd w:val="clear" w:color="auto" w:fill="auto"/>
            <w:vAlign w:val="center"/>
            <w:hideMark/>
          </w:tcPr>
          <w:p w14:paraId="6C8574CF"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52" w:type="dxa"/>
            <w:gridSpan w:val="2"/>
            <w:shd w:val="clear" w:color="auto" w:fill="auto"/>
            <w:vAlign w:val="center"/>
            <w:hideMark/>
          </w:tcPr>
          <w:p w14:paraId="56DF170B"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SIL Transition rates</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Future Price Increases</w:t>
            </w:r>
          </w:p>
          <w:p w14:paraId="4783E5ED"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br/>
              <w:t>Leaving and Transition rates</w:t>
            </w:r>
          </w:p>
        </w:tc>
        <w:tc>
          <w:tcPr>
            <w:tcW w:w="2551" w:type="dxa"/>
            <w:gridSpan w:val="2"/>
            <w:shd w:val="clear" w:color="auto" w:fill="auto"/>
            <w:vAlign w:val="center"/>
            <w:hideMark/>
          </w:tcPr>
          <w:p w14:paraId="2A188247"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New Entrants (0 to 14)</w:t>
            </w:r>
            <w:r w:rsidRPr="007F6332">
              <w:rPr>
                <w:rFonts w:eastAsia="Times New Roman" w:cs="Arial"/>
                <w:b/>
                <w:bCs/>
                <w:color w:val="000000"/>
                <w:sz w:val="20"/>
                <w:szCs w:val="20"/>
                <w:lang w:eastAsia="en-AU"/>
              </w:rPr>
              <w:br/>
            </w:r>
            <w:r w:rsidRPr="007F6332">
              <w:rPr>
                <w:rFonts w:eastAsia="Times New Roman" w:cs="Arial"/>
                <w:b/>
                <w:bCs/>
                <w:color w:val="000000"/>
                <w:sz w:val="20"/>
                <w:szCs w:val="20"/>
                <w:lang w:eastAsia="en-AU"/>
              </w:rPr>
              <w:br/>
              <w:t>New Entrants (15+)</w:t>
            </w:r>
          </w:p>
        </w:tc>
      </w:tr>
      <w:tr w:rsidR="005B4951" w:rsidRPr="007F6332" w14:paraId="7E592394" w14:textId="77777777" w:rsidTr="008D57CB">
        <w:trPr>
          <w:trHeight w:val="578"/>
        </w:trPr>
        <w:tc>
          <w:tcPr>
            <w:tcW w:w="1418" w:type="dxa"/>
            <w:shd w:val="clear" w:color="000000" w:fill="6B2976"/>
            <w:noWrap/>
            <w:vAlign w:val="center"/>
            <w:hideMark/>
          </w:tcPr>
          <w:p w14:paraId="0D380FCB" w14:textId="77777777" w:rsidR="005B4951" w:rsidRPr="007F6332" w:rsidRDefault="005B4951" w:rsidP="008D57CB">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Low</w:t>
            </w:r>
          </w:p>
        </w:tc>
        <w:tc>
          <w:tcPr>
            <w:tcW w:w="2551" w:type="dxa"/>
            <w:shd w:val="clear" w:color="auto" w:fill="A7A9AC"/>
            <w:vAlign w:val="center"/>
            <w:hideMark/>
          </w:tcPr>
          <w:p w14:paraId="3AC29405"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Mortality rates</w:t>
            </w:r>
          </w:p>
        </w:tc>
        <w:tc>
          <w:tcPr>
            <w:tcW w:w="2552" w:type="dxa"/>
            <w:gridSpan w:val="2"/>
            <w:shd w:val="clear" w:color="auto" w:fill="A7A9AC"/>
            <w:noWrap/>
            <w:vAlign w:val="center"/>
            <w:hideMark/>
          </w:tcPr>
          <w:p w14:paraId="55B56346"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c>
          <w:tcPr>
            <w:tcW w:w="2551" w:type="dxa"/>
            <w:gridSpan w:val="2"/>
            <w:shd w:val="clear" w:color="auto" w:fill="A7A9AC"/>
            <w:noWrap/>
            <w:vAlign w:val="center"/>
            <w:hideMark/>
          </w:tcPr>
          <w:p w14:paraId="2AAE5E01" w14:textId="77777777" w:rsidR="005B4951" w:rsidRPr="007F6332" w:rsidRDefault="005B4951" w:rsidP="008D57CB">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 </w:t>
            </w:r>
          </w:p>
        </w:tc>
      </w:tr>
    </w:tbl>
    <w:p w14:paraId="3CB6CF17" w14:textId="77777777" w:rsidR="005B4951" w:rsidRPr="007F6332" w:rsidRDefault="005B4951" w:rsidP="005B4951">
      <w:pPr>
        <w:pStyle w:val="FSRnormal"/>
        <w:rPr>
          <w:rFonts w:cs="Arial"/>
        </w:rPr>
      </w:pPr>
      <w:r w:rsidRPr="007F6332">
        <w:rPr>
          <w:rFonts w:cs="Arial"/>
        </w:rPr>
        <w:t>Additional growth assumptions involve significant judgment, demonstrating a much higher level of variability than all other assumptions, and results in the greatest impact on the projected future Scheme expenses. Whilst more data and information is available to assess new entrant experience, the significant variability in number of new entrants from year to year makes it more challenging to set assumptions with confidence.</w:t>
      </w:r>
    </w:p>
    <w:p w14:paraId="55881BF6" w14:textId="7734A4D1" w:rsidR="005B4951" w:rsidRPr="007F6332" w:rsidRDefault="005B4951" w:rsidP="005B4951">
      <w:pPr>
        <w:rPr>
          <w:rFonts w:cs="Arial"/>
        </w:rPr>
      </w:pPr>
      <w:r w:rsidRPr="007F6332">
        <w:rPr>
          <w:rFonts w:cs="Arial"/>
        </w:rPr>
        <w:t xml:space="preserve">The level of judgement and materiality associated with each of the main assumptions, is consistent with the material risks, and variability in these risk factors, included in the </w:t>
      </w:r>
      <w:r w:rsidR="0053415F" w:rsidRPr="007F6332">
        <w:rPr>
          <w:rFonts w:cs="Arial"/>
        </w:rPr>
        <w:t>S</w:t>
      </w:r>
      <w:r w:rsidRPr="007F6332">
        <w:rPr>
          <w:rFonts w:cs="Arial"/>
        </w:rPr>
        <w:t xml:space="preserve">tochastic </w:t>
      </w:r>
      <w:r w:rsidR="0053415F" w:rsidRPr="007F6332">
        <w:rPr>
          <w:rFonts w:cs="Arial"/>
        </w:rPr>
        <w:t>M</w:t>
      </w:r>
      <w:r w:rsidRPr="007F6332">
        <w:rPr>
          <w:rFonts w:cs="Arial"/>
        </w:rPr>
        <w:t>odel used to assess the uncertainty inherent in the projection of Scheme expenses (Section 6.2).</w:t>
      </w:r>
    </w:p>
    <w:p w14:paraId="21FF0B4D" w14:textId="77777777" w:rsidR="009226A9" w:rsidRPr="007F6332" w:rsidRDefault="009226A9" w:rsidP="005B4951">
      <w:pPr>
        <w:rPr>
          <w:rFonts w:cs="Arial"/>
        </w:rPr>
      </w:pPr>
    </w:p>
    <w:p w14:paraId="19109D14" w14:textId="2311D45F" w:rsidR="00B042DF" w:rsidRPr="007F6332" w:rsidRDefault="00B042DF" w:rsidP="00E81C0D">
      <w:pPr>
        <w:pStyle w:val="Heading3"/>
        <w:ind w:left="709" w:hanging="709"/>
        <w:rPr>
          <w:rFonts w:cs="Arial"/>
        </w:rPr>
      </w:pPr>
      <w:bookmarkStart w:id="214" w:name="_Toc146286170"/>
      <w:bookmarkStart w:id="215" w:name="_Toc152614997"/>
      <w:r w:rsidRPr="007F6332">
        <w:rPr>
          <w:rFonts w:cs="Arial"/>
        </w:rPr>
        <w:lastRenderedPageBreak/>
        <w:t>Historic AFSR projections</w:t>
      </w:r>
      <w:bookmarkEnd w:id="214"/>
      <w:bookmarkEnd w:id="215"/>
    </w:p>
    <w:p w14:paraId="6E420B89" w14:textId="54CD8F5B" w:rsidR="007232D6" w:rsidRPr="007F6332" w:rsidRDefault="007232D6" w:rsidP="00E81C0D">
      <w:pPr>
        <w:pStyle w:val="FSRnormal"/>
        <w:spacing w:before="120"/>
        <w:rPr>
          <w:rFonts w:cs="Arial"/>
        </w:rPr>
      </w:pPr>
      <w:r w:rsidRPr="007F6332">
        <w:rPr>
          <w:rFonts w:cs="Arial"/>
        </w:rPr>
        <w:t>With each update of the AFSR, projection assumptions balance both the emerging experience (considering the significance and duration of the trends), and future expectation</w:t>
      </w:r>
      <w:r w:rsidR="00C57AA6" w:rsidRPr="007F6332">
        <w:rPr>
          <w:rFonts w:cs="Arial"/>
        </w:rPr>
        <w:t>s</w:t>
      </w:r>
      <w:r w:rsidRPr="007F6332">
        <w:rPr>
          <w:rFonts w:cs="Arial"/>
        </w:rPr>
        <w:t xml:space="preserve"> which continue to change over time. Updates to assumptions consider the significant growth in the Scheme over the past seven years, the relative immaturity of the Scheme and, in the most recent projection, </w:t>
      </w:r>
      <w:r w:rsidR="002D6881" w:rsidRPr="007F6332">
        <w:rPr>
          <w:rFonts w:cs="Arial"/>
        </w:rPr>
        <w:t>Budget initiatives</w:t>
      </w:r>
      <w:r w:rsidRPr="007F6332">
        <w:rPr>
          <w:rFonts w:cs="Arial"/>
        </w:rPr>
        <w:t>. As more data becomes available and as the Scheme continues to evolve, so too does the projection of Scheme expenses.</w:t>
      </w:r>
    </w:p>
    <w:p w14:paraId="76C16FD1" w14:textId="77777777" w:rsidR="007232D6" w:rsidRPr="007F6332" w:rsidRDefault="007232D6" w:rsidP="00E81C0D">
      <w:pPr>
        <w:pStyle w:val="FSRnormal"/>
        <w:spacing w:before="120"/>
        <w:rPr>
          <w:rFonts w:cs="Arial"/>
        </w:rPr>
      </w:pPr>
      <w:r w:rsidRPr="007F6332">
        <w:rPr>
          <w:rFonts w:cs="Arial"/>
        </w:rPr>
        <w:t>The changes in estimates of Scheme expenses as well as participant numbers and average payments per participants are set out below. The Scheme expense estimates by the Productivity Commission in 2017 (PC estimates) are also included for comparison.</w:t>
      </w:r>
    </w:p>
    <w:p w14:paraId="5B5FE072" w14:textId="77777777" w:rsidR="00E7147C" w:rsidRPr="007F6332" w:rsidRDefault="007232D6" w:rsidP="00E81C0D">
      <w:pPr>
        <w:spacing w:before="120"/>
        <w:rPr>
          <w:rFonts w:cs="Arial"/>
        </w:rPr>
      </w:pPr>
      <w:r w:rsidRPr="007F6332">
        <w:rPr>
          <w:rFonts w:cs="Arial"/>
        </w:rPr>
        <w:t xml:space="preserve">Figure 6.2 shows the change in projected future Scheme expenses, for the four-year forward estimates at the specified projection date. Forward estimates of Scheme expenses have varied at each projection date, based on updated actual experience and future expectations at the projection date. This demonstrates the variability in actual experience, compared to expected, related to the inherent uncertainty in setting assumptions about future expected experience. </w:t>
      </w:r>
    </w:p>
    <w:p w14:paraId="47313C52" w14:textId="273E025E" w:rsidR="005A6E4E" w:rsidRPr="007F6332" w:rsidRDefault="005A6E4E" w:rsidP="00110394">
      <w:pPr>
        <w:pStyle w:val="FiguresandTablesHeading4"/>
      </w:pPr>
      <w:r w:rsidRPr="007F6332">
        <w:t>Figure 6.2: Change in forward estimates of Scheme expenses, by projection date</w:t>
      </w:r>
      <w:r w:rsidRPr="007F6332">
        <w:rPr>
          <w:vertAlign w:val="superscript"/>
        </w:rPr>
        <w:footnoteReference w:id="120"/>
      </w:r>
    </w:p>
    <w:p w14:paraId="2269870F" w14:textId="61DD7BA7" w:rsidR="0006157F" w:rsidRPr="007F6332" w:rsidRDefault="0087211C" w:rsidP="0006157F">
      <w:pPr>
        <w:rPr>
          <w:rFonts w:cs="Arial"/>
          <w:b/>
          <w:bCs/>
        </w:rPr>
      </w:pPr>
      <w:r w:rsidRPr="007F6332">
        <w:rPr>
          <w:rStyle w:val="FiguresChar"/>
          <w:rFonts w:cs="Arial"/>
        </w:rPr>
        <w:drawing>
          <wp:inline distT="0" distB="0" distL="0" distR="0" wp14:anchorId="5927D086" wp14:editId="3F5FE16C">
            <wp:extent cx="5623252" cy="2905125"/>
            <wp:effectExtent l="0" t="0" r="0" b="0"/>
            <wp:docPr id="16" name="Picture 16" descr="Figure 6.2: Change in forward estimates of Scheme expenses, by projection year.&#10;The figure shows the change in total Scheme expense estimates for a four-year period (forward estimates) at five consecutive projection dates from 30 June 2020 to 30 June 2023. The change is expressed both as a dollar amount ($ billions) and percentage rate (%).&#10;Change ($billions) at each projection date. June 2020 7.6. June 2021 21.8. June 2022 8.8. December 2022 2.5. June 2023 3.1.&#10;Change (%) at each projection date. June 2020 7.6. June 2021 18.0. June 2022 5.6. December 2022 1.4. June 2023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6.2: Change in forward estimates of Scheme expenses, by projection year.&#10;The figure shows the change in total Scheme expense estimates for a four-year period (forward estimates) at five consecutive projection dates from 30 June 2020 to 30 June 2023. The change is expressed both as a dollar amount ($ billions) and percentage rate (%).&#10;Change ($billions) at each projection date. June 2020 7.6. June 2021 21.8. June 2022 8.8. December 2022 2.5. June 2023 3.1.&#10;Change (%) at each projection date. June 2020 7.6. June 2021 18.0. June 2022 5.6. December 2022 1.4. June 2023 1.6.&#10;"/>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a:stretch/>
                  </pic:blipFill>
                  <pic:spPr bwMode="auto">
                    <a:xfrm>
                      <a:off x="0" y="0"/>
                      <a:ext cx="5649111" cy="2918484"/>
                    </a:xfrm>
                    <a:prstGeom prst="rect">
                      <a:avLst/>
                    </a:prstGeom>
                    <a:noFill/>
                    <a:ln>
                      <a:noFill/>
                    </a:ln>
                    <a:extLst>
                      <a:ext uri="{53640926-AAD7-44D8-BBD7-CCE9431645EC}">
                        <a14:shadowObscured xmlns:a14="http://schemas.microsoft.com/office/drawing/2010/main"/>
                      </a:ext>
                    </a:extLst>
                  </pic:spPr>
                </pic:pic>
              </a:graphicData>
            </a:graphic>
          </wp:inline>
        </w:drawing>
      </w:r>
    </w:p>
    <w:p w14:paraId="18309D9D" w14:textId="57FEA122" w:rsidR="00B042DF" w:rsidRPr="007F6332" w:rsidRDefault="007232D6" w:rsidP="00E81C0D">
      <w:pPr>
        <w:spacing w:before="120"/>
        <w:rPr>
          <w:rFonts w:cs="Arial"/>
        </w:rPr>
      </w:pPr>
      <w:r w:rsidRPr="007F6332">
        <w:rPr>
          <w:rStyle w:val="FSRnormalChar"/>
          <w:rFonts w:cs="Arial"/>
        </w:rPr>
        <w:t>Table 6.1</w:t>
      </w:r>
      <w:r w:rsidR="00AE3366" w:rsidRPr="007F6332">
        <w:rPr>
          <w:rStyle w:val="FSRnormalChar"/>
          <w:rFonts w:cs="Arial"/>
        </w:rPr>
        <w:t>3</w:t>
      </w:r>
      <w:r w:rsidRPr="007F6332">
        <w:rPr>
          <w:rStyle w:val="FSRnormalChar"/>
          <w:rFonts w:cs="Arial"/>
        </w:rPr>
        <w:t xml:space="preserve"> shows total Scheme expense projections were revised upwards for each successive AFSR projection. Actual payments (on an accrual basis) since the 2017-18 financial year have exceeded the estimate from the most recent AFSR by amounts up to $1.1 billion, apart from the 2021-22 financial year. The actual payments for the 2021-22 financial year were $0.6 billion lower than the 30 June 2021 projections. These deviations highlight the challenge of accurately projecting participant payments, even in the short term</w:t>
      </w:r>
      <w:r w:rsidRPr="007F6332">
        <w:rPr>
          <w:rFonts w:cs="Arial"/>
          <w:b/>
          <w:bCs/>
        </w:rPr>
        <w:t>.</w:t>
      </w:r>
    </w:p>
    <w:p w14:paraId="59EF1EDD" w14:textId="77777777" w:rsidR="009226A9" w:rsidRPr="007F6332" w:rsidRDefault="009226A9" w:rsidP="009226A9">
      <w:pPr>
        <w:spacing w:before="360"/>
        <w:rPr>
          <w:rFonts w:cs="Arial"/>
        </w:rPr>
        <w:sectPr w:rsidR="009226A9" w:rsidRPr="007F6332" w:rsidSect="009226A9">
          <w:headerReference w:type="default" r:id="rId98"/>
          <w:footerReference w:type="default" r:id="rId99"/>
          <w:pgSz w:w="11906" w:h="16838"/>
          <w:pgMar w:top="1440" w:right="1440" w:bottom="1440" w:left="1440" w:header="708" w:footer="850" w:gutter="0"/>
          <w:cols w:space="708"/>
          <w:docGrid w:linePitch="360"/>
        </w:sectPr>
      </w:pPr>
    </w:p>
    <w:p w14:paraId="37E110F8" w14:textId="560BE16F" w:rsidR="009226A9" w:rsidRPr="007F6332" w:rsidRDefault="00341842" w:rsidP="00110394">
      <w:pPr>
        <w:pStyle w:val="FiguresandTablesHeading4"/>
      </w:pPr>
      <w:r w:rsidRPr="007F6332">
        <w:lastRenderedPageBreak/>
        <w:t>Table 6.13: Scheme expenses – AFSR projections and 2017 PC estimates</w:t>
      </w:r>
    </w:p>
    <w:tbl>
      <w:tblPr>
        <w:tblW w:w="14190" w:type="dxa"/>
        <w:tblInd w:w="-5" w:type="dxa"/>
        <w:tblLayout w:type="fixed"/>
        <w:tblLook w:val="04A0" w:firstRow="1" w:lastRow="0" w:firstColumn="1" w:lastColumn="0" w:noHBand="0" w:noVBand="1"/>
      </w:tblPr>
      <w:tblGrid>
        <w:gridCol w:w="3074"/>
        <w:gridCol w:w="1111"/>
        <w:gridCol w:w="1112"/>
        <w:gridCol w:w="1111"/>
        <w:gridCol w:w="1112"/>
        <w:gridCol w:w="1112"/>
        <w:gridCol w:w="1125"/>
        <w:gridCol w:w="1098"/>
        <w:gridCol w:w="1111"/>
        <w:gridCol w:w="1112"/>
        <w:gridCol w:w="1112"/>
      </w:tblGrid>
      <w:tr w:rsidR="0032159E" w:rsidRPr="007F6332" w14:paraId="75B93B53" w14:textId="77777777" w:rsidTr="00C1755E">
        <w:trPr>
          <w:trHeight w:val="447"/>
        </w:trPr>
        <w:tc>
          <w:tcPr>
            <w:tcW w:w="3074"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1C1B501A" w14:textId="70B07B9D" w:rsidR="00B042DF" w:rsidRPr="007F6332" w:rsidRDefault="00B042DF" w:rsidP="00D8325F">
            <w:pPr>
              <w:spacing w:after="0" w:line="240" w:lineRule="auto"/>
              <w:rPr>
                <w:rFonts w:eastAsia="Times New Roman" w:cs="Arial"/>
                <w:b/>
                <w:bCs/>
                <w:color w:val="FFFFFF"/>
                <w:sz w:val="18"/>
                <w:szCs w:val="18"/>
                <w:lang w:eastAsia="en-AU"/>
              </w:rPr>
            </w:pPr>
            <w:r w:rsidRPr="007F6332">
              <w:rPr>
                <w:rFonts w:eastAsia="Times New Roman" w:cs="Arial"/>
                <w:b/>
                <w:bCs/>
                <w:color w:val="FFFFFF"/>
                <w:sz w:val="18"/>
                <w:szCs w:val="18"/>
                <w:lang w:eastAsia="en-AU"/>
              </w:rPr>
              <w:t xml:space="preserve">Total </w:t>
            </w:r>
            <w:r w:rsidR="007232D6" w:rsidRPr="007F6332">
              <w:rPr>
                <w:rFonts w:eastAsia="Times New Roman" w:cs="Arial"/>
                <w:b/>
                <w:bCs/>
                <w:color w:val="FFFFFF"/>
                <w:sz w:val="18"/>
                <w:szCs w:val="18"/>
                <w:lang w:eastAsia="en-AU"/>
              </w:rPr>
              <w:t>Scheme expenses</w:t>
            </w:r>
            <w:r w:rsidRPr="007F6332">
              <w:rPr>
                <w:rFonts w:eastAsia="Times New Roman" w:cs="Arial"/>
                <w:b/>
                <w:bCs/>
                <w:color w:val="FFFFFF"/>
                <w:sz w:val="18"/>
                <w:szCs w:val="18"/>
                <w:lang w:eastAsia="en-AU"/>
              </w:rPr>
              <w:t xml:space="preserve"> ($b)</w:t>
            </w:r>
          </w:p>
        </w:tc>
        <w:tc>
          <w:tcPr>
            <w:tcW w:w="1111" w:type="dxa"/>
            <w:tcBorders>
              <w:top w:val="single" w:sz="4" w:space="0" w:color="auto"/>
              <w:left w:val="nil"/>
              <w:bottom w:val="single" w:sz="4" w:space="0" w:color="auto"/>
              <w:right w:val="nil"/>
            </w:tcBorders>
            <w:shd w:val="clear" w:color="000000" w:fill="6B2976"/>
            <w:noWrap/>
            <w:vAlign w:val="center"/>
            <w:hideMark/>
          </w:tcPr>
          <w:p w14:paraId="5EDCB489"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2017-18</w:t>
            </w:r>
          </w:p>
        </w:tc>
        <w:tc>
          <w:tcPr>
            <w:tcW w:w="1112" w:type="dxa"/>
            <w:tcBorders>
              <w:top w:val="single" w:sz="4" w:space="0" w:color="auto"/>
              <w:left w:val="nil"/>
              <w:bottom w:val="single" w:sz="4" w:space="0" w:color="auto"/>
              <w:right w:val="nil"/>
            </w:tcBorders>
            <w:shd w:val="clear" w:color="000000" w:fill="6B2976"/>
            <w:noWrap/>
            <w:vAlign w:val="center"/>
            <w:hideMark/>
          </w:tcPr>
          <w:p w14:paraId="5406C35C"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2018-19</w:t>
            </w:r>
          </w:p>
        </w:tc>
        <w:tc>
          <w:tcPr>
            <w:tcW w:w="1111" w:type="dxa"/>
            <w:tcBorders>
              <w:top w:val="single" w:sz="4" w:space="0" w:color="auto"/>
              <w:left w:val="nil"/>
              <w:bottom w:val="single" w:sz="4" w:space="0" w:color="auto"/>
              <w:right w:val="nil"/>
            </w:tcBorders>
            <w:shd w:val="clear" w:color="000000" w:fill="6B2976"/>
            <w:noWrap/>
            <w:vAlign w:val="center"/>
            <w:hideMark/>
          </w:tcPr>
          <w:p w14:paraId="2281873A"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2019-20</w:t>
            </w:r>
          </w:p>
        </w:tc>
        <w:tc>
          <w:tcPr>
            <w:tcW w:w="1112" w:type="dxa"/>
            <w:tcBorders>
              <w:top w:val="single" w:sz="4" w:space="0" w:color="auto"/>
              <w:left w:val="nil"/>
              <w:bottom w:val="single" w:sz="4" w:space="0" w:color="auto"/>
              <w:right w:val="nil"/>
            </w:tcBorders>
            <w:shd w:val="clear" w:color="000000" w:fill="6B2976"/>
            <w:noWrap/>
            <w:vAlign w:val="center"/>
            <w:hideMark/>
          </w:tcPr>
          <w:p w14:paraId="5E2D77A3"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2020-21</w:t>
            </w:r>
          </w:p>
        </w:tc>
        <w:tc>
          <w:tcPr>
            <w:tcW w:w="1112" w:type="dxa"/>
            <w:tcBorders>
              <w:top w:val="single" w:sz="4" w:space="0" w:color="auto"/>
              <w:left w:val="nil"/>
              <w:bottom w:val="single" w:sz="4" w:space="0" w:color="auto"/>
              <w:right w:val="nil"/>
            </w:tcBorders>
            <w:shd w:val="clear" w:color="000000" w:fill="6B2976"/>
            <w:noWrap/>
            <w:vAlign w:val="center"/>
            <w:hideMark/>
          </w:tcPr>
          <w:p w14:paraId="11539191"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2021-22</w:t>
            </w:r>
          </w:p>
        </w:tc>
        <w:tc>
          <w:tcPr>
            <w:tcW w:w="1125"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4E0429FD"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2022-23</w:t>
            </w:r>
          </w:p>
        </w:tc>
        <w:tc>
          <w:tcPr>
            <w:tcW w:w="1098" w:type="dxa"/>
            <w:tcBorders>
              <w:top w:val="single" w:sz="4" w:space="0" w:color="auto"/>
              <w:left w:val="nil"/>
              <w:bottom w:val="single" w:sz="4" w:space="0" w:color="auto"/>
              <w:right w:val="nil"/>
            </w:tcBorders>
            <w:shd w:val="clear" w:color="000000" w:fill="6B2976"/>
            <w:noWrap/>
            <w:vAlign w:val="center"/>
            <w:hideMark/>
          </w:tcPr>
          <w:p w14:paraId="10CB9F3D"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2023-24</w:t>
            </w:r>
          </w:p>
        </w:tc>
        <w:tc>
          <w:tcPr>
            <w:tcW w:w="1111" w:type="dxa"/>
            <w:tcBorders>
              <w:top w:val="single" w:sz="4" w:space="0" w:color="auto"/>
              <w:left w:val="nil"/>
              <w:bottom w:val="single" w:sz="4" w:space="0" w:color="auto"/>
              <w:right w:val="nil"/>
            </w:tcBorders>
            <w:shd w:val="clear" w:color="000000" w:fill="6B2976"/>
            <w:noWrap/>
            <w:vAlign w:val="center"/>
            <w:hideMark/>
          </w:tcPr>
          <w:p w14:paraId="6EA88FD8"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2024-25</w:t>
            </w:r>
          </w:p>
        </w:tc>
        <w:tc>
          <w:tcPr>
            <w:tcW w:w="1112" w:type="dxa"/>
            <w:tcBorders>
              <w:top w:val="single" w:sz="4" w:space="0" w:color="auto"/>
              <w:left w:val="nil"/>
              <w:bottom w:val="single" w:sz="4" w:space="0" w:color="auto"/>
              <w:right w:val="nil"/>
            </w:tcBorders>
            <w:shd w:val="clear" w:color="000000" w:fill="6B2976"/>
            <w:noWrap/>
            <w:vAlign w:val="center"/>
            <w:hideMark/>
          </w:tcPr>
          <w:p w14:paraId="53A34382"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2025-26</w:t>
            </w:r>
          </w:p>
        </w:tc>
        <w:tc>
          <w:tcPr>
            <w:tcW w:w="1112" w:type="dxa"/>
            <w:tcBorders>
              <w:top w:val="single" w:sz="4" w:space="0" w:color="auto"/>
              <w:left w:val="nil"/>
              <w:bottom w:val="single" w:sz="4" w:space="0" w:color="auto"/>
              <w:right w:val="single" w:sz="4" w:space="0" w:color="auto"/>
            </w:tcBorders>
            <w:shd w:val="clear" w:color="000000" w:fill="6B2976"/>
            <w:noWrap/>
            <w:vAlign w:val="center"/>
            <w:hideMark/>
          </w:tcPr>
          <w:p w14:paraId="3961BDC0"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2026-27</w:t>
            </w:r>
          </w:p>
        </w:tc>
      </w:tr>
      <w:tr w:rsidR="0032159E" w:rsidRPr="007F6332" w14:paraId="269CC448" w14:textId="77777777" w:rsidTr="00C1755E">
        <w:trPr>
          <w:trHeight w:val="157"/>
        </w:trPr>
        <w:tc>
          <w:tcPr>
            <w:tcW w:w="3074" w:type="dxa"/>
            <w:tcBorders>
              <w:top w:val="single" w:sz="4" w:space="0" w:color="auto"/>
              <w:left w:val="single" w:sz="4" w:space="0" w:color="auto"/>
              <w:bottom w:val="single" w:sz="4" w:space="0" w:color="auto"/>
              <w:right w:val="nil"/>
            </w:tcBorders>
            <w:shd w:val="clear" w:color="000000" w:fill="D3C5D7"/>
            <w:noWrap/>
            <w:vAlign w:val="center"/>
            <w:hideMark/>
          </w:tcPr>
          <w:p w14:paraId="5E25D16B" w14:textId="77777777" w:rsidR="00B042DF" w:rsidRPr="007F6332" w:rsidRDefault="00B042DF" w:rsidP="00D8325F">
            <w:pPr>
              <w:spacing w:after="0" w:line="240" w:lineRule="auto"/>
              <w:rPr>
                <w:rFonts w:eastAsia="Times New Roman" w:cs="Arial"/>
                <w:b/>
                <w:bCs/>
                <w:color w:val="000000"/>
                <w:sz w:val="16"/>
                <w:szCs w:val="16"/>
                <w:lang w:eastAsia="en-AU"/>
              </w:rPr>
            </w:pPr>
            <w:r w:rsidRPr="007F6332">
              <w:rPr>
                <w:rFonts w:eastAsia="Times New Roman" w:cs="Arial"/>
                <w:b/>
                <w:bCs/>
                <w:color w:val="000000"/>
                <w:sz w:val="16"/>
                <w:szCs w:val="16"/>
                <w:lang w:eastAsia="en-AU"/>
              </w:rPr>
              <w:t>PC estimates</w:t>
            </w:r>
          </w:p>
        </w:tc>
        <w:tc>
          <w:tcPr>
            <w:tcW w:w="1111" w:type="dxa"/>
            <w:tcBorders>
              <w:top w:val="single" w:sz="4" w:space="0" w:color="auto"/>
              <w:left w:val="nil"/>
              <w:bottom w:val="single" w:sz="4" w:space="0" w:color="auto"/>
              <w:right w:val="nil"/>
            </w:tcBorders>
            <w:shd w:val="clear" w:color="000000" w:fill="D3C5D7"/>
            <w:noWrap/>
            <w:vAlign w:val="center"/>
            <w:hideMark/>
          </w:tcPr>
          <w:p w14:paraId="6BDFCFDC"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04360A89"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D3C5D7"/>
            <w:noWrap/>
            <w:vAlign w:val="center"/>
            <w:hideMark/>
          </w:tcPr>
          <w:p w14:paraId="283ED48E"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0D6D1A90"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2DA0CB06"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25" w:type="dxa"/>
            <w:tcBorders>
              <w:top w:val="single" w:sz="4" w:space="0" w:color="auto"/>
              <w:left w:val="single" w:sz="4" w:space="0" w:color="auto"/>
              <w:bottom w:val="single" w:sz="4" w:space="0" w:color="auto"/>
              <w:right w:val="single" w:sz="4" w:space="0" w:color="auto"/>
            </w:tcBorders>
            <w:shd w:val="clear" w:color="000000" w:fill="D3C5D7"/>
            <w:noWrap/>
            <w:vAlign w:val="center"/>
            <w:hideMark/>
          </w:tcPr>
          <w:p w14:paraId="0C996E50"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098" w:type="dxa"/>
            <w:tcBorders>
              <w:top w:val="single" w:sz="4" w:space="0" w:color="auto"/>
              <w:left w:val="nil"/>
              <w:bottom w:val="single" w:sz="4" w:space="0" w:color="auto"/>
              <w:right w:val="nil"/>
            </w:tcBorders>
            <w:shd w:val="clear" w:color="000000" w:fill="D3C5D7"/>
            <w:noWrap/>
            <w:vAlign w:val="center"/>
            <w:hideMark/>
          </w:tcPr>
          <w:p w14:paraId="7529B153"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D3C5D7"/>
            <w:noWrap/>
            <w:vAlign w:val="center"/>
            <w:hideMark/>
          </w:tcPr>
          <w:p w14:paraId="5B84BB2E"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0E0DC1A2"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single" w:sz="4" w:space="0" w:color="auto"/>
            </w:tcBorders>
            <w:shd w:val="clear" w:color="000000" w:fill="D3C5D7"/>
            <w:noWrap/>
            <w:vAlign w:val="center"/>
            <w:hideMark/>
          </w:tcPr>
          <w:p w14:paraId="40CA293C"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r>
      <w:tr w:rsidR="0032159E" w:rsidRPr="007F6332" w14:paraId="7EE5E0A8"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2BDB2" w14:textId="77777777"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2017 Productivity Commission Estimates</w:t>
            </w:r>
          </w:p>
        </w:tc>
        <w:tc>
          <w:tcPr>
            <w:tcW w:w="1111" w:type="dxa"/>
            <w:tcBorders>
              <w:top w:val="single" w:sz="4" w:space="0" w:color="auto"/>
              <w:left w:val="nil"/>
              <w:bottom w:val="single" w:sz="4" w:space="0" w:color="auto"/>
              <w:right w:val="nil"/>
            </w:tcBorders>
            <w:shd w:val="clear" w:color="auto" w:fill="auto"/>
            <w:noWrap/>
            <w:vAlign w:val="center"/>
            <w:hideMark/>
          </w:tcPr>
          <w:p w14:paraId="3AD430B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7.7</w:t>
            </w:r>
          </w:p>
        </w:tc>
        <w:tc>
          <w:tcPr>
            <w:tcW w:w="1112" w:type="dxa"/>
            <w:tcBorders>
              <w:top w:val="single" w:sz="4" w:space="0" w:color="auto"/>
              <w:left w:val="nil"/>
              <w:bottom w:val="single" w:sz="4" w:space="0" w:color="auto"/>
              <w:right w:val="nil"/>
            </w:tcBorders>
            <w:shd w:val="clear" w:color="auto" w:fill="auto"/>
            <w:noWrap/>
            <w:vAlign w:val="center"/>
            <w:hideMark/>
          </w:tcPr>
          <w:p w14:paraId="795D377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14.7</w:t>
            </w:r>
          </w:p>
        </w:tc>
        <w:tc>
          <w:tcPr>
            <w:tcW w:w="1111" w:type="dxa"/>
            <w:tcBorders>
              <w:top w:val="single" w:sz="4" w:space="0" w:color="auto"/>
              <w:left w:val="nil"/>
              <w:bottom w:val="single" w:sz="4" w:space="0" w:color="auto"/>
              <w:right w:val="nil"/>
            </w:tcBorders>
            <w:shd w:val="clear" w:color="auto" w:fill="auto"/>
            <w:noWrap/>
            <w:vAlign w:val="center"/>
            <w:hideMark/>
          </w:tcPr>
          <w:p w14:paraId="0825B46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20.8</w:t>
            </w:r>
          </w:p>
        </w:tc>
        <w:tc>
          <w:tcPr>
            <w:tcW w:w="1112" w:type="dxa"/>
            <w:tcBorders>
              <w:top w:val="single" w:sz="4" w:space="0" w:color="auto"/>
              <w:left w:val="nil"/>
              <w:bottom w:val="single" w:sz="4" w:space="0" w:color="auto"/>
              <w:right w:val="nil"/>
            </w:tcBorders>
            <w:shd w:val="clear" w:color="auto" w:fill="auto"/>
            <w:noWrap/>
            <w:vAlign w:val="center"/>
            <w:hideMark/>
          </w:tcPr>
          <w:p w14:paraId="2986F47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22.2</w:t>
            </w:r>
          </w:p>
        </w:tc>
        <w:tc>
          <w:tcPr>
            <w:tcW w:w="1112" w:type="dxa"/>
            <w:tcBorders>
              <w:top w:val="single" w:sz="4" w:space="0" w:color="auto"/>
              <w:left w:val="nil"/>
              <w:bottom w:val="single" w:sz="4" w:space="0" w:color="auto"/>
              <w:right w:val="nil"/>
            </w:tcBorders>
            <w:shd w:val="clear" w:color="auto" w:fill="auto"/>
            <w:noWrap/>
            <w:vAlign w:val="center"/>
            <w:hideMark/>
          </w:tcPr>
          <w:p w14:paraId="395C53C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23.7</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743D3"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25.2</w:t>
            </w:r>
          </w:p>
        </w:tc>
        <w:tc>
          <w:tcPr>
            <w:tcW w:w="1098" w:type="dxa"/>
            <w:tcBorders>
              <w:top w:val="single" w:sz="4" w:space="0" w:color="auto"/>
              <w:left w:val="nil"/>
              <w:bottom w:val="single" w:sz="4" w:space="0" w:color="auto"/>
              <w:right w:val="nil"/>
            </w:tcBorders>
            <w:shd w:val="clear" w:color="auto" w:fill="auto"/>
            <w:noWrap/>
            <w:vAlign w:val="center"/>
            <w:hideMark/>
          </w:tcPr>
          <w:p w14:paraId="7FC1CE8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26.8</w:t>
            </w:r>
          </w:p>
        </w:tc>
        <w:tc>
          <w:tcPr>
            <w:tcW w:w="1111" w:type="dxa"/>
            <w:tcBorders>
              <w:top w:val="single" w:sz="4" w:space="0" w:color="auto"/>
              <w:left w:val="nil"/>
              <w:bottom w:val="single" w:sz="4" w:space="0" w:color="auto"/>
              <w:right w:val="nil"/>
            </w:tcBorders>
            <w:shd w:val="clear" w:color="auto" w:fill="auto"/>
            <w:noWrap/>
            <w:vAlign w:val="center"/>
            <w:hideMark/>
          </w:tcPr>
          <w:p w14:paraId="491C8820"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28.5</w:t>
            </w:r>
          </w:p>
        </w:tc>
        <w:tc>
          <w:tcPr>
            <w:tcW w:w="1112" w:type="dxa"/>
            <w:tcBorders>
              <w:top w:val="single" w:sz="4" w:space="0" w:color="auto"/>
              <w:left w:val="nil"/>
              <w:bottom w:val="single" w:sz="4" w:space="0" w:color="auto"/>
              <w:right w:val="nil"/>
            </w:tcBorders>
            <w:shd w:val="clear" w:color="auto" w:fill="auto"/>
            <w:noWrap/>
            <w:vAlign w:val="center"/>
            <w:hideMark/>
          </w:tcPr>
          <w:p w14:paraId="669F1C4C"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30.3</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010D864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32.2</w:t>
            </w:r>
          </w:p>
        </w:tc>
      </w:tr>
      <w:tr w:rsidR="0032159E" w:rsidRPr="007F6332" w14:paraId="7AC912DF" w14:textId="77777777" w:rsidTr="00C1755E">
        <w:trPr>
          <w:trHeight w:val="255"/>
        </w:trPr>
        <w:tc>
          <w:tcPr>
            <w:tcW w:w="3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87F13" w14:textId="77777777"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2017 Productivity Commission Estimates (including unanticipated costs)</w:t>
            </w:r>
          </w:p>
        </w:tc>
        <w:tc>
          <w:tcPr>
            <w:tcW w:w="1111" w:type="dxa"/>
            <w:tcBorders>
              <w:top w:val="single" w:sz="4" w:space="0" w:color="auto"/>
              <w:left w:val="nil"/>
              <w:bottom w:val="single" w:sz="4" w:space="0" w:color="auto"/>
              <w:right w:val="nil"/>
            </w:tcBorders>
            <w:shd w:val="clear" w:color="000000" w:fill="BFBFBF"/>
            <w:noWrap/>
            <w:vAlign w:val="center"/>
            <w:hideMark/>
          </w:tcPr>
          <w:p w14:paraId="195FCC7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0B333BBC"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auto" w:fill="auto"/>
            <w:noWrap/>
            <w:vAlign w:val="center"/>
            <w:hideMark/>
          </w:tcPr>
          <w:p w14:paraId="47875A9C"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21.9</w:t>
            </w:r>
          </w:p>
        </w:tc>
        <w:tc>
          <w:tcPr>
            <w:tcW w:w="1112" w:type="dxa"/>
            <w:tcBorders>
              <w:top w:val="single" w:sz="4" w:space="0" w:color="auto"/>
              <w:left w:val="nil"/>
              <w:bottom w:val="single" w:sz="4" w:space="0" w:color="auto"/>
              <w:right w:val="nil"/>
            </w:tcBorders>
            <w:shd w:val="clear" w:color="auto" w:fill="auto"/>
            <w:noWrap/>
            <w:vAlign w:val="center"/>
            <w:hideMark/>
          </w:tcPr>
          <w:p w14:paraId="2EABFF2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23.8</w:t>
            </w:r>
          </w:p>
        </w:tc>
        <w:tc>
          <w:tcPr>
            <w:tcW w:w="1112" w:type="dxa"/>
            <w:tcBorders>
              <w:top w:val="single" w:sz="4" w:space="0" w:color="auto"/>
              <w:left w:val="nil"/>
              <w:bottom w:val="single" w:sz="4" w:space="0" w:color="auto"/>
              <w:right w:val="nil"/>
            </w:tcBorders>
            <w:shd w:val="clear" w:color="auto" w:fill="auto"/>
            <w:noWrap/>
            <w:vAlign w:val="center"/>
            <w:hideMark/>
          </w:tcPr>
          <w:p w14:paraId="1768EF10"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25.5</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7F58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27.2</w:t>
            </w:r>
          </w:p>
        </w:tc>
        <w:tc>
          <w:tcPr>
            <w:tcW w:w="1098" w:type="dxa"/>
            <w:tcBorders>
              <w:top w:val="single" w:sz="4" w:space="0" w:color="auto"/>
              <w:left w:val="nil"/>
              <w:bottom w:val="single" w:sz="4" w:space="0" w:color="auto"/>
              <w:right w:val="nil"/>
            </w:tcBorders>
            <w:shd w:val="clear" w:color="auto" w:fill="auto"/>
            <w:noWrap/>
            <w:vAlign w:val="center"/>
            <w:hideMark/>
          </w:tcPr>
          <w:p w14:paraId="598234A5"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29.0</w:t>
            </w:r>
          </w:p>
        </w:tc>
        <w:tc>
          <w:tcPr>
            <w:tcW w:w="1111" w:type="dxa"/>
            <w:tcBorders>
              <w:top w:val="single" w:sz="4" w:space="0" w:color="auto"/>
              <w:left w:val="nil"/>
              <w:bottom w:val="single" w:sz="4" w:space="0" w:color="auto"/>
              <w:right w:val="nil"/>
            </w:tcBorders>
            <w:shd w:val="clear" w:color="auto" w:fill="auto"/>
            <w:noWrap/>
            <w:vAlign w:val="center"/>
            <w:hideMark/>
          </w:tcPr>
          <w:p w14:paraId="732A958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30.8</w:t>
            </w:r>
          </w:p>
        </w:tc>
        <w:tc>
          <w:tcPr>
            <w:tcW w:w="1112" w:type="dxa"/>
            <w:tcBorders>
              <w:top w:val="single" w:sz="4" w:space="0" w:color="auto"/>
              <w:left w:val="nil"/>
              <w:bottom w:val="single" w:sz="4" w:space="0" w:color="auto"/>
              <w:right w:val="nil"/>
            </w:tcBorders>
            <w:shd w:val="clear" w:color="auto" w:fill="auto"/>
            <w:noWrap/>
            <w:vAlign w:val="center"/>
            <w:hideMark/>
          </w:tcPr>
          <w:p w14:paraId="43B731FC"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32.7</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66057792"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34.8</w:t>
            </w:r>
          </w:p>
        </w:tc>
      </w:tr>
      <w:tr w:rsidR="0032159E" w:rsidRPr="007F6332" w14:paraId="6C8686DB" w14:textId="77777777" w:rsidTr="00C1755E">
        <w:trPr>
          <w:trHeight w:val="157"/>
        </w:trPr>
        <w:tc>
          <w:tcPr>
            <w:tcW w:w="3074" w:type="dxa"/>
            <w:tcBorders>
              <w:top w:val="single" w:sz="4" w:space="0" w:color="auto"/>
              <w:left w:val="single" w:sz="4" w:space="0" w:color="auto"/>
              <w:bottom w:val="single" w:sz="4" w:space="0" w:color="auto"/>
              <w:right w:val="nil"/>
            </w:tcBorders>
            <w:shd w:val="clear" w:color="000000" w:fill="D3C5D7"/>
            <w:noWrap/>
            <w:vAlign w:val="center"/>
            <w:hideMark/>
          </w:tcPr>
          <w:p w14:paraId="0EE5F85D" w14:textId="77777777" w:rsidR="00B042DF" w:rsidRPr="007F6332" w:rsidRDefault="00B042DF" w:rsidP="00D8325F">
            <w:pPr>
              <w:spacing w:after="0" w:line="240" w:lineRule="auto"/>
              <w:rPr>
                <w:rFonts w:eastAsia="Times New Roman" w:cs="Arial"/>
                <w:b/>
                <w:bCs/>
                <w:color w:val="000000"/>
                <w:sz w:val="16"/>
                <w:szCs w:val="16"/>
                <w:lang w:eastAsia="en-AU"/>
              </w:rPr>
            </w:pPr>
            <w:r w:rsidRPr="007F6332">
              <w:rPr>
                <w:rFonts w:eastAsia="Times New Roman" w:cs="Arial"/>
                <w:b/>
                <w:bCs/>
                <w:color w:val="000000"/>
                <w:sz w:val="16"/>
                <w:szCs w:val="16"/>
                <w:lang w:eastAsia="en-AU"/>
              </w:rPr>
              <w:t>AFSR</w:t>
            </w:r>
          </w:p>
        </w:tc>
        <w:tc>
          <w:tcPr>
            <w:tcW w:w="1111" w:type="dxa"/>
            <w:tcBorders>
              <w:top w:val="single" w:sz="4" w:space="0" w:color="auto"/>
              <w:left w:val="nil"/>
              <w:bottom w:val="single" w:sz="4" w:space="0" w:color="auto"/>
              <w:right w:val="nil"/>
            </w:tcBorders>
            <w:shd w:val="clear" w:color="000000" w:fill="D3C5D7"/>
            <w:noWrap/>
            <w:vAlign w:val="center"/>
            <w:hideMark/>
          </w:tcPr>
          <w:p w14:paraId="2775CB4C"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6D04EF55"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D3C5D7"/>
            <w:noWrap/>
            <w:vAlign w:val="center"/>
            <w:hideMark/>
          </w:tcPr>
          <w:p w14:paraId="715E9014"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53CA4760"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12210E50"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25" w:type="dxa"/>
            <w:tcBorders>
              <w:top w:val="single" w:sz="4" w:space="0" w:color="auto"/>
              <w:left w:val="single" w:sz="4" w:space="0" w:color="auto"/>
              <w:bottom w:val="single" w:sz="4" w:space="0" w:color="auto"/>
              <w:right w:val="single" w:sz="4" w:space="0" w:color="auto"/>
            </w:tcBorders>
            <w:shd w:val="clear" w:color="000000" w:fill="D3C5D7"/>
            <w:noWrap/>
            <w:vAlign w:val="center"/>
            <w:hideMark/>
          </w:tcPr>
          <w:p w14:paraId="192EBDC6"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098" w:type="dxa"/>
            <w:tcBorders>
              <w:top w:val="single" w:sz="4" w:space="0" w:color="auto"/>
              <w:left w:val="nil"/>
              <w:bottom w:val="single" w:sz="4" w:space="0" w:color="auto"/>
              <w:right w:val="nil"/>
            </w:tcBorders>
            <w:shd w:val="clear" w:color="000000" w:fill="D3C5D7"/>
            <w:noWrap/>
            <w:vAlign w:val="center"/>
            <w:hideMark/>
          </w:tcPr>
          <w:p w14:paraId="31331CF0"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D3C5D7"/>
            <w:noWrap/>
            <w:vAlign w:val="center"/>
            <w:hideMark/>
          </w:tcPr>
          <w:p w14:paraId="10E9EC05"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79104492"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single" w:sz="4" w:space="0" w:color="auto"/>
            </w:tcBorders>
            <w:shd w:val="clear" w:color="000000" w:fill="D3C5D7"/>
            <w:noWrap/>
            <w:vAlign w:val="center"/>
            <w:hideMark/>
          </w:tcPr>
          <w:p w14:paraId="00237D32"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r>
      <w:tr w:rsidR="0032159E" w:rsidRPr="007F6332" w14:paraId="0B1FE13A" w14:textId="77777777" w:rsidTr="00C1755E">
        <w:trPr>
          <w:trHeight w:val="157"/>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07964" w14:textId="77777777" w:rsidR="00B042DF" w:rsidRPr="007F6332" w:rsidRDefault="00B042DF" w:rsidP="00D8325F">
            <w:pPr>
              <w:spacing w:after="0" w:line="240" w:lineRule="auto"/>
              <w:rPr>
                <w:rFonts w:eastAsia="Times New Roman" w:cs="Arial"/>
                <w:b/>
                <w:bCs/>
                <w:color w:val="000000"/>
                <w:sz w:val="16"/>
                <w:szCs w:val="16"/>
                <w:lang w:eastAsia="en-AU"/>
              </w:rPr>
            </w:pPr>
            <w:r w:rsidRPr="007F6332">
              <w:rPr>
                <w:rFonts w:eastAsia="Times New Roman" w:cs="Arial"/>
                <w:b/>
                <w:bCs/>
                <w:color w:val="000000"/>
                <w:sz w:val="16"/>
                <w:szCs w:val="16"/>
                <w:lang w:eastAsia="en-AU"/>
              </w:rPr>
              <w:t>30 June 2023 AFSR projection</w:t>
            </w:r>
          </w:p>
        </w:tc>
        <w:tc>
          <w:tcPr>
            <w:tcW w:w="1111" w:type="dxa"/>
            <w:tcBorders>
              <w:top w:val="single" w:sz="4" w:space="0" w:color="auto"/>
              <w:left w:val="nil"/>
              <w:bottom w:val="single" w:sz="4" w:space="0" w:color="auto"/>
              <w:right w:val="nil"/>
            </w:tcBorders>
            <w:shd w:val="clear" w:color="000000" w:fill="BFBFBF"/>
            <w:noWrap/>
            <w:vAlign w:val="center"/>
            <w:hideMark/>
          </w:tcPr>
          <w:p w14:paraId="476DE6E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5E3F928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47E4BC0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2D0F205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38591089"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2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BDC2A9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098" w:type="dxa"/>
            <w:tcBorders>
              <w:top w:val="single" w:sz="4" w:space="0" w:color="auto"/>
              <w:left w:val="nil"/>
              <w:bottom w:val="single" w:sz="4" w:space="0" w:color="auto"/>
              <w:right w:val="nil"/>
            </w:tcBorders>
            <w:shd w:val="clear" w:color="auto" w:fill="auto"/>
            <w:noWrap/>
            <w:vAlign w:val="center"/>
            <w:hideMark/>
          </w:tcPr>
          <w:p w14:paraId="5859CB80"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41.4</w:t>
            </w:r>
          </w:p>
        </w:tc>
        <w:tc>
          <w:tcPr>
            <w:tcW w:w="1111" w:type="dxa"/>
            <w:tcBorders>
              <w:top w:val="single" w:sz="4" w:space="0" w:color="auto"/>
              <w:left w:val="nil"/>
              <w:bottom w:val="single" w:sz="4" w:space="0" w:color="auto"/>
              <w:right w:val="nil"/>
            </w:tcBorders>
            <w:shd w:val="clear" w:color="auto" w:fill="auto"/>
            <w:noWrap/>
            <w:vAlign w:val="center"/>
            <w:hideMark/>
          </w:tcPr>
          <w:p w14:paraId="07E0CAA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46.4</w:t>
            </w:r>
          </w:p>
        </w:tc>
        <w:tc>
          <w:tcPr>
            <w:tcW w:w="1112" w:type="dxa"/>
            <w:tcBorders>
              <w:top w:val="single" w:sz="4" w:space="0" w:color="auto"/>
              <w:left w:val="nil"/>
              <w:bottom w:val="single" w:sz="4" w:space="0" w:color="auto"/>
              <w:right w:val="nil"/>
            </w:tcBorders>
            <w:shd w:val="clear" w:color="auto" w:fill="auto"/>
            <w:noWrap/>
            <w:vAlign w:val="center"/>
            <w:hideMark/>
          </w:tcPr>
          <w:p w14:paraId="55CAA09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50.8</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597F7E5F"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55.2</w:t>
            </w:r>
          </w:p>
        </w:tc>
      </w:tr>
      <w:tr w:rsidR="0032159E" w:rsidRPr="007F6332" w14:paraId="4CCCA87C"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011F6" w14:textId="352EDC36" w:rsidR="00B042DF" w:rsidRPr="007F6332" w:rsidRDefault="00F52847"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2022 projection</w:t>
            </w:r>
            <w:r w:rsidR="00622E1C" w:rsidRPr="007F6332">
              <w:rPr>
                <w:rStyle w:val="FootnoteReference"/>
                <w:rFonts w:eastAsia="Times New Roman" w:cs="Arial"/>
                <w:color w:val="000000"/>
                <w:sz w:val="16"/>
                <w:szCs w:val="16"/>
                <w:lang w:eastAsia="en-AU"/>
              </w:rPr>
              <w:footnoteReference w:id="121"/>
            </w:r>
          </w:p>
        </w:tc>
        <w:tc>
          <w:tcPr>
            <w:tcW w:w="1111" w:type="dxa"/>
            <w:tcBorders>
              <w:top w:val="single" w:sz="4" w:space="0" w:color="auto"/>
              <w:left w:val="nil"/>
              <w:bottom w:val="single" w:sz="4" w:space="0" w:color="auto"/>
              <w:right w:val="nil"/>
            </w:tcBorders>
            <w:shd w:val="clear" w:color="000000" w:fill="BFBFBF"/>
            <w:noWrap/>
            <w:vAlign w:val="center"/>
            <w:hideMark/>
          </w:tcPr>
          <w:p w14:paraId="408DE46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1E81368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5E16192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10D0093F"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17FF771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2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87EEC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098" w:type="dxa"/>
            <w:tcBorders>
              <w:top w:val="single" w:sz="4" w:space="0" w:color="auto"/>
              <w:left w:val="nil"/>
              <w:bottom w:val="single" w:sz="4" w:space="0" w:color="auto"/>
              <w:right w:val="nil"/>
            </w:tcBorders>
            <w:shd w:val="clear" w:color="auto" w:fill="auto"/>
            <w:noWrap/>
            <w:vAlign w:val="center"/>
            <w:hideMark/>
          </w:tcPr>
          <w:p w14:paraId="7FE0A1E2"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40.0</w:t>
            </w:r>
          </w:p>
        </w:tc>
        <w:tc>
          <w:tcPr>
            <w:tcW w:w="1111" w:type="dxa"/>
            <w:tcBorders>
              <w:top w:val="single" w:sz="4" w:space="0" w:color="auto"/>
              <w:left w:val="nil"/>
              <w:bottom w:val="single" w:sz="4" w:space="0" w:color="auto"/>
              <w:right w:val="nil"/>
            </w:tcBorders>
            <w:shd w:val="clear" w:color="auto" w:fill="auto"/>
            <w:noWrap/>
            <w:vAlign w:val="center"/>
            <w:hideMark/>
          </w:tcPr>
          <w:p w14:paraId="67AF4785"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45.3</w:t>
            </w:r>
          </w:p>
        </w:tc>
        <w:tc>
          <w:tcPr>
            <w:tcW w:w="1112" w:type="dxa"/>
            <w:tcBorders>
              <w:top w:val="single" w:sz="4" w:space="0" w:color="auto"/>
              <w:left w:val="nil"/>
              <w:bottom w:val="single" w:sz="4" w:space="0" w:color="auto"/>
              <w:right w:val="nil"/>
            </w:tcBorders>
            <w:shd w:val="clear" w:color="auto" w:fill="auto"/>
            <w:noWrap/>
            <w:vAlign w:val="center"/>
            <w:hideMark/>
          </w:tcPr>
          <w:p w14:paraId="4A57B339"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50.3</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21837FD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55.0</w:t>
            </w:r>
          </w:p>
        </w:tc>
      </w:tr>
      <w:tr w:rsidR="0032159E" w:rsidRPr="007F6332" w14:paraId="69F494F7"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8722A" w14:textId="77777777"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2022 AFSR projection</w:t>
            </w:r>
          </w:p>
        </w:tc>
        <w:tc>
          <w:tcPr>
            <w:tcW w:w="1111" w:type="dxa"/>
            <w:tcBorders>
              <w:top w:val="single" w:sz="4" w:space="0" w:color="auto"/>
              <w:left w:val="nil"/>
              <w:bottom w:val="single" w:sz="4" w:space="0" w:color="auto"/>
              <w:right w:val="nil"/>
            </w:tcBorders>
            <w:shd w:val="clear" w:color="000000" w:fill="BFBFBF"/>
            <w:noWrap/>
            <w:vAlign w:val="center"/>
            <w:hideMark/>
          </w:tcPr>
          <w:p w14:paraId="5BF09C4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38A86CF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306A2943"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73BDB2C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4F80420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25"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672CAC3"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34.0</w:t>
            </w:r>
          </w:p>
        </w:tc>
        <w:tc>
          <w:tcPr>
            <w:tcW w:w="1098" w:type="dxa"/>
            <w:tcBorders>
              <w:top w:val="single" w:sz="4" w:space="0" w:color="auto"/>
              <w:left w:val="nil"/>
              <w:bottom w:val="single" w:sz="4" w:space="0" w:color="auto"/>
              <w:right w:val="nil"/>
            </w:tcBorders>
            <w:shd w:val="clear" w:color="auto" w:fill="auto"/>
            <w:noWrap/>
            <w:vAlign w:val="center"/>
            <w:hideMark/>
          </w:tcPr>
          <w:p w14:paraId="7CD94CB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38.1</w:t>
            </w:r>
          </w:p>
        </w:tc>
        <w:tc>
          <w:tcPr>
            <w:tcW w:w="1111" w:type="dxa"/>
            <w:tcBorders>
              <w:top w:val="single" w:sz="4" w:space="0" w:color="auto"/>
              <w:left w:val="nil"/>
              <w:bottom w:val="single" w:sz="4" w:space="0" w:color="auto"/>
              <w:right w:val="nil"/>
            </w:tcBorders>
            <w:shd w:val="clear" w:color="auto" w:fill="auto"/>
            <w:noWrap/>
            <w:vAlign w:val="center"/>
            <w:hideMark/>
          </w:tcPr>
          <w:p w14:paraId="3761EDD0"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44.1</w:t>
            </w:r>
          </w:p>
        </w:tc>
        <w:tc>
          <w:tcPr>
            <w:tcW w:w="1112" w:type="dxa"/>
            <w:tcBorders>
              <w:top w:val="single" w:sz="4" w:space="0" w:color="auto"/>
              <w:left w:val="nil"/>
              <w:bottom w:val="single" w:sz="4" w:space="0" w:color="auto"/>
              <w:right w:val="nil"/>
            </w:tcBorders>
            <w:shd w:val="clear" w:color="auto" w:fill="auto"/>
            <w:noWrap/>
            <w:vAlign w:val="center"/>
            <w:hideMark/>
          </w:tcPr>
          <w:p w14:paraId="42ED27D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50.3</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1F1E56CC"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55.5</w:t>
            </w:r>
          </w:p>
        </w:tc>
      </w:tr>
      <w:tr w:rsidR="0032159E" w:rsidRPr="007F6332" w14:paraId="40868528"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3C529" w14:textId="77777777"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2021 AFSR projection</w:t>
            </w:r>
          </w:p>
        </w:tc>
        <w:tc>
          <w:tcPr>
            <w:tcW w:w="1111" w:type="dxa"/>
            <w:tcBorders>
              <w:top w:val="single" w:sz="4" w:space="0" w:color="auto"/>
              <w:left w:val="nil"/>
              <w:bottom w:val="single" w:sz="4" w:space="0" w:color="auto"/>
              <w:right w:val="nil"/>
            </w:tcBorders>
            <w:shd w:val="clear" w:color="000000" w:fill="BFBFBF"/>
            <w:noWrap/>
            <w:vAlign w:val="center"/>
            <w:hideMark/>
          </w:tcPr>
          <w:p w14:paraId="16AF9249"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688BAC92"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516843C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27FC912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FFE699"/>
            <w:noWrap/>
            <w:vAlign w:val="center"/>
            <w:hideMark/>
          </w:tcPr>
          <w:p w14:paraId="1F59E5B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29.2</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EF8DF"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33.9</w:t>
            </w:r>
          </w:p>
        </w:tc>
        <w:tc>
          <w:tcPr>
            <w:tcW w:w="1098" w:type="dxa"/>
            <w:tcBorders>
              <w:top w:val="single" w:sz="4" w:space="0" w:color="auto"/>
              <w:left w:val="nil"/>
              <w:bottom w:val="single" w:sz="4" w:space="0" w:color="auto"/>
              <w:right w:val="nil"/>
            </w:tcBorders>
            <w:shd w:val="clear" w:color="auto" w:fill="auto"/>
            <w:noWrap/>
            <w:vAlign w:val="center"/>
            <w:hideMark/>
          </w:tcPr>
          <w:p w14:paraId="5D2E56D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38.0</w:t>
            </w:r>
          </w:p>
        </w:tc>
        <w:tc>
          <w:tcPr>
            <w:tcW w:w="1111" w:type="dxa"/>
            <w:tcBorders>
              <w:top w:val="single" w:sz="4" w:space="0" w:color="auto"/>
              <w:left w:val="nil"/>
              <w:bottom w:val="single" w:sz="4" w:space="0" w:color="auto"/>
              <w:right w:val="nil"/>
            </w:tcBorders>
            <w:shd w:val="clear" w:color="auto" w:fill="auto"/>
            <w:noWrap/>
            <w:vAlign w:val="center"/>
            <w:hideMark/>
          </w:tcPr>
          <w:p w14:paraId="55C6F33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41.4</w:t>
            </w:r>
          </w:p>
        </w:tc>
        <w:tc>
          <w:tcPr>
            <w:tcW w:w="1112" w:type="dxa"/>
            <w:tcBorders>
              <w:top w:val="single" w:sz="4" w:space="0" w:color="auto"/>
              <w:left w:val="nil"/>
              <w:bottom w:val="single" w:sz="4" w:space="0" w:color="auto"/>
              <w:right w:val="nil"/>
            </w:tcBorders>
            <w:shd w:val="clear" w:color="auto" w:fill="auto"/>
            <w:noWrap/>
            <w:vAlign w:val="center"/>
            <w:hideMark/>
          </w:tcPr>
          <w:p w14:paraId="4C6D4EC9"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44.6</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18744BA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47.9</w:t>
            </w:r>
          </w:p>
        </w:tc>
      </w:tr>
      <w:tr w:rsidR="0032159E" w:rsidRPr="007F6332" w14:paraId="495ED24F"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F1A50" w14:textId="10DA919E"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2020 projection</w:t>
            </w:r>
            <w:r w:rsidR="00C96360" w:rsidRPr="007F6332">
              <w:rPr>
                <w:rStyle w:val="FootnoteReference"/>
                <w:rFonts w:eastAsia="Times New Roman" w:cs="Arial"/>
                <w:color w:val="000000"/>
                <w:sz w:val="16"/>
                <w:szCs w:val="16"/>
                <w:lang w:eastAsia="en-AU"/>
              </w:rPr>
              <w:footnoteReference w:id="122"/>
            </w:r>
          </w:p>
        </w:tc>
        <w:tc>
          <w:tcPr>
            <w:tcW w:w="1111" w:type="dxa"/>
            <w:tcBorders>
              <w:top w:val="single" w:sz="4" w:space="0" w:color="auto"/>
              <w:left w:val="nil"/>
              <w:bottom w:val="single" w:sz="4" w:space="0" w:color="auto"/>
              <w:right w:val="nil"/>
            </w:tcBorders>
            <w:shd w:val="clear" w:color="000000" w:fill="BFBFBF"/>
            <w:noWrap/>
            <w:vAlign w:val="center"/>
            <w:hideMark/>
          </w:tcPr>
          <w:p w14:paraId="6F912D2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2F7F077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374D49B3"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2B113517"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auto" w:fill="auto"/>
            <w:noWrap/>
            <w:vAlign w:val="center"/>
            <w:hideMark/>
          </w:tcPr>
          <w:p w14:paraId="4E2E7DC2"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28.1</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B637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32.9</w:t>
            </w:r>
          </w:p>
        </w:tc>
        <w:tc>
          <w:tcPr>
            <w:tcW w:w="1098" w:type="dxa"/>
            <w:tcBorders>
              <w:top w:val="single" w:sz="4" w:space="0" w:color="auto"/>
              <w:left w:val="nil"/>
              <w:bottom w:val="single" w:sz="4" w:space="0" w:color="auto"/>
              <w:right w:val="nil"/>
            </w:tcBorders>
            <w:shd w:val="clear" w:color="auto" w:fill="auto"/>
            <w:noWrap/>
            <w:vAlign w:val="center"/>
            <w:hideMark/>
          </w:tcPr>
          <w:p w14:paraId="2C441DA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36.9</w:t>
            </w:r>
          </w:p>
        </w:tc>
        <w:tc>
          <w:tcPr>
            <w:tcW w:w="1111" w:type="dxa"/>
            <w:tcBorders>
              <w:top w:val="single" w:sz="4" w:space="0" w:color="auto"/>
              <w:left w:val="nil"/>
              <w:bottom w:val="single" w:sz="4" w:space="0" w:color="auto"/>
              <w:right w:val="nil"/>
            </w:tcBorders>
            <w:shd w:val="clear" w:color="auto" w:fill="auto"/>
            <w:noWrap/>
            <w:vAlign w:val="center"/>
            <w:hideMark/>
          </w:tcPr>
          <w:p w14:paraId="4C3283C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40.7</w:t>
            </w:r>
          </w:p>
        </w:tc>
        <w:tc>
          <w:tcPr>
            <w:tcW w:w="1112" w:type="dxa"/>
            <w:tcBorders>
              <w:top w:val="single" w:sz="4" w:space="0" w:color="auto"/>
              <w:left w:val="nil"/>
              <w:bottom w:val="single" w:sz="4" w:space="0" w:color="auto"/>
              <w:right w:val="nil"/>
            </w:tcBorders>
            <w:shd w:val="clear" w:color="auto" w:fill="auto"/>
            <w:noWrap/>
            <w:vAlign w:val="center"/>
            <w:hideMark/>
          </w:tcPr>
          <w:p w14:paraId="48F7648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44.1</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55D78D9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47.8</w:t>
            </w:r>
          </w:p>
        </w:tc>
      </w:tr>
      <w:tr w:rsidR="0032159E" w:rsidRPr="007F6332" w14:paraId="426F6D3D"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70A59" w14:textId="77777777"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2020 AFSR projection</w:t>
            </w:r>
          </w:p>
        </w:tc>
        <w:tc>
          <w:tcPr>
            <w:tcW w:w="1111" w:type="dxa"/>
            <w:tcBorders>
              <w:top w:val="single" w:sz="4" w:space="0" w:color="auto"/>
              <w:left w:val="nil"/>
              <w:bottom w:val="single" w:sz="4" w:space="0" w:color="auto"/>
              <w:right w:val="nil"/>
            </w:tcBorders>
            <w:shd w:val="clear" w:color="000000" w:fill="BFBFBF"/>
            <w:noWrap/>
            <w:vAlign w:val="center"/>
            <w:hideMark/>
          </w:tcPr>
          <w:p w14:paraId="6A14D68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3C766C2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26200B15"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FFE699"/>
            <w:noWrap/>
            <w:vAlign w:val="center"/>
            <w:hideMark/>
          </w:tcPr>
          <w:p w14:paraId="3655E239"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22.3</w:t>
            </w:r>
          </w:p>
        </w:tc>
        <w:tc>
          <w:tcPr>
            <w:tcW w:w="1112" w:type="dxa"/>
            <w:tcBorders>
              <w:top w:val="single" w:sz="4" w:space="0" w:color="auto"/>
              <w:left w:val="nil"/>
              <w:bottom w:val="single" w:sz="4" w:space="0" w:color="auto"/>
              <w:right w:val="nil"/>
            </w:tcBorders>
            <w:shd w:val="clear" w:color="auto" w:fill="auto"/>
            <w:noWrap/>
            <w:vAlign w:val="center"/>
            <w:hideMark/>
          </w:tcPr>
          <w:p w14:paraId="17D4640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26.1</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E0050"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28.9</w:t>
            </w:r>
          </w:p>
        </w:tc>
        <w:tc>
          <w:tcPr>
            <w:tcW w:w="1098" w:type="dxa"/>
            <w:tcBorders>
              <w:top w:val="single" w:sz="4" w:space="0" w:color="auto"/>
              <w:left w:val="nil"/>
              <w:bottom w:val="single" w:sz="4" w:space="0" w:color="auto"/>
              <w:right w:val="nil"/>
            </w:tcBorders>
            <w:shd w:val="clear" w:color="auto" w:fill="auto"/>
            <w:noWrap/>
            <w:vAlign w:val="center"/>
            <w:hideMark/>
          </w:tcPr>
          <w:p w14:paraId="162ED78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31.4</w:t>
            </w:r>
          </w:p>
        </w:tc>
        <w:tc>
          <w:tcPr>
            <w:tcW w:w="1111" w:type="dxa"/>
            <w:tcBorders>
              <w:top w:val="single" w:sz="4" w:space="0" w:color="auto"/>
              <w:left w:val="nil"/>
              <w:bottom w:val="single" w:sz="4" w:space="0" w:color="auto"/>
              <w:right w:val="nil"/>
            </w:tcBorders>
            <w:shd w:val="clear" w:color="auto" w:fill="auto"/>
            <w:noWrap/>
            <w:vAlign w:val="center"/>
            <w:hideMark/>
          </w:tcPr>
          <w:p w14:paraId="1E0E2C8F"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34.3</w:t>
            </w:r>
          </w:p>
        </w:tc>
        <w:tc>
          <w:tcPr>
            <w:tcW w:w="1112" w:type="dxa"/>
            <w:tcBorders>
              <w:top w:val="single" w:sz="4" w:space="0" w:color="auto"/>
              <w:left w:val="nil"/>
              <w:bottom w:val="single" w:sz="4" w:space="0" w:color="auto"/>
              <w:right w:val="nil"/>
            </w:tcBorders>
            <w:shd w:val="clear" w:color="auto" w:fill="auto"/>
            <w:noWrap/>
            <w:vAlign w:val="center"/>
            <w:hideMark/>
          </w:tcPr>
          <w:p w14:paraId="20D0225F"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37.4</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6BC367B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40.7</w:t>
            </w:r>
          </w:p>
        </w:tc>
      </w:tr>
      <w:tr w:rsidR="0032159E" w:rsidRPr="007F6332" w14:paraId="087C73FE"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EA430" w14:textId="5B87674B"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2019 projection</w:t>
            </w:r>
          </w:p>
        </w:tc>
        <w:tc>
          <w:tcPr>
            <w:tcW w:w="1111" w:type="dxa"/>
            <w:tcBorders>
              <w:top w:val="single" w:sz="4" w:space="0" w:color="auto"/>
              <w:left w:val="nil"/>
              <w:bottom w:val="single" w:sz="4" w:space="0" w:color="auto"/>
              <w:right w:val="nil"/>
            </w:tcBorders>
            <w:shd w:val="clear" w:color="000000" w:fill="BFBFBF"/>
            <w:noWrap/>
            <w:vAlign w:val="center"/>
            <w:hideMark/>
          </w:tcPr>
          <w:p w14:paraId="77AD95E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595CE8A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5C55525C"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auto" w:fill="auto"/>
            <w:noWrap/>
            <w:vAlign w:val="center"/>
            <w:hideMark/>
          </w:tcPr>
          <w:p w14:paraId="50458683"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21.8</w:t>
            </w:r>
          </w:p>
        </w:tc>
        <w:tc>
          <w:tcPr>
            <w:tcW w:w="1112" w:type="dxa"/>
            <w:tcBorders>
              <w:top w:val="single" w:sz="4" w:space="0" w:color="auto"/>
              <w:left w:val="nil"/>
              <w:bottom w:val="single" w:sz="4" w:space="0" w:color="auto"/>
              <w:right w:val="nil"/>
            </w:tcBorders>
            <w:shd w:val="clear" w:color="auto" w:fill="auto"/>
            <w:noWrap/>
            <w:vAlign w:val="center"/>
            <w:hideMark/>
          </w:tcPr>
          <w:p w14:paraId="1646296F"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25.4</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032A3"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28.5</w:t>
            </w:r>
          </w:p>
        </w:tc>
        <w:tc>
          <w:tcPr>
            <w:tcW w:w="1098" w:type="dxa"/>
            <w:tcBorders>
              <w:top w:val="single" w:sz="4" w:space="0" w:color="auto"/>
              <w:left w:val="nil"/>
              <w:bottom w:val="single" w:sz="4" w:space="0" w:color="auto"/>
              <w:right w:val="nil"/>
            </w:tcBorders>
            <w:shd w:val="clear" w:color="auto" w:fill="auto"/>
            <w:noWrap/>
            <w:vAlign w:val="center"/>
            <w:hideMark/>
          </w:tcPr>
          <w:p w14:paraId="2E934A3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31.4</w:t>
            </w:r>
          </w:p>
        </w:tc>
        <w:tc>
          <w:tcPr>
            <w:tcW w:w="1111" w:type="dxa"/>
            <w:tcBorders>
              <w:top w:val="single" w:sz="4" w:space="0" w:color="auto"/>
              <w:left w:val="nil"/>
              <w:bottom w:val="single" w:sz="4" w:space="0" w:color="auto"/>
              <w:right w:val="nil"/>
            </w:tcBorders>
            <w:shd w:val="clear" w:color="auto" w:fill="auto"/>
            <w:noWrap/>
            <w:vAlign w:val="center"/>
            <w:hideMark/>
          </w:tcPr>
          <w:p w14:paraId="6393FABF"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34.2</w:t>
            </w:r>
          </w:p>
        </w:tc>
        <w:tc>
          <w:tcPr>
            <w:tcW w:w="1112" w:type="dxa"/>
            <w:tcBorders>
              <w:top w:val="single" w:sz="4" w:space="0" w:color="auto"/>
              <w:left w:val="nil"/>
              <w:bottom w:val="single" w:sz="4" w:space="0" w:color="auto"/>
              <w:right w:val="nil"/>
            </w:tcBorders>
            <w:shd w:val="clear" w:color="auto" w:fill="auto"/>
            <w:noWrap/>
            <w:vAlign w:val="center"/>
            <w:hideMark/>
          </w:tcPr>
          <w:p w14:paraId="3F07638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37.1</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198117D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40.2</w:t>
            </w:r>
          </w:p>
        </w:tc>
      </w:tr>
      <w:tr w:rsidR="0032159E" w:rsidRPr="007F6332" w14:paraId="25DDD394"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A856E" w14:textId="77777777"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2019 AFSR projection</w:t>
            </w:r>
          </w:p>
        </w:tc>
        <w:tc>
          <w:tcPr>
            <w:tcW w:w="1111" w:type="dxa"/>
            <w:tcBorders>
              <w:top w:val="single" w:sz="4" w:space="0" w:color="auto"/>
              <w:left w:val="nil"/>
              <w:bottom w:val="single" w:sz="4" w:space="0" w:color="auto"/>
              <w:right w:val="nil"/>
            </w:tcBorders>
            <w:shd w:val="clear" w:color="000000" w:fill="BFBFBF"/>
            <w:noWrap/>
            <w:vAlign w:val="center"/>
            <w:hideMark/>
          </w:tcPr>
          <w:p w14:paraId="5C5DA29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0F33DF6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FFE699"/>
            <w:noWrap/>
            <w:vAlign w:val="center"/>
            <w:hideMark/>
          </w:tcPr>
          <w:p w14:paraId="540DB2F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16.7</w:t>
            </w:r>
          </w:p>
        </w:tc>
        <w:tc>
          <w:tcPr>
            <w:tcW w:w="1112" w:type="dxa"/>
            <w:tcBorders>
              <w:top w:val="single" w:sz="4" w:space="0" w:color="auto"/>
              <w:left w:val="nil"/>
              <w:bottom w:val="single" w:sz="4" w:space="0" w:color="auto"/>
              <w:right w:val="nil"/>
            </w:tcBorders>
            <w:shd w:val="clear" w:color="auto" w:fill="auto"/>
            <w:noWrap/>
            <w:vAlign w:val="center"/>
            <w:hideMark/>
          </w:tcPr>
          <w:p w14:paraId="2C971A40"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21.1</w:t>
            </w:r>
          </w:p>
        </w:tc>
        <w:tc>
          <w:tcPr>
            <w:tcW w:w="1112" w:type="dxa"/>
            <w:tcBorders>
              <w:top w:val="single" w:sz="4" w:space="0" w:color="auto"/>
              <w:left w:val="nil"/>
              <w:bottom w:val="single" w:sz="4" w:space="0" w:color="auto"/>
              <w:right w:val="nil"/>
            </w:tcBorders>
            <w:shd w:val="clear" w:color="auto" w:fill="auto"/>
            <w:noWrap/>
            <w:vAlign w:val="center"/>
            <w:hideMark/>
          </w:tcPr>
          <w:p w14:paraId="3BD6DA6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24.2</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54A0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26.9</w:t>
            </w:r>
          </w:p>
        </w:tc>
        <w:tc>
          <w:tcPr>
            <w:tcW w:w="1098" w:type="dxa"/>
            <w:tcBorders>
              <w:top w:val="single" w:sz="4" w:space="0" w:color="auto"/>
              <w:left w:val="nil"/>
              <w:bottom w:val="single" w:sz="4" w:space="0" w:color="auto"/>
              <w:right w:val="nil"/>
            </w:tcBorders>
            <w:shd w:val="clear" w:color="auto" w:fill="auto"/>
            <w:noWrap/>
            <w:vAlign w:val="center"/>
            <w:hideMark/>
          </w:tcPr>
          <w:p w14:paraId="6075D99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28.9</w:t>
            </w:r>
          </w:p>
        </w:tc>
        <w:tc>
          <w:tcPr>
            <w:tcW w:w="1111" w:type="dxa"/>
            <w:tcBorders>
              <w:top w:val="single" w:sz="4" w:space="0" w:color="auto"/>
              <w:left w:val="nil"/>
              <w:bottom w:val="single" w:sz="4" w:space="0" w:color="auto"/>
              <w:right w:val="nil"/>
            </w:tcBorders>
            <w:shd w:val="clear" w:color="auto" w:fill="auto"/>
            <w:noWrap/>
            <w:vAlign w:val="center"/>
            <w:hideMark/>
          </w:tcPr>
          <w:p w14:paraId="242A4B8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30.8</w:t>
            </w:r>
          </w:p>
        </w:tc>
        <w:tc>
          <w:tcPr>
            <w:tcW w:w="1112" w:type="dxa"/>
            <w:tcBorders>
              <w:top w:val="single" w:sz="4" w:space="0" w:color="auto"/>
              <w:left w:val="nil"/>
              <w:bottom w:val="single" w:sz="4" w:space="0" w:color="auto"/>
              <w:right w:val="nil"/>
            </w:tcBorders>
            <w:shd w:val="clear" w:color="auto" w:fill="auto"/>
            <w:noWrap/>
            <w:vAlign w:val="center"/>
            <w:hideMark/>
          </w:tcPr>
          <w:p w14:paraId="05A05EA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33.3</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745CC42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35.8</w:t>
            </w:r>
          </w:p>
        </w:tc>
      </w:tr>
      <w:tr w:rsidR="0032159E" w:rsidRPr="007F6332" w14:paraId="5871E585"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A8C4A" w14:textId="32C4B8B5"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2018 AFSR projection</w:t>
            </w:r>
            <w:r w:rsidR="00C96360" w:rsidRPr="007F6332">
              <w:rPr>
                <w:rStyle w:val="FootnoteReference"/>
                <w:rFonts w:eastAsia="Times New Roman" w:cs="Arial"/>
                <w:color w:val="000000"/>
                <w:sz w:val="16"/>
                <w:szCs w:val="16"/>
                <w:lang w:eastAsia="en-AU"/>
              </w:rPr>
              <w:footnoteReference w:id="123"/>
            </w:r>
          </w:p>
        </w:tc>
        <w:tc>
          <w:tcPr>
            <w:tcW w:w="1111" w:type="dxa"/>
            <w:tcBorders>
              <w:top w:val="single" w:sz="4" w:space="0" w:color="auto"/>
              <w:left w:val="nil"/>
              <w:bottom w:val="single" w:sz="4" w:space="0" w:color="auto"/>
              <w:right w:val="nil"/>
            </w:tcBorders>
            <w:shd w:val="clear" w:color="000000" w:fill="BFBFBF"/>
            <w:noWrap/>
            <w:vAlign w:val="center"/>
            <w:hideMark/>
          </w:tcPr>
          <w:p w14:paraId="11B4BD37"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FFE699"/>
            <w:noWrap/>
            <w:vAlign w:val="center"/>
            <w:hideMark/>
          </w:tcPr>
          <w:p w14:paraId="5DCBA1A6"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9.5</w:t>
            </w:r>
          </w:p>
        </w:tc>
        <w:tc>
          <w:tcPr>
            <w:tcW w:w="1111" w:type="dxa"/>
            <w:tcBorders>
              <w:top w:val="single" w:sz="4" w:space="0" w:color="auto"/>
              <w:left w:val="nil"/>
              <w:bottom w:val="single" w:sz="4" w:space="0" w:color="auto"/>
              <w:right w:val="nil"/>
            </w:tcBorders>
            <w:shd w:val="clear" w:color="auto" w:fill="auto"/>
            <w:noWrap/>
            <w:vAlign w:val="center"/>
            <w:hideMark/>
          </w:tcPr>
          <w:p w14:paraId="68053FC2"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16.0</w:t>
            </w:r>
          </w:p>
        </w:tc>
        <w:tc>
          <w:tcPr>
            <w:tcW w:w="1112" w:type="dxa"/>
            <w:tcBorders>
              <w:top w:val="single" w:sz="4" w:space="0" w:color="auto"/>
              <w:left w:val="nil"/>
              <w:bottom w:val="single" w:sz="4" w:space="0" w:color="auto"/>
              <w:right w:val="nil"/>
            </w:tcBorders>
            <w:shd w:val="clear" w:color="auto" w:fill="auto"/>
            <w:noWrap/>
            <w:vAlign w:val="center"/>
            <w:hideMark/>
          </w:tcPr>
          <w:p w14:paraId="2C6BE93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20.3</w:t>
            </w:r>
          </w:p>
        </w:tc>
        <w:tc>
          <w:tcPr>
            <w:tcW w:w="1112" w:type="dxa"/>
            <w:tcBorders>
              <w:top w:val="single" w:sz="4" w:space="0" w:color="auto"/>
              <w:left w:val="nil"/>
              <w:bottom w:val="single" w:sz="4" w:space="0" w:color="auto"/>
              <w:right w:val="nil"/>
            </w:tcBorders>
            <w:shd w:val="clear" w:color="auto" w:fill="auto"/>
            <w:noWrap/>
            <w:vAlign w:val="center"/>
            <w:hideMark/>
          </w:tcPr>
          <w:p w14:paraId="42DFBB5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23.6</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33EA5"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26.6</w:t>
            </w:r>
          </w:p>
        </w:tc>
        <w:tc>
          <w:tcPr>
            <w:tcW w:w="1098" w:type="dxa"/>
            <w:tcBorders>
              <w:top w:val="single" w:sz="4" w:space="0" w:color="auto"/>
              <w:left w:val="nil"/>
              <w:bottom w:val="single" w:sz="4" w:space="0" w:color="auto"/>
              <w:right w:val="nil"/>
            </w:tcBorders>
            <w:shd w:val="clear" w:color="auto" w:fill="auto"/>
            <w:noWrap/>
            <w:vAlign w:val="center"/>
            <w:hideMark/>
          </w:tcPr>
          <w:p w14:paraId="0F26F658"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29.5</w:t>
            </w:r>
          </w:p>
        </w:tc>
        <w:tc>
          <w:tcPr>
            <w:tcW w:w="1111" w:type="dxa"/>
            <w:tcBorders>
              <w:top w:val="single" w:sz="4" w:space="0" w:color="auto"/>
              <w:left w:val="nil"/>
              <w:bottom w:val="single" w:sz="4" w:space="0" w:color="auto"/>
              <w:right w:val="nil"/>
            </w:tcBorders>
            <w:shd w:val="clear" w:color="auto" w:fill="auto"/>
            <w:noWrap/>
            <w:vAlign w:val="center"/>
            <w:hideMark/>
          </w:tcPr>
          <w:p w14:paraId="64C53C7F"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31.7</w:t>
            </w:r>
          </w:p>
        </w:tc>
        <w:tc>
          <w:tcPr>
            <w:tcW w:w="1112" w:type="dxa"/>
            <w:tcBorders>
              <w:top w:val="single" w:sz="4" w:space="0" w:color="auto"/>
              <w:left w:val="nil"/>
              <w:bottom w:val="single" w:sz="4" w:space="0" w:color="auto"/>
              <w:right w:val="nil"/>
            </w:tcBorders>
            <w:shd w:val="clear" w:color="auto" w:fill="auto"/>
            <w:noWrap/>
            <w:vAlign w:val="center"/>
            <w:hideMark/>
          </w:tcPr>
          <w:p w14:paraId="7DAECC9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34.0</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14:paraId="35ECCC99"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36.4</w:t>
            </w:r>
          </w:p>
        </w:tc>
      </w:tr>
      <w:tr w:rsidR="0032159E" w:rsidRPr="007F6332" w14:paraId="4DE1229A" w14:textId="77777777" w:rsidTr="00C1755E">
        <w:trPr>
          <w:trHeight w:val="157"/>
        </w:trPr>
        <w:tc>
          <w:tcPr>
            <w:tcW w:w="3074" w:type="dxa"/>
            <w:tcBorders>
              <w:top w:val="single" w:sz="4" w:space="0" w:color="auto"/>
              <w:left w:val="single" w:sz="4" w:space="0" w:color="auto"/>
              <w:bottom w:val="single" w:sz="4" w:space="0" w:color="auto"/>
              <w:right w:val="nil"/>
            </w:tcBorders>
            <w:shd w:val="clear" w:color="000000" w:fill="D3C5D7"/>
            <w:noWrap/>
            <w:vAlign w:val="center"/>
            <w:hideMark/>
          </w:tcPr>
          <w:p w14:paraId="247EF449" w14:textId="77777777" w:rsidR="00B042DF" w:rsidRPr="007F6332" w:rsidRDefault="00B042DF" w:rsidP="00D8325F">
            <w:pPr>
              <w:spacing w:after="0" w:line="240" w:lineRule="auto"/>
              <w:rPr>
                <w:rFonts w:eastAsia="Times New Roman" w:cs="Arial"/>
                <w:b/>
                <w:bCs/>
                <w:color w:val="000000"/>
                <w:sz w:val="16"/>
                <w:szCs w:val="16"/>
                <w:lang w:eastAsia="en-AU"/>
              </w:rPr>
            </w:pPr>
            <w:r w:rsidRPr="007F6332">
              <w:rPr>
                <w:rFonts w:eastAsia="Times New Roman" w:cs="Arial"/>
                <w:b/>
                <w:bCs/>
                <w:color w:val="000000"/>
                <w:sz w:val="16"/>
                <w:szCs w:val="16"/>
                <w:lang w:eastAsia="en-AU"/>
              </w:rPr>
              <w:t>Comparison with actuals</w:t>
            </w:r>
          </w:p>
        </w:tc>
        <w:tc>
          <w:tcPr>
            <w:tcW w:w="1111" w:type="dxa"/>
            <w:tcBorders>
              <w:top w:val="single" w:sz="4" w:space="0" w:color="auto"/>
              <w:left w:val="nil"/>
              <w:bottom w:val="single" w:sz="4" w:space="0" w:color="auto"/>
              <w:right w:val="nil"/>
            </w:tcBorders>
            <w:shd w:val="clear" w:color="000000" w:fill="D3C5D7"/>
            <w:noWrap/>
            <w:vAlign w:val="center"/>
            <w:hideMark/>
          </w:tcPr>
          <w:p w14:paraId="356E6D9C"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686FD263"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D3C5D7"/>
            <w:noWrap/>
            <w:vAlign w:val="center"/>
            <w:hideMark/>
          </w:tcPr>
          <w:p w14:paraId="24E6FC34"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4C66215E"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051B021F"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25" w:type="dxa"/>
            <w:tcBorders>
              <w:top w:val="single" w:sz="4" w:space="0" w:color="auto"/>
              <w:left w:val="single" w:sz="4" w:space="0" w:color="auto"/>
              <w:bottom w:val="single" w:sz="4" w:space="0" w:color="auto"/>
              <w:right w:val="single" w:sz="4" w:space="0" w:color="auto"/>
            </w:tcBorders>
            <w:shd w:val="clear" w:color="000000" w:fill="D3C5D7"/>
            <w:noWrap/>
            <w:vAlign w:val="center"/>
            <w:hideMark/>
          </w:tcPr>
          <w:p w14:paraId="782D131C"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098" w:type="dxa"/>
            <w:tcBorders>
              <w:top w:val="single" w:sz="4" w:space="0" w:color="auto"/>
              <w:left w:val="nil"/>
              <w:bottom w:val="single" w:sz="4" w:space="0" w:color="auto"/>
              <w:right w:val="nil"/>
            </w:tcBorders>
            <w:shd w:val="clear" w:color="000000" w:fill="D3C5D7"/>
            <w:noWrap/>
            <w:vAlign w:val="center"/>
            <w:hideMark/>
          </w:tcPr>
          <w:p w14:paraId="74430DAF"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D3C5D7"/>
            <w:noWrap/>
            <w:vAlign w:val="center"/>
            <w:hideMark/>
          </w:tcPr>
          <w:p w14:paraId="4B70DDCC"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D3C5D7"/>
            <w:noWrap/>
            <w:vAlign w:val="center"/>
            <w:hideMark/>
          </w:tcPr>
          <w:p w14:paraId="43F9B240"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1112" w:type="dxa"/>
            <w:tcBorders>
              <w:top w:val="single" w:sz="4" w:space="0" w:color="auto"/>
              <w:left w:val="nil"/>
              <w:bottom w:val="single" w:sz="4" w:space="0" w:color="auto"/>
              <w:right w:val="single" w:sz="4" w:space="0" w:color="auto"/>
            </w:tcBorders>
            <w:shd w:val="clear" w:color="000000" w:fill="D3C5D7"/>
            <w:noWrap/>
            <w:vAlign w:val="center"/>
            <w:hideMark/>
          </w:tcPr>
          <w:p w14:paraId="5D38249A" w14:textId="77777777" w:rsidR="00B042DF" w:rsidRPr="007F6332" w:rsidRDefault="00B042DF" w:rsidP="00D8325F">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r>
      <w:tr w:rsidR="0032159E" w:rsidRPr="007F6332" w14:paraId="544D078F" w14:textId="77777777" w:rsidTr="00C1755E">
        <w:trPr>
          <w:trHeight w:val="148"/>
        </w:trPr>
        <w:tc>
          <w:tcPr>
            <w:tcW w:w="30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9550C" w14:textId="56CF3045"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 xml:space="preserve">Actual participant </w:t>
            </w:r>
            <w:r w:rsidR="00122E9F" w:rsidRPr="007F6332">
              <w:rPr>
                <w:rFonts w:eastAsia="Times New Roman" w:cs="Arial"/>
                <w:color w:val="000000"/>
                <w:sz w:val="16"/>
                <w:szCs w:val="16"/>
                <w:lang w:eastAsia="en-AU"/>
              </w:rPr>
              <w:t>payments</w:t>
            </w:r>
            <w:r w:rsidRPr="007F6332">
              <w:rPr>
                <w:rFonts w:eastAsia="Times New Roman" w:cs="Arial"/>
                <w:color w:val="000000"/>
                <w:sz w:val="16"/>
                <w:szCs w:val="16"/>
                <w:lang w:eastAsia="en-AU"/>
              </w:rPr>
              <w:t xml:space="preserve"> (accrual)</w:t>
            </w:r>
          </w:p>
        </w:tc>
        <w:tc>
          <w:tcPr>
            <w:tcW w:w="1111" w:type="dxa"/>
            <w:tcBorders>
              <w:top w:val="single" w:sz="4" w:space="0" w:color="auto"/>
              <w:left w:val="nil"/>
              <w:bottom w:val="single" w:sz="4" w:space="0" w:color="auto"/>
              <w:right w:val="nil"/>
            </w:tcBorders>
            <w:shd w:val="clear" w:color="auto" w:fill="auto"/>
            <w:noWrap/>
            <w:vAlign w:val="center"/>
            <w:hideMark/>
          </w:tcPr>
          <w:p w14:paraId="084084C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5.4</w:t>
            </w:r>
          </w:p>
        </w:tc>
        <w:tc>
          <w:tcPr>
            <w:tcW w:w="1112" w:type="dxa"/>
            <w:tcBorders>
              <w:top w:val="single" w:sz="4" w:space="0" w:color="auto"/>
              <w:left w:val="nil"/>
              <w:bottom w:val="single" w:sz="4" w:space="0" w:color="auto"/>
              <w:right w:val="nil"/>
            </w:tcBorders>
            <w:shd w:val="clear" w:color="000000" w:fill="FFE699"/>
            <w:noWrap/>
            <w:vAlign w:val="center"/>
            <w:hideMark/>
          </w:tcPr>
          <w:p w14:paraId="2E338557"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10.5</w:t>
            </w:r>
          </w:p>
        </w:tc>
        <w:tc>
          <w:tcPr>
            <w:tcW w:w="1111" w:type="dxa"/>
            <w:tcBorders>
              <w:top w:val="single" w:sz="4" w:space="0" w:color="auto"/>
              <w:left w:val="nil"/>
              <w:bottom w:val="single" w:sz="4" w:space="0" w:color="auto"/>
              <w:right w:val="nil"/>
            </w:tcBorders>
            <w:shd w:val="clear" w:color="000000" w:fill="FFE699"/>
            <w:noWrap/>
            <w:vAlign w:val="center"/>
            <w:hideMark/>
          </w:tcPr>
          <w:p w14:paraId="098F1E6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17.6</w:t>
            </w:r>
          </w:p>
        </w:tc>
        <w:tc>
          <w:tcPr>
            <w:tcW w:w="1112" w:type="dxa"/>
            <w:tcBorders>
              <w:top w:val="single" w:sz="4" w:space="0" w:color="auto"/>
              <w:left w:val="nil"/>
              <w:bottom w:val="single" w:sz="4" w:space="0" w:color="auto"/>
              <w:right w:val="nil"/>
            </w:tcBorders>
            <w:shd w:val="clear" w:color="000000" w:fill="FFE699"/>
            <w:noWrap/>
            <w:vAlign w:val="center"/>
            <w:hideMark/>
          </w:tcPr>
          <w:p w14:paraId="528EB11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23.3</w:t>
            </w:r>
          </w:p>
        </w:tc>
        <w:tc>
          <w:tcPr>
            <w:tcW w:w="1112" w:type="dxa"/>
            <w:tcBorders>
              <w:top w:val="single" w:sz="4" w:space="0" w:color="auto"/>
              <w:left w:val="nil"/>
              <w:bottom w:val="single" w:sz="4" w:space="0" w:color="auto"/>
              <w:right w:val="nil"/>
            </w:tcBorders>
            <w:shd w:val="clear" w:color="000000" w:fill="FFE699"/>
            <w:noWrap/>
            <w:vAlign w:val="center"/>
            <w:hideMark/>
          </w:tcPr>
          <w:p w14:paraId="472D4887"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28.6</w:t>
            </w:r>
          </w:p>
        </w:tc>
        <w:tc>
          <w:tcPr>
            <w:tcW w:w="1125"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F443637"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35.1</w:t>
            </w:r>
          </w:p>
        </w:tc>
        <w:tc>
          <w:tcPr>
            <w:tcW w:w="1098" w:type="dxa"/>
            <w:tcBorders>
              <w:top w:val="single" w:sz="4" w:space="0" w:color="auto"/>
              <w:left w:val="nil"/>
              <w:bottom w:val="single" w:sz="4" w:space="0" w:color="auto"/>
              <w:right w:val="nil"/>
            </w:tcBorders>
            <w:shd w:val="clear" w:color="000000" w:fill="BFBFBF"/>
            <w:noWrap/>
            <w:vAlign w:val="center"/>
            <w:hideMark/>
          </w:tcPr>
          <w:p w14:paraId="66E0A748" w14:textId="77777777" w:rsidR="00B042DF" w:rsidRPr="007F6332" w:rsidRDefault="00B042DF" w:rsidP="00D8325F">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537E640D" w14:textId="77777777" w:rsidR="00B042DF" w:rsidRPr="007F6332" w:rsidRDefault="00B042DF" w:rsidP="00D8325F">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32D119F8" w14:textId="77777777" w:rsidR="00B042DF" w:rsidRPr="007F6332" w:rsidRDefault="00B042DF" w:rsidP="00D8325F">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1112" w:type="dxa"/>
            <w:tcBorders>
              <w:top w:val="single" w:sz="4" w:space="0" w:color="auto"/>
              <w:left w:val="nil"/>
              <w:bottom w:val="single" w:sz="4" w:space="0" w:color="auto"/>
              <w:right w:val="single" w:sz="4" w:space="0" w:color="auto"/>
            </w:tcBorders>
            <w:shd w:val="clear" w:color="000000" w:fill="BFBFBF"/>
            <w:noWrap/>
            <w:vAlign w:val="center"/>
            <w:hideMark/>
          </w:tcPr>
          <w:p w14:paraId="1ADE115E" w14:textId="77777777" w:rsidR="00B042DF" w:rsidRPr="007F6332" w:rsidRDefault="00B042DF" w:rsidP="00D8325F">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r>
      <w:tr w:rsidR="0032159E" w:rsidRPr="007F6332" w14:paraId="02C50384" w14:textId="77777777" w:rsidTr="00C1755E">
        <w:trPr>
          <w:trHeight w:val="159"/>
        </w:trPr>
        <w:tc>
          <w:tcPr>
            <w:tcW w:w="3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CC92" w14:textId="37CD6BB4"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 xml:space="preserve">Actual participant </w:t>
            </w:r>
            <w:r w:rsidR="00F220C6" w:rsidRPr="007F6332">
              <w:rPr>
                <w:rFonts w:eastAsia="Times New Roman" w:cs="Arial"/>
                <w:color w:val="000000"/>
                <w:sz w:val="16"/>
                <w:szCs w:val="16"/>
                <w:lang w:eastAsia="en-AU"/>
              </w:rPr>
              <w:t>payments</w:t>
            </w:r>
            <w:r w:rsidRPr="007F6332">
              <w:rPr>
                <w:rFonts w:eastAsia="Times New Roman" w:cs="Arial"/>
                <w:color w:val="000000"/>
                <w:sz w:val="16"/>
                <w:szCs w:val="16"/>
                <w:lang w:eastAsia="en-AU"/>
              </w:rPr>
              <w:t xml:space="preserve"> compared with June AFSR ($)</w:t>
            </w:r>
          </w:p>
        </w:tc>
        <w:tc>
          <w:tcPr>
            <w:tcW w:w="1111" w:type="dxa"/>
            <w:tcBorders>
              <w:top w:val="single" w:sz="4" w:space="0" w:color="auto"/>
              <w:left w:val="nil"/>
              <w:bottom w:val="single" w:sz="4" w:space="0" w:color="auto"/>
              <w:right w:val="nil"/>
            </w:tcBorders>
            <w:shd w:val="clear" w:color="000000" w:fill="BFBFBF"/>
            <w:noWrap/>
            <w:vAlign w:val="center"/>
            <w:hideMark/>
          </w:tcPr>
          <w:p w14:paraId="53DFCBC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FFE699"/>
            <w:noWrap/>
            <w:vAlign w:val="center"/>
            <w:hideMark/>
          </w:tcPr>
          <w:p w14:paraId="4B99DA8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0.9</w:t>
            </w:r>
          </w:p>
        </w:tc>
        <w:tc>
          <w:tcPr>
            <w:tcW w:w="1111" w:type="dxa"/>
            <w:tcBorders>
              <w:top w:val="single" w:sz="4" w:space="0" w:color="auto"/>
              <w:left w:val="nil"/>
              <w:bottom w:val="single" w:sz="4" w:space="0" w:color="auto"/>
              <w:right w:val="nil"/>
            </w:tcBorders>
            <w:shd w:val="clear" w:color="000000" w:fill="FFE699"/>
            <w:noWrap/>
            <w:vAlign w:val="center"/>
            <w:hideMark/>
          </w:tcPr>
          <w:p w14:paraId="686228B7"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0.8</w:t>
            </w:r>
          </w:p>
        </w:tc>
        <w:tc>
          <w:tcPr>
            <w:tcW w:w="1112" w:type="dxa"/>
            <w:tcBorders>
              <w:top w:val="single" w:sz="4" w:space="0" w:color="auto"/>
              <w:left w:val="nil"/>
              <w:bottom w:val="single" w:sz="4" w:space="0" w:color="auto"/>
              <w:right w:val="nil"/>
            </w:tcBorders>
            <w:shd w:val="clear" w:color="000000" w:fill="FFE699"/>
            <w:noWrap/>
            <w:vAlign w:val="center"/>
            <w:hideMark/>
          </w:tcPr>
          <w:p w14:paraId="18C0D7F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1.0</w:t>
            </w:r>
          </w:p>
        </w:tc>
        <w:tc>
          <w:tcPr>
            <w:tcW w:w="1112" w:type="dxa"/>
            <w:tcBorders>
              <w:top w:val="single" w:sz="4" w:space="0" w:color="auto"/>
              <w:left w:val="nil"/>
              <w:bottom w:val="single" w:sz="4" w:space="0" w:color="auto"/>
              <w:right w:val="nil"/>
            </w:tcBorders>
            <w:shd w:val="clear" w:color="000000" w:fill="FFE699"/>
            <w:noWrap/>
            <w:vAlign w:val="center"/>
            <w:hideMark/>
          </w:tcPr>
          <w:p w14:paraId="392AC0C7"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-0.6</w:t>
            </w:r>
          </w:p>
        </w:tc>
        <w:tc>
          <w:tcPr>
            <w:tcW w:w="1125"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8327127"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1.1</w:t>
            </w:r>
          </w:p>
        </w:tc>
        <w:tc>
          <w:tcPr>
            <w:tcW w:w="1098" w:type="dxa"/>
            <w:tcBorders>
              <w:top w:val="single" w:sz="4" w:space="0" w:color="auto"/>
              <w:left w:val="nil"/>
              <w:bottom w:val="single" w:sz="4" w:space="0" w:color="auto"/>
              <w:right w:val="nil"/>
            </w:tcBorders>
            <w:shd w:val="clear" w:color="000000" w:fill="BFBFBF"/>
            <w:noWrap/>
            <w:vAlign w:val="center"/>
            <w:hideMark/>
          </w:tcPr>
          <w:p w14:paraId="022BBD5D"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630C443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68A2E5D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single" w:sz="4" w:space="0" w:color="auto"/>
            </w:tcBorders>
            <w:shd w:val="clear" w:color="000000" w:fill="BFBFBF"/>
            <w:noWrap/>
            <w:vAlign w:val="center"/>
            <w:hideMark/>
          </w:tcPr>
          <w:p w14:paraId="4C58B92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r>
      <w:tr w:rsidR="0032159E" w:rsidRPr="007F6332" w14:paraId="069C3C1F" w14:textId="77777777" w:rsidTr="00C1755E">
        <w:trPr>
          <w:trHeight w:val="372"/>
        </w:trPr>
        <w:tc>
          <w:tcPr>
            <w:tcW w:w="3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47E59" w14:textId="7C8CCFE2" w:rsidR="00B042DF" w:rsidRPr="007F6332" w:rsidRDefault="00B042DF" w:rsidP="00D8325F">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 xml:space="preserve">Actual participant </w:t>
            </w:r>
            <w:r w:rsidR="00F220C6" w:rsidRPr="007F6332">
              <w:rPr>
                <w:rFonts w:eastAsia="Times New Roman" w:cs="Arial"/>
                <w:color w:val="000000"/>
                <w:sz w:val="16"/>
                <w:szCs w:val="16"/>
                <w:lang w:eastAsia="en-AU"/>
              </w:rPr>
              <w:t>payments</w:t>
            </w:r>
            <w:r w:rsidRPr="007F6332">
              <w:rPr>
                <w:rFonts w:eastAsia="Times New Roman" w:cs="Arial"/>
                <w:color w:val="000000"/>
                <w:sz w:val="16"/>
                <w:szCs w:val="16"/>
                <w:lang w:eastAsia="en-AU"/>
              </w:rPr>
              <w:t xml:space="preserve"> compared with June AFSR (%)</w:t>
            </w:r>
            <w:r w:rsidRPr="007F6332">
              <w:rPr>
                <w:rFonts w:eastAsia="Times New Roman" w:cs="Arial"/>
                <w:color w:val="000000"/>
                <w:sz w:val="16"/>
                <w:szCs w:val="16"/>
                <w:lang w:eastAsia="en-AU"/>
              </w:rPr>
              <w:br/>
            </w:r>
            <w:r w:rsidRPr="007F6332">
              <w:rPr>
                <w:rFonts w:eastAsia="Times New Roman" w:cs="Arial"/>
                <w:i/>
                <w:iCs/>
                <w:color w:val="000000"/>
                <w:sz w:val="16"/>
                <w:szCs w:val="16"/>
                <w:lang w:eastAsia="en-AU"/>
              </w:rPr>
              <w:t>(Actual experience - AFSR projection)/(Actual experience)</w:t>
            </w:r>
          </w:p>
        </w:tc>
        <w:tc>
          <w:tcPr>
            <w:tcW w:w="1111" w:type="dxa"/>
            <w:tcBorders>
              <w:top w:val="single" w:sz="4" w:space="0" w:color="auto"/>
              <w:left w:val="nil"/>
              <w:bottom w:val="single" w:sz="4" w:space="0" w:color="auto"/>
              <w:right w:val="nil"/>
            </w:tcBorders>
            <w:shd w:val="clear" w:color="000000" w:fill="BFBFBF"/>
            <w:noWrap/>
            <w:vAlign w:val="center"/>
            <w:hideMark/>
          </w:tcPr>
          <w:p w14:paraId="220FFA4C"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FFE699"/>
            <w:noWrap/>
            <w:vAlign w:val="center"/>
            <w:hideMark/>
          </w:tcPr>
          <w:p w14:paraId="5A01F78C"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8.9%</w:t>
            </w:r>
          </w:p>
        </w:tc>
        <w:tc>
          <w:tcPr>
            <w:tcW w:w="1111" w:type="dxa"/>
            <w:tcBorders>
              <w:top w:val="single" w:sz="4" w:space="0" w:color="auto"/>
              <w:left w:val="nil"/>
              <w:bottom w:val="single" w:sz="4" w:space="0" w:color="auto"/>
              <w:right w:val="nil"/>
            </w:tcBorders>
            <w:shd w:val="clear" w:color="000000" w:fill="FFE699"/>
            <w:noWrap/>
            <w:vAlign w:val="center"/>
            <w:hideMark/>
          </w:tcPr>
          <w:p w14:paraId="188289B5"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4.8%</w:t>
            </w:r>
          </w:p>
        </w:tc>
        <w:tc>
          <w:tcPr>
            <w:tcW w:w="1112" w:type="dxa"/>
            <w:tcBorders>
              <w:top w:val="single" w:sz="4" w:space="0" w:color="auto"/>
              <w:left w:val="nil"/>
              <w:bottom w:val="single" w:sz="4" w:space="0" w:color="auto"/>
              <w:right w:val="nil"/>
            </w:tcBorders>
            <w:shd w:val="clear" w:color="000000" w:fill="FFE699"/>
            <w:noWrap/>
            <w:vAlign w:val="center"/>
            <w:hideMark/>
          </w:tcPr>
          <w:p w14:paraId="62E9A20B"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4.5%</w:t>
            </w:r>
          </w:p>
        </w:tc>
        <w:tc>
          <w:tcPr>
            <w:tcW w:w="1112" w:type="dxa"/>
            <w:tcBorders>
              <w:top w:val="single" w:sz="4" w:space="0" w:color="auto"/>
              <w:left w:val="nil"/>
              <w:bottom w:val="single" w:sz="4" w:space="0" w:color="auto"/>
              <w:right w:val="nil"/>
            </w:tcBorders>
            <w:shd w:val="clear" w:color="000000" w:fill="FFE699"/>
            <w:noWrap/>
            <w:vAlign w:val="center"/>
            <w:hideMark/>
          </w:tcPr>
          <w:p w14:paraId="37FA702A"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-2.1%</w:t>
            </w:r>
          </w:p>
        </w:tc>
        <w:tc>
          <w:tcPr>
            <w:tcW w:w="1125"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DADD1E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3.1%</w:t>
            </w:r>
          </w:p>
        </w:tc>
        <w:tc>
          <w:tcPr>
            <w:tcW w:w="1098" w:type="dxa"/>
            <w:tcBorders>
              <w:top w:val="single" w:sz="4" w:space="0" w:color="auto"/>
              <w:left w:val="nil"/>
              <w:bottom w:val="single" w:sz="4" w:space="0" w:color="auto"/>
              <w:right w:val="nil"/>
            </w:tcBorders>
            <w:shd w:val="clear" w:color="000000" w:fill="BFBFBF"/>
            <w:noWrap/>
            <w:vAlign w:val="center"/>
            <w:hideMark/>
          </w:tcPr>
          <w:p w14:paraId="3059575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1" w:type="dxa"/>
            <w:tcBorders>
              <w:top w:val="single" w:sz="4" w:space="0" w:color="auto"/>
              <w:left w:val="nil"/>
              <w:bottom w:val="single" w:sz="4" w:space="0" w:color="auto"/>
              <w:right w:val="nil"/>
            </w:tcBorders>
            <w:shd w:val="clear" w:color="000000" w:fill="BFBFBF"/>
            <w:noWrap/>
            <w:vAlign w:val="center"/>
            <w:hideMark/>
          </w:tcPr>
          <w:p w14:paraId="6E778934"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nil"/>
            </w:tcBorders>
            <w:shd w:val="clear" w:color="000000" w:fill="BFBFBF"/>
            <w:noWrap/>
            <w:vAlign w:val="center"/>
            <w:hideMark/>
          </w:tcPr>
          <w:p w14:paraId="7AD7745E"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1112" w:type="dxa"/>
            <w:tcBorders>
              <w:top w:val="single" w:sz="4" w:space="0" w:color="auto"/>
              <w:left w:val="nil"/>
              <w:bottom w:val="single" w:sz="4" w:space="0" w:color="auto"/>
              <w:right w:val="single" w:sz="4" w:space="0" w:color="auto"/>
            </w:tcBorders>
            <w:shd w:val="clear" w:color="000000" w:fill="BFBFBF"/>
            <w:noWrap/>
            <w:vAlign w:val="center"/>
            <w:hideMark/>
          </w:tcPr>
          <w:p w14:paraId="36982A51" w14:textId="77777777" w:rsidR="00B042DF" w:rsidRPr="007F6332" w:rsidRDefault="00B042DF" w:rsidP="00D8325F">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r>
    </w:tbl>
    <w:p w14:paraId="74AA024A" w14:textId="6AE3DF96" w:rsidR="007232D6" w:rsidRPr="007F6332" w:rsidRDefault="005F4ABB" w:rsidP="0032159E">
      <w:pPr>
        <w:spacing w:before="240"/>
        <w:rPr>
          <w:rFonts w:cs="Arial"/>
        </w:rPr>
        <w:sectPr w:rsidR="007232D6" w:rsidRPr="007F6332" w:rsidSect="009226A9">
          <w:pgSz w:w="16838" w:h="11906" w:orient="landscape"/>
          <w:pgMar w:top="1440" w:right="1440" w:bottom="1440" w:left="1440" w:header="708" w:footer="850" w:gutter="0"/>
          <w:cols w:space="708"/>
          <w:docGrid w:linePitch="360"/>
        </w:sectPr>
      </w:pPr>
      <w:r w:rsidRPr="007F6332">
        <w:rPr>
          <w:rFonts w:cs="Arial"/>
        </w:rPr>
        <w:t xml:space="preserve">While a component of the increases in the total expense projection over time is from a greater number of participants than previously expected, the main driver is the sustained growth in average payments per participant. The 30 June 2023 AFSR projection reflects both the emerging experience in participant intake and average payments per participant, as well as the successful delivery of the </w:t>
      </w:r>
      <w:r w:rsidR="002D6881" w:rsidRPr="007F6332">
        <w:rPr>
          <w:rFonts w:cs="Arial"/>
        </w:rPr>
        <w:t>Budget initiatives</w:t>
      </w:r>
      <w:r w:rsidRPr="007F6332">
        <w:rPr>
          <w:rFonts w:cs="Arial"/>
        </w:rPr>
        <w:t>. This further adds to the complexity in projecting participant payments. The components of the Scheme expenses are shown in further detail in Table 6.</w:t>
      </w:r>
      <w:r w:rsidR="00AE3366" w:rsidRPr="007F6332">
        <w:rPr>
          <w:rFonts w:cs="Arial"/>
        </w:rPr>
        <w:t>14</w:t>
      </w:r>
      <w:r w:rsidR="002F5D0A" w:rsidRPr="007F6332">
        <w:rPr>
          <w:rFonts w:cs="Arial"/>
        </w:rPr>
        <w:t>.</w:t>
      </w:r>
    </w:p>
    <w:p w14:paraId="1DE97CE4" w14:textId="40DDBC0E" w:rsidR="00B042DF" w:rsidRPr="007F6332" w:rsidRDefault="00950565" w:rsidP="00110394">
      <w:pPr>
        <w:pStyle w:val="FiguresandTablesHeading4"/>
      </w:pPr>
      <w:r w:rsidRPr="007F6332">
        <w:lastRenderedPageBreak/>
        <w:t>Table 6.14</w:t>
      </w:r>
      <w:r w:rsidR="00B042DF" w:rsidRPr="007F6332">
        <w:t>: Participant numbers - AFSR projections and 2017 PC estimates</w:t>
      </w:r>
    </w:p>
    <w:tbl>
      <w:tblPr>
        <w:tblW w:w="14175" w:type="dxa"/>
        <w:tblInd w:w="-5" w:type="dxa"/>
        <w:tblLayout w:type="fixed"/>
        <w:tblLook w:val="04A0" w:firstRow="1" w:lastRow="0" w:firstColumn="1" w:lastColumn="0" w:noHBand="0" w:noVBand="1"/>
      </w:tblPr>
      <w:tblGrid>
        <w:gridCol w:w="3575"/>
        <w:gridCol w:w="1060"/>
        <w:gridCol w:w="1060"/>
        <w:gridCol w:w="1060"/>
        <w:gridCol w:w="1060"/>
        <w:gridCol w:w="1060"/>
        <w:gridCol w:w="1060"/>
        <w:gridCol w:w="1060"/>
        <w:gridCol w:w="1060"/>
        <w:gridCol w:w="1060"/>
        <w:gridCol w:w="1060"/>
      </w:tblGrid>
      <w:tr w:rsidR="0032159E" w:rsidRPr="007F6332" w14:paraId="377A3446" w14:textId="77777777" w:rsidTr="00C1755E">
        <w:trPr>
          <w:trHeight w:val="430"/>
        </w:trPr>
        <w:tc>
          <w:tcPr>
            <w:tcW w:w="3575"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2168EF67" w14:textId="77777777" w:rsidR="00B042DF" w:rsidRPr="007F6332" w:rsidRDefault="00B042DF" w:rsidP="00D8325F">
            <w:pPr>
              <w:spacing w:after="0" w:line="240" w:lineRule="auto"/>
              <w:rPr>
                <w:rFonts w:eastAsia="Times New Roman" w:cs="Arial"/>
                <w:b/>
                <w:bCs/>
                <w:color w:val="FFFFFF"/>
                <w:sz w:val="18"/>
                <w:szCs w:val="18"/>
                <w:lang w:eastAsia="en-AU"/>
              </w:rPr>
            </w:pPr>
            <w:r w:rsidRPr="007F6332">
              <w:rPr>
                <w:rFonts w:eastAsia="Times New Roman" w:cs="Arial"/>
                <w:b/>
                <w:bCs/>
                <w:color w:val="FFFFFF"/>
                <w:sz w:val="18"/>
                <w:szCs w:val="18"/>
                <w:lang w:eastAsia="en-AU"/>
              </w:rPr>
              <w:t>Total participant numbers</w:t>
            </w:r>
          </w:p>
        </w:tc>
        <w:tc>
          <w:tcPr>
            <w:tcW w:w="1060" w:type="dxa"/>
            <w:tcBorders>
              <w:top w:val="single" w:sz="4" w:space="0" w:color="auto"/>
              <w:left w:val="nil"/>
              <w:bottom w:val="single" w:sz="4" w:space="0" w:color="auto"/>
              <w:right w:val="nil"/>
            </w:tcBorders>
            <w:shd w:val="clear" w:color="000000" w:fill="6B2976"/>
            <w:noWrap/>
            <w:vAlign w:val="center"/>
            <w:hideMark/>
          </w:tcPr>
          <w:p w14:paraId="51B4FB36"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2017-18</w:t>
            </w:r>
          </w:p>
        </w:tc>
        <w:tc>
          <w:tcPr>
            <w:tcW w:w="1060" w:type="dxa"/>
            <w:tcBorders>
              <w:top w:val="single" w:sz="4" w:space="0" w:color="auto"/>
              <w:left w:val="nil"/>
              <w:bottom w:val="single" w:sz="4" w:space="0" w:color="auto"/>
              <w:right w:val="nil"/>
            </w:tcBorders>
            <w:shd w:val="clear" w:color="000000" w:fill="6B2976"/>
            <w:noWrap/>
            <w:vAlign w:val="center"/>
            <w:hideMark/>
          </w:tcPr>
          <w:p w14:paraId="27163AAF"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2018-19</w:t>
            </w:r>
          </w:p>
        </w:tc>
        <w:tc>
          <w:tcPr>
            <w:tcW w:w="1060" w:type="dxa"/>
            <w:tcBorders>
              <w:top w:val="single" w:sz="4" w:space="0" w:color="auto"/>
              <w:left w:val="nil"/>
              <w:bottom w:val="single" w:sz="4" w:space="0" w:color="auto"/>
              <w:right w:val="nil"/>
            </w:tcBorders>
            <w:shd w:val="clear" w:color="000000" w:fill="6B2976"/>
            <w:noWrap/>
            <w:vAlign w:val="center"/>
            <w:hideMark/>
          </w:tcPr>
          <w:p w14:paraId="1AD60CEA"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2019-20</w:t>
            </w:r>
          </w:p>
        </w:tc>
        <w:tc>
          <w:tcPr>
            <w:tcW w:w="1060" w:type="dxa"/>
            <w:tcBorders>
              <w:top w:val="single" w:sz="4" w:space="0" w:color="auto"/>
              <w:left w:val="nil"/>
              <w:bottom w:val="single" w:sz="4" w:space="0" w:color="auto"/>
              <w:right w:val="nil"/>
            </w:tcBorders>
            <w:shd w:val="clear" w:color="000000" w:fill="6B2976"/>
            <w:noWrap/>
            <w:vAlign w:val="center"/>
            <w:hideMark/>
          </w:tcPr>
          <w:p w14:paraId="20BA2F79"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2020-21</w:t>
            </w:r>
          </w:p>
        </w:tc>
        <w:tc>
          <w:tcPr>
            <w:tcW w:w="1060" w:type="dxa"/>
            <w:tcBorders>
              <w:top w:val="single" w:sz="4" w:space="0" w:color="auto"/>
              <w:left w:val="nil"/>
              <w:bottom w:val="single" w:sz="4" w:space="0" w:color="auto"/>
              <w:right w:val="single" w:sz="4" w:space="0" w:color="auto"/>
            </w:tcBorders>
            <w:shd w:val="clear" w:color="000000" w:fill="6B2976"/>
            <w:noWrap/>
            <w:vAlign w:val="center"/>
            <w:hideMark/>
          </w:tcPr>
          <w:p w14:paraId="21BBECDB"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2021-22</w:t>
            </w:r>
          </w:p>
        </w:tc>
        <w:tc>
          <w:tcPr>
            <w:tcW w:w="1060" w:type="dxa"/>
            <w:tcBorders>
              <w:top w:val="single" w:sz="4" w:space="0" w:color="auto"/>
              <w:left w:val="nil"/>
              <w:bottom w:val="single" w:sz="4" w:space="0" w:color="auto"/>
              <w:right w:val="single" w:sz="4" w:space="0" w:color="auto"/>
            </w:tcBorders>
            <w:shd w:val="clear" w:color="000000" w:fill="6B2976"/>
            <w:noWrap/>
            <w:vAlign w:val="center"/>
            <w:hideMark/>
          </w:tcPr>
          <w:p w14:paraId="417A545E"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2022-23</w:t>
            </w:r>
          </w:p>
        </w:tc>
        <w:tc>
          <w:tcPr>
            <w:tcW w:w="1060" w:type="dxa"/>
            <w:tcBorders>
              <w:top w:val="single" w:sz="4" w:space="0" w:color="auto"/>
              <w:left w:val="nil"/>
              <w:bottom w:val="single" w:sz="4" w:space="0" w:color="auto"/>
              <w:right w:val="nil"/>
            </w:tcBorders>
            <w:shd w:val="clear" w:color="000000" w:fill="6B2976"/>
            <w:noWrap/>
            <w:vAlign w:val="center"/>
            <w:hideMark/>
          </w:tcPr>
          <w:p w14:paraId="0D036694"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2023-24</w:t>
            </w:r>
          </w:p>
        </w:tc>
        <w:tc>
          <w:tcPr>
            <w:tcW w:w="1060" w:type="dxa"/>
            <w:tcBorders>
              <w:top w:val="single" w:sz="4" w:space="0" w:color="auto"/>
              <w:left w:val="nil"/>
              <w:bottom w:val="single" w:sz="4" w:space="0" w:color="auto"/>
              <w:right w:val="nil"/>
            </w:tcBorders>
            <w:shd w:val="clear" w:color="000000" w:fill="6B2976"/>
            <w:noWrap/>
            <w:vAlign w:val="center"/>
            <w:hideMark/>
          </w:tcPr>
          <w:p w14:paraId="5682F9BB"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2024-25</w:t>
            </w:r>
          </w:p>
        </w:tc>
        <w:tc>
          <w:tcPr>
            <w:tcW w:w="1060" w:type="dxa"/>
            <w:tcBorders>
              <w:top w:val="single" w:sz="4" w:space="0" w:color="auto"/>
              <w:left w:val="nil"/>
              <w:bottom w:val="single" w:sz="4" w:space="0" w:color="auto"/>
              <w:right w:val="nil"/>
            </w:tcBorders>
            <w:shd w:val="clear" w:color="000000" w:fill="6B2976"/>
            <w:noWrap/>
            <w:vAlign w:val="center"/>
            <w:hideMark/>
          </w:tcPr>
          <w:p w14:paraId="79B35D16"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2025-26</w:t>
            </w:r>
          </w:p>
        </w:tc>
        <w:tc>
          <w:tcPr>
            <w:tcW w:w="1060" w:type="dxa"/>
            <w:tcBorders>
              <w:top w:val="single" w:sz="4" w:space="0" w:color="auto"/>
              <w:left w:val="nil"/>
              <w:bottom w:val="single" w:sz="4" w:space="0" w:color="auto"/>
              <w:right w:val="single" w:sz="4" w:space="0" w:color="auto"/>
            </w:tcBorders>
            <w:shd w:val="clear" w:color="000000" w:fill="6B2976"/>
            <w:noWrap/>
            <w:vAlign w:val="center"/>
            <w:hideMark/>
          </w:tcPr>
          <w:p w14:paraId="7107133E"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2026-27</w:t>
            </w:r>
          </w:p>
        </w:tc>
      </w:tr>
      <w:tr w:rsidR="0032159E" w:rsidRPr="007F6332" w14:paraId="79E1FD39" w14:textId="77777777" w:rsidTr="00C1755E">
        <w:trPr>
          <w:trHeight w:val="270"/>
        </w:trPr>
        <w:tc>
          <w:tcPr>
            <w:tcW w:w="3575" w:type="dxa"/>
            <w:tcBorders>
              <w:top w:val="nil"/>
              <w:left w:val="single" w:sz="4" w:space="0" w:color="auto"/>
              <w:bottom w:val="single" w:sz="4" w:space="0" w:color="auto"/>
              <w:right w:val="nil"/>
            </w:tcBorders>
            <w:shd w:val="clear" w:color="000000" w:fill="D3C5D7"/>
            <w:noWrap/>
            <w:vAlign w:val="center"/>
            <w:hideMark/>
          </w:tcPr>
          <w:p w14:paraId="663439EB" w14:textId="77777777" w:rsidR="00B042DF" w:rsidRPr="007F6332" w:rsidRDefault="00B042DF" w:rsidP="00D8325F">
            <w:pPr>
              <w:spacing w:after="0" w:line="240" w:lineRule="auto"/>
              <w:rPr>
                <w:rFonts w:eastAsia="Times New Roman" w:cs="Arial"/>
                <w:b/>
                <w:bCs/>
                <w:color w:val="000000"/>
                <w:sz w:val="15"/>
                <w:szCs w:val="15"/>
                <w:lang w:eastAsia="en-AU"/>
              </w:rPr>
            </w:pPr>
            <w:r w:rsidRPr="007F6332">
              <w:rPr>
                <w:rFonts w:eastAsia="Times New Roman" w:cs="Arial"/>
                <w:b/>
                <w:bCs/>
                <w:color w:val="000000"/>
                <w:sz w:val="15"/>
                <w:szCs w:val="15"/>
                <w:lang w:eastAsia="en-AU"/>
              </w:rPr>
              <w:t>PC estimates</w:t>
            </w:r>
          </w:p>
        </w:tc>
        <w:tc>
          <w:tcPr>
            <w:tcW w:w="1060" w:type="dxa"/>
            <w:tcBorders>
              <w:top w:val="nil"/>
              <w:left w:val="nil"/>
              <w:bottom w:val="single" w:sz="4" w:space="0" w:color="auto"/>
              <w:right w:val="nil"/>
            </w:tcBorders>
            <w:shd w:val="clear" w:color="000000" w:fill="D3C5D7"/>
            <w:noWrap/>
            <w:vAlign w:val="center"/>
            <w:hideMark/>
          </w:tcPr>
          <w:p w14:paraId="7C9EDA10"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75209504"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7E01A85F"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20A53056"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7C3C1567"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280DF92B"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3B1CBE10"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58B444AD"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16BB8B06"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33D1276B"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r>
      <w:tr w:rsidR="00B042DF" w:rsidRPr="007F6332" w14:paraId="7759DB05" w14:textId="77777777" w:rsidTr="00C1755E">
        <w:trPr>
          <w:trHeight w:val="373"/>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6DBC6D3D"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2017 Productivity Commission Estimates</w:t>
            </w:r>
          </w:p>
        </w:tc>
        <w:tc>
          <w:tcPr>
            <w:tcW w:w="1060" w:type="dxa"/>
            <w:tcBorders>
              <w:top w:val="nil"/>
              <w:left w:val="nil"/>
              <w:bottom w:val="single" w:sz="4" w:space="0" w:color="auto"/>
              <w:right w:val="nil"/>
            </w:tcBorders>
            <w:shd w:val="clear" w:color="auto" w:fill="auto"/>
            <w:noWrap/>
            <w:vAlign w:val="center"/>
            <w:hideMark/>
          </w:tcPr>
          <w:p w14:paraId="70B7AEF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264,100</w:t>
            </w:r>
          </w:p>
        </w:tc>
        <w:tc>
          <w:tcPr>
            <w:tcW w:w="1060" w:type="dxa"/>
            <w:tcBorders>
              <w:top w:val="nil"/>
              <w:left w:val="nil"/>
              <w:bottom w:val="single" w:sz="4" w:space="0" w:color="auto"/>
              <w:right w:val="nil"/>
            </w:tcBorders>
            <w:shd w:val="clear" w:color="auto" w:fill="auto"/>
            <w:noWrap/>
            <w:vAlign w:val="center"/>
            <w:hideMark/>
          </w:tcPr>
          <w:p w14:paraId="51C0835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447,300</w:t>
            </w:r>
          </w:p>
        </w:tc>
        <w:tc>
          <w:tcPr>
            <w:tcW w:w="1060" w:type="dxa"/>
            <w:tcBorders>
              <w:top w:val="nil"/>
              <w:left w:val="nil"/>
              <w:bottom w:val="single" w:sz="4" w:space="0" w:color="auto"/>
              <w:right w:val="nil"/>
            </w:tcBorders>
            <w:shd w:val="clear" w:color="auto" w:fill="auto"/>
            <w:noWrap/>
            <w:vAlign w:val="center"/>
            <w:hideMark/>
          </w:tcPr>
          <w:p w14:paraId="617C58D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473,700</w:t>
            </w:r>
          </w:p>
        </w:tc>
        <w:tc>
          <w:tcPr>
            <w:tcW w:w="1060" w:type="dxa"/>
            <w:tcBorders>
              <w:top w:val="nil"/>
              <w:left w:val="nil"/>
              <w:bottom w:val="single" w:sz="4" w:space="0" w:color="auto"/>
              <w:right w:val="nil"/>
            </w:tcBorders>
            <w:shd w:val="clear" w:color="auto" w:fill="auto"/>
            <w:noWrap/>
            <w:vAlign w:val="center"/>
            <w:hideMark/>
          </w:tcPr>
          <w:p w14:paraId="7A68B93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485,900</w:t>
            </w:r>
          </w:p>
        </w:tc>
        <w:tc>
          <w:tcPr>
            <w:tcW w:w="1060" w:type="dxa"/>
            <w:tcBorders>
              <w:top w:val="nil"/>
              <w:left w:val="nil"/>
              <w:bottom w:val="single" w:sz="4" w:space="0" w:color="auto"/>
              <w:right w:val="single" w:sz="4" w:space="0" w:color="auto"/>
            </w:tcBorders>
            <w:shd w:val="clear" w:color="auto" w:fill="auto"/>
            <w:noWrap/>
            <w:vAlign w:val="center"/>
            <w:hideMark/>
          </w:tcPr>
          <w:p w14:paraId="1E9785D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497,700</w:t>
            </w:r>
          </w:p>
        </w:tc>
        <w:tc>
          <w:tcPr>
            <w:tcW w:w="1060" w:type="dxa"/>
            <w:tcBorders>
              <w:top w:val="nil"/>
              <w:left w:val="nil"/>
              <w:bottom w:val="single" w:sz="4" w:space="0" w:color="auto"/>
              <w:right w:val="single" w:sz="4" w:space="0" w:color="auto"/>
            </w:tcBorders>
            <w:shd w:val="clear" w:color="auto" w:fill="auto"/>
            <w:noWrap/>
            <w:vAlign w:val="center"/>
            <w:hideMark/>
          </w:tcPr>
          <w:p w14:paraId="35F789B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509,300</w:t>
            </w:r>
          </w:p>
        </w:tc>
        <w:tc>
          <w:tcPr>
            <w:tcW w:w="1060" w:type="dxa"/>
            <w:tcBorders>
              <w:top w:val="nil"/>
              <w:left w:val="nil"/>
              <w:bottom w:val="single" w:sz="4" w:space="0" w:color="auto"/>
              <w:right w:val="nil"/>
            </w:tcBorders>
            <w:shd w:val="clear" w:color="auto" w:fill="auto"/>
            <w:noWrap/>
            <w:vAlign w:val="center"/>
            <w:hideMark/>
          </w:tcPr>
          <w:p w14:paraId="746AF2D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520,800</w:t>
            </w:r>
          </w:p>
        </w:tc>
        <w:tc>
          <w:tcPr>
            <w:tcW w:w="1060" w:type="dxa"/>
            <w:tcBorders>
              <w:top w:val="nil"/>
              <w:left w:val="nil"/>
              <w:bottom w:val="single" w:sz="4" w:space="0" w:color="auto"/>
              <w:right w:val="nil"/>
            </w:tcBorders>
            <w:shd w:val="clear" w:color="auto" w:fill="auto"/>
            <w:noWrap/>
            <w:vAlign w:val="center"/>
            <w:hideMark/>
          </w:tcPr>
          <w:p w14:paraId="45F224C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532,000</w:t>
            </w:r>
          </w:p>
        </w:tc>
        <w:tc>
          <w:tcPr>
            <w:tcW w:w="1060" w:type="dxa"/>
            <w:tcBorders>
              <w:top w:val="nil"/>
              <w:left w:val="nil"/>
              <w:bottom w:val="single" w:sz="4" w:space="0" w:color="auto"/>
              <w:right w:val="nil"/>
            </w:tcBorders>
            <w:shd w:val="clear" w:color="auto" w:fill="auto"/>
            <w:noWrap/>
            <w:vAlign w:val="center"/>
            <w:hideMark/>
          </w:tcPr>
          <w:p w14:paraId="7578B81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542,900</w:t>
            </w:r>
          </w:p>
        </w:tc>
        <w:tc>
          <w:tcPr>
            <w:tcW w:w="1060" w:type="dxa"/>
            <w:tcBorders>
              <w:top w:val="nil"/>
              <w:left w:val="nil"/>
              <w:bottom w:val="single" w:sz="4" w:space="0" w:color="auto"/>
              <w:right w:val="single" w:sz="4" w:space="0" w:color="auto"/>
            </w:tcBorders>
            <w:shd w:val="clear" w:color="auto" w:fill="auto"/>
            <w:noWrap/>
            <w:vAlign w:val="center"/>
            <w:hideMark/>
          </w:tcPr>
          <w:p w14:paraId="333AF1C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553,200</w:t>
            </w:r>
          </w:p>
        </w:tc>
      </w:tr>
      <w:tr w:rsidR="0032159E" w:rsidRPr="007F6332" w14:paraId="5A3041A9" w14:textId="77777777" w:rsidTr="00C1755E">
        <w:trPr>
          <w:trHeight w:val="270"/>
        </w:trPr>
        <w:tc>
          <w:tcPr>
            <w:tcW w:w="3575" w:type="dxa"/>
            <w:tcBorders>
              <w:top w:val="nil"/>
              <w:left w:val="single" w:sz="4" w:space="0" w:color="auto"/>
              <w:bottom w:val="single" w:sz="4" w:space="0" w:color="auto"/>
              <w:right w:val="nil"/>
            </w:tcBorders>
            <w:shd w:val="clear" w:color="000000" w:fill="D3C5D7"/>
            <w:noWrap/>
            <w:vAlign w:val="center"/>
            <w:hideMark/>
          </w:tcPr>
          <w:p w14:paraId="4D344175" w14:textId="77777777" w:rsidR="00B042DF" w:rsidRPr="007F6332" w:rsidRDefault="00B042DF" w:rsidP="00D8325F">
            <w:pPr>
              <w:spacing w:after="0" w:line="240" w:lineRule="auto"/>
              <w:rPr>
                <w:rFonts w:eastAsia="Times New Roman" w:cs="Arial"/>
                <w:b/>
                <w:bCs/>
                <w:color w:val="000000"/>
                <w:sz w:val="15"/>
                <w:szCs w:val="15"/>
                <w:lang w:eastAsia="en-AU"/>
              </w:rPr>
            </w:pPr>
            <w:r w:rsidRPr="007F6332">
              <w:rPr>
                <w:rFonts w:eastAsia="Times New Roman" w:cs="Arial"/>
                <w:b/>
                <w:bCs/>
                <w:color w:val="000000"/>
                <w:sz w:val="15"/>
                <w:szCs w:val="15"/>
                <w:lang w:eastAsia="en-AU"/>
              </w:rPr>
              <w:t>AFSR</w:t>
            </w:r>
          </w:p>
        </w:tc>
        <w:tc>
          <w:tcPr>
            <w:tcW w:w="1060" w:type="dxa"/>
            <w:tcBorders>
              <w:top w:val="nil"/>
              <w:left w:val="nil"/>
              <w:bottom w:val="single" w:sz="4" w:space="0" w:color="auto"/>
              <w:right w:val="nil"/>
            </w:tcBorders>
            <w:shd w:val="clear" w:color="000000" w:fill="D3C5D7"/>
            <w:noWrap/>
            <w:vAlign w:val="center"/>
            <w:hideMark/>
          </w:tcPr>
          <w:p w14:paraId="68BFFC0B"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28352A55"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1AA5CDC8"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65D42F65"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182B294F"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4ADC7997"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0731710C"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0ECA8F03"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0BDD1BAB"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3C7B1DBA"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r>
      <w:tr w:rsidR="0032159E" w:rsidRPr="007F6332" w14:paraId="43B25544" w14:textId="77777777" w:rsidTr="00C1755E">
        <w:trPr>
          <w:trHeight w:val="15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0853C91D" w14:textId="77777777" w:rsidR="00B042DF" w:rsidRPr="007F6332" w:rsidRDefault="00B042DF" w:rsidP="00D8325F">
            <w:pPr>
              <w:spacing w:after="0" w:line="240" w:lineRule="auto"/>
              <w:rPr>
                <w:rFonts w:eastAsia="Times New Roman" w:cs="Arial"/>
                <w:b/>
                <w:bCs/>
                <w:color w:val="000000"/>
                <w:sz w:val="15"/>
                <w:szCs w:val="15"/>
                <w:lang w:eastAsia="en-AU"/>
              </w:rPr>
            </w:pPr>
            <w:r w:rsidRPr="007F6332">
              <w:rPr>
                <w:rFonts w:eastAsia="Times New Roman" w:cs="Arial"/>
                <w:b/>
                <w:bCs/>
                <w:color w:val="000000"/>
                <w:sz w:val="15"/>
                <w:szCs w:val="15"/>
                <w:lang w:eastAsia="en-AU"/>
              </w:rPr>
              <w:t>30 June 2023 AFSR projection</w:t>
            </w:r>
          </w:p>
        </w:tc>
        <w:tc>
          <w:tcPr>
            <w:tcW w:w="1060" w:type="dxa"/>
            <w:tcBorders>
              <w:top w:val="nil"/>
              <w:left w:val="nil"/>
              <w:bottom w:val="single" w:sz="4" w:space="0" w:color="auto"/>
              <w:right w:val="nil"/>
            </w:tcBorders>
            <w:shd w:val="clear" w:color="000000" w:fill="BFBFBF"/>
            <w:noWrap/>
            <w:vAlign w:val="center"/>
            <w:hideMark/>
          </w:tcPr>
          <w:p w14:paraId="1157136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54906D9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43CA5BB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452DEF2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BFBFBF"/>
            <w:noWrap/>
            <w:vAlign w:val="center"/>
            <w:hideMark/>
          </w:tcPr>
          <w:p w14:paraId="0E3C52F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BFBFBF"/>
            <w:noWrap/>
            <w:vAlign w:val="center"/>
            <w:hideMark/>
          </w:tcPr>
          <w:p w14:paraId="3B4745C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auto" w:fill="auto"/>
            <w:noWrap/>
            <w:vAlign w:val="center"/>
            <w:hideMark/>
          </w:tcPr>
          <w:p w14:paraId="384D267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668,900</w:t>
            </w:r>
          </w:p>
        </w:tc>
        <w:tc>
          <w:tcPr>
            <w:tcW w:w="1060" w:type="dxa"/>
            <w:tcBorders>
              <w:top w:val="nil"/>
              <w:left w:val="nil"/>
              <w:bottom w:val="single" w:sz="4" w:space="0" w:color="auto"/>
              <w:right w:val="nil"/>
            </w:tcBorders>
            <w:shd w:val="clear" w:color="auto" w:fill="auto"/>
            <w:noWrap/>
            <w:vAlign w:val="center"/>
            <w:hideMark/>
          </w:tcPr>
          <w:p w14:paraId="02CA1D3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714,800</w:t>
            </w:r>
          </w:p>
        </w:tc>
        <w:tc>
          <w:tcPr>
            <w:tcW w:w="1060" w:type="dxa"/>
            <w:tcBorders>
              <w:top w:val="nil"/>
              <w:left w:val="nil"/>
              <w:bottom w:val="single" w:sz="4" w:space="0" w:color="auto"/>
              <w:right w:val="nil"/>
            </w:tcBorders>
            <w:shd w:val="clear" w:color="auto" w:fill="auto"/>
            <w:noWrap/>
            <w:vAlign w:val="center"/>
            <w:hideMark/>
          </w:tcPr>
          <w:p w14:paraId="1ECEB8D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754,000</w:t>
            </w:r>
          </w:p>
        </w:tc>
        <w:tc>
          <w:tcPr>
            <w:tcW w:w="1060" w:type="dxa"/>
            <w:tcBorders>
              <w:top w:val="nil"/>
              <w:left w:val="nil"/>
              <w:bottom w:val="single" w:sz="4" w:space="0" w:color="auto"/>
              <w:right w:val="single" w:sz="4" w:space="0" w:color="auto"/>
            </w:tcBorders>
            <w:shd w:val="clear" w:color="auto" w:fill="auto"/>
            <w:noWrap/>
            <w:vAlign w:val="center"/>
            <w:hideMark/>
          </w:tcPr>
          <w:p w14:paraId="7B95FA5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792,200</w:t>
            </w:r>
          </w:p>
        </w:tc>
      </w:tr>
      <w:tr w:rsidR="0032159E" w:rsidRPr="007F6332" w14:paraId="7F7C583D" w14:textId="77777777" w:rsidTr="00C1755E">
        <w:trPr>
          <w:trHeight w:val="27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2B7DF43C" w14:textId="08382316" w:rsidR="00B042DF" w:rsidRPr="007F6332" w:rsidRDefault="00436FEE"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 xml:space="preserve">31 </w:t>
            </w:r>
            <w:r w:rsidR="00684797" w:rsidRPr="007F6332">
              <w:rPr>
                <w:rFonts w:eastAsia="Times New Roman" w:cs="Arial"/>
                <w:color w:val="000000"/>
                <w:sz w:val="15"/>
                <w:szCs w:val="15"/>
                <w:lang w:eastAsia="en-AU"/>
              </w:rPr>
              <w:t>December 2022 projection</w:t>
            </w:r>
          </w:p>
        </w:tc>
        <w:tc>
          <w:tcPr>
            <w:tcW w:w="1060" w:type="dxa"/>
            <w:tcBorders>
              <w:top w:val="nil"/>
              <w:left w:val="nil"/>
              <w:bottom w:val="single" w:sz="4" w:space="0" w:color="auto"/>
              <w:right w:val="nil"/>
            </w:tcBorders>
            <w:shd w:val="clear" w:color="000000" w:fill="BFBFBF"/>
            <w:noWrap/>
            <w:vAlign w:val="center"/>
            <w:hideMark/>
          </w:tcPr>
          <w:p w14:paraId="1A0F762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5E35175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35CCC4D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0BA81EF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BFBFBF"/>
            <w:noWrap/>
            <w:vAlign w:val="center"/>
            <w:hideMark/>
          </w:tcPr>
          <w:p w14:paraId="4BB969D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BFBFBF"/>
            <w:noWrap/>
            <w:vAlign w:val="center"/>
            <w:hideMark/>
          </w:tcPr>
          <w:p w14:paraId="231E0AB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auto" w:fill="auto"/>
            <w:noWrap/>
            <w:vAlign w:val="center"/>
            <w:hideMark/>
          </w:tcPr>
          <w:p w14:paraId="528EBFE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673,700</w:t>
            </w:r>
          </w:p>
        </w:tc>
        <w:tc>
          <w:tcPr>
            <w:tcW w:w="1060" w:type="dxa"/>
            <w:tcBorders>
              <w:top w:val="nil"/>
              <w:left w:val="nil"/>
              <w:bottom w:val="single" w:sz="4" w:space="0" w:color="auto"/>
              <w:right w:val="nil"/>
            </w:tcBorders>
            <w:shd w:val="clear" w:color="auto" w:fill="auto"/>
            <w:noWrap/>
            <w:vAlign w:val="center"/>
            <w:hideMark/>
          </w:tcPr>
          <w:p w14:paraId="49644F6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728,500</w:t>
            </w:r>
          </w:p>
        </w:tc>
        <w:tc>
          <w:tcPr>
            <w:tcW w:w="1060" w:type="dxa"/>
            <w:tcBorders>
              <w:top w:val="nil"/>
              <w:left w:val="nil"/>
              <w:bottom w:val="single" w:sz="4" w:space="0" w:color="auto"/>
              <w:right w:val="nil"/>
            </w:tcBorders>
            <w:shd w:val="clear" w:color="auto" w:fill="auto"/>
            <w:noWrap/>
            <w:vAlign w:val="center"/>
            <w:hideMark/>
          </w:tcPr>
          <w:p w14:paraId="284686B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780,300</w:t>
            </w:r>
          </w:p>
        </w:tc>
        <w:tc>
          <w:tcPr>
            <w:tcW w:w="1060" w:type="dxa"/>
            <w:tcBorders>
              <w:top w:val="nil"/>
              <w:left w:val="nil"/>
              <w:bottom w:val="single" w:sz="4" w:space="0" w:color="auto"/>
              <w:right w:val="single" w:sz="4" w:space="0" w:color="auto"/>
            </w:tcBorders>
            <w:shd w:val="clear" w:color="auto" w:fill="auto"/>
            <w:noWrap/>
            <w:vAlign w:val="center"/>
            <w:hideMark/>
          </w:tcPr>
          <w:p w14:paraId="34AA2C9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829,800</w:t>
            </w:r>
          </w:p>
        </w:tc>
      </w:tr>
      <w:tr w:rsidR="0032159E" w:rsidRPr="007F6332" w14:paraId="36A0FFE2" w14:textId="77777777" w:rsidTr="00C1755E">
        <w:trPr>
          <w:trHeight w:val="27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60522ABF"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2022 AFSR projection</w:t>
            </w:r>
          </w:p>
        </w:tc>
        <w:tc>
          <w:tcPr>
            <w:tcW w:w="1060" w:type="dxa"/>
            <w:tcBorders>
              <w:top w:val="nil"/>
              <w:left w:val="nil"/>
              <w:bottom w:val="single" w:sz="4" w:space="0" w:color="auto"/>
              <w:right w:val="nil"/>
            </w:tcBorders>
            <w:shd w:val="clear" w:color="000000" w:fill="BFBFBF"/>
            <w:noWrap/>
            <w:vAlign w:val="center"/>
            <w:hideMark/>
          </w:tcPr>
          <w:p w14:paraId="4B3ED4B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4472C5C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021A023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3AD4B8A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BFBFBF"/>
            <w:noWrap/>
            <w:vAlign w:val="center"/>
            <w:hideMark/>
          </w:tcPr>
          <w:p w14:paraId="0DBD888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FFE699"/>
            <w:noWrap/>
            <w:vAlign w:val="center"/>
            <w:hideMark/>
          </w:tcPr>
          <w:p w14:paraId="3B2AD4E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592,300</w:t>
            </w:r>
          </w:p>
        </w:tc>
        <w:tc>
          <w:tcPr>
            <w:tcW w:w="1060" w:type="dxa"/>
            <w:tcBorders>
              <w:top w:val="nil"/>
              <w:left w:val="nil"/>
              <w:bottom w:val="single" w:sz="4" w:space="0" w:color="auto"/>
              <w:right w:val="nil"/>
            </w:tcBorders>
            <w:shd w:val="clear" w:color="auto" w:fill="auto"/>
            <w:noWrap/>
            <w:vAlign w:val="center"/>
            <w:hideMark/>
          </w:tcPr>
          <w:p w14:paraId="75361DB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646,000</w:t>
            </w:r>
          </w:p>
        </w:tc>
        <w:tc>
          <w:tcPr>
            <w:tcW w:w="1060" w:type="dxa"/>
            <w:tcBorders>
              <w:top w:val="nil"/>
              <w:left w:val="nil"/>
              <w:bottom w:val="single" w:sz="4" w:space="0" w:color="auto"/>
              <w:right w:val="nil"/>
            </w:tcBorders>
            <w:shd w:val="clear" w:color="auto" w:fill="auto"/>
            <w:noWrap/>
            <w:vAlign w:val="center"/>
            <w:hideMark/>
          </w:tcPr>
          <w:p w14:paraId="381F157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693,900</w:t>
            </w:r>
          </w:p>
        </w:tc>
        <w:tc>
          <w:tcPr>
            <w:tcW w:w="1060" w:type="dxa"/>
            <w:tcBorders>
              <w:top w:val="nil"/>
              <w:left w:val="nil"/>
              <w:bottom w:val="single" w:sz="4" w:space="0" w:color="auto"/>
              <w:right w:val="nil"/>
            </w:tcBorders>
            <w:shd w:val="clear" w:color="auto" w:fill="auto"/>
            <w:noWrap/>
            <w:vAlign w:val="center"/>
            <w:hideMark/>
          </w:tcPr>
          <w:p w14:paraId="1B86D57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741,100</w:t>
            </w:r>
          </w:p>
        </w:tc>
        <w:tc>
          <w:tcPr>
            <w:tcW w:w="1060" w:type="dxa"/>
            <w:tcBorders>
              <w:top w:val="nil"/>
              <w:left w:val="nil"/>
              <w:bottom w:val="single" w:sz="4" w:space="0" w:color="auto"/>
              <w:right w:val="single" w:sz="4" w:space="0" w:color="auto"/>
            </w:tcBorders>
            <w:shd w:val="clear" w:color="auto" w:fill="auto"/>
            <w:noWrap/>
            <w:vAlign w:val="center"/>
            <w:hideMark/>
          </w:tcPr>
          <w:p w14:paraId="1EB8E7C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787,800</w:t>
            </w:r>
          </w:p>
        </w:tc>
      </w:tr>
      <w:tr w:rsidR="0032159E" w:rsidRPr="007F6332" w14:paraId="61A27EAF" w14:textId="77777777" w:rsidTr="00C1755E">
        <w:trPr>
          <w:trHeight w:val="27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59855039"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2021 AFSR projection</w:t>
            </w:r>
          </w:p>
        </w:tc>
        <w:tc>
          <w:tcPr>
            <w:tcW w:w="1060" w:type="dxa"/>
            <w:tcBorders>
              <w:top w:val="nil"/>
              <w:left w:val="nil"/>
              <w:bottom w:val="single" w:sz="4" w:space="0" w:color="auto"/>
              <w:right w:val="nil"/>
            </w:tcBorders>
            <w:shd w:val="clear" w:color="000000" w:fill="BFBFBF"/>
            <w:noWrap/>
            <w:vAlign w:val="center"/>
            <w:hideMark/>
          </w:tcPr>
          <w:p w14:paraId="6A6393B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0926BAB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2DD67D5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189236B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FFE699"/>
            <w:noWrap/>
            <w:vAlign w:val="center"/>
            <w:hideMark/>
          </w:tcPr>
          <w:p w14:paraId="3C48C27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530,500</w:t>
            </w:r>
          </w:p>
        </w:tc>
        <w:tc>
          <w:tcPr>
            <w:tcW w:w="1060" w:type="dxa"/>
            <w:tcBorders>
              <w:top w:val="nil"/>
              <w:left w:val="nil"/>
              <w:bottom w:val="single" w:sz="4" w:space="0" w:color="auto"/>
              <w:right w:val="single" w:sz="4" w:space="0" w:color="auto"/>
            </w:tcBorders>
            <w:shd w:val="clear" w:color="auto" w:fill="auto"/>
            <w:noWrap/>
            <w:vAlign w:val="center"/>
            <w:hideMark/>
          </w:tcPr>
          <w:p w14:paraId="4E5A63B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586,400</w:t>
            </w:r>
          </w:p>
        </w:tc>
        <w:tc>
          <w:tcPr>
            <w:tcW w:w="1060" w:type="dxa"/>
            <w:tcBorders>
              <w:top w:val="nil"/>
              <w:left w:val="nil"/>
              <w:bottom w:val="single" w:sz="4" w:space="0" w:color="auto"/>
              <w:right w:val="nil"/>
            </w:tcBorders>
            <w:shd w:val="clear" w:color="auto" w:fill="auto"/>
            <w:noWrap/>
            <w:vAlign w:val="center"/>
            <w:hideMark/>
          </w:tcPr>
          <w:p w14:paraId="7CAF6A2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630,300</w:t>
            </w:r>
          </w:p>
        </w:tc>
        <w:tc>
          <w:tcPr>
            <w:tcW w:w="1060" w:type="dxa"/>
            <w:tcBorders>
              <w:top w:val="nil"/>
              <w:left w:val="nil"/>
              <w:bottom w:val="single" w:sz="4" w:space="0" w:color="auto"/>
              <w:right w:val="nil"/>
            </w:tcBorders>
            <w:shd w:val="clear" w:color="auto" w:fill="auto"/>
            <w:noWrap/>
            <w:vAlign w:val="center"/>
            <w:hideMark/>
          </w:tcPr>
          <w:p w14:paraId="7088F0E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670,400</w:t>
            </w:r>
          </w:p>
        </w:tc>
        <w:tc>
          <w:tcPr>
            <w:tcW w:w="1060" w:type="dxa"/>
            <w:tcBorders>
              <w:top w:val="nil"/>
              <w:left w:val="nil"/>
              <w:bottom w:val="single" w:sz="4" w:space="0" w:color="auto"/>
              <w:right w:val="nil"/>
            </w:tcBorders>
            <w:shd w:val="clear" w:color="auto" w:fill="auto"/>
            <w:noWrap/>
            <w:vAlign w:val="center"/>
            <w:hideMark/>
          </w:tcPr>
          <w:p w14:paraId="508E9C5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709,600</w:t>
            </w:r>
          </w:p>
        </w:tc>
        <w:tc>
          <w:tcPr>
            <w:tcW w:w="1060" w:type="dxa"/>
            <w:tcBorders>
              <w:top w:val="nil"/>
              <w:left w:val="nil"/>
              <w:bottom w:val="single" w:sz="4" w:space="0" w:color="auto"/>
              <w:right w:val="single" w:sz="4" w:space="0" w:color="auto"/>
            </w:tcBorders>
            <w:shd w:val="clear" w:color="auto" w:fill="auto"/>
            <w:noWrap/>
            <w:vAlign w:val="center"/>
            <w:hideMark/>
          </w:tcPr>
          <w:p w14:paraId="0A11A2E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748,000</w:t>
            </w:r>
          </w:p>
        </w:tc>
      </w:tr>
      <w:tr w:rsidR="0032159E" w:rsidRPr="007F6332" w14:paraId="4A878EB2" w14:textId="77777777" w:rsidTr="00C1755E">
        <w:trPr>
          <w:trHeight w:val="27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31E2DD76" w14:textId="5708A0D4"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31 December 2020 projection</w:t>
            </w:r>
          </w:p>
        </w:tc>
        <w:tc>
          <w:tcPr>
            <w:tcW w:w="1060" w:type="dxa"/>
            <w:tcBorders>
              <w:top w:val="nil"/>
              <w:left w:val="nil"/>
              <w:bottom w:val="single" w:sz="4" w:space="0" w:color="auto"/>
              <w:right w:val="nil"/>
            </w:tcBorders>
            <w:shd w:val="clear" w:color="000000" w:fill="BFBFBF"/>
            <w:noWrap/>
            <w:vAlign w:val="center"/>
            <w:hideMark/>
          </w:tcPr>
          <w:p w14:paraId="6756C23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0664D93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65ED359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582EE22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auto" w:fill="auto"/>
            <w:noWrap/>
            <w:vAlign w:val="center"/>
            <w:hideMark/>
          </w:tcPr>
          <w:p w14:paraId="19A7311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537,900</w:t>
            </w:r>
          </w:p>
        </w:tc>
        <w:tc>
          <w:tcPr>
            <w:tcW w:w="1060" w:type="dxa"/>
            <w:tcBorders>
              <w:top w:val="nil"/>
              <w:left w:val="nil"/>
              <w:bottom w:val="single" w:sz="4" w:space="0" w:color="auto"/>
              <w:right w:val="single" w:sz="4" w:space="0" w:color="auto"/>
            </w:tcBorders>
            <w:shd w:val="clear" w:color="auto" w:fill="auto"/>
            <w:noWrap/>
            <w:vAlign w:val="center"/>
            <w:hideMark/>
          </w:tcPr>
          <w:p w14:paraId="3E12EBF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596,600</w:t>
            </w:r>
          </w:p>
        </w:tc>
        <w:tc>
          <w:tcPr>
            <w:tcW w:w="1060" w:type="dxa"/>
            <w:tcBorders>
              <w:top w:val="nil"/>
              <w:left w:val="nil"/>
              <w:bottom w:val="single" w:sz="4" w:space="0" w:color="auto"/>
              <w:right w:val="nil"/>
            </w:tcBorders>
            <w:shd w:val="clear" w:color="auto" w:fill="auto"/>
            <w:noWrap/>
            <w:vAlign w:val="center"/>
            <w:hideMark/>
          </w:tcPr>
          <w:p w14:paraId="76F232F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643,200</w:t>
            </w:r>
          </w:p>
        </w:tc>
        <w:tc>
          <w:tcPr>
            <w:tcW w:w="1060" w:type="dxa"/>
            <w:tcBorders>
              <w:top w:val="nil"/>
              <w:left w:val="nil"/>
              <w:bottom w:val="single" w:sz="4" w:space="0" w:color="auto"/>
              <w:right w:val="nil"/>
            </w:tcBorders>
            <w:shd w:val="clear" w:color="auto" w:fill="auto"/>
            <w:noWrap/>
            <w:vAlign w:val="center"/>
            <w:hideMark/>
          </w:tcPr>
          <w:p w14:paraId="4499692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682,800</w:t>
            </w:r>
          </w:p>
        </w:tc>
        <w:tc>
          <w:tcPr>
            <w:tcW w:w="1060" w:type="dxa"/>
            <w:tcBorders>
              <w:top w:val="nil"/>
              <w:left w:val="nil"/>
              <w:bottom w:val="single" w:sz="4" w:space="0" w:color="auto"/>
              <w:right w:val="nil"/>
            </w:tcBorders>
            <w:shd w:val="clear" w:color="auto" w:fill="auto"/>
            <w:noWrap/>
            <w:vAlign w:val="center"/>
            <w:hideMark/>
          </w:tcPr>
          <w:p w14:paraId="4C648F2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721,600</w:t>
            </w:r>
          </w:p>
        </w:tc>
        <w:tc>
          <w:tcPr>
            <w:tcW w:w="1060" w:type="dxa"/>
            <w:tcBorders>
              <w:top w:val="nil"/>
              <w:left w:val="nil"/>
              <w:bottom w:val="single" w:sz="4" w:space="0" w:color="auto"/>
              <w:right w:val="single" w:sz="4" w:space="0" w:color="auto"/>
            </w:tcBorders>
            <w:shd w:val="clear" w:color="auto" w:fill="auto"/>
            <w:noWrap/>
            <w:vAlign w:val="center"/>
            <w:hideMark/>
          </w:tcPr>
          <w:p w14:paraId="48D5BB8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759,700</w:t>
            </w:r>
          </w:p>
        </w:tc>
      </w:tr>
      <w:tr w:rsidR="0032159E" w:rsidRPr="007F6332" w14:paraId="0E694867" w14:textId="77777777" w:rsidTr="00C1755E">
        <w:trPr>
          <w:trHeight w:val="27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4D7A110A"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2020 AFSR projection</w:t>
            </w:r>
          </w:p>
        </w:tc>
        <w:tc>
          <w:tcPr>
            <w:tcW w:w="1060" w:type="dxa"/>
            <w:tcBorders>
              <w:top w:val="nil"/>
              <w:left w:val="nil"/>
              <w:bottom w:val="single" w:sz="4" w:space="0" w:color="auto"/>
              <w:right w:val="nil"/>
            </w:tcBorders>
            <w:shd w:val="clear" w:color="000000" w:fill="BFBFBF"/>
            <w:noWrap/>
            <w:vAlign w:val="center"/>
            <w:hideMark/>
          </w:tcPr>
          <w:p w14:paraId="5EEC865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32E9E1E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518BA31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FFE699"/>
            <w:noWrap/>
            <w:vAlign w:val="center"/>
            <w:hideMark/>
          </w:tcPr>
          <w:p w14:paraId="74FCC38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456,300</w:t>
            </w:r>
          </w:p>
        </w:tc>
        <w:tc>
          <w:tcPr>
            <w:tcW w:w="1060" w:type="dxa"/>
            <w:tcBorders>
              <w:top w:val="nil"/>
              <w:left w:val="nil"/>
              <w:bottom w:val="single" w:sz="4" w:space="0" w:color="auto"/>
              <w:right w:val="single" w:sz="4" w:space="0" w:color="auto"/>
            </w:tcBorders>
            <w:shd w:val="clear" w:color="auto" w:fill="auto"/>
            <w:noWrap/>
            <w:vAlign w:val="center"/>
            <w:hideMark/>
          </w:tcPr>
          <w:p w14:paraId="1FE717B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500,200</w:t>
            </w:r>
          </w:p>
        </w:tc>
        <w:tc>
          <w:tcPr>
            <w:tcW w:w="1060" w:type="dxa"/>
            <w:tcBorders>
              <w:top w:val="nil"/>
              <w:left w:val="nil"/>
              <w:bottom w:val="single" w:sz="4" w:space="0" w:color="auto"/>
              <w:right w:val="single" w:sz="4" w:space="0" w:color="auto"/>
            </w:tcBorders>
            <w:shd w:val="clear" w:color="auto" w:fill="auto"/>
            <w:noWrap/>
            <w:vAlign w:val="center"/>
            <w:hideMark/>
          </w:tcPr>
          <w:p w14:paraId="7F86C94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532,300</w:t>
            </w:r>
          </w:p>
        </w:tc>
        <w:tc>
          <w:tcPr>
            <w:tcW w:w="1060" w:type="dxa"/>
            <w:tcBorders>
              <w:top w:val="nil"/>
              <w:left w:val="nil"/>
              <w:bottom w:val="single" w:sz="4" w:space="0" w:color="auto"/>
              <w:right w:val="nil"/>
            </w:tcBorders>
            <w:shd w:val="clear" w:color="auto" w:fill="auto"/>
            <w:noWrap/>
            <w:vAlign w:val="center"/>
            <w:hideMark/>
          </w:tcPr>
          <w:p w14:paraId="70E4D99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558,100</w:t>
            </w:r>
          </w:p>
        </w:tc>
        <w:tc>
          <w:tcPr>
            <w:tcW w:w="1060" w:type="dxa"/>
            <w:tcBorders>
              <w:top w:val="nil"/>
              <w:left w:val="nil"/>
              <w:bottom w:val="single" w:sz="4" w:space="0" w:color="auto"/>
              <w:right w:val="nil"/>
            </w:tcBorders>
            <w:shd w:val="clear" w:color="auto" w:fill="auto"/>
            <w:noWrap/>
            <w:vAlign w:val="center"/>
            <w:hideMark/>
          </w:tcPr>
          <w:p w14:paraId="167D9C6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583,500</w:t>
            </w:r>
          </w:p>
        </w:tc>
        <w:tc>
          <w:tcPr>
            <w:tcW w:w="1060" w:type="dxa"/>
            <w:tcBorders>
              <w:top w:val="nil"/>
              <w:left w:val="nil"/>
              <w:bottom w:val="single" w:sz="4" w:space="0" w:color="auto"/>
              <w:right w:val="nil"/>
            </w:tcBorders>
            <w:shd w:val="clear" w:color="auto" w:fill="auto"/>
            <w:noWrap/>
            <w:vAlign w:val="center"/>
            <w:hideMark/>
          </w:tcPr>
          <w:p w14:paraId="6BE4F33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608,500</w:t>
            </w:r>
          </w:p>
        </w:tc>
        <w:tc>
          <w:tcPr>
            <w:tcW w:w="1060" w:type="dxa"/>
            <w:tcBorders>
              <w:top w:val="nil"/>
              <w:left w:val="nil"/>
              <w:bottom w:val="single" w:sz="4" w:space="0" w:color="auto"/>
              <w:right w:val="single" w:sz="4" w:space="0" w:color="auto"/>
            </w:tcBorders>
            <w:shd w:val="clear" w:color="auto" w:fill="auto"/>
            <w:noWrap/>
            <w:vAlign w:val="center"/>
            <w:hideMark/>
          </w:tcPr>
          <w:p w14:paraId="4952F40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633,100</w:t>
            </w:r>
          </w:p>
        </w:tc>
      </w:tr>
      <w:tr w:rsidR="0032159E" w:rsidRPr="007F6332" w14:paraId="619E7267" w14:textId="77777777" w:rsidTr="00C1755E">
        <w:trPr>
          <w:trHeight w:val="27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780B5B4D" w14:textId="47A0FE8A"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31 December 2019 projection</w:t>
            </w:r>
          </w:p>
        </w:tc>
        <w:tc>
          <w:tcPr>
            <w:tcW w:w="1060" w:type="dxa"/>
            <w:tcBorders>
              <w:top w:val="nil"/>
              <w:left w:val="nil"/>
              <w:bottom w:val="single" w:sz="4" w:space="0" w:color="auto"/>
              <w:right w:val="nil"/>
            </w:tcBorders>
            <w:shd w:val="clear" w:color="000000" w:fill="BFBFBF"/>
            <w:noWrap/>
            <w:vAlign w:val="center"/>
            <w:hideMark/>
          </w:tcPr>
          <w:p w14:paraId="66BA888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1D1501C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49F3165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auto" w:fill="auto"/>
            <w:noWrap/>
            <w:vAlign w:val="center"/>
            <w:hideMark/>
          </w:tcPr>
          <w:p w14:paraId="0DAD3E5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443,200</w:t>
            </w:r>
          </w:p>
        </w:tc>
        <w:tc>
          <w:tcPr>
            <w:tcW w:w="1060" w:type="dxa"/>
            <w:tcBorders>
              <w:top w:val="nil"/>
              <w:left w:val="nil"/>
              <w:bottom w:val="single" w:sz="4" w:space="0" w:color="auto"/>
              <w:right w:val="single" w:sz="4" w:space="0" w:color="auto"/>
            </w:tcBorders>
            <w:shd w:val="clear" w:color="auto" w:fill="auto"/>
            <w:noWrap/>
            <w:vAlign w:val="center"/>
            <w:hideMark/>
          </w:tcPr>
          <w:p w14:paraId="4A3E03B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485,200</w:t>
            </w:r>
          </w:p>
        </w:tc>
        <w:tc>
          <w:tcPr>
            <w:tcW w:w="1060" w:type="dxa"/>
            <w:tcBorders>
              <w:top w:val="nil"/>
              <w:left w:val="nil"/>
              <w:bottom w:val="single" w:sz="4" w:space="0" w:color="auto"/>
              <w:right w:val="single" w:sz="4" w:space="0" w:color="auto"/>
            </w:tcBorders>
            <w:shd w:val="clear" w:color="auto" w:fill="auto"/>
            <w:noWrap/>
            <w:vAlign w:val="center"/>
            <w:hideMark/>
          </w:tcPr>
          <w:p w14:paraId="4821A1C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518,400</w:t>
            </w:r>
          </w:p>
        </w:tc>
        <w:tc>
          <w:tcPr>
            <w:tcW w:w="1060" w:type="dxa"/>
            <w:tcBorders>
              <w:top w:val="nil"/>
              <w:left w:val="nil"/>
              <w:bottom w:val="single" w:sz="4" w:space="0" w:color="auto"/>
              <w:right w:val="nil"/>
            </w:tcBorders>
            <w:shd w:val="clear" w:color="auto" w:fill="auto"/>
            <w:noWrap/>
            <w:vAlign w:val="center"/>
            <w:hideMark/>
          </w:tcPr>
          <w:p w14:paraId="4D492E4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544,000</w:t>
            </w:r>
          </w:p>
        </w:tc>
        <w:tc>
          <w:tcPr>
            <w:tcW w:w="1060" w:type="dxa"/>
            <w:tcBorders>
              <w:top w:val="nil"/>
              <w:left w:val="nil"/>
              <w:bottom w:val="single" w:sz="4" w:space="0" w:color="auto"/>
              <w:right w:val="nil"/>
            </w:tcBorders>
            <w:shd w:val="clear" w:color="auto" w:fill="auto"/>
            <w:noWrap/>
            <w:vAlign w:val="center"/>
            <w:hideMark/>
          </w:tcPr>
          <w:p w14:paraId="0B806C5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568,500</w:t>
            </w:r>
          </w:p>
        </w:tc>
        <w:tc>
          <w:tcPr>
            <w:tcW w:w="1060" w:type="dxa"/>
            <w:tcBorders>
              <w:top w:val="nil"/>
              <w:left w:val="nil"/>
              <w:bottom w:val="single" w:sz="4" w:space="0" w:color="auto"/>
              <w:right w:val="nil"/>
            </w:tcBorders>
            <w:shd w:val="clear" w:color="auto" w:fill="auto"/>
            <w:noWrap/>
            <w:vAlign w:val="center"/>
            <w:hideMark/>
          </w:tcPr>
          <w:p w14:paraId="58C8778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592,500</w:t>
            </w:r>
          </w:p>
        </w:tc>
        <w:tc>
          <w:tcPr>
            <w:tcW w:w="1060" w:type="dxa"/>
            <w:tcBorders>
              <w:top w:val="nil"/>
              <w:left w:val="nil"/>
              <w:bottom w:val="single" w:sz="4" w:space="0" w:color="auto"/>
              <w:right w:val="single" w:sz="4" w:space="0" w:color="auto"/>
            </w:tcBorders>
            <w:shd w:val="clear" w:color="auto" w:fill="auto"/>
            <w:noWrap/>
            <w:vAlign w:val="center"/>
            <w:hideMark/>
          </w:tcPr>
          <w:p w14:paraId="1D9E6BE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616,300</w:t>
            </w:r>
          </w:p>
        </w:tc>
      </w:tr>
      <w:tr w:rsidR="0032159E" w:rsidRPr="007F6332" w14:paraId="6AC814C3" w14:textId="77777777" w:rsidTr="00C1755E">
        <w:trPr>
          <w:trHeight w:val="27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1697D26E"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2019 AFSR projection</w:t>
            </w:r>
          </w:p>
        </w:tc>
        <w:tc>
          <w:tcPr>
            <w:tcW w:w="1060" w:type="dxa"/>
            <w:tcBorders>
              <w:top w:val="nil"/>
              <w:left w:val="nil"/>
              <w:bottom w:val="single" w:sz="4" w:space="0" w:color="auto"/>
              <w:right w:val="nil"/>
            </w:tcBorders>
            <w:shd w:val="clear" w:color="000000" w:fill="BFBFBF"/>
            <w:noWrap/>
            <w:vAlign w:val="center"/>
            <w:hideMark/>
          </w:tcPr>
          <w:p w14:paraId="597086D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4CF2183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FFE699"/>
            <w:noWrap/>
            <w:vAlign w:val="center"/>
            <w:hideMark/>
          </w:tcPr>
          <w:p w14:paraId="7E97A03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369,100</w:t>
            </w:r>
          </w:p>
        </w:tc>
        <w:tc>
          <w:tcPr>
            <w:tcW w:w="1060" w:type="dxa"/>
            <w:tcBorders>
              <w:top w:val="nil"/>
              <w:left w:val="nil"/>
              <w:bottom w:val="single" w:sz="4" w:space="0" w:color="auto"/>
              <w:right w:val="nil"/>
            </w:tcBorders>
            <w:shd w:val="clear" w:color="auto" w:fill="auto"/>
            <w:noWrap/>
            <w:vAlign w:val="center"/>
            <w:hideMark/>
          </w:tcPr>
          <w:p w14:paraId="19EB2F1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423,900</w:t>
            </w:r>
          </w:p>
        </w:tc>
        <w:tc>
          <w:tcPr>
            <w:tcW w:w="1060" w:type="dxa"/>
            <w:tcBorders>
              <w:top w:val="nil"/>
              <w:left w:val="nil"/>
              <w:bottom w:val="single" w:sz="4" w:space="0" w:color="auto"/>
              <w:right w:val="single" w:sz="4" w:space="0" w:color="auto"/>
            </w:tcBorders>
            <w:shd w:val="clear" w:color="auto" w:fill="auto"/>
            <w:noWrap/>
            <w:vAlign w:val="center"/>
            <w:hideMark/>
          </w:tcPr>
          <w:p w14:paraId="6E7A1A4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470,600</w:t>
            </w:r>
          </w:p>
        </w:tc>
        <w:tc>
          <w:tcPr>
            <w:tcW w:w="1060" w:type="dxa"/>
            <w:tcBorders>
              <w:top w:val="nil"/>
              <w:left w:val="nil"/>
              <w:bottom w:val="single" w:sz="4" w:space="0" w:color="auto"/>
              <w:right w:val="single" w:sz="4" w:space="0" w:color="auto"/>
            </w:tcBorders>
            <w:shd w:val="clear" w:color="auto" w:fill="auto"/>
            <w:noWrap/>
            <w:vAlign w:val="center"/>
            <w:hideMark/>
          </w:tcPr>
          <w:p w14:paraId="5D4E49D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501,500</w:t>
            </w:r>
          </w:p>
        </w:tc>
        <w:tc>
          <w:tcPr>
            <w:tcW w:w="1060" w:type="dxa"/>
            <w:tcBorders>
              <w:top w:val="nil"/>
              <w:left w:val="nil"/>
              <w:bottom w:val="single" w:sz="4" w:space="0" w:color="auto"/>
              <w:right w:val="nil"/>
            </w:tcBorders>
            <w:shd w:val="clear" w:color="auto" w:fill="auto"/>
            <w:noWrap/>
            <w:vAlign w:val="center"/>
            <w:hideMark/>
          </w:tcPr>
          <w:p w14:paraId="1F72A9E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523,700</w:t>
            </w:r>
          </w:p>
        </w:tc>
        <w:tc>
          <w:tcPr>
            <w:tcW w:w="1060" w:type="dxa"/>
            <w:tcBorders>
              <w:top w:val="nil"/>
              <w:left w:val="nil"/>
              <w:bottom w:val="single" w:sz="4" w:space="0" w:color="auto"/>
              <w:right w:val="nil"/>
            </w:tcBorders>
            <w:shd w:val="clear" w:color="auto" w:fill="auto"/>
            <w:noWrap/>
            <w:vAlign w:val="center"/>
            <w:hideMark/>
          </w:tcPr>
          <w:p w14:paraId="0CEBACC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544,600</w:t>
            </w:r>
          </w:p>
        </w:tc>
        <w:tc>
          <w:tcPr>
            <w:tcW w:w="1060" w:type="dxa"/>
            <w:tcBorders>
              <w:top w:val="nil"/>
              <w:left w:val="nil"/>
              <w:bottom w:val="single" w:sz="4" w:space="0" w:color="auto"/>
              <w:right w:val="nil"/>
            </w:tcBorders>
            <w:shd w:val="clear" w:color="auto" w:fill="auto"/>
            <w:noWrap/>
            <w:vAlign w:val="center"/>
            <w:hideMark/>
          </w:tcPr>
          <w:p w14:paraId="484FFCD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564,300</w:t>
            </w:r>
          </w:p>
        </w:tc>
        <w:tc>
          <w:tcPr>
            <w:tcW w:w="1060" w:type="dxa"/>
            <w:tcBorders>
              <w:top w:val="nil"/>
              <w:left w:val="nil"/>
              <w:bottom w:val="single" w:sz="4" w:space="0" w:color="auto"/>
              <w:right w:val="single" w:sz="4" w:space="0" w:color="auto"/>
            </w:tcBorders>
            <w:shd w:val="clear" w:color="auto" w:fill="auto"/>
            <w:noWrap/>
            <w:vAlign w:val="center"/>
            <w:hideMark/>
          </w:tcPr>
          <w:p w14:paraId="3FA2FCC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583,200</w:t>
            </w:r>
          </w:p>
        </w:tc>
      </w:tr>
      <w:tr w:rsidR="0032159E" w:rsidRPr="007F6332" w14:paraId="77A40C84" w14:textId="77777777" w:rsidTr="00C1755E">
        <w:trPr>
          <w:trHeight w:val="270"/>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18D17F11"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2018 AFSR projection</w:t>
            </w:r>
          </w:p>
        </w:tc>
        <w:tc>
          <w:tcPr>
            <w:tcW w:w="1060" w:type="dxa"/>
            <w:tcBorders>
              <w:top w:val="nil"/>
              <w:left w:val="nil"/>
              <w:bottom w:val="single" w:sz="4" w:space="0" w:color="auto"/>
              <w:right w:val="nil"/>
            </w:tcBorders>
            <w:shd w:val="clear" w:color="000000" w:fill="BFBFBF"/>
            <w:noWrap/>
            <w:vAlign w:val="center"/>
            <w:hideMark/>
          </w:tcPr>
          <w:p w14:paraId="38047D5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FFE699"/>
            <w:noWrap/>
            <w:vAlign w:val="center"/>
            <w:hideMark/>
          </w:tcPr>
          <w:p w14:paraId="1F48C44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306,200</w:t>
            </w:r>
          </w:p>
        </w:tc>
        <w:tc>
          <w:tcPr>
            <w:tcW w:w="1060" w:type="dxa"/>
            <w:tcBorders>
              <w:top w:val="nil"/>
              <w:left w:val="nil"/>
              <w:bottom w:val="single" w:sz="4" w:space="0" w:color="auto"/>
              <w:right w:val="nil"/>
            </w:tcBorders>
            <w:shd w:val="clear" w:color="auto" w:fill="auto"/>
            <w:noWrap/>
            <w:vAlign w:val="center"/>
            <w:hideMark/>
          </w:tcPr>
          <w:p w14:paraId="459F8E1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380,500</w:t>
            </w:r>
          </w:p>
        </w:tc>
        <w:tc>
          <w:tcPr>
            <w:tcW w:w="1060" w:type="dxa"/>
            <w:tcBorders>
              <w:top w:val="nil"/>
              <w:left w:val="nil"/>
              <w:bottom w:val="single" w:sz="4" w:space="0" w:color="auto"/>
              <w:right w:val="nil"/>
            </w:tcBorders>
            <w:shd w:val="clear" w:color="auto" w:fill="auto"/>
            <w:noWrap/>
            <w:vAlign w:val="center"/>
            <w:hideMark/>
          </w:tcPr>
          <w:p w14:paraId="151A290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426,600</w:t>
            </w:r>
          </w:p>
        </w:tc>
        <w:tc>
          <w:tcPr>
            <w:tcW w:w="1060" w:type="dxa"/>
            <w:tcBorders>
              <w:top w:val="nil"/>
              <w:left w:val="nil"/>
              <w:bottom w:val="single" w:sz="4" w:space="0" w:color="auto"/>
              <w:right w:val="single" w:sz="4" w:space="0" w:color="auto"/>
            </w:tcBorders>
            <w:shd w:val="clear" w:color="auto" w:fill="auto"/>
            <w:noWrap/>
            <w:vAlign w:val="center"/>
            <w:hideMark/>
          </w:tcPr>
          <w:p w14:paraId="27A5896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465,100</w:t>
            </w:r>
          </w:p>
        </w:tc>
        <w:tc>
          <w:tcPr>
            <w:tcW w:w="1060" w:type="dxa"/>
            <w:tcBorders>
              <w:top w:val="nil"/>
              <w:left w:val="nil"/>
              <w:bottom w:val="single" w:sz="4" w:space="0" w:color="auto"/>
              <w:right w:val="single" w:sz="4" w:space="0" w:color="auto"/>
            </w:tcBorders>
            <w:shd w:val="clear" w:color="auto" w:fill="auto"/>
            <w:noWrap/>
            <w:vAlign w:val="center"/>
            <w:hideMark/>
          </w:tcPr>
          <w:p w14:paraId="1494F84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499,300</w:t>
            </w:r>
          </w:p>
        </w:tc>
        <w:tc>
          <w:tcPr>
            <w:tcW w:w="1060" w:type="dxa"/>
            <w:tcBorders>
              <w:top w:val="nil"/>
              <w:left w:val="nil"/>
              <w:bottom w:val="single" w:sz="4" w:space="0" w:color="auto"/>
              <w:right w:val="nil"/>
            </w:tcBorders>
            <w:shd w:val="clear" w:color="auto" w:fill="auto"/>
            <w:noWrap/>
            <w:vAlign w:val="center"/>
            <w:hideMark/>
          </w:tcPr>
          <w:p w14:paraId="3206918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521,000</w:t>
            </w:r>
          </w:p>
        </w:tc>
        <w:tc>
          <w:tcPr>
            <w:tcW w:w="1060" w:type="dxa"/>
            <w:tcBorders>
              <w:top w:val="nil"/>
              <w:left w:val="nil"/>
              <w:bottom w:val="single" w:sz="4" w:space="0" w:color="auto"/>
              <w:right w:val="nil"/>
            </w:tcBorders>
            <w:shd w:val="clear" w:color="auto" w:fill="auto"/>
            <w:noWrap/>
            <w:vAlign w:val="center"/>
            <w:hideMark/>
          </w:tcPr>
          <w:p w14:paraId="410A46B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541,700</w:t>
            </w:r>
          </w:p>
        </w:tc>
        <w:tc>
          <w:tcPr>
            <w:tcW w:w="1060" w:type="dxa"/>
            <w:tcBorders>
              <w:top w:val="nil"/>
              <w:left w:val="nil"/>
              <w:bottom w:val="single" w:sz="4" w:space="0" w:color="auto"/>
              <w:right w:val="nil"/>
            </w:tcBorders>
            <w:shd w:val="clear" w:color="auto" w:fill="auto"/>
            <w:noWrap/>
            <w:vAlign w:val="center"/>
            <w:hideMark/>
          </w:tcPr>
          <w:p w14:paraId="4248477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561,700</w:t>
            </w:r>
          </w:p>
        </w:tc>
        <w:tc>
          <w:tcPr>
            <w:tcW w:w="1060" w:type="dxa"/>
            <w:tcBorders>
              <w:top w:val="nil"/>
              <w:left w:val="nil"/>
              <w:bottom w:val="single" w:sz="4" w:space="0" w:color="auto"/>
              <w:right w:val="single" w:sz="4" w:space="0" w:color="auto"/>
            </w:tcBorders>
            <w:shd w:val="clear" w:color="auto" w:fill="auto"/>
            <w:noWrap/>
            <w:vAlign w:val="center"/>
            <w:hideMark/>
          </w:tcPr>
          <w:p w14:paraId="69EB017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581,100</w:t>
            </w:r>
          </w:p>
        </w:tc>
      </w:tr>
      <w:tr w:rsidR="0032159E" w:rsidRPr="007F6332" w14:paraId="33E9FAEC" w14:textId="77777777" w:rsidTr="00C1755E">
        <w:trPr>
          <w:trHeight w:val="266"/>
        </w:trPr>
        <w:tc>
          <w:tcPr>
            <w:tcW w:w="3575" w:type="dxa"/>
            <w:tcBorders>
              <w:top w:val="nil"/>
              <w:left w:val="single" w:sz="4" w:space="0" w:color="auto"/>
              <w:bottom w:val="single" w:sz="4" w:space="0" w:color="auto"/>
              <w:right w:val="nil"/>
            </w:tcBorders>
            <w:shd w:val="clear" w:color="000000" w:fill="D3C5D7"/>
            <w:noWrap/>
            <w:vAlign w:val="center"/>
            <w:hideMark/>
          </w:tcPr>
          <w:p w14:paraId="6B811F6F" w14:textId="77777777" w:rsidR="00B042DF" w:rsidRPr="007F6332" w:rsidRDefault="00B042DF" w:rsidP="00D8325F">
            <w:pPr>
              <w:spacing w:after="0" w:line="240" w:lineRule="auto"/>
              <w:rPr>
                <w:rFonts w:eastAsia="Times New Roman" w:cs="Arial"/>
                <w:b/>
                <w:bCs/>
                <w:color w:val="000000"/>
                <w:sz w:val="15"/>
                <w:szCs w:val="15"/>
                <w:lang w:eastAsia="en-AU"/>
              </w:rPr>
            </w:pPr>
            <w:r w:rsidRPr="007F6332">
              <w:rPr>
                <w:rFonts w:eastAsia="Times New Roman" w:cs="Arial"/>
                <w:b/>
                <w:bCs/>
                <w:color w:val="000000"/>
                <w:sz w:val="15"/>
                <w:szCs w:val="15"/>
                <w:lang w:eastAsia="en-AU"/>
              </w:rPr>
              <w:t>Comparison with actuals</w:t>
            </w:r>
          </w:p>
        </w:tc>
        <w:tc>
          <w:tcPr>
            <w:tcW w:w="1060" w:type="dxa"/>
            <w:tcBorders>
              <w:top w:val="nil"/>
              <w:left w:val="nil"/>
              <w:bottom w:val="single" w:sz="4" w:space="0" w:color="auto"/>
              <w:right w:val="nil"/>
            </w:tcBorders>
            <w:shd w:val="clear" w:color="000000" w:fill="D3C5D7"/>
            <w:noWrap/>
            <w:vAlign w:val="center"/>
            <w:hideMark/>
          </w:tcPr>
          <w:p w14:paraId="539FCC5A"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346F693F"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3125537B"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00005501"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27C9A722"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7E1D9DCA"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513B3F39"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68F55CD3"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nil"/>
            </w:tcBorders>
            <w:shd w:val="clear" w:color="000000" w:fill="D3C5D7"/>
            <w:noWrap/>
            <w:vAlign w:val="center"/>
            <w:hideMark/>
          </w:tcPr>
          <w:p w14:paraId="27F6F2CE"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D3C5D7"/>
            <w:noWrap/>
            <w:vAlign w:val="center"/>
            <w:hideMark/>
          </w:tcPr>
          <w:p w14:paraId="47CD8EBE"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r>
      <w:tr w:rsidR="0032159E" w:rsidRPr="007F6332" w14:paraId="20EBC788" w14:textId="77777777" w:rsidTr="00C1755E">
        <w:trPr>
          <w:trHeight w:val="285"/>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324BF8CA"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Actual participant numbers</w:t>
            </w:r>
          </w:p>
        </w:tc>
        <w:tc>
          <w:tcPr>
            <w:tcW w:w="1060" w:type="dxa"/>
            <w:tcBorders>
              <w:top w:val="nil"/>
              <w:left w:val="nil"/>
              <w:bottom w:val="single" w:sz="4" w:space="0" w:color="auto"/>
              <w:right w:val="nil"/>
            </w:tcBorders>
            <w:shd w:val="clear" w:color="auto" w:fill="auto"/>
            <w:noWrap/>
            <w:vAlign w:val="center"/>
            <w:hideMark/>
          </w:tcPr>
          <w:p w14:paraId="27943B0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172,300</w:t>
            </w:r>
          </w:p>
        </w:tc>
        <w:tc>
          <w:tcPr>
            <w:tcW w:w="1060" w:type="dxa"/>
            <w:tcBorders>
              <w:top w:val="nil"/>
              <w:left w:val="nil"/>
              <w:bottom w:val="single" w:sz="4" w:space="0" w:color="auto"/>
              <w:right w:val="nil"/>
            </w:tcBorders>
            <w:shd w:val="clear" w:color="000000" w:fill="FFE699"/>
            <w:noWrap/>
            <w:vAlign w:val="center"/>
            <w:hideMark/>
          </w:tcPr>
          <w:p w14:paraId="7CA9F0C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286,000</w:t>
            </w:r>
          </w:p>
        </w:tc>
        <w:tc>
          <w:tcPr>
            <w:tcW w:w="1060" w:type="dxa"/>
            <w:tcBorders>
              <w:top w:val="nil"/>
              <w:left w:val="nil"/>
              <w:bottom w:val="single" w:sz="4" w:space="0" w:color="auto"/>
              <w:right w:val="nil"/>
            </w:tcBorders>
            <w:shd w:val="clear" w:color="000000" w:fill="FFE699"/>
            <w:noWrap/>
            <w:vAlign w:val="center"/>
            <w:hideMark/>
          </w:tcPr>
          <w:p w14:paraId="1E87160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392,000</w:t>
            </w:r>
          </w:p>
        </w:tc>
        <w:tc>
          <w:tcPr>
            <w:tcW w:w="1060" w:type="dxa"/>
            <w:tcBorders>
              <w:top w:val="nil"/>
              <w:left w:val="nil"/>
              <w:bottom w:val="single" w:sz="4" w:space="0" w:color="auto"/>
              <w:right w:val="nil"/>
            </w:tcBorders>
            <w:shd w:val="clear" w:color="000000" w:fill="FFE699"/>
            <w:noWrap/>
            <w:vAlign w:val="center"/>
            <w:hideMark/>
          </w:tcPr>
          <w:p w14:paraId="3F65D20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466,600</w:t>
            </w:r>
          </w:p>
        </w:tc>
        <w:tc>
          <w:tcPr>
            <w:tcW w:w="1060" w:type="dxa"/>
            <w:tcBorders>
              <w:top w:val="nil"/>
              <w:left w:val="nil"/>
              <w:bottom w:val="single" w:sz="4" w:space="0" w:color="auto"/>
              <w:right w:val="single" w:sz="4" w:space="0" w:color="auto"/>
            </w:tcBorders>
            <w:shd w:val="clear" w:color="000000" w:fill="FFE699"/>
            <w:noWrap/>
            <w:vAlign w:val="center"/>
            <w:hideMark/>
          </w:tcPr>
          <w:p w14:paraId="40383B0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534,700</w:t>
            </w:r>
          </w:p>
        </w:tc>
        <w:tc>
          <w:tcPr>
            <w:tcW w:w="1060" w:type="dxa"/>
            <w:tcBorders>
              <w:top w:val="nil"/>
              <w:left w:val="nil"/>
              <w:bottom w:val="single" w:sz="4" w:space="0" w:color="auto"/>
              <w:right w:val="single" w:sz="4" w:space="0" w:color="auto"/>
            </w:tcBorders>
            <w:shd w:val="clear" w:color="000000" w:fill="FFE699"/>
            <w:noWrap/>
            <w:vAlign w:val="center"/>
            <w:hideMark/>
          </w:tcPr>
          <w:p w14:paraId="483E450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610,500</w:t>
            </w:r>
          </w:p>
        </w:tc>
        <w:tc>
          <w:tcPr>
            <w:tcW w:w="1060" w:type="dxa"/>
            <w:tcBorders>
              <w:top w:val="nil"/>
              <w:left w:val="nil"/>
              <w:bottom w:val="single" w:sz="4" w:space="0" w:color="auto"/>
              <w:right w:val="nil"/>
            </w:tcBorders>
            <w:shd w:val="clear" w:color="000000" w:fill="BFBFBF"/>
            <w:noWrap/>
            <w:vAlign w:val="center"/>
            <w:hideMark/>
          </w:tcPr>
          <w:p w14:paraId="17EA04B1"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07C2BF2A"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552C5EF6"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BFBFBF"/>
            <w:noWrap/>
            <w:vAlign w:val="center"/>
            <w:hideMark/>
          </w:tcPr>
          <w:p w14:paraId="2243DFC2"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r>
      <w:tr w:rsidR="0032159E" w:rsidRPr="007F6332" w14:paraId="64F33AEF" w14:textId="77777777" w:rsidTr="00C1755E">
        <w:trPr>
          <w:trHeight w:val="427"/>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10526CC6"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Actual participant numbers compared with June AFSR (#)</w:t>
            </w:r>
          </w:p>
        </w:tc>
        <w:tc>
          <w:tcPr>
            <w:tcW w:w="1060" w:type="dxa"/>
            <w:tcBorders>
              <w:top w:val="nil"/>
              <w:left w:val="nil"/>
              <w:bottom w:val="single" w:sz="4" w:space="0" w:color="auto"/>
              <w:right w:val="nil"/>
            </w:tcBorders>
            <w:shd w:val="clear" w:color="000000" w:fill="BFBFBF"/>
            <w:noWrap/>
            <w:vAlign w:val="center"/>
            <w:hideMark/>
          </w:tcPr>
          <w:p w14:paraId="45239C8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FFE699"/>
            <w:noWrap/>
            <w:vAlign w:val="center"/>
            <w:hideMark/>
          </w:tcPr>
          <w:p w14:paraId="0238D48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-20,200</w:t>
            </w:r>
          </w:p>
        </w:tc>
        <w:tc>
          <w:tcPr>
            <w:tcW w:w="1060" w:type="dxa"/>
            <w:tcBorders>
              <w:top w:val="nil"/>
              <w:left w:val="nil"/>
              <w:bottom w:val="single" w:sz="4" w:space="0" w:color="auto"/>
              <w:right w:val="nil"/>
            </w:tcBorders>
            <w:shd w:val="clear" w:color="000000" w:fill="FFE699"/>
            <w:noWrap/>
            <w:vAlign w:val="center"/>
            <w:hideMark/>
          </w:tcPr>
          <w:p w14:paraId="593D8DE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22,900</w:t>
            </w:r>
          </w:p>
        </w:tc>
        <w:tc>
          <w:tcPr>
            <w:tcW w:w="1060" w:type="dxa"/>
            <w:tcBorders>
              <w:top w:val="nil"/>
              <w:left w:val="nil"/>
              <w:bottom w:val="single" w:sz="4" w:space="0" w:color="auto"/>
              <w:right w:val="nil"/>
            </w:tcBorders>
            <w:shd w:val="clear" w:color="000000" w:fill="FFE699"/>
            <w:noWrap/>
            <w:vAlign w:val="center"/>
            <w:hideMark/>
          </w:tcPr>
          <w:p w14:paraId="297937A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10,300</w:t>
            </w:r>
          </w:p>
        </w:tc>
        <w:tc>
          <w:tcPr>
            <w:tcW w:w="1060" w:type="dxa"/>
            <w:tcBorders>
              <w:top w:val="nil"/>
              <w:left w:val="nil"/>
              <w:bottom w:val="single" w:sz="4" w:space="0" w:color="auto"/>
              <w:right w:val="single" w:sz="4" w:space="0" w:color="auto"/>
            </w:tcBorders>
            <w:shd w:val="clear" w:color="000000" w:fill="FFE699"/>
            <w:noWrap/>
            <w:vAlign w:val="center"/>
            <w:hideMark/>
          </w:tcPr>
          <w:p w14:paraId="2A59BC2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4,200</w:t>
            </w:r>
          </w:p>
        </w:tc>
        <w:tc>
          <w:tcPr>
            <w:tcW w:w="1060" w:type="dxa"/>
            <w:tcBorders>
              <w:top w:val="nil"/>
              <w:left w:val="nil"/>
              <w:bottom w:val="single" w:sz="4" w:space="0" w:color="auto"/>
              <w:right w:val="single" w:sz="4" w:space="0" w:color="auto"/>
            </w:tcBorders>
            <w:shd w:val="clear" w:color="000000" w:fill="FFE699"/>
            <w:noWrap/>
            <w:vAlign w:val="center"/>
            <w:hideMark/>
          </w:tcPr>
          <w:p w14:paraId="4F93982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18,200</w:t>
            </w:r>
          </w:p>
        </w:tc>
        <w:tc>
          <w:tcPr>
            <w:tcW w:w="1060" w:type="dxa"/>
            <w:tcBorders>
              <w:top w:val="nil"/>
              <w:left w:val="nil"/>
              <w:bottom w:val="single" w:sz="4" w:space="0" w:color="auto"/>
              <w:right w:val="nil"/>
            </w:tcBorders>
            <w:shd w:val="clear" w:color="000000" w:fill="BFBFBF"/>
            <w:noWrap/>
            <w:vAlign w:val="center"/>
            <w:hideMark/>
          </w:tcPr>
          <w:p w14:paraId="6C41F42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3940550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740AFE3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BFBFBF"/>
            <w:noWrap/>
            <w:vAlign w:val="center"/>
            <w:hideMark/>
          </w:tcPr>
          <w:p w14:paraId="64C7ED9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r>
      <w:tr w:rsidR="0032159E" w:rsidRPr="007F6332" w14:paraId="5A90330C" w14:textId="77777777" w:rsidTr="00C1755E">
        <w:trPr>
          <w:trHeight w:val="872"/>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6228C4AE"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Actual participant numbers compared with June AFSR (%)</w:t>
            </w:r>
            <w:r w:rsidRPr="007F6332">
              <w:rPr>
                <w:rFonts w:eastAsia="Times New Roman" w:cs="Arial"/>
                <w:color w:val="000000"/>
                <w:sz w:val="15"/>
                <w:szCs w:val="15"/>
                <w:lang w:eastAsia="en-AU"/>
              </w:rPr>
              <w:br/>
            </w:r>
            <w:r w:rsidRPr="007F6332">
              <w:rPr>
                <w:rFonts w:eastAsia="Times New Roman" w:cs="Arial"/>
                <w:i/>
                <w:iCs/>
                <w:color w:val="000000"/>
                <w:sz w:val="15"/>
                <w:szCs w:val="15"/>
                <w:lang w:eastAsia="en-AU"/>
              </w:rPr>
              <w:t>(actual participants number - AFSR projection) / Actual participants number</w:t>
            </w:r>
          </w:p>
        </w:tc>
        <w:tc>
          <w:tcPr>
            <w:tcW w:w="1060" w:type="dxa"/>
            <w:tcBorders>
              <w:top w:val="nil"/>
              <w:left w:val="nil"/>
              <w:bottom w:val="single" w:sz="4" w:space="0" w:color="auto"/>
              <w:right w:val="nil"/>
            </w:tcBorders>
            <w:shd w:val="clear" w:color="000000" w:fill="BFBFBF"/>
            <w:noWrap/>
            <w:vAlign w:val="center"/>
            <w:hideMark/>
          </w:tcPr>
          <w:p w14:paraId="510E299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FFE699"/>
            <w:noWrap/>
            <w:vAlign w:val="center"/>
            <w:hideMark/>
          </w:tcPr>
          <w:p w14:paraId="275E72A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-7.1%</w:t>
            </w:r>
          </w:p>
        </w:tc>
        <w:tc>
          <w:tcPr>
            <w:tcW w:w="1060" w:type="dxa"/>
            <w:tcBorders>
              <w:top w:val="nil"/>
              <w:left w:val="nil"/>
              <w:bottom w:val="single" w:sz="4" w:space="0" w:color="auto"/>
              <w:right w:val="nil"/>
            </w:tcBorders>
            <w:shd w:val="clear" w:color="000000" w:fill="FFE699"/>
            <w:noWrap/>
            <w:vAlign w:val="center"/>
            <w:hideMark/>
          </w:tcPr>
          <w:p w14:paraId="6D61409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w:t>
            </w:r>
          </w:p>
        </w:tc>
        <w:tc>
          <w:tcPr>
            <w:tcW w:w="1060" w:type="dxa"/>
            <w:tcBorders>
              <w:top w:val="nil"/>
              <w:left w:val="nil"/>
              <w:bottom w:val="single" w:sz="4" w:space="0" w:color="auto"/>
              <w:right w:val="nil"/>
            </w:tcBorders>
            <w:shd w:val="clear" w:color="000000" w:fill="FFE699"/>
            <w:noWrap/>
            <w:vAlign w:val="center"/>
            <w:hideMark/>
          </w:tcPr>
          <w:p w14:paraId="46F8BFF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2.2%</w:t>
            </w:r>
          </w:p>
        </w:tc>
        <w:tc>
          <w:tcPr>
            <w:tcW w:w="1060" w:type="dxa"/>
            <w:tcBorders>
              <w:top w:val="nil"/>
              <w:left w:val="nil"/>
              <w:bottom w:val="single" w:sz="4" w:space="0" w:color="auto"/>
              <w:right w:val="single" w:sz="4" w:space="0" w:color="auto"/>
            </w:tcBorders>
            <w:shd w:val="clear" w:color="000000" w:fill="FFE699"/>
            <w:noWrap/>
            <w:vAlign w:val="center"/>
            <w:hideMark/>
          </w:tcPr>
          <w:p w14:paraId="4FE96D8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0.8%</w:t>
            </w:r>
          </w:p>
        </w:tc>
        <w:tc>
          <w:tcPr>
            <w:tcW w:w="1060" w:type="dxa"/>
            <w:tcBorders>
              <w:top w:val="nil"/>
              <w:left w:val="nil"/>
              <w:bottom w:val="single" w:sz="4" w:space="0" w:color="auto"/>
              <w:right w:val="single" w:sz="4" w:space="0" w:color="auto"/>
            </w:tcBorders>
            <w:shd w:val="clear" w:color="000000" w:fill="FFE699"/>
            <w:noWrap/>
            <w:vAlign w:val="center"/>
            <w:hideMark/>
          </w:tcPr>
          <w:p w14:paraId="491BA51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3.0%</w:t>
            </w:r>
          </w:p>
        </w:tc>
        <w:tc>
          <w:tcPr>
            <w:tcW w:w="1060" w:type="dxa"/>
            <w:tcBorders>
              <w:top w:val="nil"/>
              <w:left w:val="nil"/>
              <w:bottom w:val="single" w:sz="4" w:space="0" w:color="auto"/>
              <w:right w:val="nil"/>
            </w:tcBorders>
            <w:shd w:val="clear" w:color="000000" w:fill="BFBFBF"/>
            <w:noWrap/>
            <w:vAlign w:val="center"/>
            <w:hideMark/>
          </w:tcPr>
          <w:p w14:paraId="449A37E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6B5F881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nil"/>
            </w:tcBorders>
            <w:shd w:val="clear" w:color="000000" w:fill="BFBFBF"/>
            <w:noWrap/>
            <w:vAlign w:val="center"/>
            <w:hideMark/>
          </w:tcPr>
          <w:p w14:paraId="4AF5894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60" w:type="dxa"/>
            <w:tcBorders>
              <w:top w:val="nil"/>
              <w:left w:val="nil"/>
              <w:bottom w:val="single" w:sz="4" w:space="0" w:color="auto"/>
              <w:right w:val="single" w:sz="4" w:space="0" w:color="auto"/>
            </w:tcBorders>
            <w:shd w:val="clear" w:color="000000" w:fill="BFBFBF"/>
            <w:noWrap/>
            <w:vAlign w:val="center"/>
            <w:hideMark/>
          </w:tcPr>
          <w:p w14:paraId="48A0C41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r>
    </w:tbl>
    <w:p w14:paraId="49B9DD41" w14:textId="16714100" w:rsidR="006A0622" w:rsidRPr="007F6332" w:rsidRDefault="006A0622" w:rsidP="006A0622">
      <w:pPr>
        <w:pStyle w:val="FSRnormal"/>
        <w:rPr>
          <w:rFonts w:cs="Arial"/>
          <w:highlight w:val="yellow"/>
        </w:rPr>
      </w:pPr>
      <w:r w:rsidRPr="007F6332">
        <w:rPr>
          <w:rFonts w:cs="Arial"/>
        </w:rPr>
        <w:t>The PC estimates assumed participants would initially enter the Scheme more rapidly than occurred prior to June 2019. Participant projections for each successive AFSR projection have been revised to reflect the pace at which participants have entered the Scheme. The projections have been generally revised upwards at successive AFSRs.</w:t>
      </w:r>
      <w:r w:rsidRPr="007F6332">
        <w:rPr>
          <w:rFonts w:cs="Arial"/>
          <w:highlight w:val="yellow"/>
        </w:rPr>
        <w:t xml:space="preserve"> </w:t>
      </w:r>
    </w:p>
    <w:p w14:paraId="3C007725" w14:textId="2ADB3E83" w:rsidR="00B042DF" w:rsidRPr="007F6332" w:rsidRDefault="005F4ABB" w:rsidP="006A0622">
      <w:pPr>
        <w:rPr>
          <w:rFonts w:cs="Arial"/>
          <w:b/>
          <w:bCs/>
          <w:szCs w:val="18"/>
        </w:rPr>
      </w:pPr>
      <w:r w:rsidRPr="007F6332">
        <w:rPr>
          <w:rFonts w:cs="Arial"/>
        </w:rPr>
        <w:t>For the 30 June 2023 AFSR projection, participant assumptions have been revised downwards to reflect the recent lower participant numbers experience relative to the expectations at the 31 December 2022 projection. Despite the reduction, future projections remain well above earlier estimates as well as the PC estimates.</w:t>
      </w:r>
      <w:r w:rsidR="00B042DF" w:rsidRPr="007F6332">
        <w:rPr>
          <w:rFonts w:cs="Arial"/>
        </w:rPr>
        <w:br w:type="page"/>
      </w:r>
    </w:p>
    <w:p w14:paraId="78E7A094" w14:textId="5F647831" w:rsidR="00B042DF" w:rsidRPr="007F6332" w:rsidRDefault="00950565" w:rsidP="00110394">
      <w:pPr>
        <w:pStyle w:val="FiguresandTablesHeading4"/>
      </w:pPr>
      <w:r w:rsidRPr="007F6332">
        <w:lastRenderedPageBreak/>
        <w:t>Table 6.15</w:t>
      </w:r>
      <w:r w:rsidR="00B042DF" w:rsidRPr="007F6332">
        <w:t>: Average payments</w:t>
      </w:r>
      <w:r w:rsidR="005F4ABB" w:rsidRPr="007F6332">
        <w:t xml:space="preserve"> per participant ($) </w:t>
      </w:r>
      <w:r w:rsidR="00B042DF" w:rsidRPr="007F6332">
        <w:t>- AFSR projections and 2017 PC estimates</w:t>
      </w:r>
    </w:p>
    <w:tbl>
      <w:tblPr>
        <w:tblW w:w="14222" w:type="dxa"/>
        <w:tblInd w:w="-5" w:type="dxa"/>
        <w:tblLayout w:type="fixed"/>
        <w:tblLook w:val="04A0" w:firstRow="1" w:lastRow="0" w:firstColumn="1" w:lastColumn="0" w:noHBand="0" w:noVBand="1"/>
      </w:tblPr>
      <w:tblGrid>
        <w:gridCol w:w="3906"/>
        <w:gridCol w:w="1031"/>
        <w:gridCol w:w="1032"/>
        <w:gridCol w:w="1031"/>
        <w:gridCol w:w="1032"/>
        <w:gridCol w:w="1032"/>
        <w:gridCol w:w="1031"/>
        <w:gridCol w:w="1032"/>
        <w:gridCol w:w="1031"/>
        <w:gridCol w:w="1032"/>
        <w:gridCol w:w="1032"/>
      </w:tblGrid>
      <w:tr w:rsidR="00DF263E" w:rsidRPr="007F6332" w14:paraId="6ECFA61C" w14:textId="77777777" w:rsidTr="00A61B63">
        <w:trPr>
          <w:trHeight w:val="354"/>
        </w:trPr>
        <w:tc>
          <w:tcPr>
            <w:tcW w:w="3906"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69083B4F" w14:textId="3A0CA824" w:rsidR="00B042DF" w:rsidRPr="007F6332" w:rsidRDefault="00B042DF" w:rsidP="00D8325F">
            <w:pPr>
              <w:spacing w:after="0" w:line="240" w:lineRule="auto"/>
              <w:rPr>
                <w:rFonts w:eastAsia="Times New Roman" w:cs="Arial"/>
                <w:b/>
                <w:bCs/>
                <w:color w:val="FFFFFF"/>
                <w:sz w:val="18"/>
                <w:szCs w:val="18"/>
                <w:lang w:eastAsia="en-AU"/>
              </w:rPr>
            </w:pPr>
            <w:r w:rsidRPr="007F6332">
              <w:rPr>
                <w:rFonts w:eastAsia="Times New Roman" w:cs="Arial"/>
                <w:b/>
                <w:bCs/>
                <w:color w:val="FFFFFF"/>
                <w:sz w:val="18"/>
                <w:szCs w:val="18"/>
                <w:lang w:eastAsia="en-AU"/>
              </w:rPr>
              <w:t>Average payments</w:t>
            </w:r>
            <w:r w:rsidR="007232D6" w:rsidRPr="007F6332">
              <w:rPr>
                <w:rFonts w:eastAsia="Times New Roman" w:cs="Arial"/>
                <w:b/>
                <w:bCs/>
                <w:color w:val="FFFFFF"/>
                <w:sz w:val="18"/>
                <w:szCs w:val="18"/>
                <w:lang w:eastAsia="en-AU"/>
              </w:rPr>
              <w:t xml:space="preserve"> per participant ($)</w:t>
            </w:r>
          </w:p>
        </w:tc>
        <w:tc>
          <w:tcPr>
            <w:tcW w:w="1031" w:type="dxa"/>
            <w:tcBorders>
              <w:top w:val="single" w:sz="4" w:space="0" w:color="auto"/>
              <w:left w:val="nil"/>
              <w:bottom w:val="single" w:sz="4" w:space="0" w:color="auto"/>
              <w:right w:val="nil"/>
            </w:tcBorders>
            <w:shd w:val="clear" w:color="000000" w:fill="6B2976"/>
            <w:noWrap/>
            <w:vAlign w:val="center"/>
            <w:hideMark/>
          </w:tcPr>
          <w:p w14:paraId="7BD8351D"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2017-18</w:t>
            </w:r>
          </w:p>
        </w:tc>
        <w:tc>
          <w:tcPr>
            <w:tcW w:w="1032" w:type="dxa"/>
            <w:tcBorders>
              <w:top w:val="single" w:sz="4" w:space="0" w:color="auto"/>
              <w:left w:val="nil"/>
              <w:bottom w:val="single" w:sz="4" w:space="0" w:color="auto"/>
              <w:right w:val="nil"/>
            </w:tcBorders>
            <w:shd w:val="clear" w:color="000000" w:fill="6B2976"/>
            <w:noWrap/>
            <w:vAlign w:val="center"/>
            <w:hideMark/>
          </w:tcPr>
          <w:p w14:paraId="307A9D8F"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2018-19</w:t>
            </w:r>
          </w:p>
        </w:tc>
        <w:tc>
          <w:tcPr>
            <w:tcW w:w="1031" w:type="dxa"/>
            <w:tcBorders>
              <w:top w:val="single" w:sz="4" w:space="0" w:color="auto"/>
              <w:left w:val="nil"/>
              <w:bottom w:val="single" w:sz="4" w:space="0" w:color="auto"/>
              <w:right w:val="nil"/>
            </w:tcBorders>
            <w:shd w:val="clear" w:color="000000" w:fill="6B2976"/>
            <w:noWrap/>
            <w:vAlign w:val="center"/>
            <w:hideMark/>
          </w:tcPr>
          <w:p w14:paraId="6AFB52E2"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2019-20</w:t>
            </w:r>
          </w:p>
        </w:tc>
        <w:tc>
          <w:tcPr>
            <w:tcW w:w="1032" w:type="dxa"/>
            <w:tcBorders>
              <w:top w:val="single" w:sz="4" w:space="0" w:color="auto"/>
              <w:left w:val="nil"/>
              <w:bottom w:val="single" w:sz="4" w:space="0" w:color="auto"/>
              <w:right w:val="nil"/>
            </w:tcBorders>
            <w:shd w:val="clear" w:color="000000" w:fill="6B2976"/>
            <w:noWrap/>
            <w:vAlign w:val="center"/>
            <w:hideMark/>
          </w:tcPr>
          <w:p w14:paraId="46A7A36F"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2020-21</w:t>
            </w:r>
          </w:p>
        </w:tc>
        <w:tc>
          <w:tcPr>
            <w:tcW w:w="1032" w:type="dxa"/>
            <w:tcBorders>
              <w:top w:val="single" w:sz="4" w:space="0" w:color="auto"/>
              <w:left w:val="nil"/>
              <w:bottom w:val="single" w:sz="4" w:space="0" w:color="auto"/>
              <w:right w:val="single" w:sz="4" w:space="0" w:color="auto"/>
            </w:tcBorders>
            <w:shd w:val="clear" w:color="000000" w:fill="6B2976"/>
            <w:noWrap/>
            <w:vAlign w:val="center"/>
            <w:hideMark/>
          </w:tcPr>
          <w:p w14:paraId="2835B291"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2021-22</w:t>
            </w:r>
          </w:p>
        </w:tc>
        <w:tc>
          <w:tcPr>
            <w:tcW w:w="1031" w:type="dxa"/>
            <w:tcBorders>
              <w:top w:val="single" w:sz="4" w:space="0" w:color="auto"/>
              <w:left w:val="nil"/>
              <w:bottom w:val="single" w:sz="4" w:space="0" w:color="auto"/>
              <w:right w:val="single" w:sz="4" w:space="0" w:color="auto"/>
            </w:tcBorders>
            <w:shd w:val="clear" w:color="000000" w:fill="6B2976"/>
            <w:noWrap/>
            <w:vAlign w:val="center"/>
            <w:hideMark/>
          </w:tcPr>
          <w:p w14:paraId="2F1024F7"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2022-23</w:t>
            </w:r>
          </w:p>
        </w:tc>
        <w:tc>
          <w:tcPr>
            <w:tcW w:w="1032" w:type="dxa"/>
            <w:tcBorders>
              <w:top w:val="single" w:sz="4" w:space="0" w:color="auto"/>
              <w:left w:val="nil"/>
              <w:bottom w:val="single" w:sz="4" w:space="0" w:color="auto"/>
              <w:right w:val="nil"/>
            </w:tcBorders>
            <w:shd w:val="clear" w:color="000000" w:fill="6B2976"/>
            <w:noWrap/>
            <w:vAlign w:val="center"/>
            <w:hideMark/>
          </w:tcPr>
          <w:p w14:paraId="1966EBBA"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2023-24</w:t>
            </w:r>
          </w:p>
        </w:tc>
        <w:tc>
          <w:tcPr>
            <w:tcW w:w="1031" w:type="dxa"/>
            <w:tcBorders>
              <w:top w:val="single" w:sz="4" w:space="0" w:color="auto"/>
              <w:left w:val="nil"/>
              <w:bottom w:val="single" w:sz="4" w:space="0" w:color="auto"/>
              <w:right w:val="nil"/>
            </w:tcBorders>
            <w:shd w:val="clear" w:color="000000" w:fill="6B2976"/>
            <w:noWrap/>
            <w:vAlign w:val="center"/>
            <w:hideMark/>
          </w:tcPr>
          <w:p w14:paraId="1C6E09CD"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2024-25</w:t>
            </w:r>
          </w:p>
        </w:tc>
        <w:tc>
          <w:tcPr>
            <w:tcW w:w="1032" w:type="dxa"/>
            <w:tcBorders>
              <w:top w:val="single" w:sz="4" w:space="0" w:color="auto"/>
              <w:left w:val="nil"/>
              <w:bottom w:val="single" w:sz="4" w:space="0" w:color="auto"/>
              <w:right w:val="nil"/>
            </w:tcBorders>
            <w:shd w:val="clear" w:color="000000" w:fill="6B2976"/>
            <w:noWrap/>
            <w:vAlign w:val="center"/>
            <w:hideMark/>
          </w:tcPr>
          <w:p w14:paraId="447ABF09"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2025-26</w:t>
            </w:r>
          </w:p>
        </w:tc>
        <w:tc>
          <w:tcPr>
            <w:tcW w:w="1032" w:type="dxa"/>
            <w:tcBorders>
              <w:top w:val="single" w:sz="4" w:space="0" w:color="auto"/>
              <w:left w:val="nil"/>
              <w:bottom w:val="single" w:sz="4" w:space="0" w:color="auto"/>
              <w:right w:val="single" w:sz="4" w:space="0" w:color="auto"/>
            </w:tcBorders>
            <w:shd w:val="clear" w:color="000000" w:fill="6B2976"/>
            <w:noWrap/>
            <w:vAlign w:val="center"/>
            <w:hideMark/>
          </w:tcPr>
          <w:p w14:paraId="33FF93A3"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2026-27</w:t>
            </w:r>
          </w:p>
        </w:tc>
      </w:tr>
      <w:tr w:rsidR="00DF263E" w:rsidRPr="007F6332" w14:paraId="7A6EC9FB" w14:textId="77777777" w:rsidTr="00A61B63">
        <w:trPr>
          <w:trHeight w:val="221"/>
        </w:trPr>
        <w:tc>
          <w:tcPr>
            <w:tcW w:w="3906" w:type="dxa"/>
            <w:tcBorders>
              <w:top w:val="single" w:sz="4" w:space="0" w:color="auto"/>
              <w:left w:val="single" w:sz="4" w:space="0" w:color="auto"/>
              <w:bottom w:val="single" w:sz="4" w:space="0" w:color="auto"/>
              <w:right w:val="nil"/>
            </w:tcBorders>
            <w:shd w:val="clear" w:color="000000" w:fill="D3C5D7"/>
            <w:noWrap/>
            <w:vAlign w:val="center"/>
            <w:hideMark/>
          </w:tcPr>
          <w:p w14:paraId="2F246E78" w14:textId="77777777" w:rsidR="00B042DF" w:rsidRPr="007F6332" w:rsidRDefault="00B042DF" w:rsidP="00D8325F">
            <w:pPr>
              <w:spacing w:after="0" w:line="240" w:lineRule="auto"/>
              <w:rPr>
                <w:rFonts w:eastAsia="Times New Roman" w:cs="Arial"/>
                <w:b/>
                <w:bCs/>
                <w:color w:val="000000"/>
                <w:sz w:val="15"/>
                <w:szCs w:val="15"/>
                <w:lang w:eastAsia="en-AU"/>
              </w:rPr>
            </w:pPr>
            <w:r w:rsidRPr="007F6332">
              <w:rPr>
                <w:rFonts w:eastAsia="Times New Roman" w:cs="Arial"/>
                <w:b/>
                <w:bCs/>
                <w:color w:val="000000"/>
                <w:sz w:val="15"/>
                <w:szCs w:val="15"/>
                <w:lang w:eastAsia="en-AU"/>
              </w:rPr>
              <w:t>PC estimates</w:t>
            </w:r>
          </w:p>
        </w:tc>
        <w:tc>
          <w:tcPr>
            <w:tcW w:w="1031" w:type="dxa"/>
            <w:tcBorders>
              <w:top w:val="single" w:sz="4" w:space="0" w:color="auto"/>
              <w:left w:val="nil"/>
              <w:bottom w:val="single" w:sz="4" w:space="0" w:color="auto"/>
              <w:right w:val="nil"/>
            </w:tcBorders>
            <w:shd w:val="clear" w:color="000000" w:fill="D3C5D7"/>
            <w:noWrap/>
            <w:vAlign w:val="center"/>
            <w:hideMark/>
          </w:tcPr>
          <w:p w14:paraId="23AEB375"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00275C62"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D3C5D7"/>
            <w:noWrap/>
            <w:vAlign w:val="center"/>
            <w:hideMark/>
          </w:tcPr>
          <w:p w14:paraId="010FDD05"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589EABE2"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D3C5D7"/>
            <w:noWrap/>
            <w:vAlign w:val="center"/>
            <w:hideMark/>
          </w:tcPr>
          <w:p w14:paraId="5A34E59D"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single" w:sz="4" w:space="0" w:color="auto"/>
            </w:tcBorders>
            <w:shd w:val="clear" w:color="000000" w:fill="D3C5D7"/>
            <w:noWrap/>
            <w:vAlign w:val="center"/>
            <w:hideMark/>
          </w:tcPr>
          <w:p w14:paraId="3A599565"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19C529F9"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D3C5D7"/>
            <w:noWrap/>
            <w:vAlign w:val="center"/>
            <w:hideMark/>
          </w:tcPr>
          <w:p w14:paraId="3BE7E69C"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4A86CE81"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D3C5D7"/>
            <w:noWrap/>
            <w:vAlign w:val="center"/>
            <w:hideMark/>
          </w:tcPr>
          <w:p w14:paraId="30AD10EB"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r>
      <w:tr w:rsidR="0032159E" w:rsidRPr="007F6332" w14:paraId="66C83526"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78E62"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2017 Productivity Commission Estimates</w:t>
            </w:r>
          </w:p>
        </w:tc>
        <w:tc>
          <w:tcPr>
            <w:tcW w:w="1031" w:type="dxa"/>
            <w:tcBorders>
              <w:top w:val="single" w:sz="4" w:space="0" w:color="auto"/>
              <w:left w:val="nil"/>
              <w:bottom w:val="single" w:sz="4" w:space="0" w:color="auto"/>
              <w:right w:val="nil"/>
            </w:tcBorders>
            <w:shd w:val="clear" w:color="auto" w:fill="auto"/>
            <w:noWrap/>
            <w:vAlign w:val="center"/>
            <w:hideMark/>
          </w:tcPr>
          <w:p w14:paraId="5F2E042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39,900</w:t>
            </w:r>
          </w:p>
        </w:tc>
        <w:tc>
          <w:tcPr>
            <w:tcW w:w="1032" w:type="dxa"/>
            <w:tcBorders>
              <w:top w:val="single" w:sz="4" w:space="0" w:color="auto"/>
              <w:left w:val="nil"/>
              <w:bottom w:val="single" w:sz="4" w:space="0" w:color="auto"/>
              <w:right w:val="nil"/>
            </w:tcBorders>
            <w:shd w:val="clear" w:color="auto" w:fill="auto"/>
            <w:noWrap/>
            <w:vAlign w:val="center"/>
            <w:hideMark/>
          </w:tcPr>
          <w:p w14:paraId="0362B2C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41,300</w:t>
            </w:r>
          </w:p>
        </w:tc>
        <w:tc>
          <w:tcPr>
            <w:tcW w:w="1031" w:type="dxa"/>
            <w:tcBorders>
              <w:top w:val="single" w:sz="4" w:space="0" w:color="auto"/>
              <w:left w:val="nil"/>
              <w:bottom w:val="single" w:sz="4" w:space="0" w:color="auto"/>
              <w:right w:val="nil"/>
            </w:tcBorders>
            <w:shd w:val="clear" w:color="auto" w:fill="auto"/>
            <w:noWrap/>
            <w:vAlign w:val="center"/>
            <w:hideMark/>
          </w:tcPr>
          <w:p w14:paraId="7C72196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45,100</w:t>
            </w:r>
          </w:p>
        </w:tc>
        <w:tc>
          <w:tcPr>
            <w:tcW w:w="1032" w:type="dxa"/>
            <w:tcBorders>
              <w:top w:val="single" w:sz="4" w:space="0" w:color="auto"/>
              <w:left w:val="nil"/>
              <w:bottom w:val="single" w:sz="4" w:space="0" w:color="auto"/>
              <w:right w:val="nil"/>
            </w:tcBorders>
            <w:shd w:val="clear" w:color="auto" w:fill="auto"/>
            <w:noWrap/>
            <w:vAlign w:val="center"/>
            <w:hideMark/>
          </w:tcPr>
          <w:p w14:paraId="4045170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46,400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359036A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48,200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788CEAA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50,100</w:t>
            </w:r>
          </w:p>
        </w:tc>
        <w:tc>
          <w:tcPr>
            <w:tcW w:w="1032" w:type="dxa"/>
            <w:tcBorders>
              <w:top w:val="single" w:sz="4" w:space="0" w:color="auto"/>
              <w:left w:val="nil"/>
              <w:bottom w:val="single" w:sz="4" w:space="0" w:color="auto"/>
              <w:right w:val="nil"/>
            </w:tcBorders>
            <w:shd w:val="clear" w:color="auto" w:fill="auto"/>
            <w:noWrap/>
            <w:vAlign w:val="center"/>
            <w:hideMark/>
          </w:tcPr>
          <w:p w14:paraId="5113B20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52,100</w:t>
            </w:r>
          </w:p>
        </w:tc>
        <w:tc>
          <w:tcPr>
            <w:tcW w:w="1031" w:type="dxa"/>
            <w:tcBorders>
              <w:top w:val="single" w:sz="4" w:space="0" w:color="auto"/>
              <w:left w:val="nil"/>
              <w:bottom w:val="single" w:sz="4" w:space="0" w:color="auto"/>
              <w:right w:val="nil"/>
            </w:tcBorders>
            <w:shd w:val="clear" w:color="auto" w:fill="auto"/>
            <w:noWrap/>
            <w:vAlign w:val="center"/>
            <w:hideMark/>
          </w:tcPr>
          <w:p w14:paraId="7BA2C0B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54,100</w:t>
            </w:r>
          </w:p>
        </w:tc>
        <w:tc>
          <w:tcPr>
            <w:tcW w:w="1032" w:type="dxa"/>
            <w:tcBorders>
              <w:top w:val="single" w:sz="4" w:space="0" w:color="auto"/>
              <w:left w:val="nil"/>
              <w:bottom w:val="single" w:sz="4" w:space="0" w:color="auto"/>
              <w:right w:val="nil"/>
            </w:tcBorders>
            <w:shd w:val="clear" w:color="auto" w:fill="auto"/>
            <w:noWrap/>
            <w:vAlign w:val="center"/>
            <w:hideMark/>
          </w:tcPr>
          <w:p w14:paraId="2DC903F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56,400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13A973B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58,700</w:t>
            </w:r>
          </w:p>
        </w:tc>
      </w:tr>
      <w:tr w:rsidR="0032159E" w:rsidRPr="007F6332" w14:paraId="178472AB"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BE991"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2017 Productivity Commission Estimates (including unanticipated costs)</w:t>
            </w:r>
          </w:p>
        </w:tc>
        <w:tc>
          <w:tcPr>
            <w:tcW w:w="1031" w:type="dxa"/>
            <w:tcBorders>
              <w:top w:val="single" w:sz="4" w:space="0" w:color="auto"/>
              <w:left w:val="nil"/>
              <w:bottom w:val="single" w:sz="4" w:space="0" w:color="auto"/>
              <w:right w:val="nil"/>
            </w:tcBorders>
            <w:shd w:val="clear" w:color="000000" w:fill="BFBFBF"/>
            <w:noWrap/>
            <w:vAlign w:val="center"/>
            <w:hideMark/>
          </w:tcPr>
          <w:p w14:paraId="432C35B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1214B53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auto" w:fill="auto"/>
            <w:noWrap/>
            <w:vAlign w:val="center"/>
            <w:hideMark/>
          </w:tcPr>
          <w:p w14:paraId="3F79111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47,500</w:t>
            </w:r>
          </w:p>
        </w:tc>
        <w:tc>
          <w:tcPr>
            <w:tcW w:w="1032" w:type="dxa"/>
            <w:tcBorders>
              <w:top w:val="single" w:sz="4" w:space="0" w:color="auto"/>
              <w:left w:val="nil"/>
              <w:bottom w:val="single" w:sz="4" w:space="0" w:color="auto"/>
              <w:right w:val="nil"/>
            </w:tcBorders>
            <w:shd w:val="clear" w:color="auto" w:fill="auto"/>
            <w:noWrap/>
            <w:vAlign w:val="center"/>
            <w:hideMark/>
          </w:tcPr>
          <w:p w14:paraId="229180D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49,500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430877A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51,900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36E2CFF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54,100</w:t>
            </w:r>
          </w:p>
        </w:tc>
        <w:tc>
          <w:tcPr>
            <w:tcW w:w="1032" w:type="dxa"/>
            <w:tcBorders>
              <w:top w:val="single" w:sz="4" w:space="0" w:color="auto"/>
              <w:left w:val="nil"/>
              <w:bottom w:val="single" w:sz="4" w:space="0" w:color="auto"/>
              <w:right w:val="nil"/>
            </w:tcBorders>
            <w:shd w:val="clear" w:color="auto" w:fill="auto"/>
            <w:noWrap/>
            <w:vAlign w:val="center"/>
            <w:hideMark/>
          </w:tcPr>
          <w:p w14:paraId="36519E4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56,300</w:t>
            </w:r>
          </w:p>
        </w:tc>
        <w:tc>
          <w:tcPr>
            <w:tcW w:w="1031" w:type="dxa"/>
            <w:tcBorders>
              <w:top w:val="single" w:sz="4" w:space="0" w:color="auto"/>
              <w:left w:val="nil"/>
              <w:bottom w:val="single" w:sz="4" w:space="0" w:color="auto"/>
              <w:right w:val="nil"/>
            </w:tcBorders>
            <w:shd w:val="clear" w:color="auto" w:fill="auto"/>
            <w:noWrap/>
            <w:vAlign w:val="center"/>
            <w:hideMark/>
          </w:tcPr>
          <w:p w14:paraId="74312E2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58,500</w:t>
            </w:r>
          </w:p>
        </w:tc>
        <w:tc>
          <w:tcPr>
            <w:tcW w:w="1032" w:type="dxa"/>
            <w:tcBorders>
              <w:top w:val="single" w:sz="4" w:space="0" w:color="auto"/>
              <w:left w:val="nil"/>
              <w:bottom w:val="single" w:sz="4" w:space="0" w:color="auto"/>
              <w:right w:val="nil"/>
            </w:tcBorders>
            <w:shd w:val="clear" w:color="auto" w:fill="auto"/>
            <w:noWrap/>
            <w:vAlign w:val="center"/>
            <w:hideMark/>
          </w:tcPr>
          <w:p w14:paraId="1DC488C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60,900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17BF0DE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63,400</w:t>
            </w:r>
          </w:p>
        </w:tc>
      </w:tr>
      <w:tr w:rsidR="00DF263E" w:rsidRPr="007F6332" w14:paraId="26D4607A" w14:textId="77777777" w:rsidTr="00A61B63">
        <w:trPr>
          <w:trHeight w:val="221"/>
        </w:trPr>
        <w:tc>
          <w:tcPr>
            <w:tcW w:w="3906" w:type="dxa"/>
            <w:tcBorders>
              <w:top w:val="single" w:sz="4" w:space="0" w:color="auto"/>
              <w:left w:val="single" w:sz="4" w:space="0" w:color="auto"/>
              <w:bottom w:val="single" w:sz="4" w:space="0" w:color="auto"/>
              <w:right w:val="nil"/>
            </w:tcBorders>
            <w:shd w:val="clear" w:color="000000" w:fill="D3C5D7"/>
            <w:noWrap/>
            <w:vAlign w:val="center"/>
            <w:hideMark/>
          </w:tcPr>
          <w:p w14:paraId="4F2FBC3F" w14:textId="77777777" w:rsidR="00B042DF" w:rsidRPr="007F6332" w:rsidRDefault="00B042DF" w:rsidP="00D8325F">
            <w:pPr>
              <w:spacing w:after="0" w:line="240" w:lineRule="auto"/>
              <w:rPr>
                <w:rFonts w:eastAsia="Times New Roman" w:cs="Arial"/>
                <w:b/>
                <w:bCs/>
                <w:color w:val="000000"/>
                <w:sz w:val="15"/>
                <w:szCs w:val="15"/>
                <w:lang w:eastAsia="en-AU"/>
              </w:rPr>
            </w:pPr>
            <w:r w:rsidRPr="007F6332">
              <w:rPr>
                <w:rFonts w:eastAsia="Times New Roman" w:cs="Arial"/>
                <w:b/>
                <w:bCs/>
                <w:color w:val="000000"/>
                <w:sz w:val="15"/>
                <w:szCs w:val="15"/>
                <w:lang w:eastAsia="en-AU"/>
              </w:rPr>
              <w:t>AFSR</w:t>
            </w:r>
          </w:p>
        </w:tc>
        <w:tc>
          <w:tcPr>
            <w:tcW w:w="1031" w:type="dxa"/>
            <w:tcBorders>
              <w:top w:val="single" w:sz="4" w:space="0" w:color="auto"/>
              <w:left w:val="nil"/>
              <w:bottom w:val="single" w:sz="4" w:space="0" w:color="auto"/>
              <w:right w:val="nil"/>
            </w:tcBorders>
            <w:shd w:val="clear" w:color="000000" w:fill="D3C5D7"/>
            <w:noWrap/>
            <w:vAlign w:val="center"/>
            <w:hideMark/>
          </w:tcPr>
          <w:p w14:paraId="7555AA94"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727DECF8"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D3C5D7"/>
            <w:noWrap/>
            <w:vAlign w:val="center"/>
            <w:hideMark/>
          </w:tcPr>
          <w:p w14:paraId="63F8D403"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5BEA62E9"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D3C5D7"/>
            <w:noWrap/>
            <w:vAlign w:val="center"/>
            <w:hideMark/>
          </w:tcPr>
          <w:p w14:paraId="49E16D18"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single" w:sz="4" w:space="0" w:color="auto"/>
            </w:tcBorders>
            <w:shd w:val="clear" w:color="000000" w:fill="D3C5D7"/>
            <w:noWrap/>
            <w:vAlign w:val="center"/>
            <w:hideMark/>
          </w:tcPr>
          <w:p w14:paraId="6823137F"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24AFF0EA"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D3C5D7"/>
            <w:noWrap/>
            <w:vAlign w:val="center"/>
            <w:hideMark/>
          </w:tcPr>
          <w:p w14:paraId="0CBA0B91"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585A62E3"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D3C5D7"/>
            <w:noWrap/>
            <w:vAlign w:val="center"/>
            <w:hideMark/>
          </w:tcPr>
          <w:p w14:paraId="1E90748F"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r>
      <w:tr w:rsidR="0032159E" w:rsidRPr="007F6332" w14:paraId="43DC5403"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5E995"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2023 AFSR projection</w:t>
            </w:r>
          </w:p>
        </w:tc>
        <w:tc>
          <w:tcPr>
            <w:tcW w:w="1031" w:type="dxa"/>
            <w:tcBorders>
              <w:top w:val="single" w:sz="4" w:space="0" w:color="auto"/>
              <w:left w:val="nil"/>
              <w:bottom w:val="single" w:sz="4" w:space="0" w:color="auto"/>
              <w:right w:val="nil"/>
            </w:tcBorders>
            <w:shd w:val="clear" w:color="000000" w:fill="BFBFBF"/>
            <w:noWrap/>
            <w:vAlign w:val="center"/>
            <w:hideMark/>
          </w:tcPr>
          <w:p w14:paraId="785EDAF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6A03D7E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307F8BF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2829800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BFBFBF"/>
            <w:noWrap/>
            <w:vAlign w:val="center"/>
            <w:hideMark/>
          </w:tcPr>
          <w:p w14:paraId="5B20C18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single" w:sz="4" w:space="0" w:color="auto"/>
            </w:tcBorders>
            <w:shd w:val="clear" w:color="000000" w:fill="BFBFBF"/>
            <w:noWrap/>
            <w:vAlign w:val="center"/>
            <w:hideMark/>
          </w:tcPr>
          <w:p w14:paraId="12ADABC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auto" w:fill="auto"/>
            <w:noWrap/>
            <w:vAlign w:val="center"/>
            <w:hideMark/>
          </w:tcPr>
          <w:p w14:paraId="2BA44A5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cs="Arial"/>
                <w:sz w:val="15"/>
                <w:szCs w:val="15"/>
              </w:rPr>
              <w:t>64,000</w:t>
            </w:r>
          </w:p>
        </w:tc>
        <w:tc>
          <w:tcPr>
            <w:tcW w:w="1031" w:type="dxa"/>
            <w:tcBorders>
              <w:top w:val="single" w:sz="4" w:space="0" w:color="auto"/>
              <w:left w:val="nil"/>
              <w:bottom w:val="single" w:sz="4" w:space="0" w:color="auto"/>
              <w:right w:val="nil"/>
            </w:tcBorders>
            <w:shd w:val="clear" w:color="auto" w:fill="auto"/>
            <w:noWrap/>
            <w:vAlign w:val="center"/>
            <w:hideMark/>
          </w:tcPr>
          <w:p w14:paraId="58C58D6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cs="Arial"/>
                <w:sz w:val="15"/>
                <w:szCs w:val="15"/>
              </w:rPr>
              <w:t>66,300</w:t>
            </w:r>
          </w:p>
        </w:tc>
        <w:tc>
          <w:tcPr>
            <w:tcW w:w="1032" w:type="dxa"/>
            <w:tcBorders>
              <w:top w:val="single" w:sz="4" w:space="0" w:color="auto"/>
              <w:left w:val="nil"/>
              <w:bottom w:val="single" w:sz="4" w:space="0" w:color="auto"/>
              <w:right w:val="nil"/>
            </w:tcBorders>
            <w:shd w:val="clear" w:color="auto" w:fill="auto"/>
            <w:noWrap/>
            <w:vAlign w:val="center"/>
            <w:hideMark/>
          </w:tcPr>
          <w:p w14:paraId="2DCF7EE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cs="Arial"/>
                <w:sz w:val="15"/>
                <w:szCs w:val="15"/>
              </w:rPr>
              <w:t>68,400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0C44BB9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cs="Arial"/>
                <w:sz w:val="15"/>
                <w:szCs w:val="15"/>
              </w:rPr>
              <w:t>70,600</w:t>
            </w:r>
          </w:p>
        </w:tc>
      </w:tr>
      <w:tr w:rsidR="0032159E" w:rsidRPr="007F6332" w14:paraId="4C57D108"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FC29D" w14:textId="627FEAB2" w:rsidR="00B042DF" w:rsidRPr="007F6332" w:rsidRDefault="00A56D78"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31 December 2022 projection</w:t>
            </w:r>
          </w:p>
        </w:tc>
        <w:tc>
          <w:tcPr>
            <w:tcW w:w="1031" w:type="dxa"/>
            <w:tcBorders>
              <w:top w:val="single" w:sz="4" w:space="0" w:color="auto"/>
              <w:left w:val="nil"/>
              <w:bottom w:val="single" w:sz="4" w:space="0" w:color="auto"/>
              <w:right w:val="nil"/>
            </w:tcBorders>
            <w:shd w:val="clear" w:color="000000" w:fill="BFBFBF"/>
            <w:noWrap/>
            <w:vAlign w:val="center"/>
            <w:hideMark/>
          </w:tcPr>
          <w:p w14:paraId="042A04D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5B084CB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6873496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29D35D6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BFBFBF"/>
            <w:noWrap/>
            <w:vAlign w:val="center"/>
            <w:hideMark/>
          </w:tcPr>
          <w:p w14:paraId="2CB38E6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single" w:sz="4" w:space="0" w:color="auto"/>
            </w:tcBorders>
            <w:shd w:val="clear" w:color="000000" w:fill="BFBFBF"/>
            <w:noWrap/>
            <w:vAlign w:val="center"/>
            <w:hideMark/>
          </w:tcPr>
          <w:p w14:paraId="7F6B495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auto" w:fill="auto"/>
            <w:noWrap/>
            <w:vAlign w:val="center"/>
            <w:hideMark/>
          </w:tcPr>
          <w:p w14:paraId="51EA018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cs="Arial"/>
                <w:sz w:val="15"/>
                <w:szCs w:val="15"/>
              </w:rPr>
              <w:t>61,300</w:t>
            </w:r>
          </w:p>
        </w:tc>
        <w:tc>
          <w:tcPr>
            <w:tcW w:w="1031" w:type="dxa"/>
            <w:tcBorders>
              <w:top w:val="single" w:sz="4" w:space="0" w:color="auto"/>
              <w:left w:val="nil"/>
              <w:bottom w:val="single" w:sz="4" w:space="0" w:color="auto"/>
              <w:right w:val="nil"/>
            </w:tcBorders>
            <w:shd w:val="clear" w:color="auto" w:fill="auto"/>
            <w:noWrap/>
            <w:vAlign w:val="center"/>
            <w:hideMark/>
          </w:tcPr>
          <w:p w14:paraId="1949470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cs="Arial"/>
                <w:sz w:val="15"/>
                <w:szCs w:val="15"/>
              </w:rPr>
              <w:t>63,700</w:t>
            </w:r>
          </w:p>
        </w:tc>
        <w:tc>
          <w:tcPr>
            <w:tcW w:w="1032" w:type="dxa"/>
            <w:tcBorders>
              <w:top w:val="single" w:sz="4" w:space="0" w:color="auto"/>
              <w:left w:val="nil"/>
              <w:bottom w:val="single" w:sz="4" w:space="0" w:color="auto"/>
              <w:right w:val="nil"/>
            </w:tcBorders>
            <w:shd w:val="clear" w:color="auto" w:fill="auto"/>
            <w:noWrap/>
            <w:vAlign w:val="center"/>
            <w:hideMark/>
          </w:tcPr>
          <w:p w14:paraId="2B3686C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cs="Arial"/>
                <w:sz w:val="15"/>
                <w:szCs w:val="15"/>
              </w:rPr>
              <w:t>65,800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65DC37D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cs="Arial"/>
                <w:sz w:val="15"/>
                <w:szCs w:val="15"/>
              </w:rPr>
              <w:t>67,300</w:t>
            </w:r>
          </w:p>
        </w:tc>
      </w:tr>
      <w:tr w:rsidR="0032159E" w:rsidRPr="007F6332" w14:paraId="016F4415"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AFF23"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2022 AFSR projection</w:t>
            </w:r>
          </w:p>
        </w:tc>
        <w:tc>
          <w:tcPr>
            <w:tcW w:w="1031" w:type="dxa"/>
            <w:tcBorders>
              <w:top w:val="single" w:sz="4" w:space="0" w:color="auto"/>
              <w:left w:val="nil"/>
              <w:bottom w:val="single" w:sz="4" w:space="0" w:color="auto"/>
              <w:right w:val="nil"/>
            </w:tcBorders>
            <w:shd w:val="clear" w:color="000000" w:fill="BFBFBF"/>
            <w:noWrap/>
            <w:vAlign w:val="center"/>
            <w:hideMark/>
          </w:tcPr>
          <w:p w14:paraId="3B1ADCB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10936EF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0314E2E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53529F3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BFBFBF"/>
            <w:noWrap/>
            <w:vAlign w:val="center"/>
            <w:hideMark/>
          </w:tcPr>
          <w:p w14:paraId="23B2401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single" w:sz="4" w:space="0" w:color="auto"/>
            </w:tcBorders>
            <w:shd w:val="clear" w:color="000000" w:fill="FFE699"/>
            <w:noWrap/>
            <w:vAlign w:val="center"/>
            <w:hideMark/>
          </w:tcPr>
          <w:p w14:paraId="0851BE0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59,400</w:t>
            </w:r>
          </w:p>
        </w:tc>
        <w:tc>
          <w:tcPr>
            <w:tcW w:w="1032" w:type="dxa"/>
            <w:tcBorders>
              <w:top w:val="single" w:sz="4" w:space="0" w:color="auto"/>
              <w:left w:val="nil"/>
              <w:bottom w:val="single" w:sz="4" w:space="0" w:color="auto"/>
              <w:right w:val="nil"/>
            </w:tcBorders>
            <w:shd w:val="clear" w:color="auto" w:fill="auto"/>
            <w:noWrap/>
            <w:vAlign w:val="center"/>
            <w:hideMark/>
          </w:tcPr>
          <w:p w14:paraId="42F3B5D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60,700</w:t>
            </w:r>
          </w:p>
        </w:tc>
        <w:tc>
          <w:tcPr>
            <w:tcW w:w="1031" w:type="dxa"/>
            <w:tcBorders>
              <w:top w:val="single" w:sz="4" w:space="0" w:color="auto"/>
              <w:left w:val="nil"/>
              <w:bottom w:val="single" w:sz="4" w:space="0" w:color="auto"/>
              <w:right w:val="nil"/>
            </w:tcBorders>
            <w:shd w:val="clear" w:color="auto" w:fill="auto"/>
            <w:noWrap/>
            <w:vAlign w:val="center"/>
            <w:hideMark/>
          </w:tcPr>
          <w:p w14:paraId="1A939B6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64,900</w:t>
            </w:r>
          </w:p>
        </w:tc>
        <w:tc>
          <w:tcPr>
            <w:tcW w:w="1032" w:type="dxa"/>
            <w:tcBorders>
              <w:top w:val="single" w:sz="4" w:space="0" w:color="auto"/>
              <w:left w:val="nil"/>
              <w:bottom w:val="single" w:sz="4" w:space="0" w:color="auto"/>
              <w:right w:val="nil"/>
            </w:tcBorders>
            <w:shd w:val="clear" w:color="auto" w:fill="auto"/>
            <w:noWrap/>
            <w:vAlign w:val="center"/>
            <w:hideMark/>
          </w:tcPr>
          <w:p w14:paraId="2BBE5F6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69,100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415F55E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71,500</w:t>
            </w:r>
          </w:p>
        </w:tc>
      </w:tr>
      <w:tr w:rsidR="0032159E" w:rsidRPr="007F6332" w14:paraId="6126B82C"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37FD8"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2021 AFSR projection</w:t>
            </w:r>
          </w:p>
        </w:tc>
        <w:tc>
          <w:tcPr>
            <w:tcW w:w="1031" w:type="dxa"/>
            <w:tcBorders>
              <w:top w:val="single" w:sz="4" w:space="0" w:color="auto"/>
              <w:left w:val="nil"/>
              <w:bottom w:val="single" w:sz="4" w:space="0" w:color="auto"/>
              <w:right w:val="nil"/>
            </w:tcBorders>
            <w:shd w:val="clear" w:color="000000" w:fill="BFBFBF"/>
            <w:noWrap/>
            <w:vAlign w:val="center"/>
            <w:hideMark/>
          </w:tcPr>
          <w:p w14:paraId="499C4D5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0C511AE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1E82DD5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1D7284B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FFE699"/>
            <w:noWrap/>
            <w:vAlign w:val="center"/>
            <w:hideMark/>
          </w:tcPr>
          <w:p w14:paraId="4D5A0AB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57,800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125ADF9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59,900</w:t>
            </w:r>
          </w:p>
        </w:tc>
        <w:tc>
          <w:tcPr>
            <w:tcW w:w="1032" w:type="dxa"/>
            <w:tcBorders>
              <w:top w:val="single" w:sz="4" w:space="0" w:color="auto"/>
              <w:left w:val="nil"/>
              <w:bottom w:val="single" w:sz="4" w:space="0" w:color="auto"/>
              <w:right w:val="nil"/>
            </w:tcBorders>
            <w:shd w:val="clear" w:color="auto" w:fill="auto"/>
            <w:noWrap/>
            <w:vAlign w:val="center"/>
            <w:hideMark/>
          </w:tcPr>
          <w:p w14:paraId="434038B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61,600</w:t>
            </w:r>
          </w:p>
        </w:tc>
        <w:tc>
          <w:tcPr>
            <w:tcW w:w="1031" w:type="dxa"/>
            <w:tcBorders>
              <w:top w:val="single" w:sz="4" w:space="0" w:color="auto"/>
              <w:left w:val="nil"/>
              <w:bottom w:val="single" w:sz="4" w:space="0" w:color="auto"/>
              <w:right w:val="nil"/>
            </w:tcBorders>
            <w:shd w:val="clear" w:color="auto" w:fill="auto"/>
            <w:noWrap/>
            <w:vAlign w:val="center"/>
            <w:hideMark/>
          </w:tcPr>
          <w:p w14:paraId="11CB7E7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62,800</w:t>
            </w:r>
          </w:p>
        </w:tc>
        <w:tc>
          <w:tcPr>
            <w:tcW w:w="1032" w:type="dxa"/>
            <w:tcBorders>
              <w:top w:val="single" w:sz="4" w:space="0" w:color="auto"/>
              <w:left w:val="nil"/>
              <w:bottom w:val="single" w:sz="4" w:space="0" w:color="auto"/>
              <w:right w:val="nil"/>
            </w:tcBorders>
            <w:shd w:val="clear" w:color="auto" w:fill="auto"/>
            <w:noWrap/>
            <w:vAlign w:val="center"/>
            <w:hideMark/>
          </w:tcPr>
          <w:p w14:paraId="46BEB25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63,700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1CCC355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64,800</w:t>
            </w:r>
          </w:p>
        </w:tc>
      </w:tr>
      <w:tr w:rsidR="0032159E" w:rsidRPr="007F6332" w14:paraId="096FD30C"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455F7" w14:textId="27906EAD"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31 December 2020 projection</w:t>
            </w:r>
          </w:p>
        </w:tc>
        <w:tc>
          <w:tcPr>
            <w:tcW w:w="1031" w:type="dxa"/>
            <w:tcBorders>
              <w:top w:val="single" w:sz="4" w:space="0" w:color="auto"/>
              <w:left w:val="nil"/>
              <w:bottom w:val="single" w:sz="4" w:space="0" w:color="auto"/>
              <w:right w:val="nil"/>
            </w:tcBorders>
            <w:shd w:val="clear" w:color="000000" w:fill="BFBFBF"/>
            <w:noWrap/>
            <w:vAlign w:val="center"/>
            <w:hideMark/>
          </w:tcPr>
          <w:p w14:paraId="7B12A05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149F4CD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3E5345A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1BA3A29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6FA2021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55,000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3536971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57,200</w:t>
            </w:r>
          </w:p>
        </w:tc>
        <w:tc>
          <w:tcPr>
            <w:tcW w:w="1032" w:type="dxa"/>
            <w:tcBorders>
              <w:top w:val="single" w:sz="4" w:space="0" w:color="auto"/>
              <w:left w:val="nil"/>
              <w:bottom w:val="single" w:sz="4" w:space="0" w:color="auto"/>
              <w:right w:val="nil"/>
            </w:tcBorders>
            <w:shd w:val="clear" w:color="auto" w:fill="auto"/>
            <w:noWrap/>
            <w:vAlign w:val="center"/>
            <w:hideMark/>
          </w:tcPr>
          <w:p w14:paraId="0A4E9DA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59,100</w:t>
            </w:r>
          </w:p>
        </w:tc>
        <w:tc>
          <w:tcPr>
            <w:tcW w:w="1031" w:type="dxa"/>
            <w:tcBorders>
              <w:top w:val="single" w:sz="4" w:space="0" w:color="auto"/>
              <w:left w:val="nil"/>
              <w:bottom w:val="single" w:sz="4" w:space="0" w:color="auto"/>
              <w:right w:val="nil"/>
            </w:tcBorders>
            <w:shd w:val="clear" w:color="auto" w:fill="auto"/>
            <w:noWrap/>
            <w:vAlign w:val="center"/>
            <w:hideMark/>
          </w:tcPr>
          <w:p w14:paraId="0501E84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60,900</w:t>
            </w:r>
          </w:p>
        </w:tc>
        <w:tc>
          <w:tcPr>
            <w:tcW w:w="1032" w:type="dxa"/>
            <w:tcBorders>
              <w:top w:val="single" w:sz="4" w:space="0" w:color="auto"/>
              <w:left w:val="nil"/>
              <w:bottom w:val="single" w:sz="4" w:space="0" w:color="auto"/>
              <w:right w:val="nil"/>
            </w:tcBorders>
            <w:shd w:val="clear" w:color="auto" w:fill="auto"/>
            <w:noWrap/>
            <w:vAlign w:val="center"/>
            <w:hideMark/>
          </w:tcPr>
          <w:p w14:paraId="3538CDE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62,400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5F3EDB4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64,100</w:t>
            </w:r>
          </w:p>
        </w:tc>
      </w:tr>
      <w:tr w:rsidR="0032159E" w:rsidRPr="007F6332" w14:paraId="3D7D8829"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01E12"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2020 AFSR projection</w:t>
            </w:r>
          </w:p>
        </w:tc>
        <w:tc>
          <w:tcPr>
            <w:tcW w:w="1031" w:type="dxa"/>
            <w:tcBorders>
              <w:top w:val="single" w:sz="4" w:space="0" w:color="auto"/>
              <w:left w:val="nil"/>
              <w:bottom w:val="single" w:sz="4" w:space="0" w:color="auto"/>
              <w:right w:val="nil"/>
            </w:tcBorders>
            <w:shd w:val="clear" w:color="000000" w:fill="BFBFBF"/>
            <w:noWrap/>
            <w:vAlign w:val="center"/>
            <w:hideMark/>
          </w:tcPr>
          <w:p w14:paraId="798E608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661AA3B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2706860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FFE699"/>
            <w:noWrap/>
            <w:vAlign w:val="center"/>
            <w:hideMark/>
          </w:tcPr>
          <w:p w14:paraId="4051AF3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51,800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18BC7D1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53,800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1216E11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55,300</w:t>
            </w:r>
          </w:p>
        </w:tc>
        <w:tc>
          <w:tcPr>
            <w:tcW w:w="1032" w:type="dxa"/>
            <w:tcBorders>
              <w:top w:val="single" w:sz="4" w:space="0" w:color="auto"/>
              <w:left w:val="nil"/>
              <w:bottom w:val="single" w:sz="4" w:space="0" w:color="auto"/>
              <w:right w:val="nil"/>
            </w:tcBorders>
            <w:shd w:val="clear" w:color="auto" w:fill="auto"/>
            <w:noWrap/>
            <w:vAlign w:val="center"/>
            <w:hideMark/>
          </w:tcPr>
          <w:p w14:paraId="12C55EF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57,200</w:t>
            </w:r>
          </w:p>
        </w:tc>
        <w:tc>
          <w:tcPr>
            <w:tcW w:w="1031" w:type="dxa"/>
            <w:tcBorders>
              <w:top w:val="single" w:sz="4" w:space="0" w:color="auto"/>
              <w:left w:val="nil"/>
              <w:bottom w:val="single" w:sz="4" w:space="0" w:color="auto"/>
              <w:right w:val="nil"/>
            </w:tcBorders>
            <w:shd w:val="clear" w:color="auto" w:fill="auto"/>
            <w:noWrap/>
            <w:vAlign w:val="center"/>
            <w:hideMark/>
          </w:tcPr>
          <w:p w14:paraId="38D8BAA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59,800</w:t>
            </w:r>
          </w:p>
        </w:tc>
        <w:tc>
          <w:tcPr>
            <w:tcW w:w="1032" w:type="dxa"/>
            <w:tcBorders>
              <w:top w:val="single" w:sz="4" w:space="0" w:color="auto"/>
              <w:left w:val="nil"/>
              <w:bottom w:val="single" w:sz="4" w:space="0" w:color="auto"/>
              <w:right w:val="nil"/>
            </w:tcBorders>
            <w:shd w:val="clear" w:color="auto" w:fill="auto"/>
            <w:noWrap/>
            <w:vAlign w:val="center"/>
            <w:hideMark/>
          </w:tcPr>
          <w:p w14:paraId="6D7DE78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62,400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1228ACE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65,000</w:t>
            </w:r>
          </w:p>
        </w:tc>
      </w:tr>
      <w:tr w:rsidR="0032159E" w:rsidRPr="007F6332" w14:paraId="7519C68D"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D64DD" w14:textId="15A4B010"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31 December 2019 projection</w:t>
            </w:r>
          </w:p>
        </w:tc>
        <w:tc>
          <w:tcPr>
            <w:tcW w:w="1031" w:type="dxa"/>
            <w:tcBorders>
              <w:top w:val="single" w:sz="4" w:space="0" w:color="auto"/>
              <w:left w:val="nil"/>
              <w:bottom w:val="single" w:sz="4" w:space="0" w:color="auto"/>
              <w:right w:val="nil"/>
            </w:tcBorders>
            <w:shd w:val="clear" w:color="000000" w:fill="BFBFBF"/>
            <w:noWrap/>
            <w:vAlign w:val="center"/>
            <w:hideMark/>
          </w:tcPr>
          <w:p w14:paraId="2F732F3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70E6AB3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5C43483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auto" w:fill="auto"/>
            <w:noWrap/>
            <w:vAlign w:val="center"/>
            <w:hideMark/>
          </w:tcPr>
          <w:p w14:paraId="1C35CA0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51,800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5694784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53,900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18D676A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56,200</w:t>
            </w:r>
          </w:p>
        </w:tc>
        <w:tc>
          <w:tcPr>
            <w:tcW w:w="1032" w:type="dxa"/>
            <w:tcBorders>
              <w:top w:val="single" w:sz="4" w:space="0" w:color="auto"/>
              <w:left w:val="nil"/>
              <w:bottom w:val="single" w:sz="4" w:space="0" w:color="auto"/>
              <w:right w:val="nil"/>
            </w:tcBorders>
            <w:shd w:val="clear" w:color="auto" w:fill="auto"/>
            <w:noWrap/>
            <w:vAlign w:val="center"/>
            <w:hideMark/>
          </w:tcPr>
          <w:p w14:paraId="76920BF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58,700</w:t>
            </w:r>
          </w:p>
        </w:tc>
        <w:tc>
          <w:tcPr>
            <w:tcW w:w="1031" w:type="dxa"/>
            <w:tcBorders>
              <w:top w:val="single" w:sz="4" w:space="0" w:color="auto"/>
              <w:left w:val="nil"/>
              <w:bottom w:val="single" w:sz="4" w:space="0" w:color="auto"/>
              <w:right w:val="nil"/>
            </w:tcBorders>
            <w:shd w:val="clear" w:color="auto" w:fill="auto"/>
            <w:noWrap/>
            <w:vAlign w:val="center"/>
            <w:hideMark/>
          </w:tcPr>
          <w:p w14:paraId="5BE1671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61,100</w:t>
            </w:r>
          </w:p>
        </w:tc>
        <w:tc>
          <w:tcPr>
            <w:tcW w:w="1032" w:type="dxa"/>
            <w:tcBorders>
              <w:top w:val="single" w:sz="4" w:space="0" w:color="auto"/>
              <w:left w:val="nil"/>
              <w:bottom w:val="single" w:sz="4" w:space="0" w:color="auto"/>
              <w:right w:val="nil"/>
            </w:tcBorders>
            <w:shd w:val="clear" w:color="auto" w:fill="auto"/>
            <w:noWrap/>
            <w:vAlign w:val="center"/>
            <w:hideMark/>
          </w:tcPr>
          <w:p w14:paraId="713C699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63,500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35AAD0D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66,000</w:t>
            </w:r>
          </w:p>
        </w:tc>
      </w:tr>
      <w:tr w:rsidR="0032159E" w:rsidRPr="007F6332" w14:paraId="3D05FDDF"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30D40"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2019 AFSR projection</w:t>
            </w:r>
          </w:p>
        </w:tc>
        <w:tc>
          <w:tcPr>
            <w:tcW w:w="1031" w:type="dxa"/>
            <w:tcBorders>
              <w:top w:val="single" w:sz="4" w:space="0" w:color="auto"/>
              <w:left w:val="nil"/>
              <w:bottom w:val="single" w:sz="4" w:space="0" w:color="auto"/>
              <w:right w:val="nil"/>
            </w:tcBorders>
            <w:shd w:val="clear" w:color="000000" w:fill="BFBFBF"/>
            <w:noWrap/>
            <w:vAlign w:val="center"/>
            <w:hideMark/>
          </w:tcPr>
          <w:p w14:paraId="39803E2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07DDE37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FFE699"/>
            <w:noWrap/>
            <w:vAlign w:val="center"/>
            <w:hideMark/>
          </w:tcPr>
          <w:p w14:paraId="666B4E8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49,800</w:t>
            </w:r>
          </w:p>
        </w:tc>
        <w:tc>
          <w:tcPr>
            <w:tcW w:w="1032" w:type="dxa"/>
            <w:tcBorders>
              <w:top w:val="single" w:sz="4" w:space="0" w:color="auto"/>
              <w:left w:val="nil"/>
              <w:bottom w:val="single" w:sz="4" w:space="0" w:color="auto"/>
              <w:right w:val="nil"/>
            </w:tcBorders>
            <w:shd w:val="clear" w:color="auto" w:fill="auto"/>
            <w:noWrap/>
            <w:vAlign w:val="center"/>
            <w:hideMark/>
          </w:tcPr>
          <w:p w14:paraId="3DAF664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52,000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0CF3B39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53,400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7C3CB29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54,800</w:t>
            </w:r>
          </w:p>
        </w:tc>
        <w:tc>
          <w:tcPr>
            <w:tcW w:w="1032" w:type="dxa"/>
            <w:tcBorders>
              <w:top w:val="single" w:sz="4" w:space="0" w:color="auto"/>
              <w:left w:val="nil"/>
              <w:bottom w:val="single" w:sz="4" w:space="0" w:color="auto"/>
              <w:right w:val="nil"/>
            </w:tcBorders>
            <w:shd w:val="clear" w:color="auto" w:fill="auto"/>
            <w:noWrap/>
            <w:vAlign w:val="center"/>
            <w:hideMark/>
          </w:tcPr>
          <w:p w14:paraId="3F9C40C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56,200</w:t>
            </w:r>
          </w:p>
        </w:tc>
        <w:tc>
          <w:tcPr>
            <w:tcW w:w="1031" w:type="dxa"/>
            <w:tcBorders>
              <w:top w:val="single" w:sz="4" w:space="0" w:color="auto"/>
              <w:left w:val="nil"/>
              <w:bottom w:val="single" w:sz="4" w:space="0" w:color="auto"/>
              <w:right w:val="nil"/>
            </w:tcBorders>
            <w:shd w:val="clear" w:color="auto" w:fill="auto"/>
            <w:noWrap/>
            <w:vAlign w:val="center"/>
            <w:hideMark/>
          </w:tcPr>
          <w:p w14:paraId="686E81F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57,700</w:t>
            </w:r>
          </w:p>
        </w:tc>
        <w:tc>
          <w:tcPr>
            <w:tcW w:w="1032" w:type="dxa"/>
            <w:tcBorders>
              <w:top w:val="single" w:sz="4" w:space="0" w:color="auto"/>
              <w:left w:val="nil"/>
              <w:bottom w:val="single" w:sz="4" w:space="0" w:color="auto"/>
              <w:right w:val="nil"/>
            </w:tcBorders>
            <w:shd w:val="clear" w:color="auto" w:fill="auto"/>
            <w:noWrap/>
            <w:vAlign w:val="center"/>
            <w:hideMark/>
          </w:tcPr>
          <w:p w14:paraId="727DA35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59,700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58F152E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61,900</w:t>
            </w:r>
          </w:p>
        </w:tc>
      </w:tr>
      <w:tr w:rsidR="0032159E" w:rsidRPr="007F6332" w14:paraId="35D2F24E" w14:textId="77777777" w:rsidTr="00C1755E">
        <w:trPr>
          <w:trHeight w:val="221"/>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93652"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2018 AFSR projection</w:t>
            </w:r>
            <w:r w:rsidRPr="007F6332">
              <w:rPr>
                <w:rStyle w:val="FootnoteReference"/>
                <w:rFonts w:eastAsia="Times New Roman" w:cs="Arial"/>
                <w:color w:val="000000"/>
                <w:sz w:val="15"/>
                <w:szCs w:val="15"/>
                <w:lang w:eastAsia="en-AU"/>
              </w:rPr>
              <w:footnoteReference w:id="124"/>
            </w:r>
          </w:p>
        </w:tc>
        <w:tc>
          <w:tcPr>
            <w:tcW w:w="1031" w:type="dxa"/>
            <w:tcBorders>
              <w:top w:val="single" w:sz="4" w:space="0" w:color="auto"/>
              <w:left w:val="nil"/>
              <w:bottom w:val="single" w:sz="4" w:space="0" w:color="auto"/>
              <w:right w:val="nil"/>
            </w:tcBorders>
            <w:shd w:val="clear" w:color="000000" w:fill="BFBFBF"/>
            <w:noWrap/>
            <w:vAlign w:val="center"/>
            <w:hideMark/>
          </w:tcPr>
          <w:p w14:paraId="72D5A74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FFE699"/>
            <w:noWrap/>
            <w:vAlign w:val="center"/>
            <w:hideMark/>
          </w:tcPr>
          <w:p w14:paraId="097E3CB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38,800</w:t>
            </w:r>
          </w:p>
        </w:tc>
        <w:tc>
          <w:tcPr>
            <w:tcW w:w="1031" w:type="dxa"/>
            <w:tcBorders>
              <w:top w:val="single" w:sz="4" w:space="0" w:color="auto"/>
              <w:left w:val="nil"/>
              <w:bottom w:val="single" w:sz="4" w:space="0" w:color="auto"/>
              <w:right w:val="nil"/>
            </w:tcBorders>
            <w:shd w:val="clear" w:color="auto" w:fill="auto"/>
            <w:noWrap/>
            <w:vAlign w:val="center"/>
            <w:hideMark/>
          </w:tcPr>
          <w:p w14:paraId="4AEAD7E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45,500</w:t>
            </w:r>
          </w:p>
        </w:tc>
        <w:tc>
          <w:tcPr>
            <w:tcW w:w="1032" w:type="dxa"/>
            <w:tcBorders>
              <w:top w:val="single" w:sz="4" w:space="0" w:color="auto"/>
              <w:left w:val="nil"/>
              <w:bottom w:val="single" w:sz="4" w:space="0" w:color="auto"/>
              <w:right w:val="nil"/>
            </w:tcBorders>
            <w:shd w:val="clear" w:color="auto" w:fill="auto"/>
            <w:noWrap/>
            <w:vAlign w:val="center"/>
            <w:hideMark/>
          </w:tcPr>
          <w:p w14:paraId="2E6A441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49,500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3DC3DC0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52,400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1DDD146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55,100</w:t>
            </w:r>
          </w:p>
        </w:tc>
        <w:tc>
          <w:tcPr>
            <w:tcW w:w="1032" w:type="dxa"/>
            <w:tcBorders>
              <w:top w:val="single" w:sz="4" w:space="0" w:color="auto"/>
              <w:left w:val="nil"/>
              <w:bottom w:val="single" w:sz="4" w:space="0" w:color="auto"/>
              <w:right w:val="nil"/>
            </w:tcBorders>
            <w:shd w:val="clear" w:color="auto" w:fill="auto"/>
            <w:noWrap/>
            <w:vAlign w:val="center"/>
            <w:hideMark/>
          </w:tcPr>
          <w:p w14:paraId="4564395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57,900</w:t>
            </w:r>
          </w:p>
        </w:tc>
        <w:tc>
          <w:tcPr>
            <w:tcW w:w="1031" w:type="dxa"/>
            <w:tcBorders>
              <w:top w:val="single" w:sz="4" w:space="0" w:color="auto"/>
              <w:left w:val="nil"/>
              <w:bottom w:val="single" w:sz="4" w:space="0" w:color="auto"/>
              <w:right w:val="nil"/>
            </w:tcBorders>
            <w:shd w:val="clear" w:color="auto" w:fill="auto"/>
            <w:noWrap/>
            <w:vAlign w:val="center"/>
            <w:hideMark/>
          </w:tcPr>
          <w:p w14:paraId="30F87F7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59,700</w:t>
            </w:r>
          </w:p>
        </w:tc>
        <w:tc>
          <w:tcPr>
            <w:tcW w:w="1032" w:type="dxa"/>
            <w:tcBorders>
              <w:top w:val="single" w:sz="4" w:space="0" w:color="auto"/>
              <w:left w:val="nil"/>
              <w:bottom w:val="single" w:sz="4" w:space="0" w:color="auto"/>
              <w:right w:val="nil"/>
            </w:tcBorders>
            <w:shd w:val="clear" w:color="auto" w:fill="auto"/>
            <w:noWrap/>
            <w:vAlign w:val="center"/>
            <w:hideMark/>
          </w:tcPr>
          <w:p w14:paraId="483FEA2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61,600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5706AAC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63,600</w:t>
            </w:r>
          </w:p>
        </w:tc>
      </w:tr>
      <w:tr w:rsidR="00DF263E" w:rsidRPr="007F6332" w14:paraId="1792795E" w14:textId="77777777" w:rsidTr="00A61B63">
        <w:trPr>
          <w:trHeight w:val="221"/>
        </w:trPr>
        <w:tc>
          <w:tcPr>
            <w:tcW w:w="3906" w:type="dxa"/>
            <w:tcBorders>
              <w:top w:val="single" w:sz="4" w:space="0" w:color="auto"/>
              <w:left w:val="single" w:sz="4" w:space="0" w:color="auto"/>
              <w:bottom w:val="single" w:sz="4" w:space="0" w:color="auto"/>
              <w:right w:val="nil"/>
            </w:tcBorders>
            <w:shd w:val="clear" w:color="000000" w:fill="D3C5D7"/>
            <w:noWrap/>
            <w:vAlign w:val="center"/>
            <w:hideMark/>
          </w:tcPr>
          <w:p w14:paraId="78A67BE4" w14:textId="77777777" w:rsidR="00B042DF" w:rsidRPr="007F6332" w:rsidRDefault="00B042DF" w:rsidP="00D8325F">
            <w:pPr>
              <w:spacing w:after="0" w:line="240" w:lineRule="auto"/>
              <w:rPr>
                <w:rFonts w:eastAsia="Times New Roman" w:cs="Arial"/>
                <w:b/>
                <w:bCs/>
                <w:color w:val="000000"/>
                <w:sz w:val="15"/>
                <w:szCs w:val="15"/>
                <w:lang w:eastAsia="en-AU"/>
              </w:rPr>
            </w:pPr>
            <w:r w:rsidRPr="007F6332">
              <w:rPr>
                <w:rFonts w:eastAsia="Times New Roman" w:cs="Arial"/>
                <w:b/>
                <w:bCs/>
                <w:color w:val="000000"/>
                <w:sz w:val="15"/>
                <w:szCs w:val="15"/>
                <w:lang w:eastAsia="en-AU"/>
              </w:rPr>
              <w:t>Comparison with actuals</w:t>
            </w:r>
          </w:p>
        </w:tc>
        <w:tc>
          <w:tcPr>
            <w:tcW w:w="1031" w:type="dxa"/>
            <w:tcBorders>
              <w:top w:val="single" w:sz="4" w:space="0" w:color="auto"/>
              <w:left w:val="nil"/>
              <w:bottom w:val="single" w:sz="4" w:space="0" w:color="auto"/>
              <w:right w:val="nil"/>
            </w:tcBorders>
            <w:shd w:val="clear" w:color="000000" w:fill="D3C5D7"/>
            <w:noWrap/>
            <w:vAlign w:val="center"/>
            <w:hideMark/>
          </w:tcPr>
          <w:p w14:paraId="25EBC6B3"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61329804"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D3C5D7"/>
            <w:noWrap/>
            <w:vAlign w:val="center"/>
            <w:hideMark/>
          </w:tcPr>
          <w:p w14:paraId="6CFECD3B"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06145356"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D3C5D7"/>
            <w:noWrap/>
            <w:vAlign w:val="center"/>
            <w:hideMark/>
          </w:tcPr>
          <w:p w14:paraId="54CDCA4E"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single" w:sz="4" w:space="0" w:color="auto"/>
            </w:tcBorders>
            <w:shd w:val="clear" w:color="000000" w:fill="D3C5D7"/>
            <w:noWrap/>
            <w:vAlign w:val="center"/>
            <w:hideMark/>
          </w:tcPr>
          <w:p w14:paraId="75D6F7C9"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52ECD7F9"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D3C5D7"/>
            <w:noWrap/>
            <w:vAlign w:val="center"/>
            <w:hideMark/>
          </w:tcPr>
          <w:p w14:paraId="63265255"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D3C5D7"/>
            <w:noWrap/>
            <w:vAlign w:val="center"/>
            <w:hideMark/>
          </w:tcPr>
          <w:p w14:paraId="50316FC7"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D3C5D7"/>
            <w:noWrap/>
            <w:vAlign w:val="center"/>
            <w:hideMark/>
          </w:tcPr>
          <w:p w14:paraId="139A0A86" w14:textId="77777777" w:rsidR="00B042DF" w:rsidRPr="007F6332" w:rsidRDefault="00B042DF" w:rsidP="00D8325F">
            <w:pPr>
              <w:spacing w:after="0" w:line="240" w:lineRule="auto"/>
              <w:jc w:val="center"/>
              <w:rPr>
                <w:rFonts w:eastAsia="Times New Roman" w:cs="Arial"/>
                <w:b/>
                <w:bCs/>
                <w:color w:val="000000"/>
                <w:sz w:val="15"/>
                <w:szCs w:val="15"/>
                <w:lang w:eastAsia="en-AU"/>
              </w:rPr>
            </w:pPr>
            <w:r w:rsidRPr="007F6332">
              <w:rPr>
                <w:rFonts w:eastAsia="Times New Roman" w:cs="Arial"/>
                <w:b/>
                <w:bCs/>
                <w:color w:val="000000"/>
                <w:sz w:val="15"/>
                <w:szCs w:val="15"/>
                <w:lang w:eastAsia="en-AU"/>
              </w:rPr>
              <w:t> </w:t>
            </w:r>
          </w:p>
        </w:tc>
      </w:tr>
      <w:tr w:rsidR="00DF263E" w:rsidRPr="007F6332" w14:paraId="7952BE1D" w14:textId="77777777" w:rsidTr="00A61B63">
        <w:trPr>
          <w:trHeight w:val="315"/>
        </w:trPr>
        <w:tc>
          <w:tcPr>
            <w:tcW w:w="3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6D7F3"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Actual average participant payments (accrual)</w:t>
            </w:r>
          </w:p>
        </w:tc>
        <w:tc>
          <w:tcPr>
            <w:tcW w:w="1031" w:type="dxa"/>
            <w:tcBorders>
              <w:top w:val="single" w:sz="4" w:space="0" w:color="auto"/>
              <w:left w:val="nil"/>
              <w:bottom w:val="single" w:sz="4" w:space="0" w:color="auto"/>
              <w:right w:val="nil"/>
            </w:tcBorders>
            <w:shd w:val="clear" w:color="auto" w:fill="auto"/>
            <w:noWrap/>
            <w:vAlign w:val="center"/>
            <w:hideMark/>
          </w:tcPr>
          <w:p w14:paraId="5DD7661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38,900</w:t>
            </w:r>
          </w:p>
        </w:tc>
        <w:tc>
          <w:tcPr>
            <w:tcW w:w="1032" w:type="dxa"/>
            <w:tcBorders>
              <w:top w:val="single" w:sz="4" w:space="0" w:color="auto"/>
              <w:left w:val="nil"/>
              <w:bottom w:val="single" w:sz="4" w:space="0" w:color="auto"/>
              <w:right w:val="nil"/>
            </w:tcBorders>
            <w:shd w:val="clear" w:color="000000" w:fill="FFE699"/>
            <w:noWrap/>
            <w:vAlign w:val="center"/>
            <w:hideMark/>
          </w:tcPr>
          <w:p w14:paraId="2B74278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42,500</w:t>
            </w:r>
          </w:p>
        </w:tc>
        <w:tc>
          <w:tcPr>
            <w:tcW w:w="1031" w:type="dxa"/>
            <w:tcBorders>
              <w:top w:val="single" w:sz="4" w:space="0" w:color="auto"/>
              <w:left w:val="nil"/>
              <w:bottom w:val="single" w:sz="4" w:space="0" w:color="auto"/>
              <w:right w:val="nil"/>
            </w:tcBorders>
            <w:shd w:val="clear" w:color="000000" w:fill="FFE699"/>
            <w:noWrap/>
            <w:vAlign w:val="center"/>
            <w:hideMark/>
          </w:tcPr>
          <w:p w14:paraId="221DD94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50,800</w:t>
            </w:r>
          </w:p>
        </w:tc>
        <w:tc>
          <w:tcPr>
            <w:tcW w:w="1032" w:type="dxa"/>
            <w:tcBorders>
              <w:top w:val="single" w:sz="4" w:space="0" w:color="auto"/>
              <w:left w:val="nil"/>
              <w:bottom w:val="single" w:sz="4" w:space="0" w:color="auto"/>
              <w:right w:val="nil"/>
            </w:tcBorders>
            <w:shd w:val="clear" w:color="000000" w:fill="FFE699"/>
            <w:noWrap/>
            <w:vAlign w:val="center"/>
            <w:hideMark/>
          </w:tcPr>
          <w:p w14:paraId="6E24AA0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54,300</w:t>
            </w:r>
          </w:p>
        </w:tc>
        <w:tc>
          <w:tcPr>
            <w:tcW w:w="1032" w:type="dxa"/>
            <w:tcBorders>
              <w:top w:val="single" w:sz="4" w:space="0" w:color="auto"/>
              <w:left w:val="nil"/>
              <w:bottom w:val="single" w:sz="4" w:space="0" w:color="auto"/>
              <w:right w:val="single" w:sz="4" w:space="0" w:color="auto"/>
            </w:tcBorders>
            <w:shd w:val="clear" w:color="000000" w:fill="FFE699"/>
            <w:noWrap/>
            <w:vAlign w:val="center"/>
            <w:hideMark/>
          </w:tcPr>
          <w:p w14:paraId="0F9C458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55,200</w:t>
            </w:r>
          </w:p>
        </w:tc>
        <w:tc>
          <w:tcPr>
            <w:tcW w:w="1031" w:type="dxa"/>
            <w:tcBorders>
              <w:top w:val="single" w:sz="4" w:space="0" w:color="auto"/>
              <w:left w:val="nil"/>
              <w:bottom w:val="single" w:sz="4" w:space="0" w:color="auto"/>
              <w:right w:val="single" w:sz="4" w:space="0" w:color="auto"/>
            </w:tcBorders>
            <w:shd w:val="clear" w:color="000000" w:fill="FFE699"/>
            <w:noWrap/>
            <w:vAlign w:val="center"/>
            <w:hideMark/>
          </w:tcPr>
          <w:p w14:paraId="79235A1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60,600</w:t>
            </w:r>
          </w:p>
        </w:tc>
        <w:tc>
          <w:tcPr>
            <w:tcW w:w="1032" w:type="dxa"/>
            <w:tcBorders>
              <w:top w:val="single" w:sz="4" w:space="0" w:color="auto"/>
              <w:left w:val="nil"/>
              <w:bottom w:val="single" w:sz="4" w:space="0" w:color="auto"/>
              <w:right w:val="nil"/>
            </w:tcBorders>
            <w:shd w:val="clear" w:color="000000" w:fill="BFBFBF"/>
            <w:noWrap/>
            <w:vAlign w:val="center"/>
            <w:hideMark/>
          </w:tcPr>
          <w:p w14:paraId="5C43808A"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24A70EDE"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37F2213B"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BFBFBF"/>
            <w:noWrap/>
            <w:vAlign w:val="center"/>
            <w:hideMark/>
          </w:tcPr>
          <w:p w14:paraId="5EF1B251"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r>
      <w:tr w:rsidR="00DF263E" w:rsidRPr="007F6332" w14:paraId="68F936F9" w14:textId="77777777" w:rsidTr="00A61B63">
        <w:trPr>
          <w:trHeight w:val="306"/>
        </w:trPr>
        <w:tc>
          <w:tcPr>
            <w:tcW w:w="39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465ED"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Actual average participant payments compared with AFSR ($)</w:t>
            </w:r>
          </w:p>
        </w:tc>
        <w:tc>
          <w:tcPr>
            <w:tcW w:w="1031" w:type="dxa"/>
            <w:tcBorders>
              <w:top w:val="single" w:sz="4" w:space="0" w:color="auto"/>
              <w:left w:val="nil"/>
              <w:bottom w:val="single" w:sz="4" w:space="0" w:color="auto"/>
              <w:right w:val="nil"/>
            </w:tcBorders>
            <w:shd w:val="clear" w:color="000000" w:fill="BFBFBF"/>
            <w:noWrap/>
            <w:vAlign w:val="center"/>
            <w:hideMark/>
          </w:tcPr>
          <w:p w14:paraId="1ED73DF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FFE699"/>
            <w:noWrap/>
            <w:vAlign w:val="center"/>
            <w:hideMark/>
          </w:tcPr>
          <w:p w14:paraId="42720DB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3,700</w:t>
            </w:r>
          </w:p>
        </w:tc>
        <w:tc>
          <w:tcPr>
            <w:tcW w:w="1031" w:type="dxa"/>
            <w:tcBorders>
              <w:top w:val="single" w:sz="4" w:space="0" w:color="auto"/>
              <w:left w:val="nil"/>
              <w:bottom w:val="single" w:sz="4" w:space="0" w:color="auto"/>
              <w:right w:val="nil"/>
            </w:tcBorders>
            <w:shd w:val="clear" w:color="000000" w:fill="FFE699"/>
            <w:noWrap/>
            <w:vAlign w:val="center"/>
            <w:hideMark/>
          </w:tcPr>
          <w:p w14:paraId="2C851A8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1,000</w:t>
            </w:r>
          </w:p>
        </w:tc>
        <w:tc>
          <w:tcPr>
            <w:tcW w:w="1032" w:type="dxa"/>
            <w:tcBorders>
              <w:top w:val="single" w:sz="4" w:space="0" w:color="auto"/>
              <w:left w:val="nil"/>
              <w:bottom w:val="single" w:sz="4" w:space="0" w:color="auto"/>
              <w:right w:val="nil"/>
            </w:tcBorders>
            <w:shd w:val="clear" w:color="000000" w:fill="FFE699"/>
            <w:noWrap/>
            <w:vAlign w:val="center"/>
            <w:hideMark/>
          </w:tcPr>
          <w:p w14:paraId="09572F8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2,500</w:t>
            </w:r>
          </w:p>
        </w:tc>
        <w:tc>
          <w:tcPr>
            <w:tcW w:w="1032" w:type="dxa"/>
            <w:tcBorders>
              <w:top w:val="single" w:sz="4" w:space="0" w:color="auto"/>
              <w:left w:val="nil"/>
              <w:bottom w:val="single" w:sz="4" w:space="0" w:color="auto"/>
              <w:right w:val="single" w:sz="4" w:space="0" w:color="auto"/>
            </w:tcBorders>
            <w:shd w:val="clear" w:color="000000" w:fill="FFE699"/>
            <w:noWrap/>
            <w:vAlign w:val="center"/>
            <w:hideMark/>
          </w:tcPr>
          <w:p w14:paraId="70C6B49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-2,600</w:t>
            </w:r>
          </w:p>
        </w:tc>
        <w:tc>
          <w:tcPr>
            <w:tcW w:w="1031" w:type="dxa"/>
            <w:tcBorders>
              <w:top w:val="single" w:sz="4" w:space="0" w:color="auto"/>
              <w:left w:val="nil"/>
              <w:bottom w:val="single" w:sz="4" w:space="0" w:color="auto"/>
              <w:right w:val="single" w:sz="4" w:space="0" w:color="auto"/>
            </w:tcBorders>
            <w:shd w:val="clear" w:color="000000" w:fill="FFE699"/>
            <w:noWrap/>
            <w:vAlign w:val="center"/>
            <w:hideMark/>
          </w:tcPr>
          <w:p w14:paraId="120A01C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1,200</w:t>
            </w:r>
          </w:p>
        </w:tc>
        <w:tc>
          <w:tcPr>
            <w:tcW w:w="1032" w:type="dxa"/>
            <w:tcBorders>
              <w:top w:val="single" w:sz="4" w:space="0" w:color="auto"/>
              <w:left w:val="nil"/>
              <w:bottom w:val="single" w:sz="4" w:space="0" w:color="auto"/>
              <w:right w:val="nil"/>
            </w:tcBorders>
            <w:shd w:val="clear" w:color="000000" w:fill="BFBFBF"/>
            <w:noWrap/>
            <w:vAlign w:val="center"/>
            <w:hideMark/>
          </w:tcPr>
          <w:p w14:paraId="24F421A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44BC4AD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068F793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BFBFBF"/>
            <w:noWrap/>
            <w:vAlign w:val="center"/>
            <w:hideMark/>
          </w:tcPr>
          <w:p w14:paraId="4929F06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r>
      <w:tr w:rsidR="00DF263E" w:rsidRPr="007F6332" w14:paraId="25F8531B" w14:textId="77777777" w:rsidTr="00A61B63">
        <w:trPr>
          <w:trHeight w:val="434"/>
        </w:trPr>
        <w:tc>
          <w:tcPr>
            <w:tcW w:w="39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EE332"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Actual average participant payments compared with AFSR (%)</w:t>
            </w:r>
            <w:r w:rsidRPr="007F6332">
              <w:rPr>
                <w:rFonts w:eastAsia="Times New Roman" w:cs="Arial"/>
                <w:color w:val="000000"/>
                <w:sz w:val="15"/>
                <w:szCs w:val="15"/>
                <w:lang w:eastAsia="en-AU"/>
              </w:rPr>
              <w:br/>
              <w:t>(Actual - AFSR projection) / Actual</w:t>
            </w:r>
          </w:p>
        </w:tc>
        <w:tc>
          <w:tcPr>
            <w:tcW w:w="1031" w:type="dxa"/>
            <w:tcBorders>
              <w:top w:val="single" w:sz="4" w:space="0" w:color="auto"/>
              <w:left w:val="nil"/>
              <w:bottom w:val="single" w:sz="4" w:space="0" w:color="auto"/>
              <w:right w:val="nil"/>
            </w:tcBorders>
            <w:shd w:val="clear" w:color="000000" w:fill="BFBFBF"/>
            <w:noWrap/>
            <w:vAlign w:val="center"/>
            <w:hideMark/>
          </w:tcPr>
          <w:p w14:paraId="251ECED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FFE699"/>
            <w:noWrap/>
            <w:vAlign w:val="center"/>
            <w:hideMark/>
          </w:tcPr>
          <w:p w14:paraId="29F26B4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8.5%</w:t>
            </w:r>
          </w:p>
        </w:tc>
        <w:tc>
          <w:tcPr>
            <w:tcW w:w="1031" w:type="dxa"/>
            <w:tcBorders>
              <w:top w:val="single" w:sz="4" w:space="0" w:color="auto"/>
              <w:left w:val="nil"/>
              <w:bottom w:val="single" w:sz="4" w:space="0" w:color="auto"/>
              <w:right w:val="nil"/>
            </w:tcBorders>
            <w:shd w:val="clear" w:color="000000" w:fill="FFE699"/>
            <w:noWrap/>
            <w:vAlign w:val="center"/>
            <w:hideMark/>
          </w:tcPr>
          <w:p w14:paraId="540AFDE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1.9%</w:t>
            </w:r>
          </w:p>
        </w:tc>
        <w:tc>
          <w:tcPr>
            <w:tcW w:w="1032" w:type="dxa"/>
            <w:tcBorders>
              <w:top w:val="single" w:sz="4" w:space="0" w:color="auto"/>
              <w:left w:val="nil"/>
              <w:bottom w:val="single" w:sz="4" w:space="0" w:color="auto"/>
              <w:right w:val="nil"/>
            </w:tcBorders>
            <w:shd w:val="clear" w:color="000000" w:fill="FFE699"/>
            <w:noWrap/>
            <w:vAlign w:val="center"/>
            <w:hideMark/>
          </w:tcPr>
          <w:p w14:paraId="44BA6E3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4.7%</w:t>
            </w:r>
          </w:p>
        </w:tc>
        <w:tc>
          <w:tcPr>
            <w:tcW w:w="1032" w:type="dxa"/>
            <w:tcBorders>
              <w:top w:val="single" w:sz="4" w:space="0" w:color="auto"/>
              <w:left w:val="nil"/>
              <w:bottom w:val="single" w:sz="4" w:space="0" w:color="auto"/>
              <w:right w:val="single" w:sz="4" w:space="0" w:color="auto"/>
            </w:tcBorders>
            <w:shd w:val="clear" w:color="000000" w:fill="FFE699"/>
            <w:noWrap/>
            <w:vAlign w:val="center"/>
            <w:hideMark/>
          </w:tcPr>
          <w:p w14:paraId="3F2306C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-4.8%</w:t>
            </w:r>
          </w:p>
        </w:tc>
        <w:tc>
          <w:tcPr>
            <w:tcW w:w="1031" w:type="dxa"/>
            <w:tcBorders>
              <w:top w:val="single" w:sz="4" w:space="0" w:color="auto"/>
              <w:left w:val="nil"/>
              <w:bottom w:val="single" w:sz="4" w:space="0" w:color="auto"/>
              <w:right w:val="single" w:sz="4" w:space="0" w:color="auto"/>
            </w:tcBorders>
            <w:shd w:val="clear" w:color="000000" w:fill="FFE699"/>
            <w:noWrap/>
            <w:vAlign w:val="center"/>
            <w:hideMark/>
          </w:tcPr>
          <w:p w14:paraId="3DC7CF1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2.0%</w:t>
            </w:r>
          </w:p>
        </w:tc>
        <w:tc>
          <w:tcPr>
            <w:tcW w:w="1032" w:type="dxa"/>
            <w:tcBorders>
              <w:top w:val="single" w:sz="4" w:space="0" w:color="auto"/>
              <w:left w:val="nil"/>
              <w:bottom w:val="single" w:sz="4" w:space="0" w:color="auto"/>
              <w:right w:val="nil"/>
            </w:tcBorders>
            <w:shd w:val="clear" w:color="000000" w:fill="BFBFBF"/>
            <w:noWrap/>
            <w:vAlign w:val="center"/>
            <w:hideMark/>
          </w:tcPr>
          <w:p w14:paraId="35618F0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1" w:type="dxa"/>
            <w:tcBorders>
              <w:top w:val="single" w:sz="4" w:space="0" w:color="auto"/>
              <w:left w:val="nil"/>
              <w:bottom w:val="single" w:sz="4" w:space="0" w:color="auto"/>
              <w:right w:val="nil"/>
            </w:tcBorders>
            <w:shd w:val="clear" w:color="000000" w:fill="BFBFBF"/>
            <w:noWrap/>
            <w:vAlign w:val="center"/>
            <w:hideMark/>
          </w:tcPr>
          <w:p w14:paraId="7AB91DA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nil"/>
            </w:tcBorders>
            <w:shd w:val="clear" w:color="000000" w:fill="BFBFBF"/>
            <w:noWrap/>
            <w:vAlign w:val="center"/>
            <w:hideMark/>
          </w:tcPr>
          <w:p w14:paraId="2AB3007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032" w:type="dxa"/>
            <w:tcBorders>
              <w:top w:val="single" w:sz="4" w:space="0" w:color="auto"/>
              <w:left w:val="nil"/>
              <w:bottom w:val="single" w:sz="4" w:space="0" w:color="auto"/>
              <w:right w:val="single" w:sz="4" w:space="0" w:color="auto"/>
            </w:tcBorders>
            <w:shd w:val="clear" w:color="000000" w:fill="BFBFBF"/>
            <w:noWrap/>
            <w:vAlign w:val="center"/>
            <w:hideMark/>
          </w:tcPr>
          <w:p w14:paraId="3025674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r>
    </w:tbl>
    <w:p w14:paraId="4F4C3296" w14:textId="77777777" w:rsidR="005F4ABB" w:rsidRPr="007F6332" w:rsidRDefault="005F4ABB" w:rsidP="00110394">
      <w:pPr>
        <w:spacing w:before="120"/>
        <w:rPr>
          <w:b/>
          <w:iCs/>
          <w:lang w:val="en-AU"/>
        </w:rPr>
      </w:pPr>
      <w:r w:rsidRPr="007F6332">
        <w:rPr>
          <w:lang w:val="en-AU"/>
        </w:rPr>
        <w:t xml:space="preserve">Assumptions for average payments per participant have generally been revised upwards at successive AFSR projections. This reflects the emerging experience of sustained significant growth in actual average payments over an extended period. Despite these substantial increases, the AFSR projections have typically under-projected average payments in each following year. Projections have assumed operational initiatives would lead to reduced growth in average payments over time. </w:t>
      </w:r>
    </w:p>
    <w:p w14:paraId="393D7D82" w14:textId="0C2FA111" w:rsidR="005F4ABB" w:rsidRPr="007F6332" w:rsidRDefault="005F4ABB" w:rsidP="00110394">
      <w:pPr>
        <w:rPr>
          <w:b/>
          <w:iCs/>
          <w:lang w:val="en-AU"/>
        </w:rPr>
      </w:pPr>
      <w:r w:rsidRPr="007F6332">
        <w:rPr>
          <w:lang w:val="en-AU"/>
        </w:rPr>
        <w:t xml:space="preserve">Average payments per participant in the 2022-23 financial year were higher than projected from the 30 June 2022 projections as </w:t>
      </w:r>
      <w:r w:rsidR="00C57AA6" w:rsidRPr="007F6332">
        <w:rPr>
          <w:lang w:val="en-AU"/>
        </w:rPr>
        <w:t xml:space="preserve">discussed </w:t>
      </w:r>
      <w:r w:rsidRPr="007F6332">
        <w:rPr>
          <w:lang w:val="en-AU"/>
        </w:rPr>
        <w:t>in Section 4.4. This experience has been considered in the increases made to the starting average payment assumptions during this review as discussed in Section 5.6.</w:t>
      </w:r>
    </w:p>
    <w:p w14:paraId="64F1F636" w14:textId="736F8E29" w:rsidR="0032159E" w:rsidRPr="007F6332" w:rsidRDefault="005F4ABB" w:rsidP="00110394">
      <w:pPr>
        <w:rPr>
          <w:b/>
          <w:iCs/>
          <w:lang w:val="en-AU"/>
        </w:rPr>
      </w:pPr>
      <w:r w:rsidRPr="007F6332">
        <w:rPr>
          <w:lang w:val="en-AU"/>
        </w:rPr>
        <w:lastRenderedPageBreak/>
        <w:t>Actual growth and assumed growth assumptions are included in Table 6.1</w:t>
      </w:r>
      <w:r w:rsidR="00AE3366" w:rsidRPr="007F6332">
        <w:rPr>
          <w:lang w:val="en-AU"/>
        </w:rPr>
        <w:t>6</w:t>
      </w:r>
      <w:r w:rsidRPr="007F6332">
        <w:rPr>
          <w:lang w:val="en-AU"/>
        </w:rPr>
        <w:t xml:space="preserve">. Compared to the 30 June 2022 projections, a higher growth rate is assumed in 2023-24 followed by lower growths after 2024-25. While normal inflation is assumed to be higher at this review for all financial years except the 2024-25 financial year, this is more than offset by reductions in the additional growth assumptions from the 2024-25 financial year onwards. </w:t>
      </w:r>
    </w:p>
    <w:p w14:paraId="3E5DE04D" w14:textId="5F8FB52F" w:rsidR="00B042DF" w:rsidRPr="007F6332" w:rsidRDefault="00950565" w:rsidP="00110394">
      <w:pPr>
        <w:pStyle w:val="FiguresandTablesHeading4"/>
      </w:pPr>
      <w:r w:rsidRPr="007F6332">
        <w:t>Table 6.16</w:t>
      </w:r>
      <w:r w:rsidR="00B042DF" w:rsidRPr="007F6332">
        <w:t>: Actual and assumed rates of growth in average payments per participant</w:t>
      </w:r>
    </w:p>
    <w:tbl>
      <w:tblPr>
        <w:tblW w:w="14175" w:type="dxa"/>
        <w:tblInd w:w="-5" w:type="dxa"/>
        <w:tblLayout w:type="fixed"/>
        <w:tblLook w:val="04A0" w:firstRow="1" w:lastRow="0" w:firstColumn="1" w:lastColumn="0" w:noHBand="0" w:noVBand="1"/>
      </w:tblPr>
      <w:tblGrid>
        <w:gridCol w:w="3921"/>
        <w:gridCol w:w="1139"/>
        <w:gridCol w:w="1139"/>
        <w:gridCol w:w="1140"/>
        <w:gridCol w:w="1139"/>
        <w:gridCol w:w="1139"/>
        <w:gridCol w:w="1140"/>
        <w:gridCol w:w="1139"/>
        <w:gridCol w:w="1139"/>
        <w:gridCol w:w="1140"/>
      </w:tblGrid>
      <w:tr w:rsidR="00C1755E" w:rsidRPr="007F6332" w14:paraId="35CADD93" w14:textId="77777777" w:rsidTr="00C1755E">
        <w:trPr>
          <w:trHeight w:val="524"/>
        </w:trPr>
        <w:tc>
          <w:tcPr>
            <w:tcW w:w="3921"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3272AD09" w14:textId="77777777" w:rsidR="00B042DF" w:rsidRPr="007F6332" w:rsidRDefault="00B042DF" w:rsidP="00D8325F">
            <w:pPr>
              <w:spacing w:after="0" w:line="240" w:lineRule="auto"/>
              <w:rPr>
                <w:rFonts w:eastAsia="Times New Roman" w:cs="Arial"/>
                <w:b/>
                <w:bCs/>
                <w:color w:val="FFFFFF"/>
                <w:sz w:val="18"/>
                <w:szCs w:val="18"/>
                <w:lang w:eastAsia="en-AU"/>
              </w:rPr>
            </w:pPr>
            <w:r w:rsidRPr="007F6332">
              <w:rPr>
                <w:rFonts w:eastAsia="Times New Roman" w:cs="Arial"/>
                <w:b/>
                <w:bCs/>
                <w:color w:val="FFFFFF"/>
                <w:sz w:val="18"/>
                <w:szCs w:val="18"/>
                <w:lang w:eastAsia="en-AU"/>
              </w:rPr>
              <w:t>Total growth rate</w:t>
            </w:r>
          </w:p>
        </w:tc>
        <w:tc>
          <w:tcPr>
            <w:tcW w:w="1139" w:type="dxa"/>
            <w:tcBorders>
              <w:top w:val="single" w:sz="4" w:space="0" w:color="auto"/>
              <w:left w:val="nil"/>
              <w:bottom w:val="single" w:sz="4" w:space="0" w:color="auto"/>
              <w:right w:val="nil"/>
            </w:tcBorders>
            <w:shd w:val="clear" w:color="000000" w:fill="6B2976"/>
            <w:noWrap/>
            <w:vAlign w:val="center"/>
            <w:hideMark/>
          </w:tcPr>
          <w:p w14:paraId="7464FB8C"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2018-19</w:t>
            </w:r>
          </w:p>
        </w:tc>
        <w:tc>
          <w:tcPr>
            <w:tcW w:w="1139" w:type="dxa"/>
            <w:tcBorders>
              <w:top w:val="single" w:sz="4" w:space="0" w:color="auto"/>
              <w:left w:val="nil"/>
              <w:bottom w:val="single" w:sz="4" w:space="0" w:color="auto"/>
              <w:right w:val="nil"/>
            </w:tcBorders>
            <w:shd w:val="clear" w:color="000000" w:fill="6B2976"/>
            <w:noWrap/>
            <w:vAlign w:val="center"/>
            <w:hideMark/>
          </w:tcPr>
          <w:p w14:paraId="61131C6C"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2019-20</w:t>
            </w:r>
          </w:p>
        </w:tc>
        <w:tc>
          <w:tcPr>
            <w:tcW w:w="1140" w:type="dxa"/>
            <w:tcBorders>
              <w:top w:val="single" w:sz="4" w:space="0" w:color="auto"/>
              <w:left w:val="nil"/>
              <w:bottom w:val="single" w:sz="4" w:space="0" w:color="auto"/>
              <w:right w:val="nil"/>
            </w:tcBorders>
            <w:shd w:val="clear" w:color="000000" w:fill="6B2976"/>
            <w:noWrap/>
            <w:vAlign w:val="center"/>
            <w:hideMark/>
          </w:tcPr>
          <w:p w14:paraId="35365119"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2020-21</w:t>
            </w:r>
          </w:p>
        </w:tc>
        <w:tc>
          <w:tcPr>
            <w:tcW w:w="1139" w:type="dxa"/>
            <w:tcBorders>
              <w:top w:val="single" w:sz="4" w:space="0" w:color="auto"/>
              <w:left w:val="nil"/>
              <w:bottom w:val="single" w:sz="4" w:space="0" w:color="auto"/>
              <w:right w:val="single" w:sz="4" w:space="0" w:color="auto"/>
            </w:tcBorders>
            <w:shd w:val="clear" w:color="000000" w:fill="6B2976"/>
            <w:noWrap/>
            <w:vAlign w:val="center"/>
            <w:hideMark/>
          </w:tcPr>
          <w:p w14:paraId="7FD1FB34"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2021-22</w:t>
            </w:r>
          </w:p>
        </w:tc>
        <w:tc>
          <w:tcPr>
            <w:tcW w:w="1139" w:type="dxa"/>
            <w:tcBorders>
              <w:top w:val="single" w:sz="4" w:space="0" w:color="auto"/>
              <w:left w:val="nil"/>
              <w:bottom w:val="single" w:sz="4" w:space="0" w:color="auto"/>
              <w:right w:val="single" w:sz="4" w:space="0" w:color="auto"/>
            </w:tcBorders>
            <w:shd w:val="clear" w:color="000000" w:fill="6B2976"/>
            <w:noWrap/>
            <w:vAlign w:val="center"/>
            <w:hideMark/>
          </w:tcPr>
          <w:p w14:paraId="359EF2E7"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2022-23</w:t>
            </w:r>
          </w:p>
        </w:tc>
        <w:tc>
          <w:tcPr>
            <w:tcW w:w="1140" w:type="dxa"/>
            <w:tcBorders>
              <w:top w:val="single" w:sz="4" w:space="0" w:color="auto"/>
              <w:left w:val="nil"/>
              <w:bottom w:val="single" w:sz="4" w:space="0" w:color="auto"/>
              <w:right w:val="nil"/>
            </w:tcBorders>
            <w:shd w:val="clear" w:color="000000" w:fill="6B2976"/>
            <w:noWrap/>
            <w:vAlign w:val="center"/>
            <w:hideMark/>
          </w:tcPr>
          <w:p w14:paraId="2DD948E2"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2023-24</w:t>
            </w:r>
          </w:p>
        </w:tc>
        <w:tc>
          <w:tcPr>
            <w:tcW w:w="1139" w:type="dxa"/>
            <w:tcBorders>
              <w:top w:val="single" w:sz="4" w:space="0" w:color="auto"/>
              <w:left w:val="nil"/>
              <w:bottom w:val="single" w:sz="4" w:space="0" w:color="auto"/>
              <w:right w:val="nil"/>
            </w:tcBorders>
            <w:shd w:val="clear" w:color="000000" w:fill="6B2976"/>
            <w:noWrap/>
            <w:vAlign w:val="center"/>
            <w:hideMark/>
          </w:tcPr>
          <w:p w14:paraId="03CDCC17"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2024-25</w:t>
            </w:r>
          </w:p>
        </w:tc>
        <w:tc>
          <w:tcPr>
            <w:tcW w:w="1139" w:type="dxa"/>
            <w:tcBorders>
              <w:top w:val="single" w:sz="4" w:space="0" w:color="auto"/>
              <w:left w:val="nil"/>
              <w:bottom w:val="single" w:sz="4" w:space="0" w:color="auto"/>
              <w:right w:val="nil"/>
            </w:tcBorders>
            <w:shd w:val="clear" w:color="000000" w:fill="6B2976"/>
            <w:noWrap/>
            <w:vAlign w:val="center"/>
            <w:hideMark/>
          </w:tcPr>
          <w:p w14:paraId="091B347F"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2025-26</w:t>
            </w:r>
          </w:p>
        </w:tc>
        <w:tc>
          <w:tcPr>
            <w:tcW w:w="1140" w:type="dxa"/>
            <w:tcBorders>
              <w:top w:val="single" w:sz="4" w:space="0" w:color="auto"/>
              <w:left w:val="nil"/>
              <w:bottom w:val="single" w:sz="4" w:space="0" w:color="auto"/>
              <w:right w:val="single" w:sz="4" w:space="0" w:color="auto"/>
            </w:tcBorders>
            <w:shd w:val="clear" w:color="000000" w:fill="6B2976"/>
            <w:noWrap/>
            <w:vAlign w:val="center"/>
            <w:hideMark/>
          </w:tcPr>
          <w:p w14:paraId="73B9B111" w14:textId="77777777" w:rsidR="00B042DF" w:rsidRPr="007F6332" w:rsidRDefault="00B042DF" w:rsidP="00D8325F">
            <w:pPr>
              <w:spacing w:after="0" w:line="240" w:lineRule="auto"/>
              <w:jc w:val="center"/>
              <w:rPr>
                <w:rFonts w:eastAsia="Times New Roman" w:cs="Arial"/>
                <w:b/>
                <w:bCs/>
                <w:color w:val="FFFFFF"/>
                <w:sz w:val="18"/>
                <w:szCs w:val="18"/>
                <w:lang w:eastAsia="en-AU"/>
              </w:rPr>
            </w:pPr>
            <w:r w:rsidRPr="007F6332">
              <w:rPr>
                <w:rFonts w:eastAsia="Times New Roman" w:cs="Arial"/>
                <w:b/>
                <w:bCs/>
                <w:color w:val="FFFFFF"/>
                <w:sz w:val="18"/>
                <w:szCs w:val="18"/>
                <w:lang w:eastAsia="en-AU"/>
              </w:rPr>
              <w:t>2026-27</w:t>
            </w:r>
          </w:p>
        </w:tc>
      </w:tr>
      <w:tr w:rsidR="00B042DF" w:rsidRPr="007F6332" w14:paraId="69758424"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42A328BE"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2023 AFSR projection</w:t>
            </w:r>
          </w:p>
        </w:tc>
        <w:tc>
          <w:tcPr>
            <w:tcW w:w="1139" w:type="dxa"/>
            <w:tcBorders>
              <w:top w:val="nil"/>
              <w:left w:val="nil"/>
              <w:bottom w:val="single" w:sz="4" w:space="0" w:color="auto"/>
              <w:right w:val="nil"/>
            </w:tcBorders>
            <w:shd w:val="clear" w:color="000000" w:fill="BFBFBF"/>
            <w:noWrap/>
            <w:vAlign w:val="center"/>
            <w:hideMark/>
          </w:tcPr>
          <w:p w14:paraId="085EE0C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3AE237B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000000" w:fill="BFBFBF"/>
            <w:noWrap/>
            <w:vAlign w:val="center"/>
            <w:hideMark/>
          </w:tcPr>
          <w:p w14:paraId="13813AC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single" w:sz="4" w:space="0" w:color="auto"/>
            </w:tcBorders>
            <w:shd w:val="clear" w:color="000000" w:fill="BFBFBF"/>
            <w:noWrap/>
            <w:vAlign w:val="center"/>
            <w:hideMark/>
          </w:tcPr>
          <w:p w14:paraId="5FB7E9E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single" w:sz="4" w:space="0" w:color="auto"/>
            </w:tcBorders>
            <w:shd w:val="clear" w:color="000000" w:fill="BFBFBF"/>
            <w:noWrap/>
            <w:vAlign w:val="center"/>
            <w:hideMark/>
          </w:tcPr>
          <w:p w14:paraId="2D965E4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auto" w:fill="auto"/>
            <w:noWrap/>
            <w:vAlign w:val="center"/>
            <w:hideMark/>
          </w:tcPr>
          <w:p w14:paraId="7CAB853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5.5%</w:t>
            </w:r>
          </w:p>
        </w:tc>
        <w:tc>
          <w:tcPr>
            <w:tcW w:w="1139" w:type="dxa"/>
            <w:tcBorders>
              <w:top w:val="nil"/>
              <w:left w:val="nil"/>
              <w:bottom w:val="single" w:sz="4" w:space="0" w:color="auto"/>
              <w:right w:val="nil"/>
            </w:tcBorders>
            <w:shd w:val="clear" w:color="auto" w:fill="auto"/>
            <w:noWrap/>
            <w:vAlign w:val="center"/>
            <w:hideMark/>
          </w:tcPr>
          <w:p w14:paraId="5B22440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3.7%</w:t>
            </w:r>
          </w:p>
        </w:tc>
        <w:tc>
          <w:tcPr>
            <w:tcW w:w="1139" w:type="dxa"/>
            <w:tcBorders>
              <w:top w:val="nil"/>
              <w:left w:val="nil"/>
              <w:bottom w:val="single" w:sz="4" w:space="0" w:color="auto"/>
              <w:right w:val="nil"/>
            </w:tcBorders>
            <w:shd w:val="clear" w:color="auto" w:fill="auto"/>
            <w:noWrap/>
            <w:vAlign w:val="center"/>
            <w:hideMark/>
          </w:tcPr>
          <w:p w14:paraId="4C98B17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3.2%</w:t>
            </w:r>
          </w:p>
        </w:tc>
        <w:tc>
          <w:tcPr>
            <w:tcW w:w="1140" w:type="dxa"/>
            <w:tcBorders>
              <w:top w:val="nil"/>
              <w:left w:val="nil"/>
              <w:bottom w:val="single" w:sz="4" w:space="0" w:color="auto"/>
              <w:right w:val="single" w:sz="4" w:space="0" w:color="auto"/>
            </w:tcBorders>
            <w:shd w:val="clear" w:color="auto" w:fill="auto"/>
            <w:noWrap/>
            <w:vAlign w:val="center"/>
            <w:hideMark/>
          </w:tcPr>
          <w:p w14:paraId="18DCCB7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3.3%</w:t>
            </w:r>
          </w:p>
        </w:tc>
      </w:tr>
      <w:tr w:rsidR="00B042DF" w:rsidRPr="007F6332" w14:paraId="55F198CF"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5C5B4DF7" w14:textId="44295F23" w:rsidR="00B042DF" w:rsidRPr="007F6332" w:rsidRDefault="0044143B"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31 December 2022 projection</w:t>
            </w:r>
          </w:p>
        </w:tc>
        <w:tc>
          <w:tcPr>
            <w:tcW w:w="1139" w:type="dxa"/>
            <w:tcBorders>
              <w:top w:val="nil"/>
              <w:left w:val="nil"/>
              <w:bottom w:val="single" w:sz="4" w:space="0" w:color="auto"/>
              <w:right w:val="nil"/>
            </w:tcBorders>
            <w:shd w:val="clear" w:color="000000" w:fill="BFBFBF"/>
            <w:noWrap/>
            <w:vAlign w:val="center"/>
            <w:hideMark/>
          </w:tcPr>
          <w:p w14:paraId="35CAE45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43A758E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000000" w:fill="BFBFBF"/>
            <w:noWrap/>
            <w:vAlign w:val="center"/>
            <w:hideMark/>
          </w:tcPr>
          <w:p w14:paraId="060AEB6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single" w:sz="4" w:space="0" w:color="auto"/>
            </w:tcBorders>
            <w:shd w:val="clear" w:color="000000" w:fill="BFBFBF"/>
            <w:noWrap/>
            <w:vAlign w:val="center"/>
            <w:hideMark/>
          </w:tcPr>
          <w:p w14:paraId="6BF521C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single" w:sz="4" w:space="0" w:color="auto"/>
            </w:tcBorders>
            <w:shd w:val="clear" w:color="000000" w:fill="BFBFBF"/>
            <w:noWrap/>
            <w:vAlign w:val="center"/>
            <w:hideMark/>
          </w:tcPr>
          <w:p w14:paraId="361D05C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auto" w:fill="auto"/>
            <w:noWrap/>
            <w:vAlign w:val="center"/>
            <w:hideMark/>
          </w:tcPr>
          <w:p w14:paraId="1273E908" w14:textId="03D939E0"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w:t>
            </w:r>
            <w:r w:rsidR="005F4ABB" w:rsidRPr="007F6332">
              <w:rPr>
                <w:rFonts w:eastAsia="Times New Roman" w:cs="Arial"/>
                <w:color w:val="000000"/>
                <w:sz w:val="15"/>
                <w:szCs w:val="15"/>
                <w:lang w:eastAsia="en-AU"/>
              </w:rPr>
              <w:t>0</w:t>
            </w:r>
            <w:r w:rsidRPr="007F6332">
              <w:rPr>
                <w:rFonts w:eastAsia="Times New Roman" w:cs="Arial"/>
                <w:color w:val="000000"/>
                <w:sz w:val="15"/>
                <w:szCs w:val="15"/>
                <w:lang w:eastAsia="en-AU"/>
              </w:rPr>
              <w:t>%</w:t>
            </w:r>
          </w:p>
        </w:tc>
        <w:tc>
          <w:tcPr>
            <w:tcW w:w="1139" w:type="dxa"/>
            <w:tcBorders>
              <w:top w:val="nil"/>
              <w:left w:val="nil"/>
              <w:bottom w:val="single" w:sz="4" w:space="0" w:color="auto"/>
              <w:right w:val="nil"/>
            </w:tcBorders>
            <w:shd w:val="clear" w:color="auto" w:fill="auto"/>
            <w:noWrap/>
            <w:vAlign w:val="center"/>
            <w:hideMark/>
          </w:tcPr>
          <w:p w14:paraId="03BF98C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3.9%</w:t>
            </w:r>
          </w:p>
        </w:tc>
        <w:tc>
          <w:tcPr>
            <w:tcW w:w="1139" w:type="dxa"/>
            <w:tcBorders>
              <w:top w:val="nil"/>
              <w:left w:val="nil"/>
              <w:bottom w:val="single" w:sz="4" w:space="0" w:color="auto"/>
              <w:right w:val="nil"/>
            </w:tcBorders>
            <w:shd w:val="clear" w:color="auto" w:fill="auto"/>
            <w:noWrap/>
            <w:vAlign w:val="center"/>
            <w:hideMark/>
          </w:tcPr>
          <w:p w14:paraId="6855891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3.3%</w:t>
            </w:r>
          </w:p>
        </w:tc>
        <w:tc>
          <w:tcPr>
            <w:tcW w:w="1140" w:type="dxa"/>
            <w:tcBorders>
              <w:top w:val="nil"/>
              <w:left w:val="nil"/>
              <w:bottom w:val="single" w:sz="4" w:space="0" w:color="auto"/>
              <w:right w:val="single" w:sz="4" w:space="0" w:color="auto"/>
            </w:tcBorders>
            <w:shd w:val="clear" w:color="auto" w:fill="auto"/>
            <w:noWrap/>
            <w:vAlign w:val="center"/>
            <w:hideMark/>
          </w:tcPr>
          <w:p w14:paraId="347A614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2.4%</w:t>
            </w:r>
          </w:p>
        </w:tc>
      </w:tr>
      <w:tr w:rsidR="00B042DF" w:rsidRPr="007F6332" w14:paraId="5EEA7576"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30801EC2"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2022 AFSR projection</w:t>
            </w:r>
          </w:p>
        </w:tc>
        <w:tc>
          <w:tcPr>
            <w:tcW w:w="1139" w:type="dxa"/>
            <w:tcBorders>
              <w:top w:val="nil"/>
              <w:left w:val="nil"/>
              <w:bottom w:val="single" w:sz="4" w:space="0" w:color="auto"/>
              <w:right w:val="nil"/>
            </w:tcBorders>
            <w:shd w:val="clear" w:color="000000" w:fill="BFBFBF"/>
            <w:noWrap/>
            <w:vAlign w:val="center"/>
            <w:hideMark/>
          </w:tcPr>
          <w:p w14:paraId="3E28BEF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3C33A07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000000" w:fill="BFBFBF"/>
            <w:noWrap/>
            <w:vAlign w:val="center"/>
            <w:hideMark/>
          </w:tcPr>
          <w:p w14:paraId="239FC3A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single" w:sz="4" w:space="0" w:color="auto"/>
            </w:tcBorders>
            <w:shd w:val="clear" w:color="000000" w:fill="BFBFBF"/>
            <w:noWrap/>
            <w:vAlign w:val="center"/>
            <w:hideMark/>
          </w:tcPr>
          <w:p w14:paraId="4322CAD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single" w:sz="4" w:space="0" w:color="auto"/>
            </w:tcBorders>
            <w:shd w:val="clear" w:color="000000" w:fill="FFE699"/>
            <w:noWrap/>
            <w:vAlign w:val="center"/>
            <w:hideMark/>
          </w:tcPr>
          <w:p w14:paraId="28CD8CA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7.7%</w:t>
            </w:r>
          </w:p>
        </w:tc>
        <w:tc>
          <w:tcPr>
            <w:tcW w:w="1140" w:type="dxa"/>
            <w:tcBorders>
              <w:top w:val="nil"/>
              <w:left w:val="nil"/>
              <w:bottom w:val="single" w:sz="4" w:space="0" w:color="auto"/>
              <w:right w:val="nil"/>
            </w:tcBorders>
            <w:shd w:val="clear" w:color="auto" w:fill="auto"/>
            <w:noWrap/>
            <w:vAlign w:val="center"/>
            <w:hideMark/>
          </w:tcPr>
          <w:p w14:paraId="7098B82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2.1%</w:t>
            </w:r>
          </w:p>
        </w:tc>
        <w:tc>
          <w:tcPr>
            <w:tcW w:w="1139" w:type="dxa"/>
            <w:tcBorders>
              <w:top w:val="nil"/>
              <w:left w:val="nil"/>
              <w:bottom w:val="single" w:sz="4" w:space="0" w:color="auto"/>
              <w:right w:val="nil"/>
            </w:tcBorders>
            <w:shd w:val="clear" w:color="auto" w:fill="auto"/>
            <w:noWrap/>
            <w:vAlign w:val="center"/>
            <w:hideMark/>
          </w:tcPr>
          <w:p w14:paraId="2DDCBA4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6.9%</w:t>
            </w:r>
          </w:p>
        </w:tc>
        <w:tc>
          <w:tcPr>
            <w:tcW w:w="1139" w:type="dxa"/>
            <w:tcBorders>
              <w:top w:val="nil"/>
              <w:left w:val="nil"/>
              <w:bottom w:val="single" w:sz="4" w:space="0" w:color="auto"/>
              <w:right w:val="nil"/>
            </w:tcBorders>
            <w:shd w:val="clear" w:color="auto" w:fill="auto"/>
            <w:noWrap/>
            <w:vAlign w:val="center"/>
            <w:hideMark/>
          </w:tcPr>
          <w:p w14:paraId="07E426F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6.6%</w:t>
            </w:r>
          </w:p>
        </w:tc>
        <w:tc>
          <w:tcPr>
            <w:tcW w:w="1140" w:type="dxa"/>
            <w:tcBorders>
              <w:top w:val="nil"/>
              <w:left w:val="nil"/>
              <w:bottom w:val="single" w:sz="4" w:space="0" w:color="auto"/>
              <w:right w:val="single" w:sz="4" w:space="0" w:color="auto"/>
            </w:tcBorders>
            <w:shd w:val="clear" w:color="auto" w:fill="auto"/>
            <w:noWrap/>
            <w:vAlign w:val="center"/>
            <w:hideMark/>
          </w:tcPr>
          <w:p w14:paraId="56B7A96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3.5%</w:t>
            </w:r>
          </w:p>
        </w:tc>
      </w:tr>
      <w:tr w:rsidR="00B042DF" w:rsidRPr="007F6332" w14:paraId="5185F2BA"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63A90DAD"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2021 AFSR projection</w:t>
            </w:r>
          </w:p>
        </w:tc>
        <w:tc>
          <w:tcPr>
            <w:tcW w:w="1139" w:type="dxa"/>
            <w:tcBorders>
              <w:top w:val="nil"/>
              <w:left w:val="nil"/>
              <w:bottom w:val="single" w:sz="4" w:space="0" w:color="auto"/>
              <w:right w:val="nil"/>
            </w:tcBorders>
            <w:shd w:val="clear" w:color="000000" w:fill="BFBFBF"/>
            <w:noWrap/>
            <w:vAlign w:val="center"/>
            <w:hideMark/>
          </w:tcPr>
          <w:p w14:paraId="677E8F9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7D56B93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000000" w:fill="BFBFBF"/>
            <w:noWrap/>
            <w:vAlign w:val="center"/>
            <w:hideMark/>
          </w:tcPr>
          <w:p w14:paraId="030B6EE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single" w:sz="4" w:space="0" w:color="auto"/>
            </w:tcBorders>
            <w:shd w:val="clear" w:color="000000" w:fill="FFE699"/>
            <w:noWrap/>
            <w:vAlign w:val="center"/>
            <w:hideMark/>
          </w:tcPr>
          <w:p w14:paraId="68A9A51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6.5%</w:t>
            </w:r>
          </w:p>
        </w:tc>
        <w:tc>
          <w:tcPr>
            <w:tcW w:w="1139" w:type="dxa"/>
            <w:tcBorders>
              <w:top w:val="nil"/>
              <w:left w:val="nil"/>
              <w:bottom w:val="single" w:sz="4" w:space="0" w:color="auto"/>
              <w:right w:val="single" w:sz="4" w:space="0" w:color="auto"/>
            </w:tcBorders>
            <w:shd w:val="clear" w:color="auto" w:fill="auto"/>
            <w:noWrap/>
            <w:vAlign w:val="center"/>
            <w:hideMark/>
          </w:tcPr>
          <w:p w14:paraId="4F2F977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3.5%</w:t>
            </w:r>
          </w:p>
        </w:tc>
        <w:tc>
          <w:tcPr>
            <w:tcW w:w="1140" w:type="dxa"/>
            <w:tcBorders>
              <w:top w:val="nil"/>
              <w:left w:val="nil"/>
              <w:bottom w:val="single" w:sz="4" w:space="0" w:color="auto"/>
              <w:right w:val="nil"/>
            </w:tcBorders>
            <w:shd w:val="clear" w:color="auto" w:fill="auto"/>
            <w:noWrap/>
            <w:vAlign w:val="center"/>
            <w:hideMark/>
          </w:tcPr>
          <w:p w14:paraId="6FD3540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2.9%</w:t>
            </w:r>
          </w:p>
        </w:tc>
        <w:tc>
          <w:tcPr>
            <w:tcW w:w="1139" w:type="dxa"/>
            <w:tcBorders>
              <w:top w:val="nil"/>
              <w:left w:val="nil"/>
              <w:bottom w:val="single" w:sz="4" w:space="0" w:color="auto"/>
              <w:right w:val="nil"/>
            </w:tcBorders>
            <w:shd w:val="clear" w:color="auto" w:fill="auto"/>
            <w:noWrap/>
            <w:vAlign w:val="center"/>
            <w:hideMark/>
          </w:tcPr>
          <w:p w14:paraId="194A69A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1.9%</w:t>
            </w:r>
          </w:p>
        </w:tc>
        <w:tc>
          <w:tcPr>
            <w:tcW w:w="1139" w:type="dxa"/>
            <w:tcBorders>
              <w:top w:val="nil"/>
              <w:left w:val="nil"/>
              <w:bottom w:val="single" w:sz="4" w:space="0" w:color="auto"/>
              <w:right w:val="nil"/>
            </w:tcBorders>
            <w:shd w:val="clear" w:color="auto" w:fill="auto"/>
            <w:noWrap/>
            <w:vAlign w:val="center"/>
            <w:hideMark/>
          </w:tcPr>
          <w:p w14:paraId="56C4FE6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1.5%</w:t>
            </w:r>
          </w:p>
        </w:tc>
        <w:tc>
          <w:tcPr>
            <w:tcW w:w="1140" w:type="dxa"/>
            <w:tcBorders>
              <w:top w:val="nil"/>
              <w:left w:val="nil"/>
              <w:bottom w:val="single" w:sz="4" w:space="0" w:color="auto"/>
              <w:right w:val="single" w:sz="4" w:space="0" w:color="auto"/>
            </w:tcBorders>
            <w:shd w:val="clear" w:color="auto" w:fill="auto"/>
            <w:noWrap/>
            <w:vAlign w:val="center"/>
            <w:hideMark/>
          </w:tcPr>
          <w:p w14:paraId="5E61304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1.8%</w:t>
            </w:r>
          </w:p>
        </w:tc>
      </w:tr>
      <w:tr w:rsidR="00B042DF" w:rsidRPr="007F6332" w14:paraId="4B1DAB57"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1ABDA8BB" w14:textId="197B7A7F"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31 December 2020 projection</w:t>
            </w:r>
          </w:p>
        </w:tc>
        <w:tc>
          <w:tcPr>
            <w:tcW w:w="1139" w:type="dxa"/>
            <w:tcBorders>
              <w:top w:val="nil"/>
              <w:left w:val="nil"/>
              <w:bottom w:val="single" w:sz="4" w:space="0" w:color="auto"/>
              <w:right w:val="nil"/>
            </w:tcBorders>
            <w:shd w:val="clear" w:color="000000" w:fill="BFBFBF"/>
            <w:noWrap/>
            <w:vAlign w:val="center"/>
            <w:hideMark/>
          </w:tcPr>
          <w:p w14:paraId="78FEDBA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643CBD8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000000" w:fill="BFBFBF"/>
            <w:noWrap/>
            <w:vAlign w:val="center"/>
            <w:hideMark/>
          </w:tcPr>
          <w:p w14:paraId="0940B30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single" w:sz="4" w:space="0" w:color="auto"/>
            </w:tcBorders>
            <w:shd w:val="clear" w:color="auto" w:fill="auto"/>
            <w:noWrap/>
            <w:vAlign w:val="center"/>
            <w:hideMark/>
          </w:tcPr>
          <w:p w14:paraId="1221B19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1.3%</w:t>
            </w:r>
          </w:p>
        </w:tc>
        <w:tc>
          <w:tcPr>
            <w:tcW w:w="1139" w:type="dxa"/>
            <w:tcBorders>
              <w:top w:val="nil"/>
              <w:left w:val="nil"/>
              <w:bottom w:val="single" w:sz="4" w:space="0" w:color="auto"/>
              <w:right w:val="single" w:sz="4" w:space="0" w:color="auto"/>
            </w:tcBorders>
            <w:shd w:val="clear" w:color="auto" w:fill="auto"/>
            <w:noWrap/>
            <w:vAlign w:val="center"/>
            <w:hideMark/>
          </w:tcPr>
          <w:p w14:paraId="31A7E79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3.9%</w:t>
            </w:r>
          </w:p>
        </w:tc>
        <w:tc>
          <w:tcPr>
            <w:tcW w:w="1140" w:type="dxa"/>
            <w:tcBorders>
              <w:top w:val="nil"/>
              <w:left w:val="nil"/>
              <w:bottom w:val="single" w:sz="4" w:space="0" w:color="auto"/>
              <w:right w:val="nil"/>
            </w:tcBorders>
            <w:shd w:val="clear" w:color="auto" w:fill="auto"/>
            <w:noWrap/>
            <w:vAlign w:val="center"/>
            <w:hideMark/>
          </w:tcPr>
          <w:p w14:paraId="116B987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3.3%</w:t>
            </w:r>
          </w:p>
        </w:tc>
        <w:tc>
          <w:tcPr>
            <w:tcW w:w="1139" w:type="dxa"/>
            <w:tcBorders>
              <w:top w:val="nil"/>
              <w:left w:val="nil"/>
              <w:bottom w:val="single" w:sz="4" w:space="0" w:color="auto"/>
              <w:right w:val="nil"/>
            </w:tcBorders>
            <w:shd w:val="clear" w:color="auto" w:fill="auto"/>
            <w:noWrap/>
            <w:vAlign w:val="center"/>
            <w:hideMark/>
          </w:tcPr>
          <w:p w14:paraId="67C4F18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3.1%</w:t>
            </w:r>
          </w:p>
        </w:tc>
        <w:tc>
          <w:tcPr>
            <w:tcW w:w="1139" w:type="dxa"/>
            <w:tcBorders>
              <w:top w:val="nil"/>
              <w:left w:val="nil"/>
              <w:bottom w:val="single" w:sz="4" w:space="0" w:color="auto"/>
              <w:right w:val="nil"/>
            </w:tcBorders>
            <w:shd w:val="clear" w:color="auto" w:fill="auto"/>
            <w:noWrap/>
            <w:vAlign w:val="center"/>
            <w:hideMark/>
          </w:tcPr>
          <w:p w14:paraId="0973DD1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2.5%</w:t>
            </w:r>
          </w:p>
        </w:tc>
        <w:tc>
          <w:tcPr>
            <w:tcW w:w="1140" w:type="dxa"/>
            <w:tcBorders>
              <w:top w:val="nil"/>
              <w:left w:val="nil"/>
              <w:bottom w:val="single" w:sz="4" w:space="0" w:color="auto"/>
              <w:right w:val="single" w:sz="4" w:space="0" w:color="auto"/>
            </w:tcBorders>
            <w:shd w:val="clear" w:color="auto" w:fill="auto"/>
            <w:noWrap/>
            <w:vAlign w:val="center"/>
            <w:hideMark/>
          </w:tcPr>
          <w:p w14:paraId="3CF62CB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2.7%</w:t>
            </w:r>
          </w:p>
        </w:tc>
      </w:tr>
      <w:tr w:rsidR="00B042DF" w:rsidRPr="007F6332" w14:paraId="0AAD70DB"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4C42FA0D"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2020 AFSR projection</w:t>
            </w:r>
          </w:p>
        </w:tc>
        <w:tc>
          <w:tcPr>
            <w:tcW w:w="1139" w:type="dxa"/>
            <w:tcBorders>
              <w:top w:val="nil"/>
              <w:left w:val="nil"/>
              <w:bottom w:val="single" w:sz="4" w:space="0" w:color="auto"/>
              <w:right w:val="nil"/>
            </w:tcBorders>
            <w:shd w:val="clear" w:color="000000" w:fill="BFBFBF"/>
            <w:noWrap/>
            <w:vAlign w:val="center"/>
            <w:hideMark/>
          </w:tcPr>
          <w:p w14:paraId="407FAF9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7D7F4EA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000000" w:fill="FFE699"/>
            <w:noWrap/>
            <w:vAlign w:val="center"/>
            <w:hideMark/>
          </w:tcPr>
          <w:p w14:paraId="17F8411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1.9%</w:t>
            </w:r>
          </w:p>
        </w:tc>
        <w:tc>
          <w:tcPr>
            <w:tcW w:w="1139" w:type="dxa"/>
            <w:tcBorders>
              <w:top w:val="nil"/>
              <w:left w:val="nil"/>
              <w:bottom w:val="single" w:sz="4" w:space="0" w:color="auto"/>
              <w:right w:val="single" w:sz="4" w:space="0" w:color="auto"/>
            </w:tcBorders>
            <w:shd w:val="clear" w:color="auto" w:fill="auto"/>
            <w:noWrap/>
            <w:vAlign w:val="center"/>
            <w:hideMark/>
          </w:tcPr>
          <w:p w14:paraId="29E6F27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3.8%</w:t>
            </w:r>
          </w:p>
        </w:tc>
        <w:tc>
          <w:tcPr>
            <w:tcW w:w="1139" w:type="dxa"/>
            <w:tcBorders>
              <w:top w:val="nil"/>
              <w:left w:val="nil"/>
              <w:bottom w:val="single" w:sz="4" w:space="0" w:color="auto"/>
              <w:right w:val="single" w:sz="4" w:space="0" w:color="auto"/>
            </w:tcBorders>
            <w:shd w:val="clear" w:color="auto" w:fill="auto"/>
            <w:noWrap/>
            <w:vAlign w:val="center"/>
            <w:hideMark/>
          </w:tcPr>
          <w:p w14:paraId="1BEFAB0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2.9%</w:t>
            </w:r>
          </w:p>
        </w:tc>
        <w:tc>
          <w:tcPr>
            <w:tcW w:w="1140" w:type="dxa"/>
            <w:tcBorders>
              <w:top w:val="nil"/>
              <w:left w:val="nil"/>
              <w:bottom w:val="single" w:sz="4" w:space="0" w:color="auto"/>
              <w:right w:val="nil"/>
            </w:tcBorders>
            <w:shd w:val="clear" w:color="auto" w:fill="auto"/>
            <w:noWrap/>
            <w:vAlign w:val="center"/>
            <w:hideMark/>
          </w:tcPr>
          <w:p w14:paraId="5480D41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3.6%</w:t>
            </w:r>
          </w:p>
        </w:tc>
        <w:tc>
          <w:tcPr>
            <w:tcW w:w="1139" w:type="dxa"/>
            <w:tcBorders>
              <w:top w:val="nil"/>
              <w:left w:val="nil"/>
              <w:bottom w:val="single" w:sz="4" w:space="0" w:color="auto"/>
              <w:right w:val="nil"/>
            </w:tcBorders>
            <w:shd w:val="clear" w:color="auto" w:fill="auto"/>
            <w:noWrap/>
            <w:vAlign w:val="center"/>
            <w:hideMark/>
          </w:tcPr>
          <w:p w14:paraId="6D54E75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4.4%</w:t>
            </w:r>
          </w:p>
        </w:tc>
        <w:tc>
          <w:tcPr>
            <w:tcW w:w="1139" w:type="dxa"/>
            <w:tcBorders>
              <w:top w:val="nil"/>
              <w:left w:val="nil"/>
              <w:bottom w:val="single" w:sz="4" w:space="0" w:color="auto"/>
              <w:right w:val="nil"/>
            </w:tcBorders>
            <w:shd w:val="clear" w:color="auto" w:fill="auto"/>
            <w:noWrap/>
            <w:vAlign w:val="center"/>
            <w:hideMark/>
          </w:tcPr>
          <w:p w14:paraId="6D3CF4C3"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4.4%</w:t>
            </w:r>
          </w:p>
        </w:tc>
        <w:tc>
          <w:tcPr>
            <w:tcW w:w="1140" w:type="dxa"/>
            <w:tcBorders>
              <w:top w:val="nil"/>
              <w:left w:val="nil"/>
              <w:bottom w:val="single" w:sz="4" w:space="0" w:color="auto"/>
              <w:right w:val="single" w:sz="4" w:space="0" w:color="auto"/>
            </w:tcBorders>
            <w:shd w:val="clear" w:color="auto" w:fill="auto"/>
            <w:noWrap/>
            <w:vAlign w:val="center"/>
            <w:hideMark/>
          </w:tcPr>
          <w:p w14:paraId="5686C12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4.3%</w:t>
            </w:r>
          </w:p>
        </w:tc>
      </w:tr>
      <w:tr w:rsidR="00B042DF" w:rsidRPr="007F6332" w14:paraId="59BFE1F0"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3ACF3A0E" w14:textId="067EA850"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31 December 2019 projection</w:t>
            </w:r>
          </w:p>
        </w:tc>
        <w:tc>
          <w:tcPr>
            <w:tcW w:w="1139" w:type="dxa"/>
            <w:tcBorders>
              <w:top w:val="nil"/>
              <w:left w:val="nil"/>
              <w:bottom w:val="single" w:sz="4" w:space="0" w:color="auto"/>
              <w:right w:val="nil"/>
            </w:tcBorders>
            <w:shd w:val="clear" w:color="000000" w:fill="BFBFBF"/>
            <w:noWrap/>
            <w:vAlign w:val="center"/>
            <w:hideMark/>
          </w:tcPr>
          <w:p w14:paraId="3AF3034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17D18C9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40" w:type="dxa"/>
            <w:tcBorders>
              <w:top w:val="nil"/>
              <w:left w:val="nil"/>
              <w:bottom w:val="single" w:sz="4" w:space="0" w:color="auto"/>
              <w:right w:val="nil"/>
            </w:tcBorders>
            <w:shd w:val="clear" w:color="auto" w:fill="auto"/>
            <w:noWrap/>
            <w:vAlign w:val="center"/>
            <w:hideMark/>
          </w:tcPr>
          <w:p w14:paraId="5D0C4A5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2.0%</w:t>
            </w:r>
          </w:p>
        </w:tc>
        <w:tc>
          <w:tcPr>
            <w:tcW w:w="1139" w:type="dxa"/>
            <w:tcBorders>
              <w:top w:val="nil"/>
              <w:left w:val="nil"/>
              <w:bottom w:val="single" w:sz="4" w:space="0" w:color="auto"/>
              <w:right w:val="single" w:sz="4" w:space="0" w:color="auto"/>
            </w:tcBorders>
            <w:shd w:val="clear" w:color="auto" w:fill="auto"/>
            <w:noWrap/>
            <w:vAlign w:val="center"/>
            <w:hideMark/>
          </w:tcPr>
          <w:p w14:paraId="3B8D97C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3.9%</w:t>
            </w:r>
          </w:p>
        </w:tc>
        <w:tc>
          <w:tcPr>
            <w:tcW w:w="1139" w:type="dxa"/>
            <w:tcBorders>
              <w:top w:val="nil"/>
              <w:left w:val="nil"/>
              <w:bottom w:val="single" w:sz="4" w:space="0" w:color="auto"/>
              <w:right w:val="single" w:sz="4" w:space="0" w:color="auto"/>
            </w:tcBorders>
            <w:shd w:val="clear" w:color="auto" w:fill="auto"/>
            <w:noWrap/>
            <w:vAlign w:val="center"/>
            <w:hideMark/>
          </w:tcPr>
          <w:p w14:paraId="42042D1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4.4%</w:t>
            </w:r>
          </w:p>
        </w:tc>
        <w:tc>
          <w:tcPr>
            <w:tcW w:w="1140" w:type="dxa"/>
            <w:tcBorders>
              <w:top w:val="nil"/>
              <w:left w:val="nil"/>
              <w:bottom w:val="single" w:sz="4" w:space="0" w:color="auto"/>
              <w:right w:val="nil"/>
            </w:tcBorders>
            <w:shd w:val="clear" w:color="auto" w:fill="auto"/>
            <w:noWrap/>
            <w:vAlign w:val="center"/>
            <w:hideMark/>
          </w:tcPr>
          <w:p w14:paraId="3541D07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4.5%</w:t>
            </w:r>
          </w:p>
        </w:tc>
        <w:tc>
          <w:tcPr>
            <w:tcW w:w="1139" w:type="dxa"/>
            <w:tcBorders>
              <w:top w:val="nil"/>
              <w:left w:val="nil"/>
              <w:bottom w:val="single" w:sz="4" w:space="0" w:color="auto"/>
              <w:right w:val="nil"/>
            </w:tcBorders>
            <w:shd w:val="clear" w:color="auto" w:fill="auto"/>
            <w:noWrap/>
            <w:vAlign w:val="center"/>
            <w:hideMark/>
          </w:tcPr>
          <w:p w14:paraId="38E78FF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4.0%</w:t>
            </w:r>
          </w:p>
        </w:tc>
        <w:tc>
          <w:tcPr>
            <w:tcW w:w="1139" w:type="dxa"/>
            <w:tcBorders>
              <w:top w:val="nil"/>
              <w:left w:val="nil"/>
              <w:bottom w:val="single" w:sz="4" w:space="0" w:color="auto"/>
              <w:right w:val="nil"/>
            </w:tcBorders>
            <w:shd w:val="clear" w:color="auto" w:fill="auto"/>
            <w:noWrap/>
            <w:vAlign w:val="center"/>
            <w:hideMark/>
          </w:tcPr>
          <w:p w14:paraId="268BDB8A"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3.8%</w:t>
            </w:r>
          </w:p>
        </w:tc>
        <w:tc>
          <w:tcPr>
            <w:tcW w:w="1140" w:type="dxa"/>
            <w:tcBorders>
              <w:top w:val="nil"/>
              <w:left w:val="nil"/>
              <w:bottom w:val="single" w:sz="4" w:space="0" w:color="auto"/>
              <w:right w:val="single" w:sz="4" w:space="0" w:color="auto"/>
            </w:tcBorders>
            <w:shd w:val="clear" w:color="auto" w:fill="auto"/>
            <w:noWrap/>
            <w:vAlign w:val="center"/>
            <w:hideMark/>
          </w:tcPr>
          <w:p w14:paraId="5E7215E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3.9%</w:t>
            </w:r>
          </w:p>
        </w:tc>
      </w:tr>
      <w:tr w:rsidR="00B042DF" w:rsidRPr="007F6332" w14:paraId="008B112A"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314BA0E9"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2019 AFSR projection</w:t>
            </w:r>
          </w:p>
        </w:tc>
        <w:tc>
          <w:tcPr>
            <w:tcW w:w="1139" w:type="dxa"/>
            <w:tcBorders>
              <w:top w:val="nil"/>
              <w:left w:val="nil"/>
              <w:bottom w:val="single" w:sz="4" w:space="0" w:color="auto"/>
              <w:right w:val="nil"/>
            </w:tcBorders>
            <w:shd w:val="clear" w:color="000000" w:fill="BFBFBF"/>
            <w:noWrap/>
            <w:vAlign w:val="center"/>
            <w:hideMark/>
          </w:tcPr>
          <w:p w14:paraId="3D68D3A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 </w:t>
            </w:r>
          </w:p>
        </w:tc>
        <w:tc>
          <w:tcPr>
            <w:tcW w:w="1139" w:type="dxa"/>
            <w:tcBorders>
              <w:top w:val="nil"/>
              <w:left w:val="nil"/>
              <w:bottom w:val="single" w:sz="4" w:space="0" w:color="auto"/>
              <w:right w:val="nil"/>
            </w:tcBorders>
            <w:shd w:val="clear" w:color="000000" w:fill="FFE699"/>
            <w:noWrap/>
            <w:vAlign w:val="center"/>
            <w:hideMark/>
          </w:tcPr>
          <w:p w14:paraId="798B77D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17.4%</w:t>
            </w:r>
          </w:p>
        </w:tc>
        <w:tc>
          <w:tcPr>
            <w:tcW w:w="1140" w:type="dxa"/>
            <w:tcBorders>
              <w:top w:val="nil"/>
              <w:left w:val="nil"/>
              <w:bottom w:val="single" w:sz="4" w:space="0" w:color="auto"/>
              <w:right w:val="nil"/>
            </w:tcBorders>
            <w:shd w:val="clear" w:color="auto" w:fill="auto"/>
            <w:noWrap/>
            <w:vAlign w:val="center"/>
            <w:hideMark/>
          </w:tcPr>
          <w:p w14:paraId="76806CD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4.2%</w:t>
            </w:r>
          </w:p>
        </w:tc>
        <w:tc>
          <w:tcPr>
            <w:tcW w:w="1139" w:type="dxa"/>
            <w:tcBorders>
              <w:top w:val="nil"/>
              <w:left w:val="nil"/>
              <w:bottom w:val="single" w:sz="4" w:space="0" w:color="auto"/>
              <w:right w:val="single" w:sz="4" w:space="0" w:color="auto"/>
            </w:tcBorders>
            <w:shd w:val="clear" w:color="auto" w:fill="auto"/>
            <w:noWrap/>
            <w:vAlign w:val="center"/>
            <w:hideMark/>
          </w:tcPr>
          <w:p w14:paraId="37DC1467"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2.8%</w:t>
            </w:r>
          </w:p>
        </w:tc>
        <w:tc>
          <w:tcPr>
            <w:tcW w:w="1139" w:type="dxa"/>
            <w:tcBorders>
              <w:top w:val="nil"/>
              <w:left w:val="nil"/>
              <w:bottom w:val="single" w:sz="4" w:space="0" w:color="auto"/>
              <w:right w:val="single" w:sz="4" w:space="0" w:color="auto"/>
            </w:tcBorders>
            <w:shd w:val="clear" w:color="auto" w:fill="auto"/>
            <w:noWrap/>
            <w:vAlign w:val="center"/>
            <w:hideMark/>
          </w:tcPr>
          <w:p w14:paraId="110771FC"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2.5%</w:t>
            </w:r>
          </w:p>
        </w:tc>
        <w:tc>
          <w:tcPr>
            <w:tcW w:w="1140" w:type="dxa"/>
            <w:tcBorders>
              <w:top w:val="nil"/>
              <w:left w:val="nil"/>
              <w:bottom w:val="single" w:sz="4" w:space="0" w:color="auto"/>
              <w:right w:val="nil"/>
            </w:tcBorders>
            <w:shd w:val="clear" w:color="auto" w:fill="auto"/>
            <w:noWrap/>
            <w:vAlign w:val="center"/>
            <w:hideMark/>
          </w:tcPr>
          <w:p w14:paraId="65AC9DB9"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2.7%</w:t>
            </w:r>
          </w:p>
        </w:tc>
        <w:tc>
          <w:tcPr>
            <w:tcW w:w="1139" w:type="dxa"/>
            <w:tcBorders>
              <w:top w:val="nil"/>
              <w:left w:val="nil"/>
              <w:bottom w:val="single" w:sz="4" w:space="0" w:color="auto"/>
              <w:right w:val="nil"/>
            </w:tcBorders>
            <w:shd w:val="clear" w:color="auto" w:fill="auto"/>
            <w:noWrap/>
            <w:vAlign w:val="center"/>
            <w:hideMark/>
          </w:tcPr>
          <w:p w14:paraId="2A2B9F7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2.6%</w:t>
            </w:r>
          </w:p>
        </w:tc>
        <w:tc>
          <w:tcPr>
            <w:tcW w:w="1139" w:type="dxa"/>
            <w:tcBorders>
              <w:top w:val="nil"/>
              <w:left w:val="nil"/>
              <w:bottom w:val="single" w:sz="4" w:space="0" w:color="auto"/>
              <w:right w:val="nil"/>
            </w:tcBorders>
            <w:shd w:val="clear" w:color="auto" w:fill="auto"/>
            <w:noWrap/>
            <w:vAlign w:val="center"/>
            <w:hideMark/>
          </w:tcPr>
          <w:p w14:paraId="6692841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3.5%</w:t>
            </w:r>
          </w:p>
        </w:tc>
        <w:tc>
          <w:tcPr>
            <w:tcW w:w="1140" w:type="dxa"/>
            <w:tcBorders>
              <w:top w:val="nil"/>
              <w:left w:val="nil"/>
              <w:bottom w:val="single" w:sz="4" w:space="0" w:color="auto"/>
              <w:right w:val="single" w:sz="4" w:space="0" w:color="auto"/>
            </w:tcBorders>
            <w:shd w:val="clear" w:color="auto" w:fill="auto"/>
            <w:noWrap/>
            <w:vAlign w:val="center"/>
            <w:hideMark/>
          </w:tcPr>
          <w:p w14:paraId="1DE1F545"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3.8%</w:t>
            </w:r>
          </w:p>
        </w:tc>
      </w:tr>
      <w:tr w:rsidR="00B042DF" w:rsidRPr="007F6332" w14:paraId="623D385F"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721E3B77"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30 June 2018 AFSR projection</w:t>
            </w:r>
          </w:p>
        </w:tc>
        <w:tc>
          <w:tcPr>
            <w:tcW w:w="1139" w:type="dxa"/>
            <w:tcBorders>
              <w:top w:val="nil"/>
              <w:left w:val="nil"/>
              <w:bottom w:val="single" w:sz="4" w:space="0" w:color="auto"/>
              <w:right w:val="nil"/>
            </w:tcBorders>
            <w:shd w:val="clear" w:color="000000" w:fill="FFE699"/>
            <w:noWrap/>
            <w:vAlign w:val="center"/>
            <w:hideMark/>
          </w:tcPr>
          <w:p w14:paraId="0CDC41D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-0.1%</w:t>
            </w:r>
          </w:p>
        </w:tc>
        <w:tc>
          <w:tcPr>
            <w:tcW w:w="1139" w:type="dxa"/>
            <w:tcBorders>
              <w:top w:val="nil"/>
              <w:left w:val="nil"/>
              <w:bottom w:val="single" w:sz="4" w:space="0" w:color="auto"/>
              <w:right w:val="nil"/>
            </w:tcBorders>
            <w:shd w:val="clear" w:color="auto" w:fill="auto"/>
            <w:noWrap/>
            <w:vAlign w:val="center"/>
            <w:hideMark/>
          </w:tcPr>
          <w:p w14:paraId="78D5980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17.3%</w:t>
            </w:r>
          </w:p>
        </w:tc>
        <w:tc>
          <w:tcPr>
            <w:tcW w:w="1140" w:type="dxa"/>
            <w:tcBorders>
              <w:top w:val="nil"/>
              <w:left w:val="nil"/>
              <w:bottom w:val="single" w:sz="4" w:space="0" w:color="auto"/>
              <w:right w:val="nil"/>
            </w:tcBorders>
            <w:shd w:val="clear" w:color="auto" w:fill="auto"/>
            <w:noWrap/>
            <w:vAlign w:val="center"/>
            <w:hideMark/>
          </w:tcPr>
          <w:p w14:paraId="35376CF0"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8.8%</w:t>
            </w:r>
          </w:p>
        </w:tc>
        <w:tc>
          <w:tcPr>
            <w:tcW w:w="1139" w:type="dxa"/>
            <w:tcBorders>
              <w:top w:val="nil"/>
              <w:left w:val="nil"/>
              <w:bottom w:val="single" w:sz="4" w:space="0" w:color="auto"/>
              <w:right w:val="single" w:sz="4" w:space="0" w:color="auto"/>
            </w:tcBorders>
            <w:shd w:val="clear" w:color="auto" w:fill="auto"/>
            <w:noWrap/>
            <w:vAlign w:val="center"/>
            <w:hideMark/>
          </w:tcPr>
          <w:p w14:paraId="2A5B05D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5.8%</w:t>
            </w:r>
          </w:p>
        </w:tc>
        <w:tc>
          <w:tcPr>
            <w:tcW w:w="1139" w:type="dxa"/>
            <w:tcBorders>
              <w:top w:val="nil"/>
              <w:left w:val="nil"/>
              <w:bottom w:val="single" w:sz="4" w:space="0" w:color="auto"/>
              <w:right w:val="single" w:sz="4" w:space="0" w:color="auto"/>
            </w:tcBorders>
            <w:shd w:val="clear" w:color="auto" w:fill="auto"/>
            <w:noWrap/>
            <w:vAlign w:val="center"/>
            <w:hideMark/>
          </w:tcPr>
          <w:p w14:paraId="00FBA3A2"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5.2%</w:t>
            </w:r>
          </w:p>
        </w:tc>
        <w:tc>
          <w:tcPr>
            <w:tcW w:w="1140" w:type="dxa"/>
            <w:tcBorders>
              <w:top w:val="nil"/>
              <w:left w:val="nil"/>
              <w:bottom w:val="single" w:sz="4" w:space="0" w:color="auto"/>
              <w:right w:val="nil"/>
            </w:tcBorders>
            <w:shd w:val="clear" w:color="auto" w:fill="auto"/>
            <w:noWrap/>
            <w:vAlign w:val="center"/>
            <w:hideMark/>
          </w:tcPr>
          <w:p w14:paraId="50C13CDE"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5.0%</w:t>
            </w:r>
          </w:p>
        </w:tc>
        <w:tc>
          <w:tcPr>
            <w:tcW w:w="1139" w:type="dxa"/>
            <w:tcBorders>
              <w:top w:val="nil"/>
              <w:left w:val="nil"/>
              <w:bottom w:val="single" w:sz="4" w:space="0" w:color="auto"/>
              <w:right w:val="nil"/>
            </w:tcBorders>
            <w:shd w:val="clear" w:color="auto" w:fill="auto"/>
            <w:noWrap/>
            <w:vAlign w:val="center"/>
            <w:hideMark/>
          </w:tcPr>
          <w:p w14:paraId="2048E146"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3.1%</w:t>
            </w:r>
          </w:p>
        </w:tc>
        <w:tc>
          <w:tcPr>
            <w:tcW w:w="1139" w:type="dxa"/>
            <w:tcBorders>
              <w:top w:val="nil"/>
              <w:left w:val="nil"/>
              <w:bottom w:val="single" w:sz="4" w:space="0" w:color="auto"/>
              <w:right w:val="nil"/>
            </w:tcBorders>
            <w:shd w:val="clear" w:color="auto" w:fill="auto"/>
            <w:noWrap/>
            <w:vAlign w:val="center"/>
            <w:hideMark/>
          </w:tcPr>
          <w:p w14:paraId="26F70A74"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3.2%</w:t>
            </w:r>
          </w:p>
        </w:tc>
        <w:tc>
          <w:tcPr>
            <w:tcW w:w="1140" w:type="dxa"/>
            <w:tcBorders>
              <w:top w:val="nil"/>
              <w:left w:val="nil"/>
              <w:bottom w:val="single" w:sz="4" w:space="0" w:color="auto"/>
              <w:right w:val="single" w:sz="4" w:space="0" w:color="auto"/>
            </w:tcBorders>
            <w:shd w:val="clear" w:color="auto" w:fill="auto"/>
            <w:noWrap/>
            <w:vAlign w:val="center"/>
            <w:hideMark/>
          </w:tcPr>
          <w:p w14:paraId="6E58DDA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3.3%</w:t>
            </w:r>
          </w:p>
        </w:tc>
      </w:tr>
      <w:tr w:rsidR="00990356" w:rsidRPr="007F6332" w14:paraId="3A3B1514" w14:textId="77777777" w:rsidTr="00C1755E">
        <w:trPr>
          <w:trHeight w:val="329"/>
        </w:trPr>
        <w:tc>
          <w:tcPr>
            <w:tcW w:w="3921" w:type="dxa"/>
            <w:tcBorders>
              <w:top w:val="nil"/>
              <w:left w:val="single" w:sz="4" w:space="0" w:color="auto"/>
              <w:bottom w:val="single" w:sz="4" w:space="0" w:color="auto"/>
              <w:right w:val="single" w:sz="4" w:space="0" w:color="auto"/>
            </w:tcBorders>
            <w:shd w:val="clear" w:color="auto" w:fill="auto"/>
            <w:noWrap/>
            <w:vAlign w:val="center"/>
            <w:hideMark/>
          </w:tcPr>
          <w:p w14:paraId="61A87E89" w14:textId="77777777" w:rsidR="00B042DF" w:rsidRPr="007F6332" w:rsidRDefault="00B042DF" w:rsidP="00D8325F">
            <w:pPr>
              <w:spacing w:after="0" w:line="240" w:lineRule="auto"/>
              <w:rPr>
                <w:rFonts w:eastAsia="Times New Roman" w:cs="Arial"/>
                <w:color w:val="000000"/>
                <w:sz w:val="15"/>
                <w:szCs w:val="15"/>
                <w:lang w:eastAsia="en-AU"/>
              </w:rPr>
            </w:pPr>
            <w:r w:rsidRPr="007F6332">
              <w:rPr>
                <w:rFonts w:eastAsia="Times New Roman" w:cs="Arial"/>
                <w:color w:val="000000"/>
                <w:sz w:val="15"/>
                <w:szCs w:val="15"/>
                <w:lang w:eastAsia="en-AU"/>
              </w:rPr>
              <w:t>Actual experience as at 30 June</w:t>
            </w:r>
          </w:p>
        </w:tc>
        <w:tc>
          <w:tcPr>
            <w:tcW w:w="1139" w:type="dxa"/>
            <w:tcBorders>
              <w:top w:val="nil"/>
              <w:left w:val="nil"/>
              <w:bottom w:val="single" w:sz="4" w:space="0" w:color="auto"/>
              <w:right w:val="nil"/>
            </w:tcBorders>
            <w:shd w:val="clear" w:color="000000" w:fill="FFE699"/>
            <w:noWrap/>
            <w:vAlign w:val="center"/>
            <w:hideMark/>
          </w:tcPr>
          <w:p w14:paraId="180B286F"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9.2%</w:t>
            </w:r>
          </w:p>
        </w:tc>
        <w:tc>
          <w:tcPr>
            <w:tcW w:w="1139" w:type="dxa"/>
            <w:tcBorders>
              <w:top w:val="nil"/>
              <w:left w:val="nil"/>
              <w:bottom w:val="single" w:sz="4" w:space="0" w:color="auto"/>
              <w:right w:val="nil"/>
            </w:tcBorders>
            <w:shd w:val="clear" w:color="000000" w:fill="FFE699"/>
            <w:noWrap/>
            <w:vAlign w:val="center"/>
            <w:hideMark/>
          </w:tcPr>
          <w:p w14:paraId="7F1AFBEB"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19.7%</w:t>
            </w:r>
          </w:p>
        </w:tc>
        <w:tc>
          <w:tcPr>
            <w:tcW w:w="1140" w:type="dxa"/>
            <w:tcBorders>
              <w:top w:val="nil"/>
              <w:left w:val="nil"/>
              <w:bottom w:val="single" w:sz="4" w:space="0" w:color="auto"/>
              <w:right w:val="nil"/>
            </w:tcBorders>
            <w:shd w:val="clear" w:color="000000" w:fill="FFE699"/>
            <w:noWrap/>
            <w:vAlign w:val="center"/>
            <w:hideMark/>
          </w:tcPr>
          <w:p w14:paraId="493F5F28"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6.9%</w:t>
            </w:r>
          </w:p>
        </w:tc>
        <w:tc>
          <w:tcPr>
            <w:tcW w:w="1139" w:type="dxa"/>
            <w:tcBorders>
              <w:top w:val="nil"/>
              <w:left w:val="nil"/>
              <w:bottom w:val="single" w:sz="4" w:space="0" w:color="auto"/>
              <w:right w:val="single" w:sz="4" w:space="0" w:color="auto"/>
            </w:tcBorders>
            <w:shd w:val="clear" w:color="000000" w:fill="FFE699"/>
            <w:noWrap/>
            <w:vAlign w:val="center"/>
            <w:hideMark/>
          </w:tcPr>
          <w:p w14:paraId="1F3253E1"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1.6%</w:t>
            </w:r>
          </w:p>
        </w:tc>
        <w:tc>
          <w:tcPr>
            <w:tcW w:w="1139" w:type="dxa"/>
            <w:tcBorders>
              <w:top w:val="nil"/>
              <w:left w:val="nil"/>
              <w:bottom w:val="single" w:sz="4" w:space="0" w:color="auto"/>
              <w:right w:val="single" w:sz="4" w:space="0" w:color="auto"/>
            </w:tcBorders>
            <w:shd w:val="clear" w:color="000000" w:fill="FFE699"/>
            <w:noWrap/>
            <w:vAlign w:val="center"/>
            <w:hideMark/>
          </w:tcPr>
          <w:p w14:paraId="68C8AA1D" w14:textId="77777777" w:rsidR="00B042DF" w:rsidRPr="007F6332" w:rsidRDefault="00B042DF" w:rsidP="00D8325F">
            <w:pPr>
              <w:spacing w:after="0" w:line="240" w:lineRule="auto"/>
              <w:jc w:val="center"/>
              <w:rPr>
                <w:rFonts w:eastAsia="Times New Roman" w:cs="Arial"/>
                <w:color w:val="000000"/>
                <w:sz w:val="15"/>
                <w:szCs w:val="15"/>
                <w:lang w:eastAsia="en-AU"/>
              </w:rPr>
            </w:pPr>
            <w:r w:rsidRPr="007F6332">
              <w:rPr>
                <w:rFonts w:eastAsia="Times New Roman" w:cs="Arial"/>
                <w:color w:val="000000"/>
                <w:sz w:val="15"/>
                <w:szCs w:val="15"/>
                <w:lang w:eastAsia="en-AU"/>
              </w:rPr>
              <w:t>9.9%</w:t>
            </w:r>
          </w:p>
        </w:tc>
        <w:tc>
          <w:tcPr>
            <w:tcW w:w="1140" w:type="dxa"/>
            <w:tcBorders>
              <w:top w:val="nil"/>
              <w:left w:val="nil"/>
              <w:bottom w:val="single" w:sz="4" w:space="0" w:color="auto"/>
              <w:right w:val="nil"/>
            </w:tcBorders>
            <w:shd w:val="clear" w:color="000000" w:fill="BFBFBF"/>
            <w:noWrap/>
            <w:vAlign w:val="center"/>
            <w:hideMark/>
          </w:tcPr>
          <w:p w14:paraId="75331065"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4308E82E"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139" w:type="dxa"/>
            <w:tcBorders>
              <w:top w:val="nil"/>
              <w:left w:val="nil"/>
              <w:bottom w:val="single" w:sz="4" w:space="0" w:color="auto"/>
              <w:right w:val="nil"/>
            </w:tcBorders>
            <w:shd w:val="clear" w:color="000000" w:fill="BFBFBF"/>
            <w:noWrap/>
            <w:vAlign w:val="center"/>
            <w:hideMark/>
          </w:tcPr>
          <w:p w14:paraId="47BFFF5B"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c>
          <w:tcPr>
            <w:tcW w:w="1140" w:type="dxa"/>
            <w:tcBorders>
              <w:top w:val="nil"/>
              <w:left w:val="nil"/>
              <w:bottom w:val="single" w:sz="4" w:space="0" w:color="auto"/>
              <w:right w:val="single" w:sz="4" w:space="0" w:color="auto"/>
            </w:tcBorders>
            <w:shd w:val="clear" w:color="000000" w:fill="BFBFBF"/>
            <w:noWrap/>
            <w:vAlign w:val="center"/>
            <w:hideMark/>
          </w:tcPr>
          <w:p w14:paraId="2BB42D50" w14:textId="77777777" w:rsidR="00B042DF" w:rsidRPr="007F6332" w:rsidRDefault="00B042DF" w:rsidP="00D8325F">
            <w:pPr>
              <w:spacing w:after="0" w:line="240" w:lineRule="auto"/>
              <w:jc w:val="center"/>
              <w:rPr>
                <w:rFonts w:eastAsia="Times New Roman" w:cs="Arial"/>
                <w:i/>
                <w:iCs/>
                <w:color w:val="000000"/>
                <w:sz w:val="15"/>
                <w:szCs w:val="15"/>
                <w:lang w:eastAsia="en-AU"/>
              </w:rPr>
            </w:pPr>
            <w:r w:rsidRPr="007F6332">
              <w:rPr>
                <w:rFonts w:eastAsia="Times New Roman" w:cs="Arial"/>
                <w:i/>
                <w:iCs/>
                <w:color w:val="000000"/>
                <w:sz w:val="15"/>
                <w:szCs w:val="15"/>
                <w:lang w:eastAsia="en-AU"/>
              </w:rPr>
              <w:t> </w:t>
            </w:r>
          </w:p>
        </w:tc>
      </w:tr>
    </w:tbl>
    <w:p w14:paraId="0A910225" w14:textId="39C9F600" w:rsidR="00A83786" w:rsidRPr="007F6332" w:rsidRDefault="00B042DF" w:rsidP="0032159E">
      <w:pPr>
        <w:pStyle w:val="FSRnormal"/>
        <w:rPr>
          <w:rFonts w:cs="Arial"/>
        </w:rPr>
      </w:pPr>
      <w:r w:rsidRPr="007F6332">
        <w:rPr>
          <w:rFonts w:cs="Arial"/>
        </w:rPr>
        <w:t xml:space="preserve">As noted </w:t>
      </w:r>
      <w:r w:rsidR="00707140" w:rsidRPr="007F6332">
        <w:rPr>
          <w:rFonts w:cs="Arial"/>
        </w:rPr>
        <w:t>in Table 6.1</w:t>
      </w:r>
      <w:r w:rsidR="00AE3366" w:rsidRPr="007F6332">
        <w:rPr>
          <w:rFonts w:cs="Arial"/>
        </w:rPr>
        <w:t>6</w:t>
      </w:r>
      <w:r w:rsidRPr="007F6332">
        <w:rPr>
          <w:rFonts w:cs="Arial"/>
        </w:rPr>
        <w:t xml:space="preserve">, the AFSR projection is not an extrapolation of past trends. Instead, assumptions have been set using a forward-looking approach. Hence, there is a high degree of uncertainty in the projection. </w:t>
      </w:r>
    </w:p>
    <w:p w14:paraId="50E9CFF4" w14:textId="77777777" w:rsidR="0032159E" w:rsidRPr="007F6332" w:rsidRDefault="0032159E" w:rsidP="0032159E">
      <w:pPr>
        <w:pStyle w:val="FSRnormal"/>
        <w:rPr>
          <w:rFonts w:cs="Arial"/>
        </w:rPr>
      </w:pPr>
    </w:p>
    <w:p w14:paraId="2B8009D3" w14:textId="77777777" w:rsidR="0032159E" w:rsidRPr="007F6332" w:rsidRDefault="0032159E" w:rsidP="0032159E">
      <w:pPr>
        <w:pStyle w:val="FSRnormal"/>
        <w:rPr>
          <w:rFonts w:cs="Arial"/>
        </w:rPr>
      </w:pPr>
    </w:p>
    <w:p w14:paraId="09B031D1" w14:textId="77777777" w:rsidR="0032159E" w:rsidRPr="007F6332" w:rsidRDefault="0032159E" w:rsidP="0032159E">
      <w:pPr>
        <w:pStyle w:val="FSRnormal"/>
        <w:rPr>
          <w:rFonts w:cs="Arial"/>
        </w:rPr>
        <w:sectPr w:rsidR="0032159E" w:rsidRPr="007F6332" w:rsidSect="00CE7E91">
          <w:headerReference w:type="default" r:id="rId100"/>
          <w:footerReference w:type="default" r:id="rId101"/>
          <w:pgSz w:w="16838" w:h="11906" w:orient="landscape"/>
          <w:pgMar w:top="1440" w:right="1440" w:bottom="1440" w:left="1440" w:header="708" w:footer="850" w:gutter="0"/>
          <w:cols w:space="708"/>
          <w:docGrid w:linePitch="360"/>
        </w:sectPr>
      </w:pPr>
    </w:p>
    <w:p w14:paraId="617F4016" w14:textId="69CA6CCC" w:rsidR="007366F2" w:rsidRPr="007F6332" w:rsidRDefault="007366F2" w:rsidP="00E81C0D">
      <w:pPr>
        <w:pStyle w:val="Heading2"/>
        <w:ind w:left="709" w:hanging="709"/>
        <w:rPr>
          <w:rFonts w:cs="Arial"/>
        </w:rPr>
      </w:pPr>
      <w:bookmarkStart w:id="217" w:name="_Toc83220858"/>
      <w:bookmarkStart w:id="218" w:name="_Toc85031269"/>
      <w:bookmarkStart w:id="219" w:name="_Toc146286171"/>
      <w:bookmarkStart w:id="220" w:name="_Toc152614998"/>
      <w:bookmarkStart w:id="221" w:name="_Toc146286172"/>
      <w:r w:rsidRPr="007F6332">
        <w:rPr>
          <w:rFonts w:cs="Arial"/>
        </w:rPr>
        <w:lastRenderedPageBreak/>
        <w:t>Participant outcomes</w:t>
      </w:r>
      <w:bookmarkEnd w:id="217"/>
      <w:bookmarkEnd w:id="218"/>
      <w:r w:rsidRPr="007F6332">
        <w:rPr>
          <w:rFonts w:cs="Arial"/>
        </w:rPr>
        <w:t xml:space="preserve"> and investment effectiveness</w:t>
      </w:r>
      <w:bookmarkEnd w:id="219"/>
      <w:bookmarkEnd w:id="220"/>
    </w:p>
    <w:p w14:paraId="780BF1DF" w14:textId="373759DD" w:rsidR="00A83786" w:rsidRPr="007F6332" w:rsidRDefault="00A83786" w:rsidP="00E81C0D">
      <w:pPr>
        <w:pStyle w:val="Heading3"/>
        <w:ind w:left="709" w:hanging="709"/>
        <w:rPr>
          <w:rFonts w:cs="Arial"/>
        </w:rPr>
      </w:pPr>
      <w:bookmarkStart w:id="222" w:name="_Toc152614999"/>
      <w:r w:rsidRPr="007F6332">
        <w:rPr>
          <w:rFonts w:cs="Arial"/>
        </w:rPr>
        <w:t>Outcomes and financial sustainability</w:t>
      </w:r>
      <w:bookmarkEnd w:id="221"/>
      <w:bookmarkEnd w:id="222"/>
    </w:p>
    <w:p w14:paraId="7D4AED32" w14:textId="77777777" w:rsidR="00A83786" w:rsidRPr="007F6332" w:rsidRDefault="00A83786" w:rsidP="00A83786">
      <w:pPr>
        <w:pStyle w:val="FSRnormal"/>
        <w:rPr>
          <w:rFonts w:cs="Arial"/>
        </w:rPr>
      </w:pPr>
      <w:r w:rsidRPr="007F6332">
        <w:rPr>
          <w:rFonts w:cs="Arial"/>
        </w:rPr>
        <w:t>Any assessment of Scheme financial sustainability needs to consider not only the costs of participant funding but also the extent to which this funding enables participants to achieve their goals and outcomes.</w:t>
      </w:r>
    </w:p>
    <w:p w14:paraId="3E7A9AAA" w14:textId="77777777" w:rsidR="00A83786" w:rsidRPr="007F6332" w:rsidRDefault="00A83786" w:rsidP="00A83786">
      <w:pPr>
        <w:pStyle w:val="FSRnormal"/>
        <w:rPr>
          <w:rFonts w:cs="Arial"/>
        </w:rPr>
      </w:pPr>
      <w:r w:rsidRPr="007F6332">
        <w:rPr>
          <w:rFonts w:cs="Arial"/>
        </w:rPr>
        <w:t>Underscoring the insurance-based principles upon which the Scheme rests, the National Disability Insurance Scheme Act 2013</w:t>
      </w:r>
      <w:r w:rsidRPr="007F6332">
        <w:rPr>
          <w:rStyle w:val="FootnoteReference"/>
          <w:rFonts w:cs="Arial"/>
        </w:rPr>
        <w:footnoteReference w:id="125"/>
      </w:r>
      <w:r w:rsidRPr="007F6332">
        <w:rPr>
          <w:rFonts w:cs="Arial"/>
        </w:rPr>
        <w:t xml:space="preserve"> (the NDIS Act) specifies that reasonable and necessary supports for people with disability should:</w:t>
      </w:r>
    </w:p>
    <w:p w14:paraId="008C3D36" w14:textId="77777777" w:rsidR="00A83786" w:rsidRPr="007F6332" w:rsidRDefault="00A83786" w:rsidP="00110394">
      <w:pPr>
        <w:pStyle w:val="LetterBulletList"/>
      </w:pPr>
      <w:r w:rsidRPr="007F6332">
        <w:t>Support people with disability to pursue their goals and maximise their independence.</w:t>
      </w:r>
    </w:p>
    <w:p w14:paraId="1F14DEBE" w14:textId="77777777" w:rsidR="00A83786" w:rsidRPr="007F6332" w:rsidRDefault="00A83786" w:rsidP="00110394">
      <w:pPr>
        <w:pStyle w:val="LetterBulletList"/>
      </w:pPr>
      <w:r w:rsidRPr="007F6332">
        <w:t>Support people with disability to live independently and to be included in the community as fully participating citizens.</w:t>
      </w:r>
    </w:p>
    <w:p w14:paraId="7EB1D33F" w14:textId="77777777" w:rsidR="00A83786" w:rsidRPr="007F6332" w:rsidRDefault="00A83786" w:rsidP="00110394">
      <w:pPr>
        <w:pStyle w:val="LetterBulletList"/>
      </w:pPr>
      <w:r w:rsidRPr="007F6332">
        <w:t>Develop and support the capacity of people with disability to undertake activities that enable them to participate in the community and in employment.</w:t>
      </w:r>
      <w:r w:rsidRPr="007F6332">
        <w:rPr>
          <w:rStyle w:val="FootnoteReference"/>
        </w:rPr>
        <w:footnoteReference w:id="126"/>
      </w:r>
    </w:p>
    <w:p w14:paraId="07021462" w14:textId="77777777" w:rsidR="00A83786" w:rsidRPr="007F6332" w:rsidRDefault="00A83786" w:rsidP="00A83786">
      <w:pPr>
        <w:pStyle w:val="FSRnormal"/>
        <w:rPr>
          <w:rFonts w:cs="Arial"/>
        </w:rPr>
      </w:pPr>
      <w:r w:rsidRPr="007F6332">
        <w:rPr>
          <w:rFonts w:cs="Arial"/>
        </w:rPr>
        <w:t>Hence, the NDIA has a responsibility to measure how participant funding impacts the achievement of outcomes related to maximising independence and inclusion in the community, including employment. This includes consideration of both amount and type of funding, for example, the types of supports that lead to good outcomes for participants.</w:t>
      </w:r>
    </w:p>
    <w:p w14:paraId="75D4B277" w14:textId="77777777" w:rsidR="00A83786" w:rsidRPr="007F6332" w:rsidRDefault="00A83786" w:rsidP="00A83786">
      <w:pPr>
        <w:pStyle w:val="FSRnormal"/>
        <w:rPr>
          <w:rFonts w:cs="Arial"/>
        </w:rPr>
      </w:pPr>
      <w:r w:rsidRPr="007F6332">
        <w:rPr>
          <w:rFonts w:cs="Arial"/>
        </w:rPr>
        <w:t xml:space="preserve">In turn, analysis of how funded supports change in response to outcomes contributes to effective monitoring of Scheme financial sustainability. For example, achieving increased independence should lead to a decrease in funded core supports over time. </w:t>
      </w:r>
    </w:p>
    <w:p w14:paraId="7BCF6847" w14:textId="77777777" w:rsidR="00A83786" w:rsidRPr="007F6332" w:rsidRDefault="00A83786" w:rsidP="00A83786">
      <w:pPr>
        <w:pStyle w:val="FSRnormal"/>
        <w:rPr>
          <w:rFonts w:cs="Arial"/>
        </w:rPr>
      </w:pPr>
      <w:r w:rsidRPr="007F6332">
        <w:rPr>
          <w:rFonts w:cs="Arial"/>
        </w:rPr>
        <w:t>As the cost of the Scheme increases, it becomes increasingly important for the Agency to demonstrate how the Scheme is successfully building the capacity of participants to increase their independence and economic and social participation. A positive perception of the Scheme by the general public, who contribute through taxation, needs to be maintained to ensure their ongoing support. A positive benefit-cost analysis, where there is evidence of marginal gains being achieved with the funding, will help to demonstrate the success of, and engender trust in, the Scheme.</w:t>
      </w:r>
    </w:p>
    <w:p w14:paraId="5EE05F1B" w14:textId="77777777" w:rsidR="00A83786" w:rsidRPr="007F6332" w:rsidRDefault="00A83786" w:rsidP="00A83786">
      <w:pPr>
        <w:pStyle w:val="FSRnormal"/>
        <w:rPr>
          <w:rFonts w:cs="Arial"/>
        </w:rPr>
      </w:pPr>
      <w:r w:rsidRPr="007F6332">
        <w:rPr>
          <w:rFonts w:cs="Arial"/>
        </w:rPr>
        <w:t xml:space="preserve">Ideally, this benefit-cost analysis should have wider scope than just the NDIS. The NDIS is expected to benefit the broader Australian economy, for example through increased participation in work for people with disability and their families and carers (with consequent reduction in government income support), reduced hospitalisations through improved </w:t>
      </w:r>
      <w:r w:rsidRPr="007F6332">
        <w:rPr>
          <w:rFonts w:cs="Arial"/>
        </w:rPr>
        <w:lastRenderedPageBreak/>
        <w:t>support in the community, and reduced involvement with the justice system through improved community connections and health and wellbeing outcomes.</w:t>
      </w:r>
    </w:p>
    <w:p w14:paraId="60AD7DA0" w14:textId="77777777" w:rsidR="00A83786" w:rsidRPr="007F6332" w:rsidRDefault="00A83786" w:rsidP="00A83786">
      <w:pPr>
        <w:pStyle w:val="FSRnormal"/>
        <w:rPr>
          <w:rFonts w:cs="Arial"/>
        </w:rPr>
      </w:pPr>
      <w:r w:rsidRPr="007F6332">
        <w:rPr>
          <w:rFonts w:cs="Arial"/>
        </w:rPr>
        <w:t>Hence, measurement of outcomes and costs, both to the NDIS and other mainstream service systems, is critical in understanding the success of the NDIS and is a legislative requirement.</w:t>
      </w:r>
      <w:r w:rsidRPr="007F6332">
        <w:rPr>
          <w:rFonts w:cs="Arial"/>
          <w:vertAlign w:val="superscript"/>
        </w:rPr>
        <w:footnoteReference w:id="127"/>
      </w:r>
      <w:r w:rsidRPr="007F6332">
        <w:rPr>
          <w:rFonts w:cs="Arial"/>
        </w:rPr>
        <w:t xml:space="preserve"> </w:t>
      </w:r>
    </w:p>
    <w:p w14:paraId="7AB955C3" w14:textId="77777777" w:rsidR="00A83786" w:rsidRPr="007F6332" w:rsidRDefault="00A83786" w:rsidP="00EF79DA">
      <w:pPr>
        <w:pStyle w:val="Heading4"/>
        <w:ind w:left="851" w:hanging="851"/>
        <w:rPr>
          <w:rFonts w:cs="Arial"/>
        </w:rPr>
      </w:pPr>
      <w:r w:rsidRPr="007F6332">
        <w:rPr>
          <w:rFonts w:cs="Arial"/>
        </w:rPr>
        <w:t>Outcomes and the IEP</w:t>
      </w:r>
    </w:p>
    <w:p w14:paraId="331C1699" w14:textId="77777777" w:rsidR="00A83786" w:rsidRPr="007F6332" w:rsidRDefault="00A83786" w:rsidP="00A83786">
      <w:pPr>
        <w:pStyle w:val="FSRnormal"/>
        <w:rPr>
          <w:rFonts w:cs="Arial"/>
        </w:rPr>
      </w:pPr>
      <w:r w:rsidRPr="007F6332">
        <w:rPr>
          <w:rFonts w:cs="Arial"/>
        </w:rPr>
        <w:t>As discussed in section 8 of this report, the Investment Effectiveness Program (IEP) will formally examine the causal link</w:t>
      </w:r>
      <w:r w:rsidRPr="007F6332">
        <w:rPr>
          <w:rStyle w:val="FootnoteReference"/>
          <w:rFonts w:cs="Arial"/>
        </w:rPr>
        <w:footnoteReference w:id="128"/>
      </w:r>
      <w:r w:rsidRPr="007F6332">
        <w:rPr>
          <w:rFonts w:cs="Arial"/>
        </w:rPr>
        <w:t xml:space="preserve"> between expenditure and outcomes. It will build on previous work undertaken to link outcomes and funding</w:t>
      </w:r>
      <w:r w:rsidRPr="007F6332">
        <w:rPr>
          <w:rStyle w:val="FootnoteReference"/>
          <w:rFonts w:cs="Arial"/>
        </w:rPr>
        <w:footnoteReference w:id="129"/>
      </w:r>
      <w:r w:rsidRPr="007F6332">
        <w:rPr>
          <w:rFonts w:cs="Arial"/>
        </w:rPr>
        <w:t>, and provide a framework for examining the benefit-cost questions outlined above. The longitudinal data collected on outcomes will be a key input to the IEP.</w:t>
      </w:r>
    </w:p>
    <w:p w14:paraId="579BAFB1" w14:textId="77777777" w:rsidR="00A83786" w:rsidRPr="007F6332" w:rsidRDefault="00A83786" w:rsidP="00EF79DA">
      <w:pPr>
        <w:pStyle w:val="Heading4"/>
        <w:ind w:left="851" w:hanging="851"/>
        <w:rPr>
          <w:rFonts w:cs="Arial"/>
        </w:rPr>
      </w:pPr>
      <w:r w:rsidRPr="007F6332">
        <w:rPr>
          <w:rFonts w:cs="Arial"/>
        </w:rPr>
        <w:t>Families and carers</w:t>
      </w:r>
    </w:p>
    <w:p w14:paraId="0AAFF76A" w14:textId="77777777" w:rsidR="00A83786" w:rsidRPr="007F6332" w:rsidRDefault="00A83786" w:rsidP="00A83786">
      <w:pPr>
        <w:pStyle w:val="FSRnormal"/>
        <w:rPr>
          <w:rFonts w:cs="Arial"/>
        </w:rPr>
      </w:pPr>
      <w:r w:rsidRPr="007F6332">
        <w:rPr>
          <w:rFonts w:cs="Arial"/>
        </w:rPr>
        <w:t>Families and carers play an important role in supporting NDIS participants. Improved outcomes for participants under the NDIS can be expected to facilitate this role, leading to improved outcomes for families and carers also, such as increased employment.</w:t>
      </w:r>
    </w:p>
    <w:p w14:paraId="1BB35662" w14:textId="77777777" w:rsidR="00A83786" w:rsidRPr="007F6332" w:rsidRDefault="00A83786" w:rsidP="00A83786">
      <w:pPr>
        <w:pStyle w:val="FSRnormal"/>
        <w:rPr>
          <w:rFonts w:cs="Arial"/>
        </w:rPr>
      </w:pPr>
      <w:r w:rsidRPr="007F6332">
        <w:rPr>
          <w:rFonts w:cs="Arial"/>
        </w:rPr>
        <w:t>The NDIS Act also acknowledges the role of families and carers in participants’ lives:</w:t>
      </w:r>
    </w:p>
    <w:p w14:paraId="4A059BE8" w14:textId="77777777" w:rsidR="00A83786" w:rsidRPr="007F6332" w:rsidRDefault="00A83786" w:rsidP="00110394">
      <w:pPr>
        <w:pStyle w:val="tablelistbullet"/>
      </w:pPr>
      <w:r w:rsidRPr="007F6332">
        <w:t>The role of families, carers and other significant persons in the lives of people with disability is to be acknowledged and respected.</w:t>
      </w:r>
    </w:p>
    <w:p w14:paraId="543AF6DC" w14:textId="77777777" w:rsidR="00A83786" w:rsidRPr="007F6332" w:rsidRDefault="00A83786" w:rsidP="00110394">
      <w:pPr>
        <w:pStyle w:val="tablelistbullet"/>
      </w:pPr>
      <w:r w:rsidRPr="007F6332">
        <w:t>The relationship between people with disability and their families and carers is to be recognised and respected.</w:t>
      </w:r>
      <w:r w:rsidRPr="007F6332">
        <w:rPr>
          <w:rStyle w:val="FootnoteReference"/>
          <w:rFonts w:cs="Arial"/>
          <w:color w:val="000000"/>
          <w:szCs w:val="22"/>
        </w:rPr>
        <w:footnoteReference w:id="130"/>
      </w:r>
    </w:p>
    <w:p w14:paraId="751D3F1E" w14:textId="77777777" w:rsidR="00A83786" w:rsidRPr="007F6332" w:rsidRDefault="00A83786" w:rsidP="00E81C0D">
      <w:pPr>
        <w:pStyle w:val="Heading3"/>
        <w:ind w:left="709" w:hanging="709"/>
        <w:rPr>
          <w:rFonts w:cs="Arial"/>
        </w:rPr>
      </w:pPr>
      <w:bookmarkStart w:id="223" w:name="_Toc146286173"/>
      <w:bookmarkStart w:id="224" w:name="_Toc152615000"/>
      <w:r w:rsidRPr="007F6332">
        <w:rPr>
          <w:rFonts w:cs="Arial"/>
        </w:rPr>
        <w:t>The outcomes framework questionnaires</w:t>
      </w:r>
      <w:bookmarkEnd w:id="223"/>
      <w:bookmarkEnd w:id="224"/>
    </w:p>
    <w:p w14:paraId="7E0B62FF" w14:textId="77777777" w:rsidR="00A83786" w:rsidRPr="007F6332" w:rsidRDefault="00A83786" w:rsidP="00A83786">
      <w:pPr>
        <w:pStyle w:val="FSRnormal"/>
        <w:rPr>
          <w:rFonts w:cs="Arial"/>
        </w:rPr>
      </w:pPr>
      <w:r w:rsidRPr="007F6332">
        <w:rPr>
          <w:rFonts w:cs="Arial"/>
        </w:rPr>
        <w:t xml:space="preserve">The outcomes framework questionnaires collect information on how participants and their families and carers are progressing in different areas (domains) of their lives. </w:t>
      </w:r>
    </w:p>
    <w:p w14:paraId="15E1CFA5" w14:textId="77777777" w:rsidR="00A83786" w:rsidRPr="007F6332" w:rsidRDefault="00A83786" w:rsidP="00A83786">
      <w:pPr>
        <w:pStyle w:val="FSRnormal"/>
        <w:rPr>
          <w:rFonts w:cs="Arial"/>
        </w:rPr>
      </w:pPr>
      <w:r w:rsidRPr="007F6332">
        <w:rPr>
          <w:rFonts w:eastAsia="Calibri" w:cs="Arial"/>
        </w:rPr>
        <w:t xml:space="preserve">The questionnaires were developed to monitor individual and Scheme progress over time, and to benchmark (for example, to Australians without disability, and to other OECD countries). Longitudinal modelling of the data collected has also been used to investigate the </w:t>
      </w:r>
      <w:r w:rsidRPr="007F6332">
        <w:rPr>
          <w:rFonts w:eastAsia="Calibri" w:cs="Arial"/>
        </w:rPr>
        <w:lastRenderedPageBreak/>
        <w:t xml:space="preserve">link between outcomes and </w:t>
      </w:r>
      <w:r w:rsidRPr="007F6332">
        <w:rPr>
          <w:rFonts w:cs="Arial"/>
        </w:rPr>
        <w:t>risk factors, including socio-demographic factors, as well as the supports received by participants. As described above and in section 8, the IEP will build on this modelling work in an attempt to explain the causal link between supports (including individual, community and mainstream) and the achievement of outcomes.</w:t>
      </w:r>
    </w:p>
    <w:p w14:paraId="12E79BED" w14:textId="77777777" w:rsidR="00A83786" w:rsidRPr="007F6332" w:rsidRDefault="00A83786" w:rsidP="00EF79DA">
      <w:pPr>
        <w:pStyle w:val="Heading4"/>
        <w:ind w:left="851" w:hanging="851"/>
        <w:rPr>
          <w:rFonts w:cs="Arial"/>
        </w:rPr>
      </w:pPr>
      <w:r w:rsidRPr="007F6332">
        <w:rPr>
          <w:rFonts w:cs="Arial"/>
        </w:rPr>
        <w:t>Development</w:t>
      </w:r>
    </w:p>
    <w:p w14:paraId="5A55824D" w14:textId="77777777" w:rsidR="00A83786" w:rsidRPr="007F6332" w:rsidRDefault="00A83786" w:rsidP="00A83786">
      <w:pPr>
        <w:pStyle w:val="FSRnormal"/>
        <w:rPr>
          <w:rFonts w:cs="Arial"/>
        </w:rPr>
      </w:pPr>
      <w:r w:rsidRPr="007F6332">
        <w:rPr>
          <w:rFonts w:cs="Arial"/>
        </w:rPr>
        <w:t>Development of the questionnaires involved:</w:t>
      </w:r>
    </w:p>
    <w:p w14:paraId="1D74AE73" w14:textId="77777777" w:rsidR="00A83786" w:rsidRPr="007F6332" w:rsidRDefault="00A83786" w:rsidP="00C67606">
      <w:pPr>
        <w:pStyle w:val="tablelistbullet"/>
      </w:pPr>
      <w:r w:rsidRPr="007F6332">
        <w:t xml:space="preserve">A review of existing national and international frameworks. </w:t>
      </w:r>
    </w:p>
    <w:p w14:paraId="20552987" w14:textId="77777777" w:rsidR="00A83786" w:rsidRPr="007F6332" w:rsidRDefault="00A83786" w:rsidP="00C67606">
      <w:pPr>
        <w:pStyle w:val="tablelistbullet"/>
      </w:pPr>
      <w:r w:rsidRPr="007F6332">
        <w:t>A review of available population data against which to benchmark performance, including Australian Bureau of Statistics (ABS) surveys as well as other sources.</w:t>
      </w:r>
    </w:p>
    <w:p w14:paraId="7E26D8E9" w14:textId="77777777" w:rsidR="00A83786" w:rsidRPr="007F6332" w:rsidRDefault="00A83786" w:rsidP="00C67606">
      <w:pPr>
        <w:pStyle w:val="tablelistbullet"/>
      </w:pPr>
      <w:r w:rsidRPr="007F6332">
        <w:t>Consultation with a wide range of stakeholders, including the NDIA Independent Advisory Council (IAC), key stakeholder groups, disability researchers, participants and families/carers.</w:t>
      </w:r>
    </w:p>
    <w:p w14:paraId="335C5DAE" w14:textId="77777777" w:rsidR="00A83786" w:rsidRPr="007F6332" w:rsidRDefault="00A83786" w:rsidP="00C67606">
      <w:pPr>
        <w:pStyle w:val="tablelistbullet"/>
      </w:pPr>
      <w:r w:rsidRPr="007F6332">
        <w:rPr>
          <w:rStyle w:val="FSRlistChar"/>
          <w:rFonts w:cs="Arial"/>
        </w:rPr>
        <w:t>A pilot of the questionnaires</w:t>
      </w:r>
      <w:r w:rsidRPr="007F6332">
        <w:t>.</w:t>
      </w:r>
      <w:r w:rsidRPr="007F6332">
        <w:rPr>
          <w:rStyle w:val="FootnoteReference"/>
          <w:rFonts w:cs="Arial"/>
        </w:rPr>
        <w:footnoteReference w:id="131"/>
      </w:r>
      <w:r w:rsidRPr="007F6332">
        <w:t xml:space="preserve"> </w:t>
      </w:r>
    </w:p>
    <w:p w14:paraId="79829993" w14:textId="77777777" w:rsidR="00A83786" w:rsidRPr="007F6332" w:rsidRDefault="00A83786" w:rsidP="00EF79DA">
      <w:pPr>
        <w:pStyle w:val="Heading4"/>
        <w:ind w:left="851" w:hanging="851"/>
        <w:rPr>
          <w:rFonts w:cs="Arial"/>
        </w:rPr>
      </w:pPr>
      <w:r w:rsidRPr="007F6332">
        <w:rPr>
          <w:rFonts w:cs="Arial"/>
        </w:rPr>
        <w:t>Questionnaires by life stage</w:t>
      </w:r>
    </w:p>
    <w:p w14:paraId="224A938A" w14:textId="77777777" w:rsidR="00A83786" w:rsidRPr="007F6332" w:rsidRDefault="00A83786" w:rsidP="00A83786">
      <w:pPr>
        <w:pStyle w:val="FSRnormal"/>
        <w:rPr>
          <w:rFonts w:cs="Arial"/>
        </w:rPr>
      </w:pPr>
      <w:r w:rsidRPr="007F6332">
        <w:rPr>
          <w:rFonts w:cs="Arial"/>
        </w:rPr>
        <w:t>Leveraging research conducted by the IAC, the outcomes framework takes a lifespan approach to the measurement of outcomes, recognising that different milestones are important for different age groups. Hence different versions of the questionnaires are used, for both participants and families/carers, depending on the age of the participant.</w:t>
      </w:r>
    </w:p>
    <w:p w14:paraId="220AE7C8" w14:textId="77777777" w:rsidR="00A83786" w:rsidRPr="007F6332" w:rsidRDefault="00A83786" w:rsidP="00A83786">
      <w:pPr>
        <w:pStyle w:val="FSRnormal"/>
        <w:rPr>
          <w:rFonts w:cs="Arial"/>
        </w:rPr>
      </w:pPr>
      <w:r w:rsidRPr="007F6332">
        <w:rPr>
          <w:rFonts w:cs="Arial"/>
        </w:rPr>
        <w:t>The four versions of the participant questionnaires are for participants aged:</w:t>
      </w:r>
    </w:p>
    <w:p w14:paraId="176AA48C" w14:textId="77777777" w:rsidR="00A83786" w:rsidRPr="007F6332" w:rsidRDefault="00A83786" w:rsidP="00C67606">
      <w:pPr>
        <w:pStyle w:val="FSRlist"/>
      </w:pPr>
      <w:r w:rsidRPr="007F6332">
        <w:t>from birth to before starting school.</w:t>
      </w:r>
    </w:p>
    <w:p w14:paraId="71374DDF" w14:textId="77777777" w:rsidR="00A83786" w:rsidRPr="007F6332" w:rsidRDefault="00A83786" w:rsidP="00C67606">
      <w:pPr>
        <w:pStyle w:val="FSRlist"/>
      </w:pPr>
      <w:r w:rsidRPr="007F6332">
        <w:t>from starting school to 14.</w:t>
      </w:r>
    </w:p>
    <w:p w14:paraId="71B35AFF" w14:textId="77777777" w:rsidR="00A83786" w:rsidRPr="007F6332" w:rsidRDefault="00A83786" w:rsidP="00C67606">
      <w:pPr>
        <w:pStyle w:val="FSRlist"/>
      </w:pPr>
      <w:r w:rsidRPr="007F6332">
        <w:t>15 to 24.</w:t>
      </w:r>
    </w:p>
    <w:p w14:paraId="08B6D390" w14:textId="77777777" w:rsidR="00A83786" w:rsidRPr="007F6332" w:rsidRDefault="00A83786" w:rsidP="00C67606">
      <w:pPr>
        <w:pStyle w:val="FSRlist"/>
      </w:pPr>
      <w:r w:rsidRPr="007F6332">
        <w:t>25 and over.</w:t>
      </w:r>
    </w:p>
    <w:p w14:paraId="68DEF694" w14:textId="77777777" w:rsidR="00A83786" w:rsidRPr="007F6332" w:rsidRDefault="00A83786" w:rsidP="00A83786">
      <w:pPr>
        <w:pStyle w:val="FSRnormal"/>
        <w:rPr>
          <w:rFonts w:cs="Arial"/>
        </w:rPr>
      </w:pPr>
      <w:r w:rsidRPr="007F6332">
        <w:rPr>
          <w:rFonts w:cs="Arial"/>
        </w:rPr>
        <w:t>The three versions of the family/carer questionnaires are for families and carers of participants aged:</w:t>
      </w:r>
    </w:p>
    <w:p w14:paraId="4CA67F9B" w14:textId="77777777" w:rsidR="00A83786" w:rsidRPr="007F6332" w:rsidRDefault="00A83786" w:rsidP="00C67606">
      <w:pPr>
        <w:pStyle w:val="FSRlist"/>
      </w:pPr>
      <w:r w:rsidRPr="007F6332">
        <w:t>from birth to 14.</w:t>
      </w:r>
    </w:p>
    <w:p w14:paraId="2A7A301B" w14:textId="77777777" w:rsidR="00A83786" w:rsidRPr="007F6332" w:rsidRDefault="00A83786" w:rsidP="00C67606">
      <w:pPr>
        <w:pStyle w:val="FSRlist"/>
      </w:pPr>
      <w:r w:rsidRPr="007F6332">
        <w:t>15 to 24.</w:t>
      </w:r>
    </w:p>
    <w:p w14:paraId="2C944AA2" w14:textId="76E825F1" w:rsidR="00A83786" w:rsidRPr="007F6332" w:rsidRDefault="00A83786" w:rsidP="00C67606">
      <w:pPr>
        <w:pStyle w:val="FSRlist"/>
        <w:spacing w:after="1080"/>
      </w:pPr>
      <w:r w:rsidRPr="007F6332">
        <w:t>25 and over.</w:t>
      </w:r>
    </w:p>
    <w:p w14:paraId="500005FD" w14:textId="77777777" w:rsidR="00A83786" w:rsidRPr="007F6332" w:rsidRDefault="00A83786" w:rsidP="00E81C0D">
      <w:pPr>
        <w:pStyle w:val="Heading4"/>
        <w:ind w:left="851" w:hanging="851"/>
        <w:rPr>
          <w:rFonts w:cs="Arial"/>
        </w:rPr>
      </w:pPr>
      <w:r w:rsidRPr="007F6332">
        <w:rPr>
          <w:rFonts w:cs="Arial"/>
        </w:rPr>
        <w:lastRenderedPageBreak/>
        <w:t>Participant domains</w:t>
      </w:r>
    </w:p>
    <w:p w14:paraId="2BF28C49" w14:textId="77777777" w:rsidR="00A83786" w:rsidRPr="007F6332" w:rsidRDefault="00A83786" w:rsidP="00A83786">
      <w:pPr>
        <w:pStyle w:val="FSRnormal"/>
        <w:rPr>
          <w:rFonts w:cs="Arial"/>
        </w:rPr>
      </w:pPr>
      <w:r w:rsidRPr="007F6332">
        <w:rPr>
          <w:rFonts w:cs="Arial"/>
        </w:rPr>
        <w:t>Participant domains vary for children and adults. While most domains overlap, goals and outcomes may differ depending on the age group.</w:t>
      </w:r>
    </w:p>
    <w:p w14:paraId="12FC8A0A" w14:textId="003F1533" w:rsidR="00A83786" w:rsidRPr="007F6332" w:rsidRDefault="00A83786" w:rsidP="00C67606">
      <w:pPr>
        <w:pStyle w:val="FiguresandTablesHeading5"/>
      </w:pPr>
      <w:bookmarkStart w:id="225" w:name="_Ref111104827"/>
      <w:r w:rsidRPr="007F6332">
        <w:t xml:space="preserve">Figure </w:t>
      </w:r>
      <w:r w:rsidR="00C46EFE" w:rsidRPr="007F6332">
        <w:t>7.1</w:t>
      </w:r>
      <w:bookmarkEnd w:id="225"/>
      <w:r w:rsidRPr="007F6332">
        <w:t>: Participant domains by age group</w:t>
      </w:r>
    </w:p>
    <w:p w14:paraId="7D4859FA" w14:textId="77777777" w:rsidR="00A83786" w:rsidRPr="007F6332" w:rsidRDefault="00A83786" w:rsidP="00A83786">
      <w:pPr>
        <w:rPr>
          <w:rFonts w:cs="Arial"/>
        </w:rPr>
      </w:pPr>
      <w:r w:rsidRPr="007F6332">
        <w:rPr>
          <w:rFonts w:cs="Arial"/>
          <w:noProof/>
          <w:lang w:eastAsia="en-AU"/>
        </w:rPr>
        <w:drawing>
          <wp:inline distT="0" distB="0" distL="0" distR="0" wp14:anchorId="1F3EEA4F" wp14:editId="43A41E71">
            <wp:extent cx="5731510" cy="2009140"/>
            <wp:effectExtent l="0" t="0" r="2540" b="0"/>
            <wp:docPr id="4" name="Picture 4" descr="There is one diagram with a long arrow denoting life stages of participants by age groups as well as relevant outcomes domains:&#10;Birth starting school:&#10;Domain 1: Daily living.&#10;Domain 2: Choice and control.&#10;Domain 3: Relationships.&#10;Domain 4: Social, community and civic participation.&#10;Domain 5: Specialist services.&#10;School to 14 years old:&#10;Domain 1: Daily living. &#10;Domain 2: Lifelong learning.&#10;Domain 3: Relationships.&#10;Domain 4: Social, community and civic participation.&#10;15 to 24 years old:&#10;Domain 1: Choice and control. &#10;Domain 2: Daily living.&#10;Domain 3: Relationships.&#10;Domain 4: Home.&#10;Domain 5: Health and wellbeing.&#10;Domain 6: Lifelong learning.&#10;Domain 7: Work.&#10;Domain 8: Social, community and civic participation.&#10;25 years old and over:&#10;(with the same domains as for 15 to 24 years ol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re is one diagram with a long arrow denoting life stages of participants by age groups as well as relevant outcomes domains:&#10;Birth starting school:&#10;Domain 1: Daily living.&#10;Domain 2: Choice and control.&#10;Domain 3: Relationships.&#10;Domain 4: Social, community and civic participation.&#10;Domain 5: Specialist services.&#10;School to 14 years old:&#10;Domain 1: Daily living. &#10;Domain 2: Lifelong learning.&#10;Domain 3: Relationships.&#10;Domain 4: Social, community and civic participation.&#10;15 to 24 years old:&#10;Domain 1: Choice and control. &#10;Domain 2: Daily living.&#10;Domain 3: Relationships.&#10;Domain 4: Home.&#10;Domain 5: Health and wellbeing.&#10;Domain 6: Lifelong learning.&#10;Domain 7: Work.&#10;Domain 8: Social, community and civic participation.&#10;25 years old and over:&#10;(with the same domains as for 15 to 24 years old).&#10;&#10;"/>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5BB0BC70" w14:textId="77777777" w:rsidR="00A83786" w:rsidRPr="007F6332" w:rsidRDefault="00A83786" w:rsidP="00E81C0D">
      <w:pPr>
        <w:pStyle w:val="Heading4"/>
        <w:ind w:left="851" w:hanging="851"/>
        <w:rPr>
          <w:rFonts w:cs="Arial"/>
        </w:rPr>
      </w:pPr>
      <w:r w:rsidRPr="007F6332">
        <w:rPr>
          <w:rFonts w:cs="Arial"/>
        </w:rPr>
        <w:t>Family/carer domains</w:t>
      </w:r>
    </w:p>
    <w:p w14:paraId="2639EED4" w14:textId="77777777" w:rsidR="00A83786" w:rsidRPr="007F6332" w:rsidRDefault="00A83786" w:rsidP="00A83786">
      <w:pPr>
        <w:pStyle w:val="FSRnormal"/>
        <w:rPr>
          <w:rFonts w:cs="Arial"/>
        </w:rPr>
      </w:pPr>
      <w:r w:rsidRPr="007F6332">
        <w:rPr>
          <w:rFonts w:cs="Arial"/>
        </w:rPr>
        <w:t>Overall, families and carers share many similar goals and challenges, regardless of participant age. As such, a number of the domains do indeed overlap.</w:t>
      </w:r>
    </w:p>
    <w:p w14:paraId="178C0233" w14:textId="26D351EC" w:rsidR="00A83786" w:rsidRPr="007F6332" w:rsidRDefault="00A83786" w:rsidP="00C67606">
      <w:pPr>
        <w:pStyle w:val="FiguresandTablesHeading5"/>
      </w:pPr>
      <w:r w:rsidRPr="007F6332">
        <w:t>Figure</w:t>
      </w:r>
      <w:r w:rsidR="00C46EFE" w:rsidRPr="007F6332">
        <w:t xml:space="preserve"> 7.</w:t>
      </w:r>
      <w:r w:rsidR="00624BC3" w:rsidRPr="007F6332">
        <w:rPr>
          <w:color w:val="2B579A"/>
          <w:shd w:val="clear" w:color="auto" w:fill="E6E6E6"/>
        </w:rPr>
        <w:t>2</w:t>
      </w:r>
      <w:r w:rsidRPr="007F6332">
        <w:t>: Family/carer domains by participant age group</w:t>
      </w:r>
    </w:p>
    <w:p w14:paraId="713D276E" w14:textId="77777777" w:rsidR="00A83786" w:rsidRPr="007F6332" w:rsidRDefault="00A83786" w:rsidP="00A83786">
      <w:pPr>
        <w:rPr>
          <w:rFonts w:cs="Arial"/>
        </w:rPr>
      </w:pPr>
      <w:r w:rsidRPr="007F6332">
        <w:rPr>
          <w:rFonts w:cs="Arial"/>
          <w:noProof/>
          <w:lang w:eastAsia="en-AU"/>
        </w:rPr>
        <w:drawing>
          <wp:inline distT="0" distB="0" distL="0" distR="0" wp14:anchorId="2D083953" wp14:editId="012F4B69">
            <wp:extent cx="5731510" cy="3368040"/>
            <wp:effectExtent l="0" t="0" r="2540" b="3810"/>
            <wp:docPr id="2" name="Picture 2" descr="Figure 7.2 Family/carer domains by participant age group.&#10; There is one diagram with a long arrow denoting life stages of participants by age as well as relevant family/carer outcome domains.&#10;The overlapping domains 1 to 4 are shown below the arrow:&#10;Domain 1: Families/carers know their rights and advocate effectively for their family member with disability.&#10;Domain 2: Families/carers feel supported.&#10;Domain 3: Families/carers are able to gain access to desired services, programs and activities in their community.&#10;Domain 4: Families/carers enjoy health and wellbeing.&#10;Underneath domains 1-4, domain 5 is shown, which is different for different age groups:&#10;0 to 14: Families/carers help their child develop and learn.&#10;15 to 24: Families/carers help their young person become independent.&#10;25 and over: Families/carers have succession plans.&#10;Below this there is an extra domain for participants aged 0 to 24, domain 6: Families/carers understand their child’s strengths, abilities and needs (LF on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7.2 Family/carer domains by participant age group.&#10; There is one diagram with a long arrow denoting life stages of participants by age as well as relevant family/carer outcome domains.&#10;The overlapping domains 1 to 4 are shown below the arrow:&#10;Domain 1: Families/carers know their rights and advocate effectively for their family member with disability.&#10;Domain 2: Families/carers feel supported.&#10;Domain 3: Families/carers are able to gain access to desired services, programs and activities in their community.&#10;Domain 4: Families/carers enjoy health and wellbeing.&#10;Underneath domains 1-4, domain 5 is shown, which is different for different age groups:&#10;0 to 14: Families/carers help their child develop and learn.&#10;15 to 24: Families/carers help their young person become independent.&#10;25 and over: Families/carers have succession plans.&#10;Below this there is an extra domain for participants aged 0 to 24, domain 6: Families/carers understand their child’s strengths, abilities and needs (LF only).&#10;"/>
                    <pic:cNvPicPr/>
                  </pic:nvPicPr>
                  <pic:blipFill>
                    <a:blip r:embed="rId103">
                      <a:extLst>
                        <a:ext uri="{28A0092B-C50C-407E-A947-70E740481C1C}">
                          <a14:useLocalDpi xmlns:a14="http://schemas.microsoft.com/office/drawing/2010/main" val="0"/>
                        </a:ext>
                      </a:extLst>
                    </a:blip>
                    <a:stretch>
                      <a:fillRect/>
                    </a:stretch>
                  </pic:blipFill>
                  <pic:spPr>
                    <a:xfrm>
                      <a:off x="0" y="0"/>
                      <a:ext cx="5731510" cy="3368040"/>
                    </a:xfrm>
                    <a:prstGeom prst="rect">
                      <a:avLst/>
                    </a:prstGeom>
                  </pic:spPr>
                </pic:pic>
              </a:graphicData>
            </a:graphic>
          </wp:inline>
        </w:drawing>
      </w:r>
    </w:p>
    <w:p w14:paraId="521E9D0C" w14:textId="77777777" w:rsidR="00A83786" w:rsidRPr="007F6332" w:rsidRDefault="00A83786" w:rsidP="00EF79DA">
      <w:pPr>
        <w:pStyle w:val="Heading4"/>
        <w:ind w:left="851" w:hanging="851"/>
        <w:rPr>
          <w:rFonts w:cs="Arial"/>
        </w:rPr>
      </w:pPr>
      <w:r w:rsidRPr="007F6332">
        <w:rPr>
          <w:rFonts w:cs="Arial"/>
        </w:rPr>
        <w:t>Short Form (SF) versus Long Form (LF)</w:t>
      </w:r>
    </w:p>
    <w:p w14:paraId="7B7BB963" w14:textId="77777777" w:rsidR="00A83786" w:rsidRPr="007F6332" w:rsidRDefault="00A83786" w:rsidP="00A83786">
      <w:pPr>
        <w:pStyle w:val="FSRnormal"/>
        <w:rPr>
          <w:rFonts w:cs="Arial"/>
        </w:rPr>
      </w:pPr>
      <w:r w:rsidRPr="007F6332">
        <w:rPr>
          <w:rFonts w:cs="Arial"/>
        </w:rPr>
        <w:t xml:space="preserve">The pilot was used to refine the questionnaires, including removing redundant questions and revising wording for clarity. It also led to the development of two versions of the questionnaires, a long form (LF), similar to the versions piloted, and a short form (SF). </w:t>
      </w:r>
    </w:p>
    <w:p w14:paraId="5483F79C" w14:textId="77777777" w:rsidR="00A83786" w:rsidRPr="007F6332" w:rsidRDefault="00A83786" w:rsidP="00A83786">
      <w:pPr>
        <w:pStyle w:val="FSRnormal"/>
        <w:rPr>
          <w:rFonts w:cs="Arial"/>
        </w:rPr>
      </w:pPr>
      <w:r w:rsidRPr="007F6332">
        <w:rPr>
          <w:rFonts w:cs="Arial"/>
        </w:rPr>
        <w:lastRenderedPageBreak/>
        <w:t xml:space="preserve">The SF is completed by all participants and a family member or carer where possible and contains questions useful for planning as well as key indicators to monitor and benchmark over time. </w:t>
      </w:r>
    </w:p>
    <w:p w14:paraId="65BF0432" w14:textId="77777777" w:rsidR="00A83786" w:rsidRPr="007F6332" w:rsidRDefault="00A83786" w:rsidP="00A83786">
      <w:pPr>
        <w:pStyle w:val="FSRnormal"/>
        <w:rPr>
          <w:rFonts w:cs="Arial"/>
        </w:rPr>
      </w:pPr>
      <w:r w:rsidRPr="007F6332">
        <w:rPr>
          <w:rFonts w:cs="Arial"/>
        </w:rPr>
        <w:t>The LF is completed for a subset of participants and includes all of the SF questions plus some additional questions allowing more detailed investigation of participant and family/carer experience, and additional benchmarking.</w:t>
      </w:r>
    </w:p>
    <w:p w14:paraId="6C10DAE9" w14:textId="77777777" w:rsidR="00A83786" w:rsidRPr="007F6332" w:rsidRDefault="00A83786" w:rsidP="00EF79DA">
      <w:pPr>
        <w:pStyle w:val="Heading4"/>
        <w:ind w:left="851" w:hanging="851"/>
        <w:rPr>
          <w:rFonts w:cs="Arial"/>
        </w:rPr>
      </w:pPr>
      <w:r w:rsidRPr="007F6332">
        <w:rPr>
          <w:rFonts w:cs="Arial"/>
        </w:rPr>
        <w:t>Baseline versus longitudinal</w:t>
      </w:r>
    </w:p>
    <w:p w14:paraId="5DAB1A4C" w14:textId="77777777" w:rsidR="00A83786" w:rsidRPr="007F6332" w:rsidRDefault="00A83786" w:rsidP="00A83786">
      <w:pPr>
        <w:pStyle w:val="FSRnormal"/>
        <w:rPr>
          <w:rFonts w:cs="Arial"/>
        </w:rPr>
      </w:pPr>
      <w:r w:rsidRPr="007F6332">
        <w:rPr>
          <w:rFonts w:cs="Arial"/>
        </w:rPr>
        <w:t xml:space="preserve">Participants and their families and carers are interviewed at baseline (Scheme entry), and approximately annually thereafter. </w:t>
      </w:r>
    </w:p>
    <w:p w14:paraId="081CC6FB" w14:textId="77777777" w:rsidR="00A83786" w:rsidRPr="007F6332" w:rsidRDefault="00A83786" w:rsidP="00A83786">
      <w:pPr>
        <w:pStyle w:val="FSRnormal"/>
        <w:rPr>
          <w:rFonts w:cs="Arial"/>
        </w:rPr>
      </w:pPr>
      <w:r w:rsidRPr="007F6332">
        <w:rPr>
          <w:rFonts w:eastAsia="Calibri" w:cs="Arial"/>
        </w:rPr>
        <w:t>It is important to recognise that, with respect to how they are going in different areas of their lives, participants do not enter the Scheme on an equal footing. A range of individual and external factors will impact on the experiences of participants at baseline, including the extent to which their disability affects their life, where they live, and the extent of support they receive from family and friends.</w:t>
      </w:r>
    </w:p>
    <w:p w14:paraId="530A37D7" w14:textId="77777777" w:rsidR="00A83786" w:rsidRPr="007F6332" w:rsidRDefault="00A83786" w:rsidP="00A83786">
      <w:pPr>
        <w:pStyle w:val="FSRnormal"/>
        <w:rPr>
          <w:rFonts w:cs="Arial"/>
        </w:rPr>
      </w:pPr>
      <w:r w:rsidRPr="007F6332">
        <w:rPr>
          <w:rFonts w:eastAsia="Calibri" w:cs="Arial"/>
        </w:rPr>
        <w:t>Consequently, the success of the Scheme should be judged not on baseline outcomes, but on how far participants have come since they entered the Scheme, acknowledging their different starting points.</w:t>
      </w:r>
    </w:p>
    <w:p w14:paraId="4A0D16D6" w14:textId="77777777" w:rsidR="00A83786" w:rsidRPr="007F6332" w:rsidRDefault="00A83786" w:rsidP="00A83786">
      <w:pPr>
        <w:pStyle w:val="FSRnormal"/>
        <w:rPr>
          <w:rStyle w:val="A8"/>
          <w:rFonts w:cs="Arial"/>
        </w:rPr>
      </w:pPr>
      <w:r w:rsidRPr="007F6332">
        <w:rPr>
          <w:rFonts w:cs="Arial"/>
        </w:rPr>
        <w:t xml:space="preserve">The longitudinal history built up from responses to the outcomes framework questionnaires is used to analyse progress at an individual and Scheme level, to </w:t>
      </w:r>
      <w:r w:rsidRPr="007F6332">
        <w:rPr>
          <w:rStyle w:val="A8"/>
          <w:rFonts w:cs="Arial"/>
        </w:rPr>
        <w:t>provide insight into how the Scheme is making a difference and point to areas where improvements may be required.</w:t>
      </w:r>
    </w:p>
    <w:p w14:paraId="7331E083" w14:textId="77777777" w:rsidR="00A83786" w:rsidRPr="007F6332" w:rsidRDefault="00A83786" w:rsidP="00E81C0D">
      <w:pPr>
        <w:pStyle w:val="Heading3"/>
        <w:ind w:left="709" w:hanging="709"/>
        <w:rPr>
          <w:rFonts w:cs="Arial"/>
        </w:rPr>
      </w:pPr>
      <w:bookmarkStart w:id="226" w:name="_Toc146286174"/>
      <w:bookmarkStart w:id="227" w:name="_Toc152615001"/>
      <w:r w:rsidRPr="007F6332">
        <w:rPr>
          <w:rFonts w:cs="Arial"/>
        </w:rPr>
        <w:t>Reporting on outcomes</w:t>
      </w:r>
      <w:bookmarkEnd w:id="226"/>
      <w:bookmarkEnd w:id="227"/>
    </w:p>
    <w:p w14:paraId="5B7EFA73" w14:textId="77777777" w:rsidR="00A83786" w:rsidRPr="007F6332" w:rsidRDefault="00A83786" w:rsidP="00A83786">
      <w:pPr>
        <w:pStyle w:val="FSRnormal"/>
        <w:rPr>
          <w:rFonts w:cs="Arial"/>
        </w:rPr>
      </w:pPr>
      <w:r w:rsidRPr="007F6332">
        <w:rPr>
          <w:rFonts w:cs="Arial"/>
        </w:rPr>
        <w:t>Information collected from the questionnaires is used to contribute to a range of publicly available reports, including:</w:t>
      </w:r>
    </w:p>
    <w:p w14:paraId="315AE72B" w14:textId="77777777" w:rsidR="00A83786" w:rsidRPr="007F6332" w:rsidRDefault="00A83786" w:rsidP="00C67606">
      <w:pPr>
        <w:pStyle w:val="FSRlist"/>
        <w:rPr>
          <w:rFonts w:cs="Arial"/>
        </w:rPr>
      </w:pPr>
      <w:r w:rsidRPr="007F6332">
        <w:rPr>
          <w:rFonts w:cs="Arial"/>
        </w:rPr>
        <w:t>Quarterly reports to disability ministers (</w:t>
      </w:r>
      <w:hyperlink r:id="rId104" w:history="1">
        <w:r w:rsidRPr="007F6332">
          <w:rPr>
            <w:rStyle w:val="Hyperlink"/>
            <w:rFonts w:cs="Arial"/>
          </w:rPr>
          <w:t>Quarterly Reports | NDIS</w:t>
        </w:r>
      </w:hyperlink>
      <w:r w:rsidRPr="007F6332">
        <w:rPr>
          <w:rFonts w:cs="Arial"/>
        </w:rPr>
        <w:t>)</w:t>
      </w:r>
    </w:p>
    <w:p w14:paraId="07632ADA" w14:textId="77777777" w:rsidR="00A83786" w:rsidRPr="007F6332" w:rsidRDefault="00A83786" w:rsidP="00C67606">
      <w:pPr>
        <w:pStyle w:val="FSRlist"/>
        <w:rPr>
          <w:rFonts w:cs="Arial"/>
        </w:rPr>
      </w:pPr>
      <w:bookmarkStart w:id="228" w:name="_Hlk147471862"/>
      <w:r w:rsidRPr="007F6332">
        <w:rPr>
          <w:rFonts w:cs="Arial"/>
        </w:rPr>
        <w:t>Annual outcomes reports (</w:t>
      </w:r>
      <w:hyperlink r:id="rId105" w:history="1">
        <w:r w:rsidRPr="007F6332">
          <w:rPr>
            <w:rStyle w:val="Hyperlink"/>
            <w:rFonts w:cs="Arial"/>
          </w:rPr>
          <w:t>Participant outcomes report | NDIS</w:t>
        </w:r>
      </w:hyperlink>
      <w:r w:rsidRPr="007F6332">
        <w:rPr>
          <w:rFonts w:cs="Arial"/>
        </w:rPr>
        <w:t xml:space="preserve">, </w:t>
      </w:r>
      <w:hyperlink r:id="rId106" w:history="1">
        <w:r w:rsidRPr="007F6332">
          <w:rPr>
            <w:rStyle w:val="Hyperlink"/>
            <w:rFonts w:cs="Arial"/>
          </w:rPr>
          <w:t>Family and carer outcomes report | NDIS</w:t>
        </w:r>
      </w:hyperlink>
      <w:r w:rsidRPr="007F6332">
        <w:rPr>
          <w:rFonts w:cs="Arial"/>
        </w:rPr>
        <w:t>)</w:t>
      </w:r>
    </w:p>
    <w:p w14:paraId="026F9297" w14:textId="641D6467" w:rsidR="00A83786" w:rsidRPr="007F6332" w:rsidRDefault="00A83786" w:rsidP="00C67606">
      <w:pPr>
        <w:pStyle w:val="FSRlist"/>
        <w:rPr>
          <w:rFonts w:cs="Arial"/>
        </w:rPr>
      </w:pPr>
      <w:r w:rsidRPr="007F6332">
        <w:rPr>
          <w:rFonts w:cs="Arial"/>
        </w:rPr>
        <w:t xml:space="preserve">Deep dives </w:t>
      </w:r>
      <w:r w:rsidR="007157B5" w:rsidRPr="007F6332">
        <w:rPr>
          <w:rFonts w:cs="Arial"/>
        </w:rPr>
        <w:t>focusing</w:t>
      </w:r>
      <w:r w:rsidRPr="007F6332">
        <w:rPr>
          <w:rFonts w:cs="Arial"/>
        </w:rPr>
        <w:t xml:space="preserve"> on specific outcome areas, such as employment (</w:t>
      </w:r>
      <w:hyperlink r:id="rId107" w:history="1">
        <w:r w:rsidRPr="007F6332">
          <w:rPr>
            <w:rStyle w:val="Hyperlink"/>
            <w:rFonts w:cs="Arial"/>
          </w:rPr>
          <w:t>Employment outcomes - participants, their families and carers | NDIS</w:t>
        </w:r>
      </w:hyperlink>
      <w:r w:rsidRPr="007F6332">
        <w:rPr>
          <w:rFonts w:cs="Arial"/>
        </w:rPr>
        <w:t>), health and wellbeing (</w:t>
      </w:r>
      <w:hyperlink r:id="rId108" w:history="1">
        <w:r w:rsidRPr="007F6332">
          <w:rPr>
            <w:rStyle w:val="Hyperlink"/>
            <w:rFonts w:cs="Arial"/>
          </w:rPr>
          <w:t>Health and wellbeing of NDIS participants and their families and carers | NDIS</w:t>
        </w:r>
      </w:hyperlink>
      <w:r w:rsidRPr="007F6332">
        <w:rPr>
          <w:rFonts w:cs="Arial"/>
        </w:rPr>
        <w:t>) and the impact of the COVID-19 pandemic on participant and family/carer outcomes (</w:t>
      </w:r>
      <w:hyperlink r:id="rId109" w:history="1">
        <w:r w:rsidRPr="007F6332">
          <w:rPr>
            <w:rStyle w:val="Hyperlink"/>
            <w:rFonts w:cs="Arial"/>
          </w:rPr>
          <w:t>COVID-19 impact on participant and family/carer outcomes 30 June 2020 | NDIS</w:t>
        </w:r>
      </w:hyperlink>
      <w:r w:rsidRPr="007F6332">
        <w:rPr>
          <w:rFonts w:cs="Arial"/>
        </w:rPr>
        <w:t>).</w:t>
      </w:r>
    </w:p>
    <w:p w14:paraId="077423DB" w14:textId="77777777" w:rsidR="007D265F" w:rsidRPr="007F6332" w:rsidRDefault="007D265F" w:rsidP="00B55A92">
      <w:pPr>
        <w:pStyle w:val="Heading3"/>
        <w:rPr>
          <w:rFonts w:cs="Arial"/>
        </w:rPr>
        <w:sectPr w:rsidR="007D265F" w:rsidRPr="007F6332" w:rsidSect="00CE7E91">
          <w:headerReference w:type="default" r:id="rId110"/>
          <w:footerReference w:type="default" r:id="rId111"/>
          <w:pgSz w:w="11906" w:h="16838"/>
          <w:pgMar w:top="1440" w:right="1440" w:bottom="1440" w:left="1440" w:header="708" w:footer="850" w:gutter="0"/>
          <w:cols w:space="708"/>
          <w:docGrid w:linePitch="360"/>
        </w:sectPr>
      </w:pPr>
      <w:bookmarkStart w:id="229" w:name="_Toc79751004"/>
      <w:bookmarkStart w:id="230" w:name="_Toc83220859"/>
      <w:bookmarkStart w:id="231" w:name="_Toc85031270"/>
      <w:bookmarkStart w:id="232" w:name="_Toc146286175"/>
      <w:bookmarkEnd w:id="228"/>
    </w:p>
    <w:p w14:paraId="0D575079" w14:textId="77777777" w:rsidR="00A83786" w:rsidRPr="007F6332" w:rsidRDefault="00A83786" w:rsidP="00E81C0D">
      <w:pPr>
        <w:pStyle w:val="Heading3"/>
        <w:ind w:left="709" w:hanging="709"/>
        <w:rPr>
          <w:rFonts w:cs="Arial"/>
        </w:rPr>
      </w:pPr>
      <w:bookmarkStart w:id="233" w:name="_Toc152615002"/>
      <w:r w:rsidRPr="007F6332">
        <w:rPr>
          <w:rFonts w:cs="Arial"/>
        </w:rPr>
        <w:lastRenderedPageBreak/>
        <w:t>Participant outcomes</w:t>
      </w:r>
      <w:bookmarkEnd w:id="229"/>
      <w:bookmarkEnd w:id="230"/>
      <w:bookmarkEnd w:id="231"/>
      <w:r w:rsidRPr="007F6332">
        <w:rPr>
          <w:rFonts w:cs="Arial"/>
        </w:rPr>
        <w:t xml:space="preserve"> – results</w:t>
      </w:r>
      <w:bookmarkEnd w:id="232"/>
      <w:bookmarkEnd w:id="233"/>
    </w:p>
    <w:p w14:paraId="7BEB3876" w14:textId="77777777" w:rsidR="0053415F" w:rsidRPr="007F6332" w:rsidRDefault="0053415F" w:rsidP="0053415F">
      <w:pPr>
        <w:pStyle w:val="FSRnormal"/>
        <w:rPr>
          <w:rFonts w:cs="Arial"/>
        </w:rPr>
      </w:pPr>
      <w:bookmarkStart w:id="234" w:name="_Hlk150369566"/>
      <w:bookmarkStart w:id="235" w:name="_Ref47448028"/>
      <w:r w:rsidRPr="007F6332">
        <w:rPr>
          <w:rFonts w:cs="Arial"/>
        </w:rPr>
        <w:t>This section “Participant outcomes – results” and the next section “Has the NDIS helped?” show analyses of participant outcomes as at 30 June 2023, for participants entering the Scheme from 1 July 2016. It is worth bearing in mind that the global COVID-19 pandemic that took hold from early 2020 has had an impact on at least some participant and family/carer outcomes, such as employment and community participation. The initial impact (to 30 June 2020) on outcomes was considered in a publicly available report.</w:t>
      </w:r>
      <w:r w:rsidRPr="007F6332">
        <w:rPr>
          <w:rStyle w:val="FootnoteReference"/>
          <w:rFonts w:cs="Arial"/>
        </w:rPr>
        <w:footnoteReference w:id="132"/>
      </w:r>
      <w:r w:rsidRPr="007F6332">
        <w:rPr>
          <w:rFonts w:cs="Arial"/>
        </w:rPr>
        <w:t xml:space="preserve"> The impact on employment outcomes to 31 December 2020 was further considered in the latest report on employment outcomes.</w:t>
      </w:r>
      <w:r w:rsidRPr="007F6332">
        <w:rPr>
          <w:rStyle w:val="FootnoteReference"/>
          <w:rFonts w:cs="Arial"/>
        </w:rPr>
        <w:footnoteReference w:id="133"/>
      </w:r>
    </w:p>
    <w:bookmarkEnd w:id="234"/>
    <w:p w14:paraId="69B6EC7A" w14:textId="77777777" w:rsidR="00A83786" w:rsidRPr="007F6332" w:rsidRDefault="00A83786" w:rsidP="00EF79DA">
      <w:pPr>
        <w:pStyle w:val="Heading4"/>
        <w:ind w:left="851" w:hanging="851"/>
        <w:rPr>
          <w:rFonts w:cs="Arial"/>
        </w:rPr>
      </w:pPr>
      <w:r w:rsidRPr="007F6332">
        <w:rPr>
          <w:rFonts w:cs="Arial"/>
        </w:rPr>
        <w:t>Economic and social participation</w:t>
      </w:r>
      <w:bookmarkEnd w:id="235"/>
    </w:p>
    <w:p w14:paraId="37EFA209" w14:textId="77777777" w:rsidR="00A83786" w:rsidRPr="007F6332" w:rsidRDefault="00A83786" w:rsidP="00A83786">
      <w:pPr>
        <w:pStyle w:val="FSRnormal"/>
        <w:rPr>
          <w:rFonts w:cs="Arial"/>
        </w:rPr>
      </w:pPr>
      <w:r w:rsidRPr="007F6332">
        <w:rPr>
          <w:rFonts w:cs="Arial"/>
        </w:rPr>
        <w:t>Analysing changes in participants’ economic and social participation is important for understanding whether the reasonable and necessary supports funded by the Scheme are resulting in better participant outcomes. In the NDIS Corporate Plan 2022-26</w:t>
      </w:r>
      <w:r w:rsidRPr="007F6332">
        <w:rPr>
          <w:rStyle w:val="FootnoteReference"/>
          <w:rFonts w:cs="Arial"/>
        </w:rPr>
        <w:footnoteReference w:id="134"/>
      </w:r>
      <w:r w:rsidRPr="007F6332">
        <w:rPr>
          <w:rFonts w:cs="Arial"/>
        </w:rPr>
        <w:t>, Aspiration 1 is “a quality experience and improved outcomes for participants”, and there are specific performance metrics and targets outlined, such as the proportion of participants in work and the proportion of participants involved in community and social activities. Changes in outcomes have been measured for participants who have been in the Scheme for at least two years, to allow sufficient time for the reasonable and necessary supports provided by the Scheme to have an influence on participant outcomes.</w:t>
      </w:r>
    </w:p>
    <w:p w14:paraId="7F27FD12" w14:textId="77777777" w:rsidR="00A83786" w:rsidRPr="007F6332" w:rsidRDefault="00A83786" w:rsidP="00EF79DA">
      <w:pPr>
        <w:pStyle w:val="Heading4"/>
        <w:ind w:left="851" w:hanging="851"/>
        <w:rPr>
          <w:rFonts w:cs="Arial"/>
        </w:rPr>
      </w:pPr>
      <w:r w:rsidRPr="007F6332">
        <w:rPr>
          <w:rFonts w:cs="Arial"/>
        </w:rPr>
        <w:t>Employment</w:t>
      </w:r>
    </w:p>
    <w:p w14:paraId="3C249885" w14:textId="77777777" w:rsidR="00A83786" w:rsidRPr="007F6332" w:rsidRDefault="00A83786" w:rsidP="00A83786">
      <w:pPr>
        <w:pStyle w:val="FSRnormal"/>
        <w:rPr>
          <w:rFonts w:cs="Arial"/>
        </w:rPr>
      </w:pPr>
      <w:r w:rsidRPr="007F6332">
        <w:rPr>
          <w:rFonts w:cs="Arial"/>
        </w:rPr>
        <w:t xml:space="preserve">The NDIA recognises the critical role of employment in boosting the well-being, economic security and social inclusion of people with disability. From a sustainability perspective, when a NDIS participant works they contribute to the economy, use less support for other activities to fill their days, and family members and carers can also return to work and contribute to the economy. The NDIA had a target of 26 per cent of working-age participants in paid employment by June 2022, with the achieved result of 23 per cent slightly below this target. </w:t>
      </w:r>
    </w:p>
    <w:p w14:paraId="62FBFF41" w14:textId="77777777" w:rsidR="00A83786" w:rsidRPr="007F6332" w:rsidRDefault="00A83786" w:rsidP="00A83786">
      <w:pPr>
        <w:pStyle w:val="FSRnormal"/>
        <w:rPr>
          <w:rFonts w:cs="Arial"/>
          <w:color w:val="000000" w:themeColor="text1"/>
        </w:rPr>
      </w:pPr>
      <w:r w:rsidRPr="007F6332">
        <w:rPr>
          <w:rFonts w:cs="Arial"/>
        </w:rPr>
        <w:t>The NDIS Participant Employment Strategy 2019-22</w:t>
      </w:r>
      <w:r w:rsidRPr="007F6332">
        <w:rPr>
          <w:rStyle w:val="FootnoteReference"/>
          <w:rFonts w:cs="Arial"/>
        </w:rPr>
        <w:footnoteReference w:id="135"/>
      </w:r>
      <w:r w:rsidRPr="007F6332">
        <w:rPr>
          <w:rFonts w:cs="Arial"/>
        </w:rPr>
        <w:t xml:space="preserve"> (the Strategy) which was released on 30 September 2019</w:t>
      </w:r>
      <w:r w:rsidRPr="007F6332">
        <w:rPr>
          <w:rFonts w:cs="Arial"/>
          <w:color w:val="000000" w:themeColor="text1"/>
        </w:rPr>
        <w:t xml:space="preserve"> sets out </w:t>
      </w:r>
      <w:r w:rsidRPr="007F6332">
        <w:rPr>
          <w:rFonts w:cs="Arial"/>
          <w:color w:val="000000" w:themeColor="text1"/>
          <w:shd w:val="clear" w:color="auto" w:fill="FFFFFF"/>
        </w:rPr>
        <w:t>the NDIA’s vision, commitment, and plan for supporting participants to find and keep meaningful employment.</w:t>
      </w:r>
      <w:r w:rsidRPr="007F6332">
        <w:rPr>
          <w:rFonts w:cs="Arial"/>
          <w:color w:val="000000" w:themeColor="text1"/>
        </w:rPr>
        <w:t xml:space="preserve"> </w:t>
      </w:r>
    </w:p>
    <w:p w14:paraId="787C51C0" w14:textId="412C370C" w:rsidR="00A83786" w:rsidRPr="007F6332" w:rsidRDefault="00A83786" w:rsidP="00A83786">
      <w:pPr>
        <w:pStyle w:val="FSRnormal"/>
        <w:rPr>
          <w:rFonts w:cs="Arial"/>
        </w:rPr>
      </w:pPr>
      <w:r w:rsidRPr="007F6332">
        <w:rPr>
          <w:rFonts w:cs="Arial"/>
          <w:color w:val="000000"/>
          <w:szCs w:val="22"/>
        </w:rPr>
        <w:t>The current low unemployment rate in Australia offers increased opportunities for employment of people with disability, including NDIS participants, although the interruptions to employment preparation caused by COVID</w:t>
      </w:r>
      <w:r w:rsidR="009E73B7" w:rsidRPr="007F6332">
        <w:rPr>
          <w:rFonts w:cs="Arial"/>
          <w:color w:val="000000"/>
          <w:szCs w:val="22"/>
        </w:rPr>
        <w:t>-19</w:t>
      </w:r>
      <w:r w:rsidRPr="007F6332">
        <w:rPr>
          <w:rFonts w:cs="Arial"/>
          <w:color w:val="000000"/>
          <w:szCs w:val="22"/>
        </w:rPr>
        <w:t xml:space="preserve"> lockdowns are yet to be fully overcome in </w:t>
      </w:r>
      <w:r w:rsidRPr="007F6332">
        <w:rPr>
          <w:rFonts w:cs="Arial"/>
          <w:color w:val="000000"/>
          <w:szCs w:val="22"/>
        </w:rPr>
        <w:lastRenderedPageBreak/>
        <w:t xml:space="preserve">some areas. </w:t>
      </w:r>
      <w:r w:rsidRPr="007F6332">
        <w:rPr>
          <w:rFonts w:cs="Arial"/>
        </w:rPr>
        <w:t>The Employment Action Plan 2021-22</w:t>
      </w:r>
      <w:r w:rsidRPr="007F6332">
        <w:rPr>
          <w:rStyle w:val="FootnoteReference"/>
          <w:rFonts w:cs="Arial"/>
        </w:rPr>
        <w:footnoteReference w:id="136"/>
      </w:r>
      <w:r w:rsidRPr="007F6332">
        <w:rPr>
          <w:rFonts w:cs="Arial"/>
        </w:rPr>
        <w:t xml:space="preserve"> adapted the </w:t>
      </w:r>
      <w:r w:rsidRPr="007F6332">
        <w:rPr>
          <w:rFonts w:cs="Arial"/>
          <w:shd w:val="clear" w:color="auto" w:fill="FFFFFF"/>
        </w:rPr>
        <w:t>Strategy action plans to the current environment and contains 12 targeted actions that sit under six priority areas.</w:t>
      </w:r>
    </w:p>
    <w:p w14:paraId="54593D97" w14:textId="0CD369C6" w:rsidR="00A83786" w:rsidRPr="007F6332" w:rsidRDefault="00A83786" w:rsidP="00A83786">
      <w:pPr>
        <w:pStyle w:val="FSRnormal"/>
        <w:rPr>
          <w:rFonts w:cs="Arial"/>
        </w:rPr>
      </w:pPr>
      <w:r w:rsidRPr="007F6332">
        <w:rPr>
          <w:rFonts w:cs="Arial"/>
        </w:rPr>
        <w:t xml:space="preserve">Overall, the </w:t>
      </w:r>
      <w:r w:rsidR="00F718E9" w:rsidRPr="007F6332">
        <w:rPr>
          <w:rFonts w:cs="Arial"/>
        </w:rPr>
        <w:t xml:space="preserve">Strategy has been aimed at improving </w:t>
      </w:r>
      <w:r w:rsidRPr="007F6332">
        <w:rPr>
          <w:rFonts w:cs="Arial"/>
        </w:rPr>
        <w:t>employment outcomes for participants and people with disability more broadly, and to guide the Agency in becoming a leader and advocate of disability employment.</w:t>
      </w:r>
      <w:r w:rsidR="00F718E9" w:rsidRPr="007F6332">
        <w:rPr>
          <w:rFonts w:cs="Arial"/>
        </w:rPr>
        <w:t xml:space="preserve"> A new Participant Employment Strategy 2023-2026, which builds on the achievements of the existing Strategy, is under development.</w:t>
      </w:r>
    </w:p>
    <w:p w14:paraId="6C9057C3" w14:textId="77777777" w:rsidR="00F718E9" w:rsidRPr="007F6332" w:rsidRDefault="00F718E9" w:rsidP="00F718E9">
      <w:pPr>
        <w:rPr>
          <w:rFonts w:cs="Arial"/>
          <w:szCs w:val="22"/>
        </w:rPr>
      </w:pPr>
      <w:r w:rsidRPr="007F6332">
        <w:rPr>
          <w:rFonts w:cs="Arial"/>
          <w:szCs w:val="22"/>
        </w:rPr>
        <w:t>The updated Strategy will focus on:</w:t>
      </w:r>
    </w:p>
    <w:p w14:paraId="7883C2E1" w14:textId="2796CD68" w:rsidR="00F718E9" w:rsidRPr="007F6332" w:rsidRDefault="00F718E9" w:rsidP="00C67606">
      <w:pPr>
        <w:pStyle w:val="FSRlist"/>
      </w:pPr>
      <w:r w:rsidRPr="007F6332">
        <w:t>Achieving higher levels of employment for working age participants.</w:t>
      </w:r>
    </w:p>
    <w:p w14:paraId="71D8396E" w14:textId="4C532837" w:rsidR="00F718E9" w:rsidRPr="007F6332" w:rsidRDefault="00F718E9" w:rsidP="00C67606">
      <w:pPr>
        <w:pStyle w:val="FSRlist"/>
      </w:pPr>
      <w:r w:rsidRPr="007F6332">
        <w:t xml:space="preserve">Better information for providers and participants. </w:t>
      </w:r>
    </w:p>
    <w:p w14:paraId="6829B0FB" w14:textId="1F79A2D7" w:rsidR="00F718E9" w:rsidRPr="007F6332" w:rsidRDefault="00F718E9" w:rsidP="00C67606">
      <w:pPr>
        <w:pStyle w:val="FSRlist"/>
      </w:pPr>
      <w:r w:rsidRPr="007F6332">
        <w:t>Improving capability of planners and local area coordinators, particularly in guiding participant conversations about employment and linking them to appropriate services.</w:t>
      </w:r>
    </w:p>
    <w:p w14:paraId="7442B6DD" w14:textId="03FB9C15" w:rsidR="00F718E9" w:rsidRPr="007F6332" w:rsidRDefault="00F718E9" w:rsidP="00C67606">
      <w:pPr>
        <w:pStyle w:val="FSRlist"/>
      </w:pPr>
      <w:r w:rsidRPr="007F6332">
        <w:t>Accurately measuring impact of these changes on employment outcomes.</w:t>
      </w:r>
    </w:p>
    <w:p w14:paraId="7E9CBA05" w14:textId="77777777" w:rsidR="00A83786" w:rsidRPr="007F6332" w:rsidRDefault="00A83786" w:rsidP="00EF79DA">
      <w:pPr>
        <w:pStyle w:val="Heading4"/>
        <w:ind w:left="851" w:hanging="851"/>
        <w:rPr>
          <w:rFonts w:cs="Arial"/>
        </w:rPr>
      </w:pPr>
      <w:r w:rsidRPr="007F6332">
        <w:rPr>
          <w:rFonts w:cs="Arial"/>
        </w:rPr>
        <w:t>Results – percentage in a paid job</w:t>
      </w:r>
    </w:p>
    <w:p w14:paraId="5D994ECC" w14:textId="35AC0928" w:rsidR="00A83786" w:rsidRPr="007F6332" w:rsidRDefault="00A83786" w:rsidP="00A83786">
      <w:pPr>
        <w:pStyle w:val="FSRnormal"/>
        <w:rPr>
          <w:rFonts w:cs="Arial"/>
        </w:rPr>
      </w:pPr>
      <w:r w:rsidRPr="007F6332">
        <w:rPr>
          <w:rFonts w:cs="Arial"/>
        </w:rPr>
        <w:t xml:space="preserve">The </w:t>
      </w:r>
      <w:r w:rsidR="009E73B7" w:rsidRPr="007F6332">
        <w:rPr>
          <w:rFonts w:cs="Arial"/>
        </w:rPr>
        <w:t>C</w:t>
      </w:r>
      <w:r w:rsidRPr="007F6332">
        <w:rPr>
          <w:rFonts w:cs="Arial"/>
        </w:rPr>
        <w:t xml:space="preserve">orporate </w:t>
      </w:r>
      <w:r w:rsidR="009E73B7" w:rsidRPr="007F6332">
        <w:rPr>
          <w:rFonts w:cs="Arial"/>
        </w:rPr>
        <w:t>P</w:t>
      </w:r>
      <w:r w:rsidRPr="007F6332">
        <w:rPr>
          <w:rFonts w:cs="Arial"/>
        </w:rPr>
        <w:t>lan employment metric for participants aged 15 and over is based on the SF question “Are you currently working in a paid job?” with response options “Yes”, “No, but I would like one” and “No and I don’t want one”. The indicator “percentage in a paid job” is the number answering “Yes” as a percentage of the total number answering the question, and hence the denominator includes people who are not interested in employment. From a benchmarking perspective, this is similar to the “employment to population ratio” reported in the ABS Labour Force statistics.</w:t>
      </w:r>
    </w:p>
    <w:p w14:paraId="5D70C10C" w14:textId="5E484048" w:rsidR="00A83786" w:rsidRPr="007F6332" w:rsidRDefault="00A83786" w:rsidP="00A83786">
      <w:pPr>
        <w:pStyle w:val="FSRnormal"/>
        <w:rPr>
          <w:rFonts w:cs="Arial"/>
        </w:rPr>
      </w:pPr>
      <w:r w:rsidRPr="007F6332">
        <w:rPr>
          <w:rFonts w:cs="Arial"/>
        </w:rPr>
        <w:t>The percentage in a paid job for those in the Scheme for at least two years continues to be relatively stable overall</w:t>
      </w:r>
      <w:r w:rsidR="00A61B63" w:rsidRPr="007F6332">
        <w:rPr>
          <w:rFonts w:cs="Arial"/>
        </w:rPr>
        <w:t>,</w:t>
      </w:r>
      <w:r w:rsidRPr="007F6332">
        <w:rPr>
          <w:rFonts w:cs="Arial"/>
        </w:rPr>
        <w:t xml:space="preserve"> </w:t>
      </w:r>
      <w:r w:rsidR="00A61B63" w:rsidRPr="007F6332">
        <w:rPr>
          <w:rFonts w:cs="Arial"/>
        </w:rPr>
        <w:t>h</w:t>
      </w:r>
      <w:r w:rsidRPr="007F6332">
        <w:rPr>
          <w:rFonts w:cs="Arial"/>
        </w:rPr>
        <w:t xml:space="preserve">owever, results differ by age group. While employment has increased for those in the 15-24 year age group, it has remained stable or declined for all other age bands. Specifically, comparing responses at the most recent plan reassessment (between two and six years after entry) with responses at Scheme entry, there </w:t>
      </w:r>
      <w:r w:rsidR="00A61B63" w:rsidRPr="007F6332">
        <w:rPr>
          <w:rFonts w:cs="Arial"/>
        </w:rPr>
        <w:t>was</w:t>
      </w:r>
      <w:r w:rsidRPr="007F6332">
        <w:rPr>
          <w:rFonts w:cs="Arial"/>
        </w:rPr>
        <w:t xml:space="preserve"> a</w:t>
      </w:r>
      <w:r w:rsidRPr="007F6332">
        <w:rPr>
          <w:rStyle w:val="FootnoteReference"/>
          <w:rFonts w:cs="Arial"/>
        </w:rPr>
        <w:footnoteReference w:id="137"/>
      </w:r>
      <w:r w:rsidRPr="007F6332">
        <w:rPr>
          <w:rFonts w:cs="Arial"/>
        </w:rPr>
        <w:t>:</w:t>
      </w:r>
    </w:p>
    <w:p w14:paraId="49AADA80" w14:textId="77777777" w:rsidR="00A83786" w:rsidRPr="007F6332" w:rsidRDefault="00A83786" w:rsidP="005265E0">
      <w:pPr>
        <w:pStyle w:val="FSRlist"/>
      </w:pPr>
      <w:r w:rsidRPr="007F6332">
        <w:rPr>
          <w:b/>
          <w:bCs/>
        </w:rPr>
        <w:t xml:space="preserve">Eleven </w:t>
      </w:r>
      <w:r w:rsidRPr="007F6332">
        <w:t xml:space="preserve">percentage point increase from </w:t>
      </w:r>
      <w:r w:rsidRPr="007F6332">
        <w:rPr>
          <w:b/>
          <w:bCs/>
        </w:rPr>
        <w:t xml:space="preserve">11% </w:t>
      </w:r>
      <w:r w:rsidRPr="007F6332">
        <w:t xml:space="preserve">to </w:t>
      </w:r>
      <w:r w:rsidRPr="007F6332">
        <w:rPr>
          <w:b/>
          <w:bCs/>
        </w:rPr>
        <w:t xml:space="preserve">22% </w:t>
      </w:r>
      <w:r w:rsidRPr="007F6332">
        <w:t>for participants aged 15-24 years.</w:t>
      </w:r>
    </w:p>
    <w:p w14:paraId="3A8D44FB" w14:textId="77777777" w:rsidR="00A83786" w:rsidRPr="007F6332" w:rsidRDefault="00A83786" w:rsidP="005265E0">
      <w:pPr>
        <w:pStyle w:val="FSRlist"/>
      </w:pPr>
      <w:r w:rsidRPr="007F6332">
        <w:rPr>
          <w:b/>
          <w:bCs/>
        </w:rPr>
        <w:t xml:space="preserve">One </w:t>
      </w:r>
      <w:r w:rsidRPr="007F6332">
        <w:t xml:space="preserve">percentage point increase from </w:t>
      </w:r>
      <w:r w:rsidRPr="007F6332">
        <w:rPr>
          <w:b/>
          <w:bCs/>
        </w:rPr>
        <w:t xml:space="preserve">27% </w:t>
      </w:r>
      <w:r w:rsidRPr="007F6332">
        <w:t xml:space="preserve">to </w:t>
      </w:r>
      <w:r w:rsidRPr="007F6332">
        <w:rPr>
          <w:b/>
          <w:bCs/>
        </w:rPr>
        <w:t xml:space="preserve">29% </w:t>
      </w:r>
      <w:r w:rsidRPr="007F6332">
        <w:t>for participants aged 25-34 years.</w:t>
      </w:r>
    </w:p>
    <w:p w14:paraId="589C1AE9" w14:textId="77777777" w:rsidR="00A83786" w:rsidRPr="007F6332" w:rsidRDefault="00A83786" w:rsidP="005265E0">
      <w:pPr>
        <w:pStyle w:val="FSRlist"/>
      </w:pPr>
      <w:r w:rsidRPr="007F6332">
        <w:rPr>
          <w:b/>
          <w:bCs/>
        </w:rPr>
        <w:t xml:space="preserve">One </w:t>
      </w:r>
      <w:r w:rsidRPr="007F6332">
        <w:t xml:space="preserve">percentage point decrease from </w:t>
      </w:r>
      <w:r w:rsidRPr="007F6332">
        <w:rPr>
          <w:b/>
          <w:bCs/>
        </w:rPr>
        <w:t xml:space="preserve">28% </w:t>
      </w:r>
      <w:r w:rsidRPr="007F6332">
        <w:t xml:space="preserve">to </w:t>
      </w:r>
      <w:r w:rsidRPr="007F6332">
        <w:rPr>
          <w:b/>
          <w:bCs/>
        </w:rPr>
        <w:t xml:space="preserve">27% </w:t>
      </w:r>
      <w:r w:rsidRPr="007F6332">
        <w:t>for participants aged 35-44 years.</w:t>
      </w:r>
    </w:p>
    <w:p w14:paraId="77C152A7" w14:textId="77777777" w:rsidR="00A83786" w:rsidRPr="007F6332" w:rsidRDefault="00A83786" w:rsidP="005265E0">
      <w:pPr>
        <w:pStyle w:val="FSRlist"/>
      </w:pPr>
      <w:r w:rsidRPr="007F6332">
        <w:rPr>
          <w:b/>
          <w:bCs/>
        </w:rPr>
        <w:t xml:space="preserve">Two </w:t>
      </w:r>
      <w:r w:rsidRPr="007F6332">
        <w:t xml:space="preserve">percentage point decrease from </w:t>
      </w:r>
      <w:r w:rsidRPr="007F6332">
        <w:rPr>
          <w:b/>
          <w:bCs/>
        </w:rPr>
        <w:t xml:space="preserve">25% </w:t>
      </w:r>
      <w:r w:rsidRPr="007F6332">
        <w:t xml:space="preserve">to </w:t>
      </w:r>
      <w:r w:rsidRPr="007F6332">
        <w:rPr>
          <w:b/>
          <w:bCs/>
        </w:rPr>
        <w:t xml:space="preserve">23% </w:t>
      </w:r>
      <w:r w:rsidRPr="007F6332">
        <w:t>for participants aged 45-54 years.</w:t>
      </w:r>
    </w:p>
    <w:p w14:paraId="4E8CD417" w14:textId="77777777" w:rsidR="00A83786" w:rsidRPr="007F6332" w:rsidRDefault="00A83786" w:rsidP="005265E0">
      <w:pPr>
        <w:pStyle w:val="FSRlist"/>
      </w:pPr>
      <w:r w:rsidRPr="007F6332">
        <w:rPr>
          <w:b/>
          <w:bCs/>
        </w:rPr>
        <w:t xml:space="preserve">Four </w:t>
      </w:r>
      <w:r w:rsidRPr="007F6332">
        <w:t xml:space="preserve">percentage point decrease from </w:t>
      </w:r>
      <w:r w:rsidRPr="007F6332">
        <w:rPr>
          <w:b/>
          <w:bCs/>
        </w:rPr>
        <w:t xml:space="preserve">19% </w:t>
      </w:r>
      <w:r w:rsidRPr="007F6332">
        <w:t xml:space="preserve">to </w:t>
      </w:r>
      <w:r w:rsidRPr="007F6332">
        <w:rPr>
          <w:b/>
          <w:bCs/>
        </w:rPr>
        <w:t xml:space="preserve">15% </w:t>
      </w:r>
      <w:r w:rsidRPr="007F6332">
        <w:t>for participants aged 55-64 years.</w:t>
      </w:r>
    </w:p>
    <w:p w14:paraId="0BB16747" w14:textId="77777777" w:rsidR="00A83786" w:rsidRPr="007F6332" w:rsidRDefault="00A83786" w:rsidP="005265E0">
      <w:pPr>
        <w:pStyle w:val="FSRlist"/>
      </w:pPr>
      <w:r w:rsidRPr="007F6332">
        <w:rPr>
          <w:b/>
          <w:bCs/>
        </w:rPr>
        <w:lastRenderedPageBreak/>
        <w:t xml:space="preserve">Four </w:t>
      </w:r>
      <w:r w:rsidRPr="007F6332">
        <w:t xml:space="preserve">percentage point decrease from </w:t>
      </w:r>
      <w:r w:rsidRPr="007F6332">
        <w:rPr>
          <w:b/>
          <w:bCs/>
        </w:rPr>
        <w:t xml:space="preserve">13% </w:t>
      </w:r>
      <w:r w:rsidRPr="007F6332">
        <w:t xml:space="preserve">to </w:t>
      </w:r>
      <w:r w:rsidRPr="007F6332">
        <w:rPr>
          <w:b/>
          <w:bCs/>
        </w:rPr>
        <w:t xml:space="preserve">8% </w:t>
      </w:r>
      <w:r w:rsidRPr="007F6332">
        <w:t>for participants aged 65 years and older.</w:t>
      </w:r>
    </w:p>
    <w:p w14:paraId="2FD3B801" w14:textId="77777777" w:rsidR="00A83786" w:rsidRPr="007F6332" w:rsidRDefault="00A83786" w:rsidP="00A83786">
      <w:pPr>
        <w:pStyle w:val="FSRnormal"/>
        <w:rPr>
          <w:rFonts w:cs="Arial"/>
        </w:rPr>
      </w:pPr>
      <w:r w:rsidRPr="007F6332">
        <w:rPr>
          <w:rFonts w:cs="Arial"/>
        </w:rPr>
        <w:t xml:space="preserve">Overall, for participants of working age (15-64 years) there has been a </w:t>
      </w:r>
      <w:r w:rsidRPr="007F6332">
        <w:rPr>
          <w:rFonts w:cs="Arial"/>
          <w:b/>
        </w:rPr>
        <w:t>two percentage point increase, from 21% to 23%.</w:t>
      </w:r>
      <w:r w:rsidRPr="007F6332">
        <w:rPr>
          <w:rFonts w:cs="Arial"/>
        </w:rPr>
        <w:t xml:space="preserve"> This compares to a 2022-23 target of 26%.</w:t>
      </w:r>
    </w:p>
    <w:p w14:paraId="6846D474" w14:textId="1C73856E" w:rsidR="00A83786" w:rsidRPr="007F6332" w:rsidRDefault="00950565" w:rsidP="00A83786">
      <w:pPr>
        <w:pStyle w:val="FSRnormal"/>
        <w:rPr>
          <w:rFonts w:cs="Arial"/>
        </w:rPr>
      </w:pPr>
      <w:r w:rsidRPr="007F6332">
        <w:rPr>
          <w:rFonts w:cs="Arial"/>
        </w:rPr>
        <w:t xml:space="preserve">Figure 7.3 </w:t>
      </w:r>
      <w:r w:rsidR="00A83786" w:rsidRPr="007F6332">
        <w:rPr>
          <w:rFonts w:cs="Arial"/>
        </w:rPr>
        <w:t>provides more detail on these results, showing trends over time in the Scheme by age band for different duration cohorts (participants who have been in the Scheme for approximately six, five, four, three or two years at 30 June 2023).</w:t>
      </w:r>
    </w:p>
    <w:p w14:paraId="4C1E032B" w14:textId="698A6AB1" w:rsidR="00A83786" w:rsidRPr="007F6332" w:rsidRDefault="00950565" w:rsidP="005265E0">
      <w:pPr>
        <w:pStyle w:val="FiguresandTablesHeading5"/>
      </w:pPr>
      <w:bookmarkStart w:id="236" w:name="_Hlk151927706"/>
      <w:r w:rsidRPr="007F6332">
        <w:t>Figure 7.3</w:t>
      </w:r>
      <w:r w:rsidR="00A83786" w:rsidRPr="007F6332">
        <w:t>: Percentage of participants in a paid job – longitudinal trends for participants in the Scheme for two to six years.</w:t>
      </w:r>
    </w:p>
    <w:p w14:paraId="366C6A7B" w14:textId="77777777" w:rsidR="00A83786" w:rsidRPr="007F6332" w:rsidRDefault="00A83786" w:rsidP="00A83786">
      <w:pPr>
        <w:pStyle w:val="FSRnormal"/>
        <w:rPr>
          <w:rFonts w:cs="Arial"/>
        </w:rPr>
      </w:pPr>
      <w:r w:rsidRPr="007F6332">
        <w:rPr>
          <w:rFonts w:cs="Arial"/>
          <w:b/>
          <w:noProof/>
        </w:rPr>
        <w:drawing>
          <wp:inline distT="0" distB="0" distL="0" distR="0" wp14:anchorId="280FEFF7" wp14:editId="6F1C9099">
            <wp:extent cx="5611091" cy="4274820"/>
            <wp:effectExtent l="0" t="0" r="8890" b="0"/>
            <wp:docPr id="14" name="Picture 14" descr="Figure 7.3: Percentage of participants in a paid job – longitudinal trends for participants in the Scheme for two to six years.&#10;Across all five cohorts, participants aged 15 to 24 tend to see increases in the percentage in paid employment from baseline to the latest reassessment; while those aged 25 and over see smaller increases in paid employment from baseline to latest reassessment, and even decreases in the case of older ages.&#10;In general, participants aged 25 to 44 are the most likely to be in a paid job for those who have been in the Scheme for 2 to 5 year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7.3: Percentage of participants in a paid job – longitudinal trends for participants in the Scheme for two to six years.&#10;Across all five cohorts, participants aged 15 to 24 tend to see increases in the percentage in paid employment from baseline to the latest reassessment; while those aged 25 and over see smaller increases in paid employment from baseline to latest reassessment, and even decreases in the case of older ages.&#10;In general, participants aged 25 to 44 are the most likely to be in a paid job for those who have been in the Scheme for 2 to 5 years.&#10;&#10;"/>
                    <pic:cNvPicPr/>
                  </pic:nvPicPr>
                  <pic:blipFill>
                    <a:blip r:embed="rId112">
                      <a:extLst>
                        <a:ext uri="{28A0092B-C50C-407E-A947-70E740481C1C}">
                          <a14:useLocalDpi xmlns:a14="http://schemas.microsoft.com/office/drawing/2010/main" val="0"/>
                        </a:ext>
                      </a:extLst>
                    </a:blip>
                    <a:stretch>
                      <a:fillRect/>
                    </a:stretch>
                  </pic:blipFill>
                  <pic:spPr>
                    <a:xfrm>
                      <a:off x="0" y="0"/>
                      <a:ext cx="5622662" cy="4283636"/>
                    </a:xfrm>
                    <a:prstGeom prst="rect">
                      <a:avLst/>
                    </a:prstGeom>
                  </pic:spPr>
                </pic:pic>
              </a:graphicData>
            </a:graphic>
          </wp:inline>
        </w:drawing>
      </w:r>
    </w:p>
    <w:bookmarkEnd w:id="236"/>
    <w:p w14:paraId="783DBB16" w14:textId="7C7DAAA8" w:rsidR="00A83786" w:rsidRPr="007F6332" w:rsidRDefault="00DC7CC9" w:rsidP="00A83786">
      <w:pPr>
        <w:rPr>
          <w:rFonts w:cs="Arial"/>
        </w:rPr>
      </w:pPr>
      <w:r w:rsidRPr="007F6332">
        <w:rPr>
          <w:rFonts w:cs="Arial"/>
        </w:rPr>
        <w:t>Figure 7.3</w:t>
      </w:r>
      <w:r w:rsidR="00A83786" w:rsidRPr="007F6332">
        <w:rPr>
          <w:rFonts w:cs="Arial"/>
        </w:rPr>
        <w:t xml:space="preserve"> shows a strong increasing trend in the percentage with a paid job for the 15 to 24 age group for all duration cohorts, in part reflecting the transition from school to work. For participants in the Scheme for four or five years, those aged 25 to 54 are the most likely to have a paid job, and the level of employment and trend over time is similar for the three age groups within this range. For participants in the Scheme for two or three years, those aged 25 to 44 are more likely than those aged 45 to 54 to have a paid job. For all duration cohorts, the level of employment is lower for participants aged 55 to 64, and lowest for those aged 65 and over, and both of these age groups show a decreasing trend. Part of this decreasing trend is likely to be due to participants retiring from the workforce.</w:t>
      </w:r>
    </w:p>
    <w:p w14:paraId="733F22FD" w14:textId="3A3A201C" w:rsidR="00A83786" w:rsidRPr="007F6332" w:rsidRDefault="00A83786" w:rsidP="00A83786">
      <w:pPr>
        <w:rPr>
          <w:rFonts w:cs="Arial"/>
        </w:rPr>
      </w:pPr>
      <w:r w:rsidRPr="007F6332">
        <w:rPr>
          <w:rFonts w:cs="Arial"/>
        </w:rPr>
        <w:lastRenderedPageBreak/>
        <w:t>Further details about the employment outcomes for NDIS participants can be found in the publicly available report titled “Employment outcomes for NDIS participants as at 31 December 2020”.</w:t>
      </w:r>
      <w:r w:rsidRPr="007F6332">
        <w:rPr>
          <w:rStyle w:val="FootnoteReference"/>
          <w:rFonts w:cs="Arial"/>
        </w:rPr>
        <w:footnoteReference w:id="138"/>
      </w:r>
      <w:r w:rsidR="00F718E9" w:rsidRPr="007F6332">
        <w:rPr>
          <w:rFonts w:cs="Arial"/>
        </w:rPr>
        <w:t xml:space="preserve"> High level insights on employment outcomes are also published in the NDIA’s Quarterly Reports to Disability Ministers.</w:t>
      </w:r>
      <w:r w:rsidR="00F718E9" w:rsidRPr="007F6332">
        <w:rPr>
          <w:rStyle w:val="FootnoteReference"/>
          <w:rFonts w:cs="Arial"/>
        </w:rPr>
        <w:footnoteReference w:id="139"/>
      </w:r>
    </w:p>
    <w:p w14:paraId="582E489B" w14:textId="77777777" w:rsidR="00A83786" w:rsidRPr="007F6332" w:rsidRDefault="00A83786" w:rsidP="00EF79DA">
      <w:pPr>
        <w:pStyle w:val="Heading4"/>
        <w:ind w:left="851" w:hanging="851"/>
        <w:rPr>
          <w:rFonts w:cs="Arial"/>
        </w:rPr>
      </w:pPr>
      <w:r w:rsidRPr="007F6332">
        <w:rPr>
          <w:rFonts w:cs="Arial"/>
        </w:rPr>
        <w:t>Social and community participation</w:t>
      </w:r>
    </w:p>
    <w:p w14:paraId="02A45687" w14:textId="77777777" w:rsidR="00A83786" w:rsidRPr="007F6332" w:rsidRDefault="00A83786" w:rsidP="00A83786">
      <w:pPr>
        <w:rPr>
          <w:rFonts w:cs="Arial"/>
          <w:color w:val="222222"/>
          <w:shd w:val="clear" w:color="auto" w:fill="FFFFFF"/>
        </w:rPr>
      </w:pPr>
      <w:r w:rsidRPr="007F6332">
        <w:rPr>
          <w:rFonts w:cs="Arial"/>
        </w:rPr>
        <w:t>Participation in the community has many benefits for participants, including fostering a sense of belonging and connection, developing social networks and reducing isolation, and increasing confidence and feelings of safety. It can also be a</w:t>
      </w:r>
      <w:r w:rsidRPr="007F6332">
        <w:rPr>
          <w:rFonts w:cs="Arial"/>
          <w:color w:val="222222"/>
          <w:shd w:val="clear" w:color="auto" w:fill="FFFFFF"/>
        </w:rPr>
        <w:t xml:space="preserve"> way to increase opportunities for employment or study.</w:t>
      </w:r>
      <w:r w:rsidRPr="007F6332">
        <w:rPr>
          <w:rStyle w:val="FootnoteReference"/>
          <w:rFonts w:cs="Arial"/>
        </w:rPr>
        <w:footnoteReference w:id="140"/>
      </w:r>
      <w:r w:rsidRPr="007F6332">
        <w:rPr>
          <w:rFonts w:cs="Arial"/>
          <w:color w:val="222222"/>
          <w:shd w:val="clear" w:color="auto" w:fill="FFFFFF"/>
        </w:rPr>
        <w:t xml:space="preserve"> Participation in the community can lead to increased independence and reduced reliance on Scheme supports.</w:t>
      </w:r>
    </w:p>
    <w:p w14:paraId="759821F3" w14:textId="77777777" w:rsidR="00A83786" w:rsidRPr="007F6332" w:rsidRDefault="00A83786" w:rsidP="00EF79DA">
      <w:pPr>
        <w:pStyle w:val="Heading4"/>
        <w:ind w:left="851" w:hanging="851"/>
        <w:rPr>
          <w:rFonts w:cs="Arial"/>
        </w:rPr>
      </w:pPr>
      <w:r w:rsidRPr="007F6332">
        <w:rPr>
          <w:rFonts w:cs="Arial"/>
        </w:rPr>
        <w:t>Results – percentage actively involved in the community</w:t>
      </w:r>
    </w:p>
    <w:p w14:paraId="685B6E39" w14:textId="199F03FD" w:rsidR="00A83786" w:rsidRPr="007F6332" w:rsidRDefault="00A83786" w:rsidP="00A83786">
      <w:pPr>
        <w:rPr>
          <w:rFonts w:cs="Arial"/>
        </w:rPr>
      </w:pPr>
      <w:r w:rsidRPr="007F6332">
        <w:rPr>
          <w:rFonts w:cs="Arial"/>
        </w:rPr>
        <w:t xml:space="preserve">The </w:t>
      </w:r>
      <w:r w:rsidR="00756C95" w:rsidRPr="007F6332">
        <w:rPr>
          <w:rFonts w:cs="Arial"/>
        </w:rPr>
        <w:t>C</w:t>
      </w:r>
      <w:r w:rsidRPr="007F6332">
        <w:rPr>
          <w:rFonts w:cs="Arial"/>
        </w:rPr>
        <w:t xml:space="preserve">orporate </w:t>
      </w:r>
      <w:r w:rsidR="00756C95" w:rsidRPr="007F6332">
        <w:rPr>
          <w:rFonts w:cs="Arial"/>
        </w:rPr>
        <w:t>P</w:t>
      </w:r>
      <w:r w:rsidRPr="007F6332">
        <w:rPr>
          <w:rFonts w:cs="Arial"/>
        </w:rPr>
        <w:t>lan social and community engagement metric for participants aged 15 and over is based on the SF question “Have you been</w:t>
      </w:r>
      <w:r w:rsidRPr="007F6332">
        <w:rPr>
          <w:rFonts w:eastAsia="Calibri" w:cs="Arial"/>
          <w:color w:val="000000"/>
          <w:spacing w:val="5"/>
        </w:rPr>
        <w:t xml:space="preserve"> </w:t>
      </w:r>
      <w:r w:rsidRPr="007F6332">
        <w:rPr>
          <w:rFonts w:cs="Arial"/>
          <w:color w:val="222222"/>
          <w:shd w:val="clear" w:color="auto" w:fill="FFFFFF"/>
        </w:rPr>
        <w:t>actively involved in a community, cultural or religious group in the last 12 months</w:t>
      </w:r>
      <w:r w:rsidRPr="007F6332">
        <w:rPr>
          <w:rFonts w:eastAsia="Calibri" w:cs="Arial"/>
          <w:color w:val="000000"/>
          <w:spacing w:val="5"/>
        </w:rPr>
        <w:t>?</w:t>
      </w:r>
      <w:r w:rsidRPr="007F6332">
        <w:rPr>
          <w:rFonts w:cs="Arial"/>
        </w:rPr>
        <w:t>” with response options “Yes, a general community group”, “Yes, a group for people with disability”, “No, but I would like to be” and “No and I don’t want to be”. The indicator for social and community engagement is the number answering “Yes” (regardless of setting) as a percentage of the total number answering the question.</w:t>
      </w:r>
    </w:p>
    <w:p w14:paraId="16A076B9" w14:textId="77777777" w:rsidR="00A83786" w:rsidRPr="007F6332" w:rsidRDefault="00A83786" w:rsidP="00A83786">
      <w:pPr>
        <w:rPr>
          <w:rFonts w:cs="Arial"/>
          <w:color w:val="222222"/>
          <w:shd w:val="clear" w:color="auto" w:fill="FFFFFF"/>
        </w:rPr>
      </w:pPr>
      <w:r w:rsidRPr="007F6332">
        <w:rPr>
          <w:rFonts w:cs="Arial"/>
          <w:color w:val="222222"/>
          <w:shd w:val="clear" w:color="auto" w:fill="FFFFFF"/>
        </w:rPr>
        <w:t>Despite COVID-19, participation in community and social activities has continued to increase. Results tend to be more similar by age group than for employment. Specifically, the percentage actively involved in a community, cultural or religious group in the last 12 months showed a</w:t>
      </w:r>
      <w:r w:rsidRPr="007F6332">
        <w:rPr>
          <w:rStyle w:val="FootnoteReference"/>
          <w:rFonts w:cs="Arial"/>
          <w:color w:val="222222"/>
          <w:shd w:val="clear" w:color="auto" w:fill="FFFFFF"/>
        </w:rPr>
        <w:footnoteReference w:id="141"/>
      </w:r>
      <w:r w:rsidRPr="007F6332">
        <w:rPr>
          <w:rFonts w:cs="Arial"/>
          <w:color w:val="222222"/>
          <w:shd w:val="clear" w:color="auto" w:fill="FFFFFF"/>
        </w:rPr>
        <w:t>:</w:t>
      </w:r>
    </w:p>
    <w:p w14:paraId="24F74DE8" w14:textId="77777777" w:rsidR="00A83786" w:rsidRPr="007F6332" w:rsidRDefault="00A83786" w:rsidP="00A83786">
      <w:pPr>
        <w:pStyle w:val="FSRlist"/>
        <w:rPr>
          <w:rFonts w:cs="Arial"/>
          <w:shd w:val="clear" w:color="auto" w:fill="FFFFFF"/>
        </w:rPr>
      </w:pPr>
      <w:r w:rsidRPr="007F6332">
        <w:rPr>
          <w:rFonts w:cs="Arial"/>
          <w:b/>
          <w:shd w:val="clear" w:color="auto" w:fill="FFFFFF"/>
        </w:rPr>
        <w:t>Six</w:t>
      </w:r>
      <w:r w:rsidRPr="007F6332">
        <w:rPr>
          <w:rFonts w:cs="Arial"/>
          <w:shd w:val="clear" w:color="auto" w:fill="FFFFFF"/>
        </w:rPr>
        <w:t xml:space="preserve"> percentage point increase from 34% to 40% for participants aged 15–24 years.</w:t>
      </w:r>
    </w:p>
    <w:p w14:paraId="3E7487AF" w14:textId="77777777" w:rsidR="00A83786" w:rsidRPr="007F6332" w:rsidRDefault="00A83786" w:rsidP="00A83786">
      <w:pPr>
        <w:pStyle w:val="FSRlist"/>
        <w:rPr>
          <w:rFonts w:cs="Arial"/>
          <w:shd w:val="clear" w:color="auto" w:fill="FFFFFF"/>
        </w:rPr>
      </w:pPr>
      <w:r w:rsidRPr="007F6332">
        <w:rPr>
          <w:rFonts w:cs="Arial"/>
          <w:b/>
          <w:shd w:val="clear" w:color="auto" w:fill="FFFFFF"/>
        </w:rPr>
        <w:t>Nine</w:t>
      </w:r>
      <w:r w:rsidRPr="007F6332">
        <w:rPr>
          <w:rFonts w:cs="Arial"/>
          <w:shd w:val="clear" w:color="auto" w:fill="FFFFFF"/>
        </w:rPr>
        <w:t xml:space="preserve"> percentage point increase from 36% to 45% for participants aged 25-34 years.</w:t>
      </w:r>
    </w:p>
    <w:p w14:paraId="17862C94" w14:textId="77777777" w:rsidR="00A83786" w:rsidRPr="007F6332" w:rsidRDefault="00A83786" w:rsidP="00A83786">
      <w:pPr>
        <w:pStyle w:val="FSRlist"/>
        <w:rPr>
          <w:rFonts w:cs="Arial"/>
          <w:shd w:val="clear" w:color="auto" w:fill="FFFFFF"/>
        </w:rPr>
      </w:pPr>
      <w:r w:rsidRPr="007F6332">
        <w:rPr>
          <w:rFonts w:cs="Arial"/>
          <w:b/>
          <w:shd w:val="clear" w:color="auto" w:fill="FFFFFF"/>
        </w:rPr>
        <w:t>Seven</w:t>
      </w:r>
      <w:r w:rsidRPr="007F6332">
        <w:rPr>
          <w:rFonts w:cs="Arial"/>
          <w:shd w:val="clear" w:color="auto" w:fill="FFFFFF"/>
        </w:rPr>
        <w:t xml:space="preserve"> percentage point increase from 36% to 43% for participants aged 35-44 years.</w:t>
      </w:r>
    </w:p>
    <w:p w14:paraId="1168E1BD" w14:textId="77777777" w:rsidR="00A83786" w:rsidRPr="007F6332" w:rsidRDefault="00A83786" w:rsidP="00A83786">
      <w:pPr>
        <w:pStyle w:val="FSRlist"/>
        <w:rPr>
          <w:rFonts w:cs="Arial"/>
          <w:shd w:val="clear" w:color="auto" w:fill="FFFFFF"/>
        </w:rPr>
      </w:pPr>
      <w:r w:rsidRPr="007F6332">
        <w:rPr>
          <w:rFonts w:cs="Arial"/>
          <w:b/>
          <w:shd w:val="clear" w:color="auto" w:fill="FFFFFF"/>
        </w:rPr>
        <w:t>Seven</w:t>
      </w:r>
      <w:r w:rsidRPr="007F6332">
        <w:rPr>
          <w:rFonts w:cs="Arial"/>
          <w:shd w:val="clear" w:color="auto" w:fill="FFFFFF"/>
        </w:rPr>
        <w:t xml:space="preserve"> percentage point increase from 35% to 42% for participants aged 45-54 years.</w:t>
      </w:r>
    </w:p>
    <w:p w14:paraId="7FA8DD6F" w14:textId="77777777" w:rsidR="00A83786" w:rsidRPr="007F6332" w:rsidRDefault="00A83786" w:rsidP="00A83786">
      <w:pPr>
        <w:pStyle w:val="FSRlist"/>
        <w:rPr>
          <w:rFonts w:cs="Arial"/>
          <w:shd w:val="clear" w:color="auto" w:fill="FFFFFF"/>
        </w:rPr>
      </w:pPr>
      <w:r w:rsidRPr="007F6332">
        <w:rPr>
          <w:rFonts w:cs="Arial"/>
          <w:b/>
          <w:shd w:val="clear" w:color="auto" w:fill="FFFFFF"/>
        </w:rPr>
        <w:t>Five</w:t>
      </w:r>
      <w:r w:rsidRPr="007F6332">
        <w:rPr>
          <w:rFonts w:cs="Arial"/>
          <w:shd w:val="clear" w:color="auto" w:fill="FFFFFF"/>
        </w:rPr>
        <w:t xml:space="preserve"> percentage point increase from 35% to 40% for participants aged 55-64 years.</w:t>
      </w:r>
    </w:p>
    <w:p w14:paraId="0C43D9FF" w14:textId="77777777" w:rsidR="00A83786" w:rsidRPr="007F6332" w:rsidRDefault="00A83786" w:rsidP="00A83786">
      <w:pPr>
        <w:pStyle w:val="FSRlist"/>
        <w:rPr>
          <w:rFonts w:cs="Arial"/>
          <w:shd w:val="clear" w:color="auto" w:fill="FFFFFF"/>
        </w:rPr>
      </w:pPr>
      <w:r w:rsidRPr="007F6332">
        <w:rPr>
          <w:rFonts w:cs="Arial"/>
          <w:b/>
          <w:shd w:val="clear" w:color="auto" w:fill="FFFFFF"/>
        </w:rPr>
        <w:t>Six</w:t>
      </w:r>
      <w:r w:rsidRPr="007F6332">
        <w:rPr>
          <w:rFonts w:cs="Arial"/>
          <w:shd w:val="clear" w:color="auto" w:fill="FFFFFF"/>
        </w:rPr>
        <w:t xml:space="preserve"> percentage point increase from 36% to 42% for participants aged 65 years and older.</w:t>
      </w:r>
    </w:p>
    <w:p w14:paraId="220ECA0E" w14:textId="77777777" w:rsidR="00A83786" w:rsidRPr="007F6332" w:rsidRDefault="00A83786" w:rsidP="00A83786">
      <w:pPr>
        <w:rPr>
          <w:rFonts w:cs="Arial"/>
        </w:rPr>
      </w:pPr>
      <w:r w:rsidRPr="007F6332">
        <w:rPr>
          <w:rFonts w:cs="Arial"/>
          <w:bCs/>
        </w:rPr>
        <w:lastRenderedPageBreak/>
        <w:t xml:space="preserve">Overall, for participants aged 15 and over, there has been a </w:t>
      </w:r>
      <w:r w:rsidRPr="007F6332">
        <w:rPr>
          <w:rFonts w:cs="Arial"/>
          <w:b/>
          <w:bCs/>
        </w:rPr>
        <w:t>seven percentage point increase, from 35% to 42%.</w:t>
      </w:r>
      <w:r w:rsidRPr="007F6332">
        <w:rPr>
          <w:rFonts w:cs="Arial"/>
          <w:bCs/>
        </w:rPr>
        <w:t xml:space="preserve"> This compares to a 2022-23 target of 46%.</w:t>
      </w:r>
    </w:p>
    <w:p w14:paraId="2C6A3A54" w14:textId="692422F2" w:rsidR="00A83786" w:rsidRPr="007F6332" w:rsidRDefault="00A83786" w:rsidP="00A83786">
      <w:pPr>
        <w:rPr>
          <w:rFonts w:cs="Arial"/>
          <w:color w:val="222222"/>
          <w:shd w:val="clear" w:color="auto" w:fill="FFFFFF"/>
        </w:rPr>
      </w:pPr>
      <w:r w:rsidRPr="007F6332">
        <w:rPr>
          <w:rFonts w:cs="Arial"/>
        </w:rPr>
        <w:t xml:space="preserve">Figure </w:t>
      </w:r>
      <w:r w:rsidR="00C46EFE" w:rsidRPr="007F6332">
        <w:rPr>
          <w:rFonts w:cs="Arial"/>
        </w:rPr>
        <w:t>7.</w:t>
      </w:r>
      <w:r w:rsidRPr="007F6332">
        <w:rPr>
          <w:rFonts w:cs="Arial"/>
        </w:rPr>
        <w:t xml:space="preserve">4 provides more detail on these results, showing trends over time in the Scheme by age band for different duration cohorts (participants who have been in the Scheme for approximately six, five, four, three or two years at 30 June 2023). </w:t>
      </w:r>
      <w:r w:rsidRPr="007F6332">
        <w:rPr>
          <w:rFonts w:cs="Arial"/>
          <w:color w:val="222222"/>
          <w:shd w:val="clear" w:color="auto" w:fill="FFFFFF"/>
        </w:rPr>
        <w:t>Due to improvements persisting over time, the change from baseline is greater the longer participants have been in the Scheme, for all age groups.</w:t>
      </w:r>
    </w:p>
    <w:p w14:paraId="48325CC5" w14:textId="1BE82C57" w:rsidR="00A83786" w:rsidRPr="007F6332" w:rsidRDefault="0045717D" w:rsidP="005265E0">
      <w:pPr>
        <w:pStyle w:val="FiguresandTablesHeading5"/>
      </w:pPr>
      <w:bookmarkStart w:id="237" w:name="_Hlk151927681"/>
      <w:r w:rsidRPr="007F6332">
        <w:t>Figure 7.4</w:t>
      </w:r>
      <w:r w:rsidR="00A83786" w:rsidRPr="007F6332">
        <w:t>: Percentage of participants actively involved in the community – longitudinal trends for participants in the Scheme for two to six years.</w:t>
      </w:r>
    </w:p>
    <w:p w14:paraId="4F1DD440" w14:textId="77777777" w:rsidR="00A83786" w:rsidRPr="007F6332" w:rsidRDefault="00A83786" w:rsidP="00A83786">
      <w:pPr>
        <w:rPr>
          <w:rFonts w:cs="Arial"/>
          <w:color w:val="222222"/>
          <w:shd w:val="clear" w:color="auto" w:fill="FFFFFF"/>
        </w:rPr>
      </w:pPr>
      <w:r w:rsidRPr="007F6332">
        <w:rPr>
          <w:rFonts w:cs="Arial"/>
          <w:noProof/>
        </w:rPr>
        <w:drawing>
          <wp:inline distT="0" distB="0" distL="0" distR="0" wp14:anchorId="69FE39FD" wp14:editId="3FEAFCF2">
            <wp:extent cx="5731510" cy="3971290"/>
            <wp:effectExtent l="0" t="0" r="2540" b="0"/>
            <wp:docPr id="8" name="Picture 8" descr="Figure 7.4: Percentage of participants actively involved in the community – longitudinal trends for participants in the Scheme for two to six years.There seems to be a cohort effect in the percentage of participants involved in social and community activities, as those who have been in the Scheme for fewer years (entered the Scheme later in most cases) are slightly less likely to be involved at baseline.&#10;Improvements in social and community participation are larger for those who have been in the Scheme for longer, and most increases are attributed to the earlier years in the Sche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7.4: Percentage of participants actively involved in the community – longitudinal trends for participants in the Scheme for two to six years.There seems to be a cohort effect in the percentage of participants involved in social and community activities, as those who have been in the Scheme for fewer years (entered the Scheme later in most cases) are slightly less likely to be involved at baseline.&#10;Improvements in social and community participation are larger for those who have been in the Scheme for longer, and most increases are attributed to the earlier years in the Scheme.&#1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31510" cy="3971290"/>
                    </a:xfrm>
                    <a:prstGeom prst="rect">
                      <a:avLst/>
                    </a:prstGeom>
                    <a:noFill/>
                    <a:ln>
                      <a:noFill/>
                    </a:ln>
                  </pic:spPr>
                </pic:pic>
              </a:graphicData>
            </a:graphic>
          </wp:inline>
        </w:drawing>
      </w:r>
    </w:p>
    <w:bookmarkEnd w:id="237"/>
    <w:p w14:paraId="5CA479FE" w14:textId="77777777" w:rsidR="00BD2B60" w:rsidRPr="007F6332" w:rsidRDefault="007F02F2" w:rsidP="00A83786">
      <w:pPr>
        <w:rPr>
          <w:rFonts w:cs="Arial"/>
        </w:rPr>
        <w:sectPr w:rsidR="00BD2B60" w:rsidRPr="007F6332" w:rsidSect="00CE7E91">
          <w:pgSz w:w="11906" w:h="16838"/>
          <w:pgMar w:top="1440" w:right="1440" w:bottom="1440" w:left="1440" w:header="708" w:footer="850" w:gutter="0"/>
          <w:cols w:space="708"/>
          <w:docGrid w:linePitch="360"/>
        </w:sectPr>
      </w:pPr>
      <w:r w:rsidRPr="007F6332">
        <w:rPr>
          <w:rFonts w:cs="Arial"/>
        </w:rPr>
        <w:t xml:space="preserve">Figure 7.4 </w:t>
      </w:r>
      <w:r w:rsidR="00A83786" w:rsidRPr="007F6332">
        <w:rPr>
          <w:rFonts w:cs="Arial"/>
        </w:rPr>
        <w:t>shows that increases in social and community participation generally tend to level off slightly after approximately three years in the Scheme. Whilst differences by age are smaller than for employment, participants aged 25 to 34 tend to be slightly above other age groups whereas participants aged 15 to 24 tend to be slightly below. The extent of improvement is slightly lower for the oldest two age groups.</w:t>
      </w:r>
    </w:p>
    <w:p w14:paraId="15E450EE" w14:textId="77777777" w:rsidR="00A83786" w:rsidRPr="007F6332" w:rsidRDefault="00A83786" w:rsidP="00E81C0D">
      <w:pPr>
        <w:pStyle w:val="Heading3"/>
        <w:ind w:left="709" w:hanging="709"/>
        <w:rPr>
          <w:rFonts w:cs="Arial"/>
        </w:rPr>
      </w:pPr>
      <w:bookmarkStart w:id="238" w:name="_Ref47448035"/>
      <w:bookmarkStart w:id="239" w:name="_Toc146286176"/>
      <w:bookmarkStart w:id="240" w:name="_Toc152615003"/>
      <w:r w:rsidRPr="007F6332">
        <w:rPr>
          <w:rFonts w:cs="Arial"/>
        </w:rPr>
        <w:lastRenderedPageBreak/>
        <w:t>“Has the NDIS helped?”</w:t>
      </w:r>
      <w:bookmarkEnd w:id="238"/>
      <w:bookmarkEnd w:id="239"/>
      <w:bookmarkEnd w:id="240"/>
    </w:p>
    <w:p w14:paraId="730168FD" w14:textId="77777777" w:rsidR="00A83786" w:rsidRPr="007F6332" w:rsidRDefault="00A83786" w:rsidP="00A83786">
      <w:pPr>
        <w:spacing w:before="240"/>
        <w:rPr>
          <w:rFonts w:cs="Arial"/>
        </w:rPr>
      </w:pPr>
      <w:r w:rsidRPr="007F6332">
        <w:rPr>
          <w:rFonts w:cs="Arial"/>
        </w:rPr>
        <w:t>Participants who have entered the Scheme since 1 July 2016 have been asked whether the NDIS has helped with areas related to each domain. Participants are asked at each plan reassessment, allowing the Agency to gain valuable longitudinal insights. Results for selected domains are shown in this section, and compare responses provided at the first plan reassessment</w:t>
      </w:r>
      <w:r w:rsidRPr="007F6332" w:rsidDel="007B76AC">
        <w:rPr>
          <w:rFonts w:cs="Arial"/>
        </w:rPr>
        <w:t xml:space="preserve"> </w:t>
      </w:r>
      <w:r w:rsidRPr="007F6332">
        <w:rPr>
          <w:rFonts w:cs="Arial"/>
        </w:rPr>
        <w:t>with those from later reassessments, for participants who have been in the Scheme for at least two years.</w:t>
      </w:r>
    </w:p>
    <w:p w14:paraId="1825AA66" w14:textId="05FA4323" w:rsidR="00A83786" w:rsidRPr="007F6332" w:rsidRDefault="00A83786" w:rsidP="00A83786">
      <w:pPr>
        <w:rPr>
          <w:rFonts w:cs="Arial"/>
        </w:rPr>
      </w:pPr>
      <w:r w:rsidRPr="007F6332">
        <w:rPr>
          <w:rFonts w:cs="Arial"/>
        </w:rPr>
        <w:t xml:space="preserve">On the whole, perceptions of the Scheme have been positive, with participants and their families/carers more likely to report that the Scheme had helped them in various areas of their lives the longer the participant was in the Scheme. These results suggest a growing level of support for the Scheme by its participants and the family members and carers of participants. These positive perceptions are another indication of Scheme effectiveness and in the </w:t>
      </w:r>
      <w:r w:rsidR="00043BF8" w:rsidRPr="007F6332">
        <w:rPr>
          <w:rFonts w:cs="Arial"/>
        </w:rPr>
        <w:t>long-term</w:t>
      </w:r>
      <w:r w:rsidRPr="007F6332">
        <w:rPr>
          <w:rFonts w:cs="Arial"/>
        </w:rPr>
        <w:t xml:space="preserve"> assist in strengthening the ongoing financial sustainability of the Scheme.</w:t>
      </w:r>
    </w:p>
    <w:p w14:paraId="7806C186" w14:textId="43720262" w:rsidR="00A83786" w:rsidRPr="007F6332" w:rsidRDefault="00A83786" w:rsidP="00EF79DA">
      <w:pPr>
        <w:pStyle w:val="Heading4"/>
        <w:ind w:left="851" w:hanging="851"/>
        <w:rPr>
          <w:rFonts w:cs="Arial"/>
        </w:rPr>
      </w:pPr>
      <w:r w:rsidRPr="007F6332">
        <w:rPr>
          <w:rFonts w:cs="Arial"/>
        </w:rPr>
        <w:t xml:space="preserve">Results – </w:t>
      </w:r>
      <w:r w:rsidR="00756C95" w:rsidRPr="007F6332">
        <w:rPr>
          <w:rFonts w:cs="Arial"/>
        </w:rPr>
        <w:t>C</w:t>
      </w:r>
      <w:r w:rsidRPr="007F6332">
        <w:rPr>
          <w:rFonts w:cs="Arial"/>
        </w:rPr>
        <w:t xml:space="preserve">orporate </w:t>
      </w:r>
      <w:r w:rsidR="00756C95" w:rsidRPr="007F6332">
        <w:rPr>
          <w:rFonts w:cs="Arial"/>
        </w:rPr>
        <w:t>P</w:t>
      </w:r>
      <w:r w:rsidRPr="007F6332">
        <w:rPr>
          <w:rFonts w:cs="Arial"/>
        </w:rPr>
        <w:t>lan choice and control metric</w:t>
      </w:r>
    </w:p>
    <w:p w14:paraId="363B33E8" w14:textId="26D70A38" w:rsidR="00A83786" w:rsidRPr="007F6332" w:rsidRDefault="00A83786" w:rsidP="00A83786">
      <w:pPr>
        <w:rPr>
          <w:rFonts w:cs="Arial"/>
        </w:rPr>
      </w:pPr>
      <w:r w:rsidRPr="007F6332">
        <w:rPr>
          <w:rFonts w:cs="Arial"/>
        </w:rPr>
        <w:t xml:space="preserve">The </w:t>
      </w:r>
      <w:r w:rsidR="00756C95" w:rsidRPr="007F6332">
        <w:rPr>
          <w:rFonts w:cs="Arial"/>
        </w:rPr>
        <w:t>C</w:t>
      </w:r>
      <w:r w:rsidRPr="007F6332">
        <w:rPr>
          <w:rFonts w:cs="Arial"/>
        </w:rPr>
        <w:t xml:space="preserve">orporate </w:t>
      </w:r>
      <w:r w:rsidR="00756C95" w:rsidRPr="007F6332">
        <w:rPr>
          <w:rFonts w:cs="Arial"/>
        </w:rPr>
        <w:t>P</w:t>
      </w:r>
      <w:r w:rsidRPr="007F6332">
        <w:rPr>
          <w:rFonts w:cs="Arial"/>
        </w:rPr>
        <w:t>lan choice and control metric for participants aged 15 and over is based on the SF question “Has the NDIS helped you have more choices and more control over your life?”</w:t>
      </w:r>
    </w:p>
    <w:p w14:paraId="1843196F" w14:textId="77777777" w:rsidR="00A83786" w:rsidRPr="007F6332" w:rsidRDefault="00A83786" w:rsidP="00A83786">
      <w:pPr>
        <w:rPr>
          <w:rFonts w:cs="Arial"/>
          <w:color w:val="222222"/>
          <w:shd w:val="clear" w:color="auto" w:fill="FFFFFF"/>
        </w:rPr>
      </w:pPr>
      <w:r w:rsidRPr="007F6332">
        <w:rPr>
          <w:rFonts w:cs="Arial"/>
          <w:color w:val="222222"/>
          <w:shd w:val="clear" w:color="auto" w:fill="FFFFFF"/>
        </w:rPr>
        <w:t xml:space="preserve">Positive perceptions of whether the NDIS has helped with choice and control have increased for the latest </w:t>
      </w:r>
      <w:r w:rsidRPr="007F6332">
        <w:rPr>
          <w:rFonts w:cs="Arial"/>
        </w:rPr>
        <w:t>reassessment</w:t>
      </w:r>
      <w:r w:rsidRPr="007F6332" w:rsidDel="002C36CC">
        <w:rPr>
          <w:rFonts w:cs="Arial"/>
          <w:color w:val="222222"/>
          <w:shd w:val="clear" w:color="auto" w:fill="FFFFFF"/>
        </w:rPr>
        <w:t xml:space="preserve"> </w:t>
      </w:r>
      <w:r w:rsidRPr="007F6332">
        <w:rPr>
          <w:rFonts w:cs="Arial"/>
          <w:color w:val="222222"/>
          <w:shd w:val="clear" w:color="auto" w:fill="FFFFFF"/>
        </w:rPr>
        <w:t xml:space="preserve">compared to the first </w:t>
      </w:r>
      <w:r w:rsidRPr="007F6332">
        <w:rPr>
          <w:rFonts w:cs="Arial"/>
        </w:rPr>
        <w:t>reassessment</w:t>
      </w:r>
      <w:r w:rsidRPr="007F6332" w:rsidDel="002C36CC">
        <w:rPr>
          <w:rFonts w:cs="Arial"/>
          <w:color w:val="222222"/>
          <w:shd w:val="clear" w:color="auto" w:fill="FFFFFF"/>
        </w:rPr>
        <w:t xml:space="preserve"> </w:t>
      </w:r>
      <w:r w:rsidRPr="007F6332">
        <w:rPr>
          <w:rFonts w:cs="Arial"/>
          <w:color w:val="222222"/>
          <w:shd w:val="clear" w:color="auto" w:fill="FFFFFF"/>
        </w:rPr>
        <w:t>across all age bands. Older participants tend to have higher levels of satisfaction. Specifically, the percentage who think that the NDIS has helped them have more choices and more control over their life showed a</w:t>
      </w:r>
      <w:r w:rsidRPr="007F6332">
        <w:rPr>
          <w:rStyle w:val="FootnoteReference"/>
          <w:rFonts w:cs="Arial"/>
          <w:color w:val="222222"/>
          <w:shd w:val="clear" w:color="auto" w:fill="FFFFFF"/>
        </w:rPr>
        <w:footnoteReference w:id="142"/>
      </w:r>
      <w:r w:rsidRPr="007F6332">
        <w:rPr>
          <w:rFonts w:cs="Arial"/>
          <w:color w:val="222222"/>
          <w:shd w:val="clear" w:color="auto" w:fill="FFFFFF"/>
        </w:rPr>
        <w:t>:</w:t>
      </w:r>
    </w:p>
    <w:p w14:paraId="61337C1B" w14:textId="77777777" w:rsidR="00A83786" w:rsidRPr="007F6332" w:rsidRDefault="00A83786" w:rsidP="00CE7E91">
      <w:pPr>
        <w:pStyle w:val="ListParagraph"/>
        <w:numPr>
          <w:ilvl w:val="0"/>
          <w:numId w:val="14"/>
        </w:numPr>
        <w:rPr>
          <w:rFonts w:cs="Arial"/>
          <w:color w:val="222222"/>
          <w:shd w:val="clear" w:color="auto" w:fill="FFFFFF"/>
        </w:rPr>
      </w:pPr>
      <w:r w:rsidRPr="007F6332">
        <w:rPr>
          <w:rFonts w:cs="Arial"/>
          <w:b/>
          <w:color w:val="222222"/>
          <w:shd w:val="clear" w:color="auto" w:fill="FFFFFF"/>
        </w:rPr>
        <w:t>Nine</w:t>
      </w:r>
      <w:r w:rsidRPr="007F6332">
        <w:rPr>
          <w:rFonts w:cs="Arial"/>
          <w:color w:val="222222"/>
          <w:shd w:val="clear" w:color="auto" w:fill="FFFFFF"/>
        </w:rPr>
        <w:t xml:space="preserve"> percentage point increase from 61% to 70% for participants aged 15-24 years.</w:t>
      </w:r>
    </w:p>
    <w:p w14:paraId="0F2D0E46" w14:textId="77777777" w:rsidR="00A83786" w:rsidRPr="007F6332" w:rsidRDefault="00A83786" w:rsidP="00CE7E91">
      <w:pPr>
        <w:pStyle w:val="ListParagraph"/>
        <w:numPr>
          <w:ilvl w:val="0"/>
          <w:numId w:val="14"/>
        </w:numPr>
        <w:rPr>
          <w:rFonts w:cs="Arial"/>
          <w:color w:val="222222"/>
          <w:shd w:val="clear" w:color="auto" w:fill="FFFFFF"/>
        </w:rPr>
      </w:pPr>
      <w:r w:rsidRPr="007F6332">
        <w:rPr>
          <w:rFonts w:cs="Arial"/>
          <w:b/>
          <w:color w:val="222222"/>
          <w:shd w:val="clear" w:color="auto" w:fill="FFFFFF"/>
        </w:rPr>
        <w:t>Eleven</w:t>
      </w:r>
      <w:r w:rsidRPr="007F6332">
        <w:rPr>
          <w:rFonts w:cs="Arial"/>
          <w:color w:val="222222"/>
          <w:shd w:val="clear" w:color="auto" w:fill="FFFFFF"/>
        </w:rPr>
        <w:t xml:space="preserve"> percentage point increase from 66% to 77% for participants aged 25-34 years.</w:t>
      </w:r>
    </w:p>
    <w:p w14:paraId="4E894D93" w14:textId="77777777" w:rsidR="00A83786" w:rsidRPr="007F6332" w:rsidRDefault="00A83786" w:rsidP="00CE7E91">
      <w:pPr>
        <w:pStyle w:val="ListParagraph"/>
        <w:numPr>
          <w:ilvl w:val="0"/>
          <w:numId w:val="14"/>
        </w:numPr>
        <w:rPr>
          <w:rFonts w:cs="Arial"/>
          <w:color w:val="222222"/>
          <w:shd w:val="clear" w:color="auto" w:fill="FFFFFF"/>
        </w:rPr>
      </w:pPr>
      <w:r w:rsidRPr="007F6332">
        <w:rPr>
          <w:rFonts w:cs="Arial"/>
          <w:b/>
          <w:color w:val="222222"/>
          <w:shd w:val="clear" w:color="auto" w:fill="FFFFFF"/>
        </w:rPr>
        <w:t>Ten</w:t>
      </w:r>
      <w:r w:rsidRPr="007F6332">
        <w:rPr>
          <w:rFonts w:cs="Arial"/>
          <w:color w:val="222222"/>
          <w:shd w:val="clear" w:color="auto" w:fill="FFFFFF"/>
        </w:rPr>
        <w:t xml:space="preserve"> percentage point increase from 69% to 79% for participants aged 35-44 years.</w:t>
      </w:r>
    </w:p>
    <w:p w14:paraId="0471D872" w14:textId="77777777" w:rsidR="00A83786" w:rsidRPr="007F6332" w:rsidRDefault="00A83786" w:rsidP="00CE7E91">
      <w:pPr>
        <w:pStyle w:val="ListParagraph"/>
        <w:numPr>
          <w:ilvl w:val="0"/>
          <w:numId w:val="14"/>
        </w:numPr>
        <w:rPr>
          <w:rFonts w:cs="Arial"/>
          <w:color w:val="222222"/>
          <w:shd w:val="clear" w:color="auto" w:fill="FFFFFF"/>
        </w:rPr>
      </w:pPr>
      <w:r w:rsidRPr="007F6332">
        <w:rPr>
          <w:rFonts w:cs="Arial"/>
          <w:b/>
          <w:color w:val="222222"/>
          <w:shd w:val="clear" w:color="auto" w:fill="FFFFFF"/>
        </w:rPr>
        <w:t>Ten</w:t>
      </w:r>
      <w:r w:rsidRPr="007F6332">
        <w:rPr>
          <w:rFonts w:cs="Arial"/>
          <w:color w:val="222222"/>
          <w:shd w:val="clear" w:color="auto" w:fill="FFFFFF"/>
        </w:rPr>
        <w:t xml:space="preserve"> percentage point increase from 69% to 80% for participants aged 45-54 years.</w:t>
      </w:r>
    </w:p>
    <w:p w14:paraId="1E89514D" w14:textId="77777777" w:rsidR="00A83786" w:rsidRPr="007F6332" w:rsidRDefault="00A83786" w:rsidP="00CE7E91">
      <w:pPr>
        <w:pStyle w:val="ListParagraph"/>
        <w:numPr>
          <w:ilvl w:val="0"/>
          <w:numId w:val="14"/>
        </w:numPr>
        <w:rPr>
          <w:rFonts w:cs="Arial"/>
          <w:color w:val="222222"/>
          <w:shd w:val="clear" w:color="auto" w:fill="FFFFFF"/>
        </w:rPr>
      </w:pPr>
      <w:r w:rsidRPr="007F6332">
        <w:rPr>
          <w:rFonts w:cs="Arial"/>
          <w:b/>
          <w:color w:val="222222"/>
          <w:shd w:val="clear" w:color="auto" w:fill="FFFFFF"/>
        </w:rPr>
        <w:t>Ten</w:t>
      </w:r>
      <w:r w:rsidRPr="007F6332">
        <w:rPr>
          <w:rFonts w:cs="Arial"/>
          <w:color w:val="222222"/>
          <w:shd w:val="clear" w:color="auto" w:fill="FFFFFF"/>
        </w:rPr>
        <w:t xml:space="preserve"> percentage point increase from 71% to 81% for participants aged 55-64 years.</w:t>
      </w:r>
    </w:p>
    <w:p w14:paraId="1500C02E" w14:textId="77777777" w:rsidR="00A83786" w:rsidRPr="007F6332" w:rsidRDefault="00A83786" w:rsidP="00CE7E91">
      <w:pPr>
        <w:pStyle w:val="ListParagraph"/>
        <w:numPr>
          <w:ilvl w:val="0"/>
          <w:numId w:val="14"/>
        </w:numPr>
        <w:rPr>
          <w:rFonts w:cs="Arial"/>
          <w:color w:val="222222"/>
          <w:shd w:val="clear" w:color="auto" w:fill="FFFFFF"/>
        </w:rPr>
      </w:pPr>
      <w:r w:rsidRPr="007F6332">
        <w:rPr>
          <w:rFonts w:cs="Arial"/>
          <w:b/>
          <w:color w:val="222222"/>
          <w:shd w:val="clear" w:color="auto" w:fill="FFFFFF"/>
        </w:rPr>
        <w:t>Twelve</w:t>
      </w:r>
      <w:r w:rsidRPr="007F6332">
        <w:rPr>
          <w:rFonts w:cs="Arial"/>
          <w:color w:val="222222"/>
          <w:shd w:val="clear" w:color="auto" w:fill="FFFFFF"/>
        </w:rPr>
        <w:t xml:space="preserve"> percentage point increase from 71% to 82% for participants aged 65 years and older.</w:t>
      </w:r>
    </w:p>
    <w:p w14:paraId="58D969F2" w14:textId="24FCDD01" w:rsidR="00A83786" w:rsidRPr="007F6332" w:rsidRDefault="00A83786" w:rsidP="00A83786">
      <w:pPr>
        <w:rPr>
          <w:rFonts w:cs="Arial"/>
        </w:rPr>
      </w:pPr>
      <w:r w:rsidRPr="007F6332">
        <w:rPr>
          <w:rFonts w:cs="Arial"/>
          <w:bCs/>
        </w:rPr>
        <w:t xml:space="preserve">Overall, for participants aged 15 and over, there has been a </w:t>
      </w:r>
      <w:r w:rsidR="00676E09" w:rsidRPr="007F6332">
        <w:rPr>
          <w:rFonts w:cs="Arial"/>
          <w:b/>
          <w:bCs/>
        </w:rPr>
        <w:t>ten-percentage</w:t>
      </w:r>
      <w:r w:rsidRPr="007F6332">
        <w:rPr>
          <w:rFonts w:cs="Arial"/>
          <w:b/>
          <w:bCs/>
        </w:rPr>
        <w:t xml:space="preserve"> point increase, from 67% to 77%.</w:t>
      </w:r>
      <w:r w:rsidRPr="007F6332">
        <w:rPr>
          <w:rFonts w:cs="Arial"/>
          <w:bCs/>
        </w:rPr>
        <w:t xml:space="preserve"> This compares to a 2022-23 target of 75%.</w:t>
      </w:r>
    </w:p>
    <w:p w14:paraId="619642A6" w14:textId="348D62E6" w:rsidR="00A83786" w:rsidRPr="007F6332" w:rsidRDefault="0045717D" w:rsidP="00E81C0D">
      <w:pPr>
        <w:rPr>
          <w:rFonts w:cs="Arial"/>
        </w:rPr>
      </w:pPr>
      <w:r w:rsidRPr="007F6332">
        <w:rPr>
          <w:rFonts w:cs="Arial"/>
        </w:rPr>
        <w:t>Figure 7.5</w:t>
      </w:r>
      <w:r w:rsidR="00A83786" w:rsidRPr="007F6332">
        <w:rPr>
          <w:rFonts w:cs="Arial"/>
        </w:rPr>
        <w:t xml:space="preserve"> provides more detail on these results, showing trends over time in the Scheme by age band for different duration cohorts (participants who have been in the Scheme for approximately six, five, four, three or two years at 30 June 2023).</w:t>
      </w:r>
      <w:r w:rsidR="00A83786" w:rsidRPr="007F6332">
        <w:rPr>
          <w:rFonts w:cs="Arial"/>
        </w:rPr>
        <w:br w:type="page"/>
      </w:r>
    </w:p>
    <w:p w14:paraId="5C87B498" w14:textId="7CB44976" w:rsidR="00A83786" w:rsidRPr="007F6332" w:rsidRDefault="0045717D" w:rsidP="005265E0">
      <w:pPr>
        <w:pStyle w:val="FiguresandTablesHeading5"/>
      </w:pPr>
      <w:bookmarkStart w:id="241" w:name="_Hlk151927647"/>
      <w:r w:rsidRPr="007F6332">
        <w:lastRenderedPageBreak/>
        <w:t>Figure 7.5</w:t>
      </w:r>
      <w:r w:rsidR="00A83786" w:rsidRPr="007F6332">
        <w:t>: Percentage who think the NDIS has helped them have more choices and more control over their life – longitudinal trends for participants in the Scheme for two to six years, participants aged 15 and over.</w:t>
      </w:r>
    </w:p>
    <w:p w14:paraId="5D280056" w14:textId="77777777" w:rsidR="00A83786" w:rsidRPr="007F6332" w:rsidRDefault="00A83786" w:rsidP="00A83786">
      <w:pPr>
        <w:rPr>
          <w:rFonts w:cs="Arial"/>
        </w:rPr>
      </w:pPr>
      <w:r w:rsidRPr="007F6332">
        <w:rPr>
          <w:rFonts w:cs="Arial"/>
          <w:noProof/>
        </w:rPr>
        <w:drawing>
          <wp:inline distT="0" distB="0" distL="0" distR="0" wp14:anchorId="771959F3" wp14:editId="05116462">
            <wp:extent cx="5581650" cy="4874196"/>
            <wp:effectExtent l="0" t="0" r="0" b="3175"/>
            <wp:docPr id="10" name="Picture 10" descr="Figure 7.5: Percentage who think the NDIS has helped them have more choices and more control over their life – longitudinal trends for participants in the Scheme for two to six years, participants aged 15 and overParticipants aged 15 to 24 are less likely than those aged 25 and over to say the NDIS helped them have more choice and control over their life. In general, older participants are more likely to respond positively.&#10;The improvement of this metric over time is at a similar pace for different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7.5: Percentage who think the NDIS has helped them have more choices and more control over their life – longitudinal trends for participants in the Scheme for two to six years, participants aged 15 and overParticipants aged 15 to 24 are less likely than those aged 25 and over to say the NDIS helped them have more choice and control over their life. In general, older participants are more likely to respond positively.&#10;The improvement of this metric over time is at a similar pace for different age groups.&#1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612366" cy="4901019"/>
                    </a:xfrm>
                    <a:prstGeom prst="rect">
                      <a:avLst/>
                    </a:prstGeom>
                    <a:noFill/>
                  </pic:spPr>
                </pic:pic>
              </a:graphicData>
            </a:graphic>
          </wp:inline>
        </w:drawing>
      </w:r>
    </w:p>
    <w:bookmarkEnd w:id="241"/>
    <w:p w14:paraId="62A1CA44" w14:textId="0FA88A26" w:rsidR="00A83786" w:rsidRPr="007F6332" w:rsidRDefault="0045717D" w:rsidP="00A83786">
      <w:pPr>
        <w:rPr>
          <w:rFonts w:cs="Arial"/>
        </w:rPr>
      </w:pPr>
      <w:r w:rsidRPr="007F6332">
        <w:rPr>
          <w:rFonts w:cs="Arial"/>
        </w:rPr>
        <w:t xml:space="preserve">Figure 7.5 </w:t>
      </w:r>
      <w:r w:rsidR="00A83786" w:rsidRPr="007F6332">
        <w:rPr>
          <w:rFonts w:cs="Arial"/>
        </w:rPr>
        <w:t>shows the generally lower levels of satisfaction for participants aged 15 to 24 compared to the older age groups.</w:t>
      </w:r>
    </w:p>
    <w:p w14:paraId="73D98989" w14:textId="77777777" w:rsidR="00A83786" w:rsidRPr="007F6332" w:rsidRDefault="00A83786" w:rsidP="00EF79DA">
      <w:pPr>
        <w:pStyle w:val="Heading4"/>
        <w:ind w:left="851" w:hanging="851"/>
        <w:rPr>
          <w:rFonts w:cs="Arial"/>
        </w:rPr>
      </w:pPr>
      <w:r w:rsidRPr="007F6332">
        <w:rPr>
          <w:rFonts w:cs="Arial"/>
        </w:rPr>
        <w:t>Other results – “Has the NDIS helped?”</w:t>
      </w:r>
    </w:p>
    <w:p w14:paraId="7B7E501E" w14:textId="77777777" w:rsidR="00A83786" w:rsidRPr="007F6332" w:rsidRDefault="00A83786" w:rsidP="00A83786">
      <w:pPr>
        <w:rPr>
          <w:rFonts w:cs="Arial"/>
        </w:rPr>
      </w:pPr>
      <w:r w:rsidRPr="007F6332">
        <w:rPr>
          <w:rFonts w:cs="Arial"/>
        </w:rPr>
        <w:t>For children aged from birth to before starting school, results have improved across all domains.</w:t>
      </w:r>
    </w:p>
    <w:p w14:paraId="37D478C6" w14:textId="4C7B07D0" w:rsidR="00A83786" w:rsidRPr="007F6332" w:rsidRDefault="0045717D" w:rsidP="00A83786">
      <w:pPr>
        <w:rPr>
          <w:rFonts w:cs="Arial"/>
        </w:rPr>
      </w:pPr>
      <w:r w:rsidRPr="007F6332">
        <w:rPr>
          <w:rFonts w:cs="Arial"/>
        </w:rPr>
        <w:t>Table 7.</w:t>
      </w:r>
      <w:r w:rsidR="001137E8" w:rsidRPr="007F6332">
        <w:rPr>
          <w:rFonts w:cs="Arial"/>
        </w:rPr>
        <w:t xml:space="preserve">1 </w:t>
      </w:r>
      <w:r w:rsidR="00A83786" w:rsidRPr="007F6332">
        <w:rPr>
          <w:rFonts w:cs="Arial"/>
        </w:rPr>
        <w:t>shows the percentages responding positively at first reassessment</w:t>
      </w:r>
      <w:r w:rsidR="00A83786" w:rsidRPr="007F6332" w:rsidDel="002C36CC">
        <w:rPr>
          <w:rFonts w:cs="Arial"/>
        </w:rPr>
        <w:t xml:space="preserve"> </w:t>
      </w:r>
      <w:r w:rsidR="00A83786" w:rsidRPr="007F6332">
        <w:rPr>
          <w:rFonts w:cs="Arial"/>
        </w:rPr>
        <w:t>and at latest reassessment, as well as the change between the two time points.</w:t>
      </w:r>
    </w:p>
    <w:p w14:paraId="6D2A10BB" w14:textId="77777777" w:rsidR="00A83786" w:rsidRPr="007F6332" w:rsidRDefault="00A83786" w:rsidP="00A83786">
      <w:pPr>
        <w:spacing w:after="160" w:line="259" w:lineRule="auto"/>
        <w:rPr>
          <w:rFonts w:cs="Arial"/>
        </w:rPr>
      </w:pPr>
      <w:r w:rsidRPr="007F6332">
        <w:rPr>
          <w:rFonts w:cs="Arial"/>
        </w:rPr>
        <w:br w:type="page"/>
      </w:r>
    </w:p>
    <w:p w14:paraId="01D0B6BF" w14:textId="26E78730" w:rsidR="00A83786" w:rsidRPr="007F6332" w:rsidRDefault="0045717D" w:rsidP="005265E0">
      <w:pPr>
        <w:pStyle w:val="FiguresandTablesHeading5"/>
      </w:pPr>
      <w:r w:rsidRPr="007F6332">
        <w:lastRenderedPageBreak/>
        <w:t>Table 7.</w:t>
      </w:r>
      <w:r w:rsidR="001137E8" w:rsidRPr="007F6332">
        <w:t>1</w:t>
      </w:r>
      <w:r w:rsidR="00A83786" w:rsidRPr="007F6332">
        <w:t>: “Has the NDIS helped?” – participants aged from birth to before starting school</w:t>
      </w:r>
      <w:r w:rsidR="00F40CE1" w:rsidRPr="007F6332">
        <w:rPr>
          <w:rStyle w:val="FootnoteReference"/>
        </w:rPr>
        <w:footnoteReference w:id="143"/>
      </w:r>
    </w:p>
    <w:tbl>
      <w:tblPr>
        <w:tblStyle w:val="GridTable2"/>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332"/>
        <w:gridCol w:w="1941"/>
        <w:gridCol w:w="1941"/>
        <w:gridCol w:w="1812"/>
      </w:tblGrid>
      <w:tr w:rsidR="00A83786" w:rsidRPr="007F6332" w14:paraId="16CF620B" w14:textId="77777777" w:rsidTr="00624BC3">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bottom w:val="none" w:sz="0" w:space="0" w:color="auto"/>
              <w:right w:val="none" w:sz="0" w:space="0" w:color="auto"/>
            </w:tcBorders>
            <w:shd w:val="clear" w:color="auto" w:fill="6B2976"/>
            <w:vAlign w:val="center"/>
          </w:tcPr>
          <w:p w14:paraId="3EFF6493" w14:textId="77777777" w:rsidR="00A83786" w:rsidRPr="007F6332" w:rsidRDefault="00A83786" w:rsidP="00D8325F">
            <w:pPr>
              <w:rPr>
                <w:rFonts w:cs="Arial"/>
                <w:color w:val="FFFFFF"/>
                <w:szCs w:val="22"/>
              </w:rPr>
            </w:pPr>
            <w:r w:rsidRPr="007F6332">
              <w:rPr>
                <w:rFonts w:cs="Arial"/>
                <w:color w:val="FFFFFF"/>
                <w:szCs w:val="22"/>
              </w:rPr>
              <w:t>Domain</w:t>
            </w:r>
          </w:p>
        </w:tc>
        <w:tc>
          <w:tcPr>
            <w:tcW w:w="1560" w:type="dxa"/>
            <w:tcBorders>
              <w:top w:val="none" w:sz="0" w:space="0" w:color="auto"/>
              <w:left w:val="none" w:sz="0" w:space="0" w:color="auto"/>
              <w:bottom w:val="none" w:sz="0" w:space="0" w:color="auto"/>
              <w:right w:val="none" w:sz="0" w:space="0" w:color="auto"/>
            </w:tcBorders>
            <w:shd w:val="clear" w:color="auto" w:fill="6B2976"/>
            <w:vAlign w:val="center"/>
          </w:tcPr>
          <w:p w14:paraId="66C2352B" w14:textId="77777777" w:rsidR="00A83786" w:rsidRPr="007F6332" w:rsidRDefault="00A83786" w:rsidP="00624BC3">
            <w:pPr>
              <w:jc w:val="center"/>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First reassessment %</w:t>
            </w:r>
          </w:p>
        </w:tc>
        <w:tc>
          <w:tcPr>
            <w:tcW w:w="1519" w:type="dxa"/>
            <w:tcBorders>
              <w:top w:val="none" w:sz="0" w:space="0" w:color="auto"/>
              <w:left w:val="none" w:sz="0" w:space="0" w:color="auto"/>
              <w:bottom w:val="none" w:sz="0" w:space="0" w:color="auto"/>
              <w:right w:val="none" w:sz="0" w:space="0" w:color="auto"/>
            </w:tcBorders>
            <w:shd w:val="clear" w:color="auto" w:fill="6B2976"/>
            <w:vAlign w:val="center"/>
          </w:tcPr>
          <w:p w14:paraId="437E9454" w14:textId="77777777" w:rsidR="00A83786" w:rsidRPr="007F6332" w:rsidRDefault="00A83786" w:rsidP="00624BC3">
            <w:pPr>
              <w:jc w:val="center"/>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Latest reassessment %</w:t>
            </w:r>
          </w:p>
        </w:tc>
        <w:tc>
          <w:tcPr>
            <w:tcW w:w="1968" w:type="dxa"/>
            <w:tcBorders>
              <w:top w:val="none" w:sz="0" w:space="0" w:color="auto"/>
              <w:left w:val="none" w:sz="0" w:space="0" w:color="auto"/>
              <w:bottom w:val="none" w:sz="0" w:space="0" w:color="auto"/>
            </w:tcBorders>
            <w:shd w:val="clear" w:color="auto" w:fill="6B2976"/>
            <w:vAlign w:val="center"/>
          </w:tcPr>
          <w:p w14:paraId="6A0D2EF5" w14:textId="77777777" w:rsidR="00A83786" w:rsidRPr="007F6332" w:rsidRDefault="00A83786" w:rsidP="00D8325F">
            <w:pPr>
              <w:jc w:val="right"/>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Percentage point change</w:t>
            </w:r>
          </w:p>
        </w:tc>
      </w:tr>
      <w:tr w:rsidR="00A83786" w:rsidRPr="007F6332" w14:paraId="5B180A03" w14:textId="77777777" w:rsidTr="00F6713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69" w:type="dxa"/>
            <w:shd w:val="clear" w:color="000000" w:fill="A7A9AC"/>
          </w:tcPr>
          <w:p w14:paraId="2CF10F32" w14:textId="77777777" w:rsidR="00A83786" w:rsidRPr="007F6332" w:rsidRDefault="00A83786" w:rsidP="00D8325F">
            <w:pPr>
              <w:rPr>
                <w:rFonts w:cs="Arial"/>
                <w:color w:val="000000"/>
                <w:szCs w:val="22"/>
              </w:rPr>
            </w:pPr>
            <w:r w:rsidRPr="007F6332">
              <w:rPr>
                <w:rFonts w:cs="Arial"/>
                <w:color w:val="000000"/>
                <w:szCs w:val="22"/>
              </w:rPr>
              <w:t>Daily living: child’s development</w:t>
            </w:r>
          </w:p>
        </w:tc>
        <w:tc>
          <w:tcPr>
            <w:tcW w:w="1560" w:type="dxa"/>
            <w:shd w:val="clear" w:color="000000" w:fill="A7A9AC"/>
            <w:vAlign w:val="center"/>
          </w:tcPr>
          <w:p w14:paraId="36E0CAC7"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91</w:t>
            </w:r>
          </w:p>
        </w:tc>
        <w:tc>
          <w:tcPr>
            <w:tcW w:w="1519" w:type="dxa"/>
            <w:shd w:val="clear" w:color="000000" w:fill="A7A9AC"/>
            <w:vAlign w:val="center"/>
          </w:tcPr>
          <w:p w14:paraId="68D0176C"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94</w:t>
            </w:r>
          </w:p>
        </w:tc>
        <w:tc>
          <w:tcPr>
            <w:tcW w:w="1968" w:type="dxa"/>
            <w:shd w:val="clear" w:color="000000" w:fill="A7A9AC"/>
            <w:vAlign w:val="center"/>
          </w:tcPr>
          <w:p w14:paraId="121F6FFD"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+3</w:t>
            </w:r>
          </w:p>
        </w:tc>
      </w:tr>
      <w:tr w:rsidR="00A83786" w:rsidRPr="007F6332" w14:paraId="05F596BD" w14:textId="77777777" w:rsidTr="00F6713E">
        <w:trPr>
          <w:trHeight w:val="454"/>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4444EB68" w14:textId="77777777" w:rsidR="00A83786" w:rsidRPr="007F6332" w:rsidRDefault="00A83786" w:rsidP="00D8325F">
            <w:pPr>
              <w:rPr>
                <w:rFonts w:cs="Arial"/>
                <w:color w:val="000000"/>
                <w:szCs w:val="22"/>
              </w:rPr>
            </w:pPr>
            <w:r w:rsidRPr="007F6332">
              <w:rPr>
                <w:rFonts w:cs="Arial"/>
                <w:color w:val="000000"/>
                <w:szCs w:val="22"/>
              </w:rPr>
              <w:t>Daily living: access to specialist services</w:t>
            </w:r>
          </w:p>
        </w:tc>
        <w:tc>
          <w:tcPr>
            <w:tcW w:w="1560" w:type="dxa"/>
            <w:shd w:val="clear" w:color="auto" w:fill="auto"/>
            <w:vAlign w:val="center"/>
          </w:tcPr>
          <w:p w14:paraId="2307D837"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92</w:t>
            </w:r>
          </w:p>
        </w:tc>
        <w:tc>
          <w:tcPr>
            <w:tcW w:w="1519" w:type="dxa"/>
            <w:shd w:val="clear" w:color="auto" w:fill="auto"/>
            <w:vAlign w:val="center"/>
          </w:tcPr>
          <w:p w14:paraId="7EFE6AE0"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95</w:t>
            </w:r>
          </w:p>
        </w:tc>
        <w:tc>
          <w:tcPr>
            <w:tcW w:w="1968" w:type="dxa"/>
            <w:shd w:val="clear" w:color="auto" w:fill="auto"/>
            <w:vAlign w:val="center"/>
          </w:tcPr>
          <w:p w14:paraId="01571CB9"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w:t>
            </w:r>
          </w:p>
        </w:tc>
      </w:tr>
      <w:tr w:rsidR="00A83786" w:rsidRPr="007F6332" w14:paraId="0DED5AA8" w14:textId="77777777" w:rsidTr="00F6713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69" w:type="dxa"/>
            <w:shd w:val="clear" w:color="000000" w:fill="A7A9AC"/>
          </w:tcPr>
          <w:p w14:paraId="39A4869C" w14:textId="77777777" w:rsidR="00A83786" w:rsidRPr="007F6332" w:rsidRDefault="00A83786" w:rsidP="00D8325F">
            <w:pPr>
              <w:rPr>
                <w:rFonts w:cs="Arial"/>
                <w:color w:val="000000"/>
                <w:szCs w:val="22"/>
              </w:rPr>
            </w:pPr>
            <w:r w:rsidRPr="007F6332">
              <w:rPr>
                <w:rFonts w:cs="Arial"/>
                <w:color w:val="000000"/>
                <w:szCs w:val="22"/>
              </w:rPr>
              <w:t>Choice and control (child’s ability to communicate what they want)</w:t>
            </w:r>
          </w:p>
        </w:tc>
        <w:tc>
          <w:tcPr>
            <w:tcW w:w="1560" w:type="dxa"/>
            <w:shd w:val="clear" w:color="000000" w:fill="A7A9AC"/>
            <w:vAlign w:val="center"/>
          </w:tcPr>
          <w:p w14:paraId="77CCEB9D"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83</w:t>
            </w:r>
          </w:p>
        </w:tc>
        <w:tc>
          <w:tcPr>
            <w:tcW w:w="1519" w:type="dxa"/>
            <w:shd w:val="clear" w:color="000000" w:fill="A7A9AC"/>
            <w:vAlign w:val="center"/>
          </w:tcPr>
          <w:p w14:paraId="0B77D7EE"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86</w:t>
            </w:r>
          </w:p>
        </w:tc>
        <w:tc>
          <w:tcPr>
            <w:tcW w:w="1968" w:type="dxa"/>
            <w:shd w:val="clear" w:color="000000" w:fill="A7A9AC"/>
            <w:vAlign w:val="center"/>
          </w:tcPr>
          <w:p w14:paraId="0FA37C89"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+3</w:t>
            </w:r>
          </w:p>
        </w:tc>
      </w:tr>
      <w:tr w:rsidR="00A83786" w:rsidRPr="007F6332" w14:paraId="2DA0DF40" w14:textId="77777777" w:rsidTr="00F6713E">
        <w:trPr>
          <w:trHeight w:val="454"/>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65BB8C10" w14:textId="77777777" w:rsidR="00A83786" w:rsidRPr="007F6332" w:rsidRDefault="00A83786" w:rsidP="00D8325F">
            <w:pPr>
              <w:rPr>
                <w:rFonts w:cs="Arial"/>
                <w:color w:val="000000"/>
                <w:szCs w:val="22"/>
              </w:rPr>
            </w:pPr>
            <w:r w:rsidRPr="007F6332">
              <w:rPr>
                <w:rFonts w:cs="Arial"/>
                <w:color w:val="000000"/>
                <w:szCs w:val="22"/>
              </w:rPr>
              <w:t>Relationships (fitting into family life)</w:t>
            </w:r>
          </w:p>
        </w:tc>
        <w:tc>
          <w:tcPr>
            <w:tcW w:w="1560" w:type="dxa"/>
            <w:shd w:val="clear" w:color="auto" w:fill="auto"/>
            <w:vAlign w:val="center"/>
          </w:tcPr>
          <w:p w14:paraId="66F92205"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77</w:t>
            </w:r>
          </w:p>
        </w:tc>
        <w:tc>
          <w:tcPr>
            <w:tcW w:w="1519" w:type="dxa"/>
            <w:shd w:val="clear" w:color="auto" w:fill="auto"/>
            <w:vAlign w:val="center"/>
          </w:tcPr>
          <w:p w14:paraId="7E9AFC58"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83</w:t>
            </w:r>
          </w:p>
        </w:tc>
        <w:tc>
          <w:tcPr>
            <w:tcW w:w="1968" w:type="dxa"/>
            <w:shd w:val="clear" w:color="auto" w:fill="auto"/>
            <w:vAlign w:val="center"/>
          </w:tcPr>
          <w:p w14:paraId="1ACFB6B4"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+6</w:t>
            </w:r>
          </w:p>
        </w:tc>
      </w:tr>
      <w:tr w:rsidR="00A83786" w:rsidRPr="007F6332" w14:paraId="5DBDE327" w14:textId="77777777" w:rsidTr="00F6713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auto"/>
            </w:tcBorders>
            <w:shd w:val="clear" w:color="000000" w:fill="A7A9AC"/>
          </w:tcPr>
          <w:p w14:paraId="0FA15526" w14:textId="77777777" w:rsidR="00A83786" w:rsidRPr="007F6332" w:rsidRDefault="00A83786" w:rsidP="00D8325F">
            <w:pPr>
              <w:rPr>
                <w:rFonts w:cs="Arial"/>
                <w:color w:val="000000"/>
                <w:szCs w:val="22"/>
              </w:rPr>
            </w:pPr>
            <w:r w:rsidRPr="007F6332">
              <w:rPr>
                <w:rFonts w:cs="Arial"/>
                <w:color w:val="000000"/>
                <w:szCs w:val="22"/>
              </w:rPr>
              <w:t>Social, community and civic participation (fitting into community life)</w:t>
            </w:r>
          </w:p>
        </w:tc>
        <w:tc>
          <w:tcPr>
            <w:tcW w:w="1560" w:type="dxa"/>
            <w:tcBorders>
              <w:bottom w:val="single" w:sz="4" w:space="0" w:color="auto"/>
            </w:tcBorders>
            <w:shd w:val="clear" w:color="000000" w:fill="A7A9AC"/>
            <w:vAlign w:val="center"/>
          </w:tcPr>
          <w:p w14:paraId="3B4C3D71"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63</w:t>
            </w:r>
          </w:p>
        </w:tc>
        <w:tc>
          <w:tcPr>
            <w:tcW w:w="1519" w:type="dxa"/>
            <w:tcBorders>
              <w:bottom w:val="single" w:sz="4" w:space="0" w:color="auto"/>
            </w:tcBorders>
            <w:shd w:val="clear" w:color="000000" w:fill="A7A9AC"/>
            <w:vAlign w:val="center"/>
          </w:tcPr>
          <w:p w14:paraId="76DDD916"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70</w:t>
            </w:r>
          </w:p>
        </w:tc>
        <w:tc>
          <w:tcPr>
            <w:tcW w:w="1968" w:type="dxa"/>
            <w:tcBorders>
              <w:bottom w:val="single" w:sz="4" w:space="0" w:color="auto"/>
            </w:tcBorders>
            <w:shd w:val="clear" w:color="000000" w:fill="A7A9AC"/>
            <w:vAlign w:val="center"/>
          </w:tcPr>
          <w:p w14:paraId="37DE144F"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w:t>
            </w:r>
          </w:p>
        </w:tc>
      </w:tr>
    </w:tbl>
    <w:p w14:paraId="62A97897" w14:textId="77777777" w:rsidR="00A83786" w:rsidRPr="007F6332" w:rsidRDefault="00A83786" w:rsidP="005E4CE9">
      <w:pPr>
        <w:spacing w:before="240"/>
        <w:rPr>
          <w:rFonts w:cs="Arial"/>
        </w:rPr>
      </w:pPr>
      <w:r w:rsidRPr="007F6332">
        <w:rPr>
          <w:rFonts w:cs="Arial"/>
        </w:rPr>
        <w:t>Improvements were slightly stronger for fitting into family and community life (although results for these domains started off at a lower level and hence had more scope to improve).</w:t>
      </w:r>
    </w:p>
    <w:p w14:paraId="1A842342" w14:textId="7F3C3E4C" w:rsidR="00A83786" w:rsidRPr="007F6332" w:rsidRDefault="0045717D" w:rsidP="00A83786">
      <w:pPr>
        <w:rPr>
          <w:rFonts w:cs="Arial"/>
        </w:rPr>
      </w:pPr>
      <w:r w:rsidRPr="007F6332">
        <w:rPr>
          <w:rFonts w:cs="Arial"/>
        </w:rPr>
        <w:t>Figure 7.6</w:t>
      </w:r>
      <w:r w:rsidR="00A83786" w:rsidRPr="007F6332">
        <w:rPr>
          <w:rFonts w:cs="Arial"/>
        </w:rPr>
        <w:t xml:space="preserve"> provides more detail for two areas (development and access to specialist services), showing trends over time in the Scheme for different duration cohorts (participants who have been in the Scheme for approximately six, five, four, three or two years at 30 June 2023).</w:t>
      </w:r>
    </w:p>
    <w:p w14:paraId="5A494BC1" w14:textId="1B3A0100" w:rsidR="00A83786" w:rsidRPr="007F6332" w:rsidRDefault="0045717D" w:rsidP="005265E0">
      <w:pPr>
        <w:pStyle w:val="FiguresandTablesHeading5"/>
      </w:pPr>
      <w:bookmarkStart w:id="242" w:name="_Hlk151927757"/>
      <w:r w:rsidRPr="007F6332">
        <w:t>Figure 7.6</w:t>
      </w:r>
      <w:r w:rsidR="00A83786" w:rsidRPr="007F6332">
        <w:t>: Percentage who think the NDIS has helped – longitudinal trends for participants in the Scheme for two to six years, age 0 to before starting school</w:t>
      </w:r>
    </w:p>
    <w:p w14:paraId="48EC0E78" w14:textId="77777777" w:rsidR="00A83786" w:rsidRPr="007F6332" w:rsidRDefault="00A83786" w:rsidP="00A83786">
      <w:pPr>
        <w:ind w:right="-330"/>
        <w:rPr>
          <w:rFonts w:cs="Arial"/>
        </w:rPr>
      </w:pPr>
      <w:r w:rsidRPr="007F6332">
        <w:rPr>
          <w:rFonts w:cs="Arial"/>
          <w:noProof/>
        </w:rPr>
        <w:drawing>
          <wp:inline distT="0" distB="0" distL="0" distR="0" wp14:anchorId="73509915" wp14:editId="1828FC04">
            <wp:extent cx="5657850" cy="1929130"/>
            <wp:effectExtent l="0" t="0" r="0" b="0"/>
            <wp:docPr id="11" name="Picture 11" descr="Figure 7.6: Percentage who think the NDIS has helped – longitudinal trends for participants in the Scheme for two to six years, age 0 to before starting school.&#10;The percentage of parents and carers saying the NDIS helped improve their child’s development is high, over 90% in most cases. The percentage saying the NDIS helped tends to be higher towards later reassessments.&#10;The percentage saying the NDIS improve their child’s access to specialist services at the first reassessment is higher for cohorts who have been in the Scheme for fewer years. The percentages are slightly higher by later reassess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7.6: Percentage who think the NDIS has helped – longitudinal trends for participants in the Scheme for two to six years, age 0 to before starting school.&#10;The percentage of parents and carers saying the NDIS helped improve their child’s development is high, over 90% in most cases. The percentage saying the NDIS helped tends to be higher towards later reassessments.&#10;The percentage saying the NDIS improve their child’s access to specialist services at the first reassessment is higher for cohorts who have been in the Scheme for fewer years. The percentages are slightly higher by later reassessments.&#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697162" cy="1942534"/>
                    </a:xfrm>
                    <a:prstGeom prst="rect">
                      <a:avLst/>
                    </a:prstGeom>
                    <a:noFill/>
                  </pic:spPr>
                </pic:pic>
              </a:graphicData>
            </a:graphic>
          </wp:inline>
        </w:drawing>
      </w:r>
    </w:p>
    <w:bookmarkEnd w:id="242"/>
    <w:p w14:paraId="22F3E5E4" w14:textId="706832E6" w:rsidR="00A83786" w:rsidRPr="007F6332" w:rsidRDefault="0045717D" w:rsidP="00A83786">
      <w:pPr>
        <w:rPr>
          <w:rFonts w:cs="Arial"/>
        </w:rPr>
      </w:pPr>
      <w:r w:rsidRPr="007F6332">
        <w:rPr>
          <w:rFonts w:cs="Arial"/>
        </w:rPr>
        <w:t>Figure 7.6</w:t>
      </w:r>
      <w:r w:rsidR="00A83786" w:rsidRPr="007F6332">
        <w:rPr>
          <w:rFonts w:cs="Arial"/>
        </w:rPr>
        <w:t xml:space="preserve"> shows very high initial levels of satisfaction for these two areas. Nevertheless, an improving trend over time in the Scheme has been observed. Results for the different duration cohorts are generally similar.</w:t>
      </w:r>
    </w:p>
    <w:p w14:paraId="01C71C92" w14:textId="77777777" w:rsidR="00A83786" w:rsidRPr="007F6332" w:rsidRDefault="00A83786" w:rsidP="00A83786">
      <w:pPr>
        <w:rPr>
          <w:rFonts w:cs="Arial"/>
        </w:rPr>
      </w:pPr>
      <w:r w:rsidRPr="007F6332">
        <w:rPr>
          <w:rFonts w:cs="Arial"/>
        </w:rPr>
        <w:lastRenderedPageBreak/>
        <w:t>For children aged from starting school to age 14, results are generally less positive than for the younger age group, but show stronger improvement over time.</w:t>
      </w:r>
    </w:p>
    <w:p w14:paraId="4E9FBE1E" w14:textId="44BDFCAC" w:rsidR="00A83786" w:rsidRPr="007F6332" w:rsidRDefault="0045717D" w:rsidP="00A83786">
      <w:pPr>
        <w:rPr>
          <w:rFonts w:cs="Arial"/>
        </w:rPr>
      </w:pPr>
      <w:r w:rsidRPr="007F6332">
        <w:rPr>
          <w:rFonts w:cs="Arial"/>
        </w:rPr>
        <w:t>Table 7.</w:t>
      </w:r>
      <w:r w:rsidR="001137E8" w:rsidRPr="007F6332">
        <w:rPr>
          <w:rFonts w:cs="Arial"/>
        </w:rPr>
        <w:t xml:space="preserve">2 </w:t>
      </w:r>
      <w:r w:rsidR="00A83786" w:rsidRPr="007F6332">
        <w:rPr>
          <w:rFonts w:cs="Arial"/>
        </w:rPr>
        <w:t>shows the percentages responding positively at first reassessment</w:t>
      </w:r>
      <w:r w:rsidR="00A83786" w:rsidRPr="007F6332" w:rsidDel="002C36CC">
        <w:rPr>
          <w:rFonts w:cs="Arial"/>
        </w:rPr>
        <w:t xml:space="preserve"> </w:t>
      </w:r>
      <w:r w:rsidR="00A83786" w:rsidRPr="007F6332">
        <w:rPr>
          <w:rFonts w:cs="Arial"/>
        </w:rPr>
        <w:t>and at latest reassessment, as well as the change between the two time points.</w:t>
      </w:r>
    </w:p>
    <w:p w14:paraId="614D5DC4" w14:textId="47932967" w:rsidR="00A83786" w:rsidRPr="007F6332" w:rsidRDefault="0045717D" w:rsidP="005265E0">
      <w:pPr>
        <w:pStyle w:val="FiguresandTablesHeading5"/>
      </w:pPr>
      <w:r w:rsidRPr="007F6332">
        <w:t>Table 7.</w:t>
      </w:r>
      <w:r w:rsidR="001137E8" w:rsidRPr="007F6332">
        <w:t>2</w:t>
      </w:r>
      <w:r w:rsidR="00A83786" w:rsidRPr="007F6332">
        <w:t>: “Has the NDIS helped?” – participants from starting school to age 14</w:t>
      </w:r>
      <w:r w:rsidR="00F40CE1" w:rsidRPr="007F6332">
        <w:rPr>
          <w:rStyle w:val="FootnoteReference"/>
        </w:rPr>
        <w:footnoteReference w:id="144"/>
      </w:r>
    </w:p>
    <w:tbl>
      <w:tblPr>
        <w:tblStyle w:val="ListTable2"/>
        <w:tblW w:w="0" w:type="auto"/>
        <w:tblBorders>
          <w:top w:val="none" w:sz="0" w:space="0" w:color="auto"/>
          <w:bottom w:val="none" w:sz="0" w:space="0" w:color="auto"/>
          <w:insideH w:val="none" w:sz="0" w:space="0" w:color="auto"/>
        </w:tblBorders>
        <w:tblLook w:val="04A0" w:firstRow="1" w:lastRow="0" w:firstColumn="1" w:lastColumn="0" w:noHBand="0" w:noVBand="1"/>
      </w:tblPr>
      <w:tblGrid>
        <w:gridCol w:w="3114"/>
        <w:gridCol w:w="1967"/>
        <w:gridCol w:w="1967"/>
        <w:gridCol w:w="1968"/>
      </w:tblGrid>
      <w:tr w:rsidR="00A83786" w:rsidRPr="007F6332" w14:paraId="58FCC05D" w14:textId="77777777" w:rsidTr="00624BC3">
        <w:trPr>
          <w:cnfStyle w:val="100000000000" w:firstRow="1" w:lastRow="0" w:firstColumn="0" w:lastColumn="0" w:oddVBand="0" w:evenVBand="0" w:oddHBand="0"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3114" w:type="dxa"/>
            <w:shd w:val="clear" w:color="auto" w:fill="6B2976"/>
            <w:vAlign w:val="center"/>
          </w:tcPr>
          <w:p w14:paraId="70130303" w14:textId="77777777" w:rsidR="00A83786" w:rsidRPr="007F6332" w:rsidRDefault="00A83786" w:rsidP="00D8325F">
            <w:pPr>
              <w:rPr>
                <w:rFonts w:cs="Arial"/>
                <w:color w:val="FFFFFF"/>
                <w:szCs w:val="22"/>
              </w:rPr>
            </w:pPr>
            <w:r w:rsidRPr="007F6332">
              <w:rPr>
                <w:rFonts w:cs="Arial"/>
                <w:color w:val="FFFFFF"/>
                <w:szCs w:val="22"/>
              </w:rPr>
              <w:t>Domain</w:t>
            </w:r>
          </w:p>
        </w:tc>
        <w:tc>
          <w:tcPr>
            <w:tcW w:w="1967" w:type="dxa"/>
            <w:shd w:val="clear" w:color="auto" w:fill="6B2976"/>
            <w:vAlign w:val="center"/>
          </w:tcPr>
          <w:p w14:paraId="24678FFD" w14:textId="77777777" w:rsidR="00A83786" w:rsidRPr="007F6332" w:rsidRDefault="00A83786" w:rsidP="00624BC3">
            <w:pPr>
              <w:jc w:val="center"/>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First reassessment %</w:t>
            </w:r>
          </w:p>
        </w:tc>
        <w:tc>
          <w:tcPr>
            <w:tcW w:w="1967" w:type="dxa"/>
            <w:shd w:val="clear" w:color="auto" w:fill="6B2976"/>
            <w:vAlign w:val="center"/>
          </w:tcPr>
          <w:p w14:paraId="340BA72A" w14:textId="77777777" w:rsidR="00A83786" w:rsidRPr="007F6332" w:rsidRDefault="00A83786" w:rsidP="00624BC3">
            <w:pPr>
              <w:jc w:val="center"/>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Latest reassessment %</w:t>
            </w:r>
          </w:p>
        </w:tc>
        <w:tc>
          <w:tcPr>
            <w:tcW w:w="1968" w:type="dxa"/>
            <w:shd w:val="clear" w:color="auto" w:fill="6B2976"/>
            <w:vAlign w:val="center"/>
          </w:tcPr>
          <w:p w14:paraId="3E18D052" w14:textId="7DC4ADE0" w:rsidR="00A83786" w:rsidRPr="007F6332" w:rsidRDefault="00A83786" w:rsidP="00624BC3">
            <w:pPr>
              <w:jc w:val="center"/>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Percentage point change</w:t>
            </w:r>
          </w:p>
        </w:tc>
      </w:tr>
      <w:tr w:rsidR="00A83786" w:rsidRPr="007F6332" w14:paraId="4DD5550A"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736CA32C" w14:textId="77777777" w:rsidR="00A83786" w:rsidRPr="007F6332" w:rsidRDefault="00A83786" w:rsidP="00D8325F">
            <w:pPr>
              <w:rPr>
                <w:rFonts w:cs="Arial"/>
                <w:color w:val="000000"/>
                <w:szCs w:val="22"/>
              </w:rPr>
            </w:pPr>
            <w:r w:rsidRPr="007F6332">
              <w:rPr>
                <w:rFonts w:cs="Arial"/>
                <w:color w:val="000000"/>
                <w:szCs w:val="22"/>
              </w:rPr>
              <w:t>Daily living (independence)</w:t>
            </w:r>
          </w:p>
        </w:tc>
        <w:tc>
          <w:tcPr>
            <w:tcW w:w="1967" w:type="dxa"/>
            <w:shd w:val="clear" w:color="auto" w:fill="auto"/>
            <w:vAlign w:val="center"/>
          </w:tcPr>
          <w:p w14:paraId="29BCC4B3"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61</w:t>
            </w:r>
          </w:p>
        </w:tc>
        <w:tc>
          <w:tcPr>
            <w:tcW w:w="1967" w:type="dxa"/>
            <w:shd w:val="clear" w:color="auto" w:fill="auto"/>
            <w:vAlign w:val="center"/>
          </w:tcPr>
          <w:p w14:paraId="49D2C84A"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73</w:t>
            </w:r>
          </w:p>
        </w:tc>
        <w:tc>
          <w:tcPr>
            <w:tcW w:w="1968" w:type="dxa"/>
            <w:shd w:val="clear" w:color="auto" w:fill="auto"/>
            <w:vAlign w:val="center"/>
          </w:tcPr>
          <w:p w14:paraId="365AA0BD"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+12</w:t>
            </w:r>
          </w:p>
        </w:tc>
      </w:tr>
      <w:tr w:rsidR="00A83786" w:rsidRPr="007F6332" w14:paraId="4C8B92D7"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000000" w:fill="A7A9AC"/>
            <w:vAlign w:val="center"/>
          </w:tcPr>
          <w:p w14:paraId="0C2C4D6F" w14:textId="77777777" w:rsidR="00A83786" w:rsidRPr="007F6332" w:rsidRDefault="00A83786" w:rsidP="00D8325F">
            <w:pPr>
              <w:rPr>
                <w:rFonts w:cs="Arial"/>
                <w:color w:val="000000"/>
                <w:szCs w:val="22"/>
              </w:rPr>
            </w:pPr>
            <w:r w:rsidRPr="007F6332">
              <w:rPr>
                <w:rFonts w:cs="Arial"/>
                <w:color w:val="000000"/>
                <w:szCs w:val="22"/>
              </w:rPr>
              <w:t>Lifelong learning (access to education)</w:t>
            </w:r>
          </w:p>
        </w:tc>
        <w:tc>
          <w:tcPr>
            <w:tcW w:w="1967" w:type="dxa"/>
            <w:shd w:val="clear" w:color="000000" w:fill="A7A9AC"/>
            <w:vAlign w:val="center"/>
          </w:tcPr>
          <w:p w14:paraId="1AA344E9"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41</w:t>
            </w:r>
          </w:p>
        </w:tc>
        <w:tc>
          <w:tcPr>
            <w:tcW w:w="1967" w:type="dxa"/>
            <w:shd w:val="clear" w:color="000000" w:fill="A7A9AC"/>
            <w:vAlign w:val="center"/>
          </w:tcPr>
          <w:p w14:paraId="04977138"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51</w:t>
            </w:r>
          </w:p>
        </w:tc>
        <w:tc>
          <w:tcPr>
            <w:tcW w:w="1968" w:type="dxa"/>
            <w:shd w:val="clear" w:color="000000" w:fill="A7A9AC"/>
            <w:vAlign w:val="center"/>
          </w:tcPr>
          <w:p w14:paraId="40DF2B43"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+9</w:t>
            </w:r>
          </w:p>
        </w:tc>
      </w:tr>
      <w:tr w:rsidR="00A83786" w:rsidRPr="007F6332" w14:paraId="219ACE0A"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218D125B" w14:textId="77777777" w:rsidR="00A83786" w:rsidRPr="007F6332" w:rsidRDefault="00A83786" w:rsidP="00D8325F">
            <w:pPr>
              <w:rPr>
                <w:rFonts w:cs="Arial"/>
                <w:color w:val="000000"/>
                <w:szCs w:val="22"/>
              </w:rPr>
            </w:pPr>
            <w:r w:rsidRPr="007F6332">
              <w:rPr>
                <w:rFonts w:cs="Arial"/>
                <w:color w:val="000000"/>
                <w:szCs w:val="22"/>
              </w:rPr>
              <w:t>Relationships (with family and friends)</w:t>
            </w:r>
          </w:p>
        </w:tc>
        <w:tc>
          <w:tcPr>
            <w:tcW w:w="1967" w:type="dxa"/>
            <w:shd w:val="clear" w:color="auto" w:fill="auto"/>
            <w:vAlign w:val="center"/>
          </w:tcPr>
          <w:p w14:paraId="3C05F524"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50</w:t>
            </w:r>
          </w:p>
        </w:tc>
        <w:tc>
          <w:tcPr>
            <w:tcW w:w="1967" w:type="dxa"/>
            <w:shd w:val="clear" w:color="auto" w:fill="auto"/>
            <w:vAlign w:val="center"/>
          </w:tcPr>
          <w:p w14:paraId="4B9A35E0"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60</w:t>
            </w:r>
          </w:p>
        </w:tc>
        <w:tc>
          <w:tcPr>
            <w:tcW w:w="1968" w:type="dxa"/>
            <w:shd w:val="clear" w:color="auto" w:fill="auto"/>
            <w:vAlign w:val="center"/>
          </w:tcPr>
          <w:p w14:paraId="7611BD5F"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+10</w:t>
            </w:r>
          </w:p>
        </w:tc>
      </w:tr>
      <w:tr w:rsidR="00A83786" w:rsidRPr="007F6332" w14:paraId="7C402439"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000000" w:fill="A7A9AC"/>
            <w:vAlign w:val="center"/>
          </w:tcPr>
          <w:p w14:paraId="4ADF1818" w14:textId="77777777" w:rsidR="00A83786" w:rsidRPr="007F6332" w:rsidRDefault="00A83786" w:rsidP="00D8325F">
            <w:pPr>
              <w:rPr>
                <w:rFonts w:cs="Arial"/>
                <w:color w:val="000000"/>
                <w:szCs w:val="22"/>
              </w:rPr>
            </w:pPr>
            <w:r w:rsidRPr="007F6332">
              <w:rPr>
                <w:rFonts w:cs="Arial"/>
                <w:color w:val="000000"/>
                <w:szCs w:val="22"/>
              </w:rPr>
              <w:t>Social, community and civic participation (social and recreational life)</w:t>
            </w:r>
          </w:p>
        </w:tc>
        <w:tc>
          <w:tcPr>
            <w:tcW w:w="1967" w:type="dxa"/>
            <w:tcBorders>
              <w:bottom w:val="single" w:sz="4" w:space="0" w:color="auto"/>
            </w:tcBorders>
            <w:shd w:val="clear" w:color="000000" w:fill="A7A9AC"/>
            <w:vAlign w:val="center"/>
          </w:tcPr>
          <w:p w14:paraId="6BAC2EFA"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45</w:t>
            </w:r>
          </w:p>
        </w:tc>
        <w:tc>
          <w:tcPr>
            <w:tcW w:w="1967" w:type="dxa"/>
            <w:tcBorders>
              <w:bottom w:val="single" w:sz="4" w:space="0" w:color="auto"/>
            </w:tcBorders>
            <w:shd w:val="clear" w:color="000000" w:fill="A7A9AC"/>
            <w:vAlign w:val="center"/>
          </w:tcPr>
          <w:p w14:paraId="479319FE"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53</w:t>
            </w:r>
          </w:p>
        </w:tc>
        <w:tc>
          <w:tcPr>
            <w:tcW w:w="1968" w:type="dxa"/>
            <w:tcBorders>
              <w:bottom w:val="single" w:sz="4" w:space="0" w:color="auto"/>
            </w:tcBorders>
            <w:shd w:val="clear" w:color="000000" w:fill="A7A9AC"/>
            <w:vAlign w:val="center"/>
          </w:tcPr>
          <w:p w14:paraId="7158F1C6"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w:t>
            </w:r>
          </w:p>
        </w:tc>
      </w:tr>
    </w:tbl>
    <w:p w14:paraId="43BAA31B" w14:textId="0A635FD9" w:rsidR="00A83786" w:rsidRPr="007F6332" w:rsidRDefault="0045717D" w:rsidP="00A83786">
      <w:pPr>
        <w:spacing w:before="120"/>
        <w:rPr>
          <w:rFonts w:cs="Arial"/>
        </w:rPr>
      </w:pPr>
      <w:r w:rsidRPr="007F6332">
        <w:rPr>
          <w:rFonts w:cs="Arial"/>
        </w:rPr>
        <w:t xml:space="preserve">Figure 7.7 </w:t>
      </w:r>
      <w:r w:rsidR="00A83786" w:rsidRPr="007F6332">
        <w:rPr>
          <w:rFonts w:cs="Arial"/>
        </w:rPr>
        <w:t>provides more detail for two domains (gaining independence and relationships with family and friends), showing trends over time in the Scheme for different duration cohorts (participants who have been in the Scheme for approximately six, five, four, three or two years at 30 June 2023).</w:t>
      </w:r>
    </w:p>
    <w:p w14:paraId="6A101B26" w14:textId="73A822DD" w:rsidR="00A83786" w:rsidRPr="007F6332" w:rsidRDefault="0045717D" w:rsidP="005265E0">
      <w:pPr>
        <w:pStyle w:val="FiguresandTablesHeading5"/>
      </w:pPr>
      <w:bookmarkStart w:id="243" w:name="_Hlk151927774"/>
      <w:r w:rsidRPr="007F6332">
        <w:t>Figure 7.7</w:t>
      </w:r>
      <w:r w:rsidR="00A83786" w:rsidRPr="007F6332">
        <w:t>: Percentage who think the NDIS has helped – longitudinal trends for participants in the Scheme for two to six years, age starting school to 14</w:t>
      </w:r>
    </w:p>
    <w:p w14:paraId="06EE6091" w14:textId="77777777" w:rsidR="00A83786" w:rsidRPr="007F6332" w:rsidRDefault="00A83786" w:rsidP="00A83786">
      <w:pPr>
        <w:ind w:right="-472"/>
        <w:rPr>
          <w:rFonts w:cs="Arial"/>
        </w:rPr>
      </w:pPr>
      <w:r w:rsidRPr="007F6332">
        <w:rPr>
          <w:rFonts w:cs="Arial"/>
          <w:noProof/>
        </w:rPr>
        <w:drawing>
          <wp:inline distT="0" distB="0" distL="0" distR="0" wp14:anchorId="05558B45" wp14:editId="6411F677">
            <wp:extent cx="5848350" cy="2856230"/>
            <wp:effectExtent l="0" t="0" r="0" b="1270"/>
            <wp:docPr id="12" name="Picture 12" descr="Figure 7.7: Percentage who think the NDIS has helped – longitudinal trends for participants in the Scheme for two to six years, age starting school to 14.&#10;There is notable cohort effect in the percentage parents and carers saying the NDIS helped their child become more independent, as well as those saying the NDIS improved their child’s relationships with family and friends. In both metrics, the percentage at the first reassessment is lower for those who have been in the Scheme for longer (entered earlier in most cases).&#10;However, by the latest reassessment, the percentages for both metrics have improved to a similar level across different cohorts, indicating that those who have been in the Scheme for longer experienced greater improvements from first to latest reassess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7.7: Percentage who think the NDIS has helped – longitudinal trends for participants in the Scheme for two to six years, age starting school to 14.&#10;There is notable cohort effect in the percentage parents and carers saying the NDIS helped their child become more independent, as well as those saying the NDIS improved their child’s relationships with family and friends. In both metrics, the percentage at the first reassessment is lower for those who have been in the Scheme for longer (entered earlier in most cases).&#10;However, by the latest reassessment, the percentages for both metrics have improved to a similar level across different cohorts, indicating that those who have been in the Scheme for longer experienced greater improvements from first to latest reassessment.&#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852902" cy="2858453"/>
                    </a:xfrm>
                    <a:prstGeom prst="rect">
                      <a:avLst/>
                    </a:prstGeom>
                    <a:noFill/>
                  </pic:spPr>
                </pic:pic>
              </a:graphicData>
            </a:graphic>
          </wp:inline>
        </w:drawing>
      </w:r>
    </w:p>
    <w:bookmarkEnd w:id="243"/>
    <w:p w14:paraId="01FB5367" w14:textId="17B1BE1F" w:rsidR="00A83786" w:rsidRPr="007F6332" w:rsidRDefault="0045717D" w:rsidP="00A83786">
      <w:pPr>
        <w:rPr>
          <w:rFonts w:cs="Arial"/>
        </w:rPr>
      </w:pPr>
      <w:r w:rsidRPr="007F6332">
        <w:rPr>
          <w:rFonts w:cs="Arial"/>
        </w:rPr>
        <w:lastRenderedPageBreak/>
        <w:t>Figure 7.7</w:t>
      </w:r>
      <w:r w:rsidR="00A83786" w:rsidRPr="007F6332">
        <w:rPr>
          <w:rFonts w:cs="Arial"/>
        </w:rPr>
        <w:t xml:space="preserve"> shows an increasing trend for these two indicators over time in the Scheme, apart from some volatility for those in the Scheme six years (where numbers are smaller). Participants entering more recently show higher levels of satisfaction than those entering earlier.</w:t>
      </w:r>
    </w:p>
    <w:p w14:paraId="21BB36CA" w14:textId="144E7F4F" w:rsidR="00A83786" w:rsidRPr="007F6332" w:rsidRDefault="00A83786" w:rsidP="00A83786">
      <w:pPr>
        <w:rPr>
          <w:rFonts w:cs="Arial"/>
        </w:rPr>
      </w:pPr>
      <w:r w:rsidRPr="007F6332">
        <w:rPr>
          <w:rFonts w:cs="Arial"/>
        </w:rPr>
        <w:t xml:space="preserve">For young adults aged 15 to 24 years, </w:t>
      </w:r>
      <w:r w:rsidR="0045717D" w:rsidRPr="007F6332">
        <w:rPr>
          <w:rFonts w:cs="Arial"/>
        </w:rPr>
        <w:t>Table 7.</w:t>
      </w:r>
      <w:r w:rsidR="001137E8" w:rsidRPr="007F6332">
        <w:rPr>
          <w:rFonts w:cs="Arial"/>
        </w:rPr>
        <w:t xml:space="preserve">3 </w:t>
      </w:r>
      <w:r w:rsidRPr="007F6332">
        <w:rPr>
          <w:rFonts w:cs="Arial"/>
        </w:rPr>
        <w:t>shows the percentages responding positively at first reassessment and at latest reassessment, as well as the change between the two time points.</w:t>
      </w:r>
    </w:p>
    <w:p w14:paraId="2631A8D8" w14:textId="2276B977" w:rsidR="00A83786" w:rsidRPr="007F6332" w:rsidRDefault="0045717D" w:rsidP="005265E0">
      <w:pPr>
        <w:pStyle w:val="FiguresandTablesHeading5"/>
      </w:pPr>
      <w:r w:rsidRPr="007F6332">
        <w:t>Table 7.</w:t>
      </w:r>
      <w:r w:rsidR="001137E8" w:rsidRPr="007F6332">
        <w:t>3</w:t>
      </w:r>
      <w:r w:rsidR="00A83786" w:rsidRPr="007F6332">
        <w:t>: “Has the NDIS helped?” – participants aged 15 to 24</w:t>
      </w:r>
      <w:r w:rsidR="00A83786" w:rsidRPr="007F6332">
        <w:rPr>
          <w:rStyle w:val="FootnoteReference"/>
        </w:rPr>
        <w:footnoteReference w:id="145"/>
      </w:r>
    </w:p>
    <w:tbl>
      <w:tblPr>
        <w:tblStyle w:val="GridTable2"/>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114"/>
        <w:gridCol w:w="1967"/>
        <w:gridCol w:w="1967"/>
        <w:gridCol w:w="1968"/>
      </w:tblGrid>
      <w:tr w:rsidR="00A83786" w:rsidRPr="007F6332" w14:paraId="5C572E81" w14:textId="77777777" w:rsidTr="00624BC3">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shd w:val="clear" w:color="auto" w:fill="6B2976"/>
            <w:vAlign w:val="center"/>
          </w:tcPr>
          <w:p w14:paraId="5A273F8F" w14:textId="77777777" w:rsidR="00A83786" w:rsidRPr="007F6332" w:rsidRDefault="00A83786" w:rsidP="00D8325F">
            <w:pPr>
              <w:rPr>
                <w:rFonts w:cs="Arial"/>
                <w:color w:val="FFFFFF"/>
                <w:szCs w:val="22"/>
              </w:rPr>
            </w:pPr>
            <w:r w:rsidRPr="007F6332">
              <w:rPr>
                <w:rFonts w:cs="Arial"/>
                <w:color w:val="FFFFFF"/>
                <w:szCs w:val="22"/>
              </w:rPr>
              <w:t>Domain</w:t>
            </w:r>
          </w:p>
        </w:tc>
        <w:tc>
          <w:tcPr>
            <w:tcW w:w="1967" w:type="dxa"/>
            <w:tcBorders>
              <w:top w:val="none" w:sz="0" w:space="0" w:color="auto"/>
              <w:left w:val="none" w:sz="0" w:space="0" w:color="auto"/>
              <w:bottom w:val="none" w:sz="0" w:space="0" w:color="auto"/>
              <w:right w:val="none" w:sz="0" w:space="0" w:color="auto"/>
            </w:tcBorders>
            <w:shd w:val="clear" w:color="auto" w:fill="6B2976"/>
            <w:vAlign w:val="center"/>
          </w:tcPr>
          <w:p w14:paraId="2EBE29AA" w14:textId="77777777" w:rsidR="00A83786" w:rsidRPr="007F6332" w:rsidRDefault="00A83786" w:rsidP="00624BC3">
            <w:pPr>
              <w:jc w:val="center"/>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First reassessment %</w:t>
            </w:r>
          </w:p>
        </w:tc>
        <w:tc>
          <w:tcPr>
            <w:tcW w:w="1967" w:type="dxa"/>
            <w:tcBorders>
              <w:top w:val="none" w:sz="0" w:space="0" w:color="auto"/>
              <w:left w:val="none" w:sz="0" w:space="0" w:color="auto"/>
              <w:bottom w:val="none" w:sz="0" w:space="0" w:color="auto"/>
              <w:right w:val="none" w:sz="0" w:space="0" w:color="auto"/>
            </w:tcBorders>
            <w:shd w:val="clear" w:color="auto" w:fill="6B2976"/>
            <w:vAlign w:val="center"/>
          </w:tcPr>
          <w:p w14:paraId="50513AFE" w14:textId="77777777" w:rsidR="00A83786" w:rsidRPr="007F6332" w:rsidRDefault="00A83786" w:rsidP="00624BC3">
            <w:pPr>
              <w:jc w:val="center"/>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Latest reassessment %</w:t>
            </w:r>
          </w:p>
        </w:tc>
        <w:tc>
          <w:tcPr>
            <w:tcW w:w="1968" w:type="dxa"/>
            <w:tcBorders>
              <w:top w:val="none" w:sz="0" w:space="0" w:color="auto"/>
              <w:left w:val="none" w:sz="0" w:space="0" w:color="auto"/>
              <w:bottom w:val="none" w:sz="0" w:space="0" w:color="auto"/>
            </w:tcBorders>
            <w:shd w:val="clear" w:color="auto" w:fill="6B2976"/>
            <w:vAlign w:val="center"/>
          </w:tcPr>
          <w:p w14:paraId="5751131D" w14:textId="7D4F64BB" w:rsidR="00A83786" w:rsidRPr="007F6332" w:rsidRDefault="00A83786" w:rsidP="00624BC3">
            <w:pPr>
              <w:jc w:val="center"/>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Percentage point change</w:t>
            </w:r>
          </w:p>
        </w:tc>
      </w:tr>
      <w:tr w:rsidR="00A83786" w:rsidRPr="007F6332" w14:paraId="308C663D"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179FE514" w14:textId="77777777" w:rsidR="00A83786" w:rsidRPr="007F6332" w:rsidRDefault="00A83786" w:rsidP="00D8325F">
            <w:pPr>
              <w:rPr>
                <w:rFonts w:cs="Arial"/>
                <w:color w:val="000000"/>
                <w:szCs w:val="22"/>
              </w:rPr>
            </w:pPr>
            <w:r w:rsidRPr="007F6332">
              <w:rPr>
                <w:rFonts w:cs="Arial"/>
                <w:color w:val="000000"/>
                <w:szCs w:val="22"/>
              </w:rPr>
              <w:t>Choice and control</w:t>
            </w:r>
          </w:p>
        </w:tc>
        <w:tc>
          <w:tcPr>
            <w:tcW w:w="1967" w:type="dxa"/>
            <w:shd w:val="clear" w:color="auto" w:fill="auto"/>
            <w:vAlign w:val="center"/>
          </w:tcPr>
          <w:p w14:paraId="6C23FE6A"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61</w:t>
            </w:r>
          </w:p>
        </w:tc>
        <w:tc>
          <w:tcPr>
            <w:tcW w:w="1967" w:type="dxa"/>
            <w:shd w:val="clear" w:color="auto" w:fill="auto"/>
            <w:vAlign w:val="center"/>
          </w:tcPr>
          <w:p w14:paraId="3BE413A8"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70</w:t>
            </w:r>
          </w:p>
        </w:tc>
        <w:tc>
          <w:tcPr>
            <w:tcW w:w="1968" w:type="dxa"/>
            <w:shd w:val="clear" w:color="auto" w:fill="auto"/>
            <w:vAlign w:val="center"/>
          </w:tcPr>
          <w:p w14:paraId="37D2E448"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+9</w:t>
            </w:r>
          </w:p>
        </w:tc>
      </w:tr>
      <w:tr w:rsidR="00A83786" w:rsidRPr="007F6332" w14:paraId="3F2C5F41"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000000" w:fill="A7A9AC"/>
            <w:vAlign w:val="center"/>
          </w:tcPr>
          <w:p w14:paraId="153B01F6" w14:textId="77777777" w:rsidR="00A83786" w:rsidRPr="007F6332" w:rsidRDefault="00A83786" w:rsidP="00D8325F">
            <w:pPr>
              <w:rPr>
                <w:rFonts w:cs="Arial"/>
                <w:color w:val="000000"/>
                <w:szCs w:val="22"/>
              </w:rPr>
            </w:pPr>
            <w:r w:rsidRPr="007F6332">
              <w:rPr>
                <w:rFonts w:cs="Arial"/>
                <w:color w:val="000000"/>
                <w:szCs w:val="22"/>
              </w:rPr>
              <w:t>Daily living</w:t>
            </w:r>
          </w:p>
        </w:tc>
        <w:tc>
          <w:tcPr>
            <w:tcW w:w="1967" w:type="dxa"/>
            <w:shd w:val="clear" w:color="000000" w:fill="A7A9AC"/>
            <w:vAlign w:val="center"/>
          </w:tcPr>
          <w:p w14:paraId="13C6FF01"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61</w:t>
            </w:r>
          </w:p>
        </w:tc>
        <w:tc>
          <w:tcPr>
            <w:tcW w:w="1967" w:type="dxa"/>
            <w:shd w:val="clear" w:color="000000" w:fill="A7A9AC"/>
            <w:vAlign w:val="center"/>
          </w:tcPr>
          <w:p w14:paraId="54318B86"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72</w:t>
            </w:r>
          </w:p>
        </w:tc>
        <w:tc>
          <w:tcPr>
            <w:tcW w:w="1968" w:type="dxa"/>
            <w:shd w:val="clear" w:color="000000" w:fill="A7A9AC"/>
            <w:vAlign w:val="center"/>
          </w:tcPr>
          <w:p w14:paraId="0BC27C6F"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+11</w:t>
            </w:r>
          </w:p>
        </w:tc>
      </w:tr>
      <w:tr w:rsidR="00A83786" w:rsidRPr="007F6332" w14:paraId="5A0628F8"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244F0B8B" w14:textId="77777777" w:rsidR="00A83786" w:rsidRPr="007F6332" w:rsidRDefault="00A83786" w:rsidP="00D8325F">
            <w:pPr>
              <w:rPr>
                <w:rFonts w:cs="Arial"/>
                <w:color w:val="000000"/>
                <w:szCs w:val="22"/>
              </w:rPr>
            </w:pPr>
            <w:r w:rsidRPr="007F6332">
              <w:rPr>
                <w:rFonts w:cs="Arial"/>
                <w:color w:val="000000"/>
                <w:szCs w:val="22"/>
              </w:rPr>
              <w:t>Relationships</w:t>
            </w:r>
          </w:p>
        </w:tc>
        <w:tc>
          <w:tcPr>
            <w:tcW w:w="1967" w:type="dxa"/>
            <w:shd w:val="clear" w:color="auto" w:fill="auto"/>
            <w:vAlign w:val="center"/>
          </w:tcPr>
          <w:p w14:paraId="077A9F8D"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50</w:t>
            </w:r>
          </w:p>
        </w:tc>
        <w:tc>
          <w:tcPr>
            <w:tcW w:w="1967" w:type="dxa"/>
            <w:shd w:val="clear" w:color="auto" w:fill="auto"/>
            <w:vAlign w:val="center"/>
          </w:tcPr>
          <w:p w14:paraId="0647A5B7"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54</w:t>
            </w:r>
          </w:p>
        </w:tc>
        <w:tc>
          <w:tcPr>
            <w:tcW w:w="1968" w:type="dxa"/>
            <w:shd w:val="clear" w:color="auto" w:fill="auto"/>
            <w:vAlign w:val="center"/>
          </w:tcPr>
          <w:p w14:paraId="05AD0785"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+5</w:t>
            </w:r>
          </w:p>
        </w:tc>
      </w:tr>
      <w:tr w:rsidR="00A83786" w:rsidRPr="007F6332" w14:paraId="4E960C94"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000000" w:fill="A7A9AC"/>
            <w:vAlign w:val="center"/>
          </w:tcPr>
          <w:p w14:paraId="395EA004" w14:textId="77777777" w:rsidR="00A83786" w:rsidRPr="007F6332" w:rsidRDefault="00A83786" w:rsidP="00D8325F">
            <w:pPr>
              <w:rPr>
                <w:rFonts w:cs="Arial"/>
                <w:color w:val="000000"/>
                <w:szCs w:val="22"/>
              </w:rPr>
            </w:pPr>
            <w:r w:rsidRPr="007F6332">
              <w:rPr>
                <w:rFonts w:cs="Arial"/>
                <w:color w:val="000000"/>
                <w:szCs w:val="22"/>
              </w:rPr>
              <w:t>Home</w:t>
            </w:r>
          </w:p>
        </w:tc>
        <w:tc>
          <w:tcPr>
            <w:tcW w:w="1967" w:type="dxa"/>
            <w:shd w:val="clear" w:color="000000" w:fill="A7A9AC"/>
            <w:vAlign w:val="center"/>
          </w:tcPr>
          <w:p w14:paraId="7E2D7ED5"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22</w:t>
            </w:r>
          </w:p>
        </w:tc>
        <w:tc>
          <w:tcPr>
            <w:tcW w:w="1967" w:type="dxa"/>
            <w:shd w:val="clear" w:color="000000" w:fill="A7A9AC"/>
            <w:vAlign w:val="center"/>
          </w:tcPr>
          <w:p w14:paraId="3267B93A"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21</w:t>
            </w:r>
          </w:p>
        </w:tc>
        <w:tc>
          <w:tcPr>
            <w:tcW w:w="1968" w:type="dxa"/>
            <w:shd w:val="clear" w:color="000000" w:fill="A7A9AC"/>
            <w:vAlign w:val="center"/>
          </w:tcPr>
          <w:p w14:paraId="5039A5AF"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w:t>
            </w:r>
          </w:p>
        </w:tc>
      </w:tr>
      <w:tr w:rsidR="00A83786" w:rsidRPr="007F6332" w14:paraId="639F33B8"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6D6D7A15" w14:textId="77777777" w:rsidR="00A83786" w:rsidRPr="007F6332" w:rsidRDefault="00A83786" w:rsidP="00D8325F">
            <w:pPr>
              <w:rPr>
                <w:rFonts w:cs="Arial"/>
                <w:color w:val="000000"/>
                <w:szCs w:val="22"/>
              </w:rPr>
            </w:pPr>
            <w:r w:rsidRPr="007F6332">
              <w:rPr>
                <w:rFonts w:cs="Arial"/>
                <w:color w:val="000000"/>
                <w:szCs w:val="22"/>
              </w:rPr>
              <w:t>Health and wellbeing</w:t>
            </w:r>
          </w:p>
        </w:tc>
        <w:tc>
          <w:tcPr>
            <w:tcW w:w="1967" w:type="dxa"/>
            <w:shd w:val="clear" w:color="auto" w:fill="auto"/>
            <w:vAlign w:val="center"/>
          </w:tcPr>
          <w:p w14:paraId="1BF15C2F"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43</w:t>
            </w:r>
          </w:p>
        </w:tc>
        <w:tc>
          <w:tcPr>
            <w:tcW w:w="1967" w:type="dxa"/>
            <w:shd w:val="clear" w:color="auto" w:fill="auto"/>
            <w:vAlign w:val="center"/>
          </w:tcPr>
          <w:p w14:paraId="156A47ED"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51</w:t>
            </w:r>
          </w:p>
        </w:tc>
        <w:tc>
          <w:tcPr>
            <w:tcW w:w="1968" w:type="dxa"/>
            <w:shd w:val="clear" w:color="auto" w:fill="auto"/>
            <w:vAlign w:val="center"/>
          </w:tcPr>
          <w:p w14:paraId="29560233"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w:t>
            </w:r>
          </w:p>
        </w:tc>
      </w:tr>
      <w:tr w:rsidR="00A83786" w:rsidRPr="007F6332" w14:paraId="188E61B9"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000000" w:fill="A7A9AC"/>
            <w:vAlign w:val="center"/>
          </w:tcPr>
          <w:p w14:paraId="6D9007D6" w14:textId="77777777" w:rsidR="00A83786" w:rsidRPr="007F6332" w:rsidRDefault="00A83786" w:rsidP="00D8325F">
            <w:pPr>
              <w:rPr>
                <w:rFonts w:cs="Arial"/>
                <w:color w:val="000000"/>
                <w:szCs w:val="22"/>
              </w:rPr>
            </w:pPr>
            <w:r w:rsidRPr="007F6332">
              <w:rPr>
                <w:rFonts w:cs="Arial"/>
                <w:color w:val="000000"/>
                <w:szCs w:val="22"/>
              </w:rPr>
              <w:t>Lifelong learning</w:t>
            </w:r>
          </w:p>
        </w:tc>
        <w:tc>
          <w:tcPr>
            <w:tcW w:w="1967" w:type="dxa"/>
            <w:shd w:val="clear" w:color="000000" w:fill="A7A9AC"/>
            <w:vAlign w:val="center"/>
          </w:tcPr>
          <w:p w14:paraId="49898F75"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36</w:t>
            </w:r>
          </w:p>
        </w:tc>
        <w:tc>
          <w:tcPr>
            <w:tcW w:w="1967" w:type="dxa"/>
            <w:shd w:val="clear" w:color="000000" w:fill="A7A9AC"/>
            <w:vAlign w:val="center"/>
          </w:tcPr>
          <w:p w14:paraId="3D5158F1"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37</w:t>
            </w:r>
          </w:p>
        </w:tc>
        <w:tc>
          <w:tcPr>
            <w:tcW w:w="1968" w:type="dxa"/>
            <w:shd w:val="clear" w:color="000000" w:fill="A7A9AC"/>
            <w:vAlign w:val="center"/>
          </w:tcPr>
          <w:p w14:paraId="74CDDC6E"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w:t>
            </w:r>
          </w:p>
        </w:tc>
      </w:tr>
      <w:tr w:rsidR="00A83786" w:rsidRPr="007F6332" w14:paraId="5883994D"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2947B021" w14:textId="77777777" w:rsidR="00A83786" w:rsidRPr="007F6332" w:rsidRDefault="00A83786" w:rsidP="00D8325F">
            <w:pPr>
              <w:rPr>
                <w:rFonts w:cs="Arial"/>
                <w:color w:val="000000"/>
                <w:szCs w:val="22"/>
              </w:rPr>
            </w:pPr>
            <w:r w:rsidRPr="007F6332">
              <w:rPr>
                <w:rFonts w:cs="Arial"/>
                <w:color w:val="000000"/>
                <w:szCs w:val="22"/>
              </w:rPr>
              <w:t>Work</w:t>
            </w:r>
          </w:p>
        </w:tc>
        <w:tc>
          <w:tcPr>
            <w:tcW w:w="1967" w:type="dxa"/>
            <w:shd w:val="clear" w:color="auto" w:fill="auto"/>
            <w:vAlign w:val="center"/>
          </w:tcPr>
          <w:p w14:paraId="3E3CA520"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18</w:t>
            </w:r>
          </w:p>
        </w:tc>
        <w:tc>
          <w:tcPr>
            <w:tcW w:w="1967" w:type="dxa"/>
            <w:shd w:val="clear" w:color="auto" w:fill="auto"/>
            <w:vAlign w:val="center"/>
          </w:tcPr>
          <w:p w14:paraId="37978CE0"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17</w:t>
            </w:r>
          </w:p>
        </w:tc>
        <w:tc>
          <w:tcPr>
            <w:tcW w:w="1968" w:type="dxa"/>
            <w:shd w:val="clear" w:color="auto" w:fill="auto"/>
            <w:vAlign w:val="center"/>
          </w:tcPr>
          <w:p w14:paraId="4C043575" w14:textId="77777777" w:rsidR="00A83786" w:rsidRPr="007F6332" w:rsidRDefault="00A83786" w:rsidP="00624BC3">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w:t>
            </w:r>
          </w:p>
        </w:tc>
      </w:tr>
      <w:tr w:rsidR="00A83786" w:rsidRPr="007F6332" w14:paraId="7377C815"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000000" w:fill="A7A9AC"/>
            <w:vAlign w:val="center"/>
          </w:tcPr>
          <w:p w14:paraId="4B9D09F8" w14:textId="77777777" w:rsidR="00A83786" w:rsidRPr="007F6332" w:rsidRDefault="00A83786" w:rsidP="00D8325F">
            <w:pPr>
              <w:rPr>
                <w:rFonts w:cs="Arial"/>
                <w:color w:val="000000"/>
                <w:szCs w:val="22"/>
              </w:rPr>
            </w:pPr>
            <w:r w:rsidRPr="007F6332">
              <w:rPr>
                <w:rFonts w:cs="Arial"/>
                <w:color w:val="000000"/>
                <w:szCs w:val="22"/>
              </w:rPr>
              <w:t>Social, community and civic participation</w:t>
            </w:r>
          </w:p>
        </w:tc>
        <w:tc>
          <w:tcPr>
            <w:tcW w:w="1967" w:type="dxa"/>
            <w:tcBorders>
              <w:bottom w:val="single" w:sz="4" w:space="0" w:color="auto"/>
            </w:tcBorders>
            <w:shd w:val="clear" w:color="000000" w:fill="A7A9AC"/>
            <w:vAlign w:val="center"/>
          </w:tcPr>
          <w:p w14:paraId="6294579E"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55</w:t>
            </w:r>
          </w:p>
        </w:tc>
        <w:tc>
          <w:tcPr>
            <w:tcW w:w="1967" w:type="dxa"/>
            <w:tcBorders>
              <w:bottom w:val="single" w:sz="4" w:space="0" w:color="auto"/>
            </w:tcBorders>
            <w:shd w:val="clear" w:color="000000" w:fill="A7A9AC"/>
            <w:vAlign w:val="center"/>
          </w:tcPr>
          <w:p w14:paraId="6FF23125"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62</w:t>
            </w:r>
          </w:p>
        </w:tc>
        <w:tc>
          <w:tcPr>
            <w:tcW w:w="1968" w:type="dxa"/>
            <w:tcBorders>
              <w:bottom w:val="single" w:sz="4" w:space="0" w:color="auto"/>
            </w:tcBorders>
            <w:shd w:val="clear" w:color="000000" w:fill="A7A9AC"/>
            <w:vAlign w:val="center"/>
          </w:tcPr>
          <w:p w14:paraId="39545619" w14:textId="77777777" w:rsidR="00A83786" w:rsidRPr="007F6332" w:rsidRDefault="00A83786" w:rsidP="00624BC3">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w:t>
            </w:r>
          </w:p>
        </w:tc>
      </w:tr>
    </w:tbl>
    <w:p w14:paraId="5543C703" w14:textId="77777777" w:rsidR="00A83786" w:rsidRPr="007F6332" w:rsidRDefault="00A83786" w:rsidP="00A83786">
      <w:pPr>
        <w:rPr>
          <w:rFonts w:cs="Arial"/>
        </w:rPr>
      </w:pPr>
    </w:p>
    <w:p w14:paraId="2436A1D2" w14:textId="2EC426BC" w:rsidR="00A83786" w:rsidRPr="007F6332" w:rsidRDefault="00A83786" w:rsidP="00A83786">
      <w:pPr>
        <w:rPr>
          <w:rFonts w:cs="Arial"/>
        </w:rPr>
      </w:pPr>
      <w:r w:rsidRPr="007F6332">
        <w:rPr>
          <w:rFonts w:cs="Arial"/>
        </w:rPr>
        <w:t xml:space="preserve">From </w:t>
      </w:r>
      <w:r w:rsidR="0045717D" w:rsidRPr="007F6332">
        <w:rPr>
          <w:rFonts w:cs="Arial"/>
        </w:rPr>
        <w:t>Table 7.</w:t>
      </w:r>
      <w:r w:rsidR="001137E8" w:rsidRPr="007F6332">
        <w:rPr>
          <w:rFonts w:cs="Arial"/>
        </w:rPr>
        <w:t>3</w:t>
      </w:r>
      <w:r w:rsidRPr="007F6332">
        <w:rPr>
          <w:rFonts w:cs="Arial"/>
        </w:rPr>
        <w:t>, the largest improvement over time in the Scheme has been observed for the daily living domain (+11 percentage points). Strong improvements have also been observed for choice and control (+9 percentage points), relationships (+</w:t>
      </w:r>
      <w:r w:rsidR="00F40CE1" w:rsidRPr="007F6332">
        <w:rPr>
          <w:rFonts w:cs="Arial"/>
        </w:rPr>
        <w:t>5</w:t>
      </w:r>
      <w:r w:rsidRPr="007F6332">
        <w:rPr>
          <w:rFonts w:cs="Arial"/>
        </w:rPr>
        <w:t>), health and wellbeing (+</w:t>
      </w:r>
      <w:r w:rsidR="00F40CE1" w:rsidRPr="007F6332">
        <w:rPr>
          <w:rFonts w:cs="Arial"/>
        </w:rPr>
        <w:t>7</w:t>
      </w:r>
      <w:r w:rsidRPr="007F6332">
        <w:rPr>
          <w:rFonts w:cs="Arial"/>
        </w:rPr>
        <w:t>) and social, community and civic participation (+7). Lifelong learning showed a marginal increase (+1), and there were slight declines for home and work.</w:t>
      </w:r>
      <w:r w:rsidRPr="007F6332">
        <w:rPr>
          <w:rStyle w:val="FootnoteReference"/>
          <w:rFonts w:cs="Arial"/>
        </w:rPr>
        <w:footnoteReference w:id="146"/>
      </w:r>
    </w:p>
    <w:p w14:paraId="5EEAC60F" w14:textId="5592E6E9" w:rsidR="00A83786" w:rsidRPr="007F6332" w:rsidRDefault="0045717D" w:rsidP="00A83786">
      <w:pPr>
        <w:rPr>
          <w:rFonts w:cs="Arial"/>
        </w:rPr>
      </w:pPr>
      <w:r w:rsidRPr="007F6332">
        <w:rPr>
          <w:rFonts w:cs="Arial"/>
        </w:rPr>
        <w:t>Figure 7.8</w:t>
      </w:r>
      <w:r w:rsidR="00A83786" w:rsidRPr="007F6332">
        <w:rPr>
          <w:rFonts w:cs="Arial"/>
        </w:rPr>
        <w:t xml:space="preserve"> provides more detail for two domains (daily living and health and wellbeing), showing trends over time in the Scheme for different duration cohorts (participants who have been in the Scheme for approximately six, five, four, three or two years at 30 June 2023).</w:t>
      </w:r>
    </w:p>
    <w:p w14:paraId="6FBD264E" w14:textId="44E2660E" w:rsidR="00A83786" w:rsidRPr="007F6332" w:rsidRDefault="0045717D" w:rsidP="00493F50">
      <w:pPr>
        <w:pStyle w:val="FiguresandTablesHeading5"/>
        <w:spacing w:before="1560"/>
      </w:pPr>
      <w:bookmarkStart w:id="244" w:name="_Hlk151927792"/>
      <w:r w:rsidRPr="007F6332">
        <w:lastRenderedPageBreak/>
        <w:t>Figure 7.8</w:t>
      </w:r>
      <w:r w:rsidR="00A83786" w:rsidRPr="007F6332">
        <w:t>: Percentage who think the NDIS has helped – longitudinal trends for participants in the Scheme for two to six years, age 15 to 24.</w:t>
      </w:r>
    </w:p>
    <w:p w14:paraId="46737E04" w14:textId="77777777" w:rsidR="00A83786" w:rsidRPr="007F6332" w:rsidRDefault="00A83786" w:rsidP="00A83786">
      <w:pPr>
        <w:ind w:right="-613"/>
        <w:rPr>
          <w:rFonts w:cs="Arial"/>
        </w:rPr>
      </w:pPr>
      <w:r w:rsidRPr="007F6332">
        <w:rPr>
          <w:rFonts w:cs="Arial"/>
          <w:noProof/>
        </w:rPr>
        <w:drawing>
          <wp:inline distT="0" distB="0" distL="0" distR="0" wp14:anchorId="68D70169" wp14:editId="453E1C21">
            <wp:extent cx="5715000" cy="1981200"/>
            <wp:effectExtent l="0" t="0" r="0" b="0"/>
            <wp:docPr id="13" name="Picture 13" descr="Figure 7.8: Percentage who think the NDIS has helped – longitudinal trends for participants in the Scheme for two to six years, age 15 to 24.In the metrics of participants saying the NDIS helped with daily living activities, and those saying the NDIS helped improve their health and wellbeing, the percentages saying the NDIS helped at first reassessment are lower for those who have been in the Scheme for longer and entered the Scheme earlier.&#10;For daily living, the percentage saying NDIS helped improved the most from reassessment 1 to reassessment 2.&#10;For health and wellbeing, those who have been in the Scheme for longer become more likely to say the NDIS helped than those in Scheme for fewer years, indicating a positive correlation between time in Scheme and magnitude of improvement in perception of NDIS in terms of impact on health and wellbe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7.8: Percentage who think the NDIS has helped – longitudinal trends for participants in the Scheme for two to six years, age 15 to 24.In the metrics of participants saying the NDIS helped with daily living activities, and those saying the NDIS helped improve their health and wellbeing, the percentages saying the NDIS helped at first reassessment are lower for those who have been in the Scheme for longer and entered the Scheme earlier.&#10;For daily living, the percentage saying NDIS helped improved the most from reassessment 1 to reassessment 2.&#10;For health and wellbeing, those who have been in the Scheme for longer become more likely to say the NDIS helped than those in Scheme for fewer years, indicating a positive correlation between time in Scheme and magnitude of improvement in perception of NDIS in terms of impact on health and wellbeing&#1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36427" cy="1988628"/>
                    </a:xfrm>
                    <a:prstGeom prst="rect">
                      <a:avLst/>
                    </a:prstGeom>
                    <a:noFill/>
                  </pic:spPr>
                </pic:pic>
              </a:graphicData>
            </a:graphic>
          </wp:inline>
        </w:drawing>
      </w:r>
    </w:p>
    <w:bookmarkEnd w:id="244"/>
    <w:p w14:paraId="57B626B5" w14:textId="2503A27A" w:rsidR="00A83786" w:rsidRPr="007F6332" w:rsidRDefault="0045717D" w:rsidP="00A83786">
      <w:pPr>
        <w:rPr>
          <w:rFonts w:cs="Arial"/>
        </w:rPr>
      </w:pPr>
      <w:r w:rsidRPr="007F6332">
        <w:rPr>
          <w:rFonts w:cs="Arial"/>
        </w:rPr>
        <w:t>Figure 7.8</w:t>
      </w:r>
      <w:r w:rsidR="00A83786" w:rsidRPr="007F6332">
        <w:rPr>
          <w:rFonts w:cs="Arial"/>
        </w:rPr>
        <w:t xml:space="preserve"> shows that improvements continue to occur over six years for the health and wellbeing domain. For daily living, improvement has levelled off in the sixth year.</w:t>
      </w:r>
    </w:p>
    <w:p w14:paraId="01F7E3FF" w14:textId="360EC3F4" w:rsidR="00A83786" w:rsidRPr="007F6332" w:rsidRDefault="00A83786" w:rsidP="00A83786">
      <w:pPr>
        <w:rPr>
          <w:rFonts w:cs="Arial"/>
        </w:rPr>
      </w:pPr>
      <w:r w:rsidRPr="007F6332">
        <w:rPr>
          <w:rFonts w:cs="Arial"/>
        </w:rPr>
        <w:t>For participants aged 25 years and over, perceptions tend to be more positive than for those aged 15 to 24, and the older adult group also shows a stronger improvement over time.</w:t>
      </w:r>
      <w:r w:rsidR="00F40CE1" w:rsidRPr="007F6332">
        <w:rPr>
          <w:rFonts w:cs="Arial"/>
        </w:rPr>
        <w:t xml:space="preserve"> </w:t>
      </w:r>
      <w:r w:rsidR="0045717D" w:rsidRPr="007F6332">
        <w:rPr>
          <w:rFonts w:cs="Arial"/>
        </w:rPr>
        <w:t>Table 7.4</w:t>
      </w:r>
      <w:r w:rsidRPr="007F6332">
        <w:rPr>
          <w:rFonts w:cs="Arial"/>
        </w:rPr>
        <w:t xml:space="preserve"> shows the percentages responding positively at first reassessment</w:t>
      </w:r>
      <w:r w:rsidRPr="007F6332" w:rsidDel="00C54D0E">
        <w:rPr>
          <w:rFonts w:cs="Arial"/>
        </w:rPr>
        <w:t xml:space="preserve"> </w:t>
      </w:r>
      <w:r w:rsidRPr="007F6332">
        <w:rPr>
          <w:rFonts w:cs="Arial"/>
        </w:rPr>
        <w:t>and at latest reassessment, as well as the change between the two time points.</w:t>
      </w:r>
    </w:p>
    <w:p w14:paraId="1DF252E1" w14:textId="34438C09" w:rsidR="00A83786" w:rsidRPr="007F6332" w:rsidRDefault="0045717D" w:rsidP="00493F50">
      <w:pPr>
        <w:pStyle w:val="FiguresandTablesHeading5"/>
      </w:pPr>
      <w:r w:rsidRPr="007F6332">
        <w:t>Table 7.4</w:t>
      </w:r>
      <w:r w:rsidR="00A83786" w:rsidRPr="007F6332">
        <w:t>: “Has the NDIS helped?” – participants aged 25 and over</w:t>
      </w:r>
      <w:r w:rsidR="00A83786" w:rsidRPr="007F6332">
        <w:rPr>
          <w:rStyle w:val="FootnoteReference"/>
        </w:rPr>
        <w:footnoteReference w:id="147"/>
      </w:r>
    </w:p>
    <w:tbl>
      <w:tblPr>
        <w:tblStyle w:val="GridTable2"/>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114"/>
        <w:gridCol w:w="1967"/>
        <w:gridCol w:w="1967"/>
        <w:gridCol w:w="1968"/>
      </w:tblGrid>
      <w:tr w:rsidR="00A83786" w:rsidRPr="007F6332" w14:paraId="09F56289" w14:textId="77777777" w:rsidTr="00624BC3">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shd w:val="clear" w:color="auto" w:fill="6B2976"/>
            <w:vAlign w:val="center"/>
          </w:tcPr>
          <w:p w14:paraId="74623FC7" w14:textId="77777777" w:rsidR="00A83786" w:rsidRPr="007F6332" w:rsidRDefault="00A83786" w:rsidP="00D8325F">
            <w:pPr>
              <w:rPr>
                <w:rFonts w:cs="Arial"/>
                <w:color w:val="FFFFFF"/>
                <w:szCs w:val="22"/>
              </w:rPr>
            </w:pPr>
            <w:r w:rsidRPr="007F6332">
              <w:rPr>
                <w:rFonts w:cs="Arial"/>
                <w:color w:val="FFFFFF"/>
                <w:szCs w:val="22"/>
              </w:rPr>
              <w:t>Domain</w:t>
            </w:r>
          </w:p>
        </w:tc>
        <w:tc>
          <w:tcPr>
            <w:tcW w:w="1967" w:type="dxa"/>
            <w:tcBorders>
              <w:top w:val="none" w:sz="0" w:space="0" w:color="auto"/>
              <w:left w:val="none" w:sz="0" w:space="0" w:color="auto"/>
              <w:bottom w:val="none" w:sz="0" w:space="0" w:color="auto"/>
              <w:right w:val="none" w:sz="0" w:space="0" w:color="auto"/>
            </w:tcBorders>
            <w:shd w:val="clear" w:color="auto" w:fill="6B2976"/>
            <w:vAlign w:val="center"/>
          </w:tcPr>
          <w:p w14:paraId="7835B56B" w14:textId="77777777" w:rsidR="00A83786" w:rsidRPr="007F6332" w:rsidRDefault="00A83786" w:rsidP="00D8325F">
            <w:pPr>
              <w:jc w:val="right"/>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First reassessment %</w:t>
            </w:r>
          </w:p>
        </w:tc>
        <w:tc>
          <w:tcPr>
            <w:tcW w:w="1967" w:type="dxa"/>
            <w:tcBorders>
              <w:top w:val="none" w:sz="0" w:space="0" w:color="auto"/>
              <w:left w:val="none" w:sz="0" w:space="0" w:color="auto"/>
              <w:bottom w:val="none" w:sz="0" w:space="0" w:color="auto"/>
              <w:right w:val="none" w:sz="0" w:space="0" w:color="auto"/>
            </w:tcBorders>
            <w:shd w:val="clear" w:color="auto" w:fill="6B2976"/>
            <w:vAlign w:val="center"/>
          </w:tcPr>
          <w:p w14:paraId="3F7DBB17" w14:textId="77777777" w:rsidR="00A83786" w:rsidRPr="007F6332" w:rsidRDefault="00A83786" w:rsidP="00D8325F">
            <w:pPr>
              <w:jc w:val="right"/>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Latest reassessment %</w:t>
            </w:r>
          </w:p>
        </w:tc>
        <w:tc>
          <w:tcPr>
            <w:tcW w:w="1968" w:type="dxa"/>
            <w:tcBorders>
              <w:top w:val="none" w:sz="0" w:space="0" w:color="auto"/>
              <w:left w:val="none" w:sz="0" w:space="0" w:color="auto"/>
              <w:bottom w:val="none" w:sz="0" w:space="0" w:color="auto"/>
            </w:tcBorders>
            <w:shd w:val="clear" w:color="auto" w:fill="6B2976"/>
            <w:vAlign w:val="center"/>
          </w:tcPr>
          <w:p w14:paraId="557F2683" w14:textId="77777777" w:rsidR="00A83786" w:rsidRPr="007F6332" w:rsidRDefault="00A83786" w:rsidP="00D8325F">
            <w:pPr>
              <w:jc w:val="right"/>
              <w:cnfStyle w:val="100000000000" w:firstRow="1" w:lastRow="0" w:firstColumn="0" w:lastColumn="0" w:oddVBand="0" w:evenVBand="0" w:oddHBand="0" w:evenHBand="0" w:firstRowFirstColumn="0" w:firstRowLastColumn="0" w:lastRowFirstColumn="0" w:lastRowLastColumn="0"/>
              <w:rPr>
                <w:rFonts w:cs="Arial"/>
                <w:color w:val="FFFFFF"/>
                <w:szCs w:val="22"/>
              </w:rPr>
            </w:pPr>
            <w:r w:rsidRPr="007F6332">
              <w:rPr>
                <w:rFonts w:cs="Arial"/>
                <w:color w:val="FFFFFF"/>
                <w:szCs w:val="22"/>
              </w:rPr>
              <w:t xml:space="preserve">Percentage point change </w:t>
            </w:r>
          </w:p>
        </w:tc>
      </w:tr>
      <w:tr w:rsidR="00A83786" w:rsidRPr="007F6332" w14:paraId="4BF6255E"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25D1C74F" w14:textId="77777777" w:rsidR="00A83786" w:rsidRPr="007F6332" w:rsidRDefault="00A83786" w:rsidP="00D8325F">
            <w:pPr>
              <w:rPr>
                <w:rFonts w:cs="Arial"/>
                <w:color w:val="000000"/>
                <w:szCs w:val="22"/>
              </w:rPr>
            </w:pPr>
            <w:r w:rsidRPr="007F6332">
              <w:rPr>
                <w:rFonts w:cs="Arial"/>
                <w:color w:val="000000"/>
                <w:szCs w:val="22"/>
              </w:rPr>
              <w:t>Choice and control</w:t>
            </w:r>
          </w:p>
        </w:tc>
        <w:tc>
          <w:tcPr>
            <w:tcW w:w="1967" w:type="dxa"/>
            <w:shd w:val="clear" w:color="auto" w:fill="auto"/>
            <w:vAlign w:val="center"/>
          </w:tcPr>
          <w:p w14:paraId="7BD7FB9C"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69</w:t>
            </w:r>
          </w:p>
        </w:tc>
        <w:tc>
          <w:tcPr>
            <w:tcW w:w="1967" w:type="dxa"/>
            <w:shd w:val="clear" w:color="auto" w:fill="auto"/>
            <w:vAlign w:val="center"/>
          </w:tcPr>
          <w:p w14:paraId="27DC8EAD"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80</w:t>
            </w:r>
          </w:p>
        </w:tc>
        <w:tc>
          <w:tcPr>
            <w:tcW w:w="1968" w:type="dxa"/>
            <w:shd w:val="clear" w:color="auto" w:fill="auto"/>
            <w:vAlign w:val="center"/>
          </w:tcPr>
          <w:p w14:paraId="535A5831"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+11</w:t>
            </w:r>
          </w:p>
        </w:tc>
      </w:tr>
      <w:tr w:rsidR="00A83786" w:rsidRPr="007F6332" w14:paraId="498AEC09"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000000" w:fill="A7A9AC"/>
            <w:vAlign w:val="center"/>
          </w:tcPr>
          <w:p w14:paraId="3D04719F" w14:textId="77777777" w:rsidR="00A83786" w:rsidRPr="007F6332" w:rsidRDefault="00A83786" w:rsidP="00D8325F">
            <w:pPr>
              <w:rPr>
                <w:rFonts w:cs="Arial"/>
                <w:color w:val="000000"/>
                <w:szCs w:val="22"/>
              </w:rPr>
            </w:pPr>
            <w:r w:rsidRPr="007F6332">
              <w:rPr>
                <w:rFonts w:cs="Arial"/>
                <w:color w:val="000000"/>
                <w:szCs w:val="22"/>
              </w:rPr>
              <w:t>Daily living</w:t>
            </w:r>
          </w:p>
        </w:tc>
        <w:tc>
          <w:tcPr>
            <w:tcW w:w="1967" w:type="dxa"/>
            <w:shd w:val="clear" w:color="000000" w:fill="A7A9AC"/>
            <w:vAlign w:val="center"/>
          </w:tcPr>
          <w:p w14:paraId="6E87BEDE"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72</w:t>
            </w:r>
          </w:p>
        </w:tc>
        <w:tc>
          <w:tcPr>
            <w:tcW w:w="1967" w:type="dxa"/>
            <w:shd w:val="clear" w:color="000000" w:fill="A7A9AC"/>
            <w:vAlign w:val="center"/>
          </w:tcPr>
          <w:p w14:paraId="68B2503E"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84</w:t>
            </w:r>
          </w:p>
        </w:tc>
        <w:tc>
          <w:tcPr>
            <w:tcW w:w="1968" w:type="dxa"/>
            <w:shd w:val="clear" w:color="000000" w:fill="A7A9AC"/>
            <w:vAlign w:val="center"/>
          </w:tcPr>
          <w:p w14:paraId="1BBD55A2"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+11</w:t>
            </w:r>
          </w:p>
        </w:tc>
      </w:tr>
      <w:tr w:rsidR="00A83786" w:rsidRPr="007F6332" w14:paraId="6429D9C6"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718DFA58" w14:textId="77777777" w:rsidR="00A83786" w:rsidRPr="007F6332" w:rsidRDefault="00A83786" w:rsidP="00D8325F">
            <w:pPr>
              <w:rPr>
                <w:rFonts w:cs="Arial"/>
                <w:color w:val="000000"/>
                <w:szCs w:val="22"/>
              </w:rPr>
            </w:pPr>
            <w:r w:rsidRPr="007F6332">
              <w:rPr>
                <w:rFonts w:cs="Arial"/>
                <w:color w:val="000000"/>
                <w:szCs w:val="22"/>
              </w:rPr>
              <w:t>Relationships</w:t>
            </w:r>
          </w:p>
        </w:tc>
        <w:tc>
          <w:tcPr>
            <w:tcW w:w="1967" w:type="dxa"/>
            <w:shd w:val="clear" w:color="auto" w:fill="auto"/>
            <w:vAlign w:val="center"/>
          </w:tcPr>
          <w:p w14:paraId="6ECA0371"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52</w:t>
            </w:r>
          </w:p>
        </w:tc>
        <w:tc>
          <w:tcPr>
            <w:tcW w:w="1967" w:type="dxa"/>
            <w:shd w:val="clear" w:color="auto" w:fill="auto"/>
            <w:vAlign w:val="center"/>
          </w:tcPr>
          <w:p w14:paraId="56F30175"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62</w:t>
            </w:r>
          </w:p>
        </w:tc>
        <w:tc>
          <w:tcPr>
            <w:tcW w:w="1968" w:type="dxa"/>
            <w:shd w:val="clear" w:color="auto" w:fill="auto"/>
            <w:vAlign w:val="center"/>
          </w:tcPr>
          <w:p w14:paraId="438BC5A3"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+9</w:t>
            </w:r>
          </w:p>
        </w:tc>
      </w:tr>
      <w:tr w:rsidR="00A83786" w:rsidRPr="007F6332" w14:paraId="3B7744D1"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000000" w:fill="A7A9AC"/>
            <w:vAlign w:val="center"/>
          </w:tcPr>
          <w:p w14:paraId="34947FC9" w14:textId="77777777" w:rsidR="00A83786" w:rsidRPr="007F6332" w:rsidRDefault="00A83786" w:rsidP="00D8325F">
            <w:pPr>
              <w:rPr>
                <w:rFonts w:cs="Arial"/>
                <w:color w:val="000000"/>
                <w:szCs w:val="22"/>
              </w:rPr>
            </w:pPr>
            <w:r w:rsidRPr="007F6332">
              <w:rPr>
                <w:rFonts w:cs="Arial"/>
                <w:color w:val="000000"/>
                <w:szCs w:val="22"/>
              </w:rPr>
              <w:t>Home</w:t>
            </w:r>
          </w:p>
        </w:tc>
        <w:tc>
          <w:tcPr>
            <w:tcW w:w="1967" w:type="dxa"/>
            <w:shd w:val="clear" w:color="000000" w:fill="A7A9AC"/>
            <w:vAlign w:val="center"/>
          </w:tcPr>
          <w:p w14:paraId="3FF7095A"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31</w:t>
            </w:r>
          </w:p>
        </w:tc>
        <w:tc>
          <w:tcPr>
            <w:tcW w:w="1967" w:type="dxa"/>
            <w:shd w:val="clear" w:color="000000" w:fill="A7A9AC"/>
            <w:vAlign w:val="center"/>
          </w:tcPr>
          <w:p w14:paraId="032E988B"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35</w:t>
            </w:r>
          </w:p>
        </w:tc>
        <w:tc>
          <w:tcPr>
            <w:tcW w:w="1968" w:type="dxa"/>
            <w:shd w:val="clear" w:color="000000" w:fill="A7A9AC"/>
            <w:vAlign w:val="center"/>
          </w:tcPr>
          <w:p w14:paraId="2D9EAD9E"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w:t>
            </w:r>
          </w:p>
        </w:tc>
      </w:tr>
      <w:tr w:rsidR="00A83786" w:rsidRPr="007F6332" w14:paraId="6CB18F14"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6997DC2B" w14:textId="77777777" w:rsidR="00A83786" w:rsidRPr="007F6332" w:rsidRDefault="00A83786" w:rsidP="00D8325F">
            <w:pPr>
              <w:rPr>
                <w:rFonts w:cs="Arial"/>
                <w:color w:val="000000"/>
                <w:szCs w:val="22"/>
              </w:rPr>
            </w:pPr>
            <w:r w:rsidRPr="007F6332">
              <w:rPr>
                <w:rFonts w:cs="Arial"/>
                <w:color w:val="000000"/>
                <w:szCs w:val="22"/>
              </w:rPr>
              <w:t>Health and wellbeing</w:t>
            </w:r>
          </w:p>
        </w:tc>
        <w:tc>
          <w:tcPr>
            <w:tcW w:w="1967" w:type="dxa"/>
            <w:shd w:val="clear" w:color="auto" w:fill="auto"/>
            <w:vAlign w:val="center"/>
          </w:tcPr>
          <w:p w14:paraId="01E63A16"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52</w:t>
            </w:r>
          </w:p>
        </w:tc>
        <w:tc>
          <w:tcPr>
            <w:tcW w:w="1967" w:type="dxa"/>
            <w:shd w:val="clear" w:color="auto" w:fill="auto"/>
            <w:vAlign w:val="center"/>
          </w:tcPr>
          <w:p w14:paraId="784F1702"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61</w:t>
            </w:r>
          </w:p>
        </w:tc>
        <w:tc>
          <w:tcPr>
            <w:tcW w:w="1968" w:type="dxa"/>
            <w:shd w:val="clear" w:color="auto" w:fill="auto"/>
            <w:vAlign w:val="center"/>
          </w:tcPr>
          <w:p w14:paraId="0D32B0B4"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+9</w:t>
            </w:r>
          </w:p>
        </w:tc>
      </w:tr>
      <w:tr w:rsidR="00A83786" w:rsidRPr="007F6332" w14:paraId="554309E9"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000000" w:fill="A7A9AC"/>
            <w:vAlign w:val="center"/>
          </w:tcPr>
          <w:p w14:paraId="72CADA1D" w14:textId="77777777" w:rsidR="00A83786" w:rsidRPr="007F6332" w:rsidRDefault="00A83786" w:rsidP="00D8325F">
            <w:pPr>
              <w:rPr>
                <w:rFonts w:cs="Arial"/>
                <w:color w:val="000000"/>
                <w:szCs w:val="22"/>
              </w:rPr>
            </w:pPr>
            <w:r w:rsidRPr="007F6332">
              <w:rPr>
                <w:rFonts w:cs="Arial"/>
                <w:color w:val="000000"/>
                <w:szCs w:val="22"/>
              </w:rPr>
              <w:t>Lifelong learning</w:t>
            </w:r>
          </w:p>
        </w:tc>
        <w:tc>
          <w:tcPr>
            <w:tcW w:w="1967" w:type="dxa"/>
            <w:shd w:val="clear" w:color="000000" w:fill="A7A9AC"/>
            <w:vAlign w:val="center"/>
          </w:tcPr>
          <w:p w14:paraId="6B1E8172"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30</w:t>
            </w:r>
          </w:p>
        </w:tc>
        <w:tc>
          <w:tcPr>
            <w:tcW w:w="1967" w:type="dxa"/>
            <w:shd w:val="clear" w:color="000000" w:fill="A7A9AC"/>
            <w:vAlign w:val="center"/>
          </w:tcPr>
          <w:p w14:paraId="0C58D672"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32</w:t>
            </w:r>
          </w:p>
        </w:tc>
        <w:tc>
          <w:tcPr>
            <w:tcW w:w="1968" w:type="dxa"/>
            <w:shd w:val="clear" w:color="000000" w:fill="A7A9AC"/>
            <w:vAlign w:val="center"/>
          </w:tcPr>
          <w:p w14:paraId="472799C6"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+2</w:t>
            </w:r>
          </w:p>
        </w:tc>
      </w:tr>
      <w:tr w:rsidR="00A83786" w:rsidRPr="007F6332" w14:paraId="29299B70" w14:textId="77777777" w:rsidTr="00624B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07E00657" w14:textId="77777777" w:rsidR="00A83786" w:rsidRPr="007F6332" w:rsidRDefault="00A83786" w:rsidP="00D8325F">
            <w:pPr>
              <w:rPr>
                <w:rFonts w:cs="Arial"/>
                <w:color w:val="000000"/>
                <w:szCs w:val="22"/>
              </w:rPr>
            </w:pPr>
            <w:r w:rsidRPr="007F6332">
              <w:rPr>
                <w:rFonts w:cs="Arial"/>
                <w:color w:val="000000"/>
                <w:szCs w:val="22"/>
              </w:rPr>
              <w:t>Work</w:t>
            </w:r>
          </w:p>
        </w:tc>
        <w:tc>
          <w:tcPr>
            <w:tcW w:w="1967" w:type="dxa"/>
            <w:shd w:val="clear" w:color="auto" w:fill="auto"/>
            <w:vAlign w:val="center"/>
          </w:tcPr>
          <w:p w14:paraId="385FF127"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19</w:t>
            </w:r>
          </w:p>
        </w:tc>
        <w:tc>
          <w:tcPr>
            <w:tcW w:w="1967" w:type="dxa"/>
            <w:shd w:val="clear" w:color="auto" w:fill="auto"/>
            <w:vAlign w:val="center"/>
          </w:tcPr>
          <w:p w14:paraId="53B32BD3"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19</w:t>
            </w:r>
          </w:p>
        </w:tc>
        <w:tc>
          <w:tcPr>
            <w:tcW w:w="1968" w:type="dxa"/>
            <w:shd w:val="clear" w:color="auto" w:fill="auto"/>
            <w:vAlign w:val="center"/>
          </w:tcPr>
          <w:p w14:paraId="1BA52282" w14:textId="77777777" w:rsidR="00A83786" w:rsidRPr="007F6332" w:rsidRDefault="00A83786" w:rsidP="00D8325F">
            <w:pPr>
              <w:jc w:val="right"/>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0</w:t>
            </w:r>
          </w:p>
        </w:tc>
      </w:tr>
      <w:tr w:rsidR="00A83786" w:rsidRPr="007F6332" w14:paraId="4B690A54" w14:textId="77777777" w:rsidTr="00624BC3">
        <w:trPr>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000000" w:fill="A7A9AC"/>
            <w:vAlign w:val="center"/>
          </w:tcPr>
          <w:p w14:paraId="3C3CD2BB" w14:textId="77777777" w:rsidR="00A83786" w:rsidRPr="007F6332" w:rsidRDefault="00A83786" w:rsidP="00D8325F">
            <w:pPr>
              <w:rPr>
                <w:rFonts w:cs="Arial"/>
                <w:color w:val="000000"/>
                <w:szCs w:val="22"/>
              </w:rPr>
            </w:pPr>
            <w:r w:rsidRPr="007F6332">
              <w:rPr>
                <w:rFonts w:cs="Arial"/>
                <w:color w:val="000000"/>
                <w:szCs w:val="22"/>
              </w:rPr>
              <w:t>Social, community and civic participation</w:t>
            </w:r>
          </w:p>
        </w:tc>
        <w:tc>
          <w:tcPr>
            <w:tcW w:w="1967" w:type="dxa"/>
            <w:tcBorders>
              <w:bottom w:val="single" w:sz="4" w:space="0" w:color="auto"/>
            </w:tcBorders>
            <w:shd w:val="clear" w:color="000000" w:fill="A7A9AC"/>
            <w:vAlign w:val="center"/>
          </w:tcPr>
          <w:p w14:paraId="046D2EDF"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59</w:t>
            </w:r>
          </w:p>
        </w:tc>
        <w:tc>
          <w:tcPr>
            <w:tcW w:w="1967" w:type="dxa"/>
            <w:tcBorders>
              <w:bottom w:val="single" w:sz="4" w:space="0" w:color="auto"/>
            </w:tcBorders>
            <w:shd w:val="clear" w:color="000000" w:fill="A7A9AC"/>
            <w:vAlign w:val="center"/>
          </w:tcPr>
          <w:p w14:paraId="6BABD9CE"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70</w:t>
            </w:r>
          </w:p>
        </w:tc>
        <w:tc>
          <w:tcPr>
            <w:tcW w:w="1968" w:type="dxa"/>
            <w:tcBorders>
              <w:bottom w:val="single" w:sz="4" w:space="0" w:color="auto"/>
            </w:tcBorders>
            <w:shd w:val="clear" w:color="000000" w:fill="A7A9AC"/>
            <w:vAlign w:val="center"/>
          </w:tcPr>
          <w:p w14:paraId="3ACFA7E7" w14:textId="77777777" w:rsidR="00A83786" w:rsidRPr="007F6332" w:rsidRDefault="00A83786" w:rsidP="00D8325F">
            <w:pPr>
              <w:jc w:val="righ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+10</w:t>
            </w:r>
          </w:p>
        </w:tc>
      </w:tr>
    </w:tbl>
    <w:p w14:paraId="751D38D6" w14:textId="4921CDB7" w:rsidR="00A83786" w:rsidRPr="007F6332" w:rsidRDefault="00A83786" w:rsidP="00A83786">
      <w:pPr>
        <w:spacing w:before="240"/>
        <w:rPr>
          <w:rFonts w:cs="Arial"/>
        </w:rPr>
      </w:pPr>
      <w:r w:rsidRPr="007F6332">
        <w:rPr>
          <w:rFonts w:cs="Arial"/>
        </w:rPr>
        <w:t>From</w:t>
      </w:r>
      <w:r w:rsidR="0045717D" w:rsidRPr="007F6332">
        <w:rPr>
          <w:rFonts w:cs="Arial"/>
        </w:rPr>
        <w:t xml:space="preserve"> Table 7.4</w:t>
      </w:r>
      <w:r w:rsidRPr="007F6332">
        <w:rPr>
          <w:rFonts w:cs="Arial"/>
        </w:rPr>
        <w:t xml:space="preserve">, the largest improvements over time in the Scheme have been observed for daily living (+11 percentage points) and choice and control (+11 percentage points). Strong improvements have also been observed for relationships (+9), health and wellbeing (+9) and social, community and civic participation (+10). By contrast with the younger adult group, there was an improvement for the home domain (+5 percentage points). Similar to the </w:t>
      </w:r>
      <w:r w:rsidRPr="007F6332">
        <w:rPr>
          <w:rFonts w:cs="Arial"/>
        </w:rPr>
        <w:lastRenderedPageBreak/>
        <w:t>younger adult group, lifelong learning showed a marginal increase (+2), and there was no material change for work.</w:t>
      </w:r>
      <w:r w:rsidRPr="007F6332">
        <w:rPr>
          <w:rStyle w:val="FootnoteReference"/>
          <w:rFonts w:cs="Arial"/>
        </w:rPr>
        <w:footnoteReference w:id="148"/>
      </w:r>
      <w:r w:rsidRPr="007F6332">
        <w:rPr>
          <w:rFonts w:cs="Arial"/>
        </w:rPr>
        <w:t xml:space="preserve"> </w:t>
      </w:r>
    </w:p>
    <w:p w14:paraId="14D90744" w14:textId="77777777" w:rsidR="0045717D" w:rsidRPr="007F6332" w:rsidRDefault="0045717D" w:rsidP="0005765D">
      <w:pPr>
        <w:rPr>
          <w:rFonts w:cs="Arial"/>
        </w:rPr>
      </w:pPr>
      <w:r w:rsidRPr="007F6332">
        <w:rPr>
          <w:rFonts w:cs="Arial"/>
        </w:rPr>
        <w:t xml:space="preserve">Figure 7.9 </w:t>
      </w:r>
      <w:r w:rsidR="00A83786" w:rsidRPr="007F6332">
        <w:rPr>
          <w:rFonts w:cs="Arial"/>
        </w:rPr>
        <w:t>provides more detail for two domains (daily living and health and wellbeing), showing trends over time in the Scheme for different duration cohorts (participants who have been in the Scheme for approximately six, five, four, three or two years at 30 June 2023).</w:t>
      </w:r>
      <w:r w:rsidRPr="007F6332">
        <w:rPr>
          <w:rFonts w:cs="Arial"/>
        </w:rPr>
        <w:t xml:space="preserve"> </w:t>
      </w:r>
    </w:p>
    <w:p w14:paraId="12E026ED" w14:textId="55B4D194" w:rsidR="00A83786" w:rsidRPr="007F6332" w:rsidRDefault="0045717D" w:rsidP="00493F50">
      <w:pPr>
        <w:pStyle w:val="FiguresandTablesHeading5"/>
      </w:pPr>
      <w:bookmarkStart w:id="245" w:name="_Hlk151927808"/>
      <w:r w:rsidRPr="007F6332">
        <w:t>Figure 7.9</w:t>
      </w:r>
      <w:r w:rsidR="00A83786" w:rsidRPr="007F6332">
        <w:t>: Percentage who think the NDIS has helped – longitudinal trends for participants in the Scheme for two to six years, age 25 and over.</w:t>
      </w:r>
    </w:p>
    <w:p w14:paraId="3C420E91" w14:textId="77777777" w:rsidR="00A83786" w:rsidRPr="007F6332" w:rsidRDefault="00A83786" w:rsidP="00A83786">
      <w:pPr>
        <w:ind w:right="-613"/>
        <w:rPr>
          <w:rFonts w:cs="Arial"/>
        </w:rPr>
      </w:pPr>
      <w:r w:rsidRPr="007F6332">
        <w:rPr>
          <w:rFonts w:cs="Arial"/>
          <w:noProof/>
        </w:rPr>
        <w:drawing>
          <wp:inline distT="0" distB="0" distL="0" distR="0" wp14:anchorId="00EBA071" wp14:editId="1A734705">
            <wp:extent cx="5629275" cy="2440212"/>
            <wp:effectExtent l="0" t="0" r="0" b="0"/>
            <wp:docPr id="17" name="Picture 17" descr="Figure 7.9: Percentage who think the NDIS has helped – longitudinal trends for participants in the Scheme for two to six years, age 25 and over.&#10;The percentage of participants saying the NDIS helped them with daily activities and the percentage saying the NDIS helped improve health and wellbeing both started at a lower level at reassessment 1 for those who have been in the Scheme for longer, indicating the presence of cohort effect.&#10;For both metrics, larger one-year improvements are seen in earlier reassessments, with the largest being from first to second reassess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7.9: Percentage who think the NDIS has helped – longitudinal trends for participants in the Scheme for two to six years, age 25 and over.&#10;The percentage of participants saying the NDIS helped them with daily activities and the percentage saying the NDIS helped improve health and wellbeing both started at a lower level at reassessment 1 for those who have been in the Scheme for longer, indicating the presence of cohort effect.&#10;For both metrics, larger one-year improvements are seen in earlier reassessments, with the largest being from first to second reassessments.&#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670510" cy="2458087"/>
                    </a:xfrm>
                    <a:prstGeom prst="rect">
                      <a:avLst/>
                    </a:prstGeom>
                    <a:noFill/>
                  </pic:spPr>
                </pic:pic>
              </a:graphicData>
            </a:graphic>
          </wp:inline>
        </w:drawing>
      </w:r>
    </w:p>
    <w:bookmarkEnd w:id="245"/>
    <w:p w14:paraId="4D359A8E" w14:textId="78ED632E" w:rsidR="00A83786" w:rsidRPr="007F6332" w:rsidRDefault="0045717D" w:rsidP="00A83786">
      <w:pPr>
        <w:rPr>
          <w:rFonts w:cs="Arial"/>
        </w:rPr>
      </w:pPr>
      <w:r w:rsidRPr="007F6332">
        <w:rPr>
          <w:rFonts w:cs="Arial"/>
        </w:rPr>
        <w:t xml:space="preserve">Figure 7.9 </w:t>
      </w:r>
      <w:r w:rsidR="00A83786" w:rsidRPr="007F6332">
        <w:rPr>
          <w:rFonts w:cs="Arial"/>
        </w:rPr>
        <w:t>shows that improvements have continued to occur for these two domains, even after five years in the Scheme. However, improvements have levelled off in the sixth year.</w:t>
      </w:r>
    </w:p>
    <w:p w14:paraId="1C77172D" w14:textId="77777777" w:rsidR="00A83786" w:rsidRPr="007F6332" w:rsidRDefault="00A83786" w:rsidP="009D6ABA">
      <w:pPr>
        <w:pStyle w:val="PurpleH5"/>
      </w:pPr>
      <w:bookmarkStart w:id="246" w:name="_Toc47775176"/>
      <w:bookmarkStart w:id="247" w:name="_Toc47777484"/>
      <w:bookmarkStart w:id="248" w:name="_Toc47792646"/>
      <w:bookmarkStart w:id="249" w:name="_Toc47813452"/>
      <w:bookmarkStart w:id="250" w:name="_Toc47813542"/>
      <w:bookmarkStart w:id="251" w:name="_Toc47853172"/>
      <w:bookmarkStart w:id="252" w:name="_Toc47864638"/>
      <w:bookmarkStart w:id="253" w:name="_Toc47864827"/>
      <w:bookmarkStart w:id="254" w:name="_Toc47866472"/>
      <w:bookmarkStart w:id="255" w:name="_Toc47879417"/>
      <w:bookmarkStart w:id="256" w:name="_Toc47962847"/>
      <w:bookmarkStart w:id="257" w:name="_Toc47965220"/>
      <w:bookmarkStart w:id="258" w:name="_Toc47965810"/>
      <w:bookmarkStart w:id="259" w:name="_Toc47967193"/>
      <w:bookmarkStart w:id="260" w:name="_Toc48055140"/>
      <w:bookmarkStart w:id="261" w:name="_Toc48137341"/>
      <w:bookmarkStart w:id="262" w:name="_Toc48201009"/>
      <w:bookmarkStart w:id="263" w:name="_Toc48201103"/>
      <w:bookmarkStart w:id="264" w:name="_Toc48201869"/>
      <w:bookmarkStart w:id="265" w:name="_Toc48216238"/>
      <w:bookmarkStart w:id="266" w:name="_Toc48219061"/>
      <w:bookmarkStart w:id="267" w:name="_Toc48220179"/>
      <w:bookmarkStart w:id="268" w:name="_Toc48220289"/>
      <w:bookmarkStart w:id="269" w:name="_Toc79751005"/>
      <w:bookmarkStart w:id="270" w:name="_Toc83220860"/>
      <w:bookmarkStart w:id="271" w:name="_Toc85031271"/>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7F6332">
        <w:t>Family and carer outcomes</w:t>
      </w:r>
      <w:bookmarkEnd w:id="269"/>
      <w:bookmarkEnd w:id="270"/>
      <w:bookmarkEnd w:id="271"/>
      <w:r w:rsidRPr="007F6332">
        <w:t xml:space="preserve"> – results</w:t>
      </w:r>
    </w:p>
    <w:p w14:paraId="4602C49C" w14:textId="77777777" w:rsidR="0045717D" w:rsidRPr="007F6332" w:rsidRDefault="00A83786" w:rsidP="00A83786">
      <w:pPr>
        <w:pStyle w:val="FSRnormal"/>
        <w:rPr>
          <w:rFonts w:cs="Arial"/>
        </w:rPr>
        <w:sectPr w:rsidR="0045717D" w:rsidRPr="007F6332" w:rsidSect="00CE7E91">
          <w:pgSz w:w="11906" w:h="16838"/>
          <w:pgMar w:top="1440" w:right="1440" w:bottom="1440" w:left="1440" w:header="708" w:footer="850" w:gutter="0"/>
          <w:cols w:space="708"/>
          <w:docGrid w:linePitch="360"/>
        </w:sectPr>
      </w:pPr>
      <w:r w:rsidRPr="007F6332">
        <w:rPr>
          <w:rFonts w:cs="Arial"/>
        </w:rPr>
        <w:t>The NDIS Outcomes Framework measures outcomes for the families and carers of participants as well as participants, recognising that the outcomes for people with a disability and the people who support them are likely to be closely linked. Families and carers of participants who are well supported under the Scheme and who are achieving greater independence and social and economic participation, are likely to find the caring role easier and to experience increased wellbeing and greater opportunities for social and economic participation themselves. This improved situation for families and carers should in turn translate into further improved outcomes for participants</w:t>
      </w:r>
      <w:r w:rsidRPr="007F6332">
        <w:rPr>
          <w:rStyle w:val="FootnoteReference"/>
          <w:rFonts w:cs="Arial"/>
        </w:rPr>
        <w:footnoteReference w:id="149"/>
      </w:r>
      <w:r w:rsidRPr="007F6332">
        <w:rPr>
          <w:rFonts w:cs="Arial"/>
          <w:vertAlign w:val="superscript"/>
        </w:rPr>
        <w:t>,</w:t>
      </w:r>
      <w:r w:rsidRPr="007F6332">
        <w:rPr>
          <w:rStyle w:val="FootnoteReference"/>
          <w:rFonts w:cs="Arial"/>
        </w:rPr>
        <w:footnoteReference w:id="150"/>
      </w:r>
      <w:r w:rsidRPr="007F6332">
        <w:rPr>
          <w:rFonts w:cs="Arial"/>
        </w:rPr>
        <w:t>.</w:t>
      </w:r>
    </w:p>
    <w:p w14:paraId="1FC0C7CE" w14:textId="77777777" w:rsidR="00A83786" w:rsidRPr="007F6332" w:rsidRDefault="00A83786" w:rsidP="00A83786">
      <w:pPr>
        <w:pStyle w:val="FSRnormal"/>
        <w:rPr>
          <w:rFonts w:cs="Arial"/>
        </w:rPr>
      </w:pPr>
    </w:p>
    <w:p w14:paraId="41BDF4FD" w14:textId="77777777" w:rsidR="00A83786" w:rsidRPr="007F6332" w:rsidRDefault="00A83786" w:rsidP="00EF79DA">
      <w:pPr>
        <w:pStyle w:val="Heading4"/>
        <w:ind w:left="851" w:hanging="851"/>
        <w:rPr>
          <w:rFonts w:cs="Arial"/>
        </w:rPr>
      </w:pPr>
      <w:r w:rsidRPr="007F6332">
        <w:rPr>
          <w:rFonts w:cs="Arial"/>
        </w:rPr>
        <w:t>Results – percentage of parents/carers in a paid job</w:t>
      </w:r>
    </w:p>
    <w:p w14:paraId="2F6C6EDE" w14:textId="23CA9AF9" w:rsidR="00A83786" w:rsidRPr="007F6332" w:rsidRDefault="00A83786" w:rsidP="00A83786">
      <w:pPr>
        <w:pStyle w:val="FSRnormal"/>
        <w:spacing w:before="0"/>
        <w:rPr>
          <w:rFonts w:cs="Arial"/>
        </w:rPr>
      </w:pPr>
      <w:r w:rsidRPr="007F6332">
        <w:rPr>
          <w:rFonts w:cs="Arial"/>
        </w:rPr>
        <w:t xml:space="preserve">The NDIA’s </w:t>
      </w:r>
      <w:r w:rsidR="00F40CE1" w:rsidRPr="007F6332">
        <w:rPr>
          <w:rFonts w:cs="Arial"/>
        </w:rPr>
        <w:t>C</w:t>
      </w:r>
      <w:r w:rsidRPr="007F6332">
        <w:rPr>
          <w:rFonts w:cs="Arial"/>
        </w:rPr>
        <w:t xml:space="preserve">orporate </w:t>
      </w:r>
      <w:r w:rsidR="00F40CE1" w:rsidRPr="007F6332">
        <w:rPr>
          <w:rFonts w:cs="Arial"/>
        </w:rPr>
        <w:t>P</w:t>
      </w:r>
      <w:r w:rsidRPr="007F6332">
        <w:rPr>
          <w:rFonts w:cs="Arial"/>
        </w:rPr>
        <w:t>lan metric for parent and carer employment is based on the SF question “Are you currently working in a paid job?” with response options “Yes” and “No”.</w:t>
      </w:r>
    </w:p>
    <w:p w14:paraId="6DE61622" w14:textId="77777777" w:rsidR="00A83786" w:rsidRPr="007F6332" w:rsidRDefault="00A83786" w:rsidP="00A83786">
      <w:pPr>
        <w:pStyle w:val="FSRnormal"/>
        <w:rPr>
          <w:rFonts w:cs="Arial"/>
        </w:rPr>
      </w:pPr>
      <w:r w:rsidRPr="007F6332">
        <w:rPr>
          <w:rFonts w:cs="Arial"/>
        </w:rPr>
        <w:t>As for participants, it should be noted that the global COVID-19 pandemic that took hold from early 2020 has had an impact on family/carer employment (and other indicators).</w:t>
      </w:r>
    </w:p>
    <w:p w14:paraId="2EEC0E3D" w14:textId="77777777" w:rsidR="00A83786" w:rsidRPr="007F6332" w:rsidRDefault="00A83786" w:rsidP="00A83786">
      <w:pPr>
        <w:rPr>
          <w:rFonts w:cs="Arial"/>
        </w:rPr>
      </w:pPr>
      <w:r w:rsidRPr="007F6332">
        <w:rPr>
          <w:rFonts w:cs="Arial"/>
        </w:rPr>
        <w:t>The percentage of parents/carers in a paid job for participants who have been in the Scheme for at least two years has improved over time. Specifically, comparing responses at the most recent plan reassessment</w:t>
      </w:r>
      <w:r w:rsidRPr="007F6332" w:rsidDel="00C54D0E">
        <w:rPr>
          <w:rFonts w:cs="Arial"/>
        </w:rPr>
        <w:t xml:space="preserve"> </w:t>
      </w:r>
      <w:r w:rsidRPr="007F6332">
        <w:rPr>
          <w:rFonts w:cs="Arial"/>
        </w:rPr>
        <w:t>(between two and six years after entry) with responses at Scheme entry, there has been a</w:t>
      </w:r>
      <w:r w:rsidRPr="007F6332">
        <w:rPr>
          <w:rStyle w:val="FootnoteReference"/>
          <w:rFonts w:cs="Arial"/>
        </w:rPr>
        <w:footnoteReference w:id="151"/>
      </w:r>
      <w:r w:rsidRPr="007F6332">
        <w:rPr>
          <w:rFonts w:cs="Arial"/>
        </w:rPr>
        <w:t xml:space="preserve">: </w:t>
      </w:r>
    </w:p>
    <w:p w14:paraId="30EB059D" w14:textId="77777777" w:rsidR="00A83786" w:rsidRPr="007F6332" w:rsidRDefault="00A83786" w:rsidP="00CE7E91">
      <w:pPr>
        <w:pStyle w:val="ListParagraph"/>
        <w:numPr>
          <w:ilvl w:val="0"/>
          <w:numId w:val="13"/>
        </w:numPr>
        <w:rPr>
          <w:rFonts w:cs="Arial"/>
        </w:rPr>
      </w:pPr>
      <w:r w:rsidRPr="007F6332">
        <w:rPr>
          <w:rFonts w:cs="Arial"/>
          <w:b/>
          <w:bCs/>
        </w:rPr>
        <w:t xml:space="preserve">Six </w:t>
      </w:r>
      <w:r w:rsidRPr="007F6332">
        <w:rPr>
          <w:rFonts w:cs="Arial"/>
        </w:rPr>
        <w:t xml:space="preserve">percentage point increase from </w:t>
      </w:r>
      <w:r w:rsidRPr="007F6332">
        <w:rPr>
          <w:rFonts w:cs="Arial"/>
          <w:b/>
          <w:bCs/>
        </w:rPr>
        <w:t xml:space="preserve">46% </w:t>
      </w:r>
      <w:r w:rsidRPr="007F6332">
        <w:rPr>
          <w:rFonts w:cs="Arial"/>
        </w:rPr>
        <w:t xml:space="preserve">to </w:t>
      </w:r>
      <w:r w:rsidRPr="007F6332">
        <w:rPr>
          <w:rFonts w:cs="Arial"/>
          <w:b/>
          <w:bCs/>
        </w:rPr>
        <w:t xml:space="preserve">51% </w:t>
      </w:r>
      <w:r w:rsidRPr="007F6332">
        <w:rPr>
          <w:rFonts w:cs="Arial"/>
        </w:rPr>
        <w:t>for parents/carers of participants aged 0-14 years.</w:t>
      </w:r>
    </w:p>
    <w:p w14:paraId="43432E81" w14:textId="77777777" w:rsidR="00A83786" w:rsidRPr="007F6332" w:rsidRDefault="00A83786" w:rsidP="00CE7E91">
      <w:pPr>
        <w:pStyle w:val="ListParagraph"/>
        <w:numPr>
          <w:ilvl w:val="0"/>
          <w:numId w:val="13"/>
        </w:numPr>
        <w:rPr>
          <w:rFonts w:cs="Arial"/>
        </w:rPr>
      </w:pPr>
      <w:r w:rsidRPr="007F6332">
        <w:rPr>
          <w:rFonts w:cs="Arial"/>
          <w:b/>
          <w:bCs/>
        </w:rPr>
        <w:t xml:space="preserve">Two </w:t>
      </w:r>
      <w:r w:rsidRPr="007F6332">
        <w:rPr>
          <w:rFonts w:cs="Arial"/>
        </w:rPr>
        <w:t xml:space="preserve">percentage point increase from </w:t>
      </w:r>
      <w:r w:rsidRPr="007F6332">
        <w:rPr>
          <w:rFonts w:cs="Arial"/>
          <w:b/>
          <w:bCs/>
        </w:rPr>
        <w:t xml:space="preserve">47% </w:t>
      </w:r>
      <w:r w:rsidRPr="007F6332">
        <w:rPr>
          <w:rFonts w:cs="Arial"/>
        </w:rPr>
        <w:t xml:space="preserve">to </w:t>
      </w:r>
      <w:r w:rsidRPr="007F6332">
        <w:rPr>
          <w:rFonts w:cs="Arial"/>
          <w:b/>
          <w:bCs/>
        </w:rPr>
        <w:t xml:space="preserve">48% </w:t>
      </w:r>
      <w:r w:rsidRPr="007F6332">
        <w:rPr>
          <w:rFonts w:cs="Arial"/>
        </w:rPr>
        <w:t>for participants aged 15 years and over.</w:t>
      </w:r>
    </w:p>
    <w:p w14:paraId="035BD5DF" w14:textId="77777777" w:rsidR="00A83786" w:rsidRPr="007F6332" w:rsidRDefault="00A83786" w:rsidP="00A83786">
      <w:pPr>
        <w:rPr>
          <w:rFonts w:cs="Arial"/>
        </w:rPr>
      </w:pPr>
      <w:r w:rsidRPr="007F6332">
        <w:rPr>
          <w:rFonts w:cs="Arial"/>
          <w:bCs/>
        </w:rPr>
        <w:t xml:space="preserve">Overall, for parents/carers of participants across all ages combined, there has been a </w:t>
      </w:r>
      <w:r w:rsidRPr="007F6332">
        <w:rPr>
          <w:rFonts w:cs="Arial"/>
          <w:b/>
          <w:bCs/>
        </w:rPr>
        <w:t>four percentage point increase, from 46% to 50%.</w:t>
      </w:r>
      <w:r w:rsidRPr="007F6332">
        <w:rPr>
          <w:rFonts w:cs="Arial"/>
          <w:bCs/>
        </w:rPr>
        <w:t xml:space="preserve"> This compares to a 2022-23 target of 50%.</w:t>
      </w:r>
    </w:p>
    <w:p w14:paraId="752878AB" w14:textId="17CEF6B5" w:rsidR="009D6ABA" w:rsidRDefault="0045717D" w:rsidP="00A83786">
      <w:pPr>
        <w:rPr>
          <w:rFonts w:cs="Arial"/>
        </w:rPr>
      </w:pPr>
      <w:r w:rsidRPr="007F6332">
        <w:rPr>
          <w:rFonts w:cs="Arial"/>
        </w:rPr>
        <w:t xml:space="preserve">Figure 7.10 </w:t>
      </w:r>
      <w:r w:rsidR="00A83786" w:rsidRPr="007F6332">
        <w:rPr>
          <w:rFonts w:cs="Arial"/>
        </w:rPr>
        <w:t>provides more detail on these results, showing trends over time in the Scheme for different duration cohorts (families/carers of participants who have been in the Scheme for approximately six, five, four, three or two years at 30 June 2023).</w:t>
      </w:r>
    </w:p>
    <w:p w14:paraId="79DB2D41" w14:textId="77777777" w:rsidR="009D6ABA" w:rsidRDefault="009D6ABA">
      <w:pPr>
        <w:spacing w:line="276" w:lineRule="auto"/>
        <w:rPr>
          <w:rFonts w:cs="Arial"/>
        </w:rPr>
      </w:pPr>
      <w:r>
        <w:rPr>
          <w:rFonts w:cs="Arial"/>
        </w:rPr>
        <w:br w:type="page"/>
      </w:r>
    </w:p>
    <w:p w14:paraId="2CAA1BDA" w14:textId="345B383B" w:rsidR="00A83786" w:rsidRPr="007F6332" w:rsidRDefault="0045717D" w:rsidP="009D6ABA">
      <w:pPr>
        <w:pStyle w:val="FiguresandTablesHeading5"/>
        <w:spacing w:before="0"/>
      </w:pPr>
      <w:bookmarkStart w:id="272" w:name="_Hlk151927824"/>
      <w:r w:rsidRPr="007F6332">
        <w:lastRenderedPageBreak/>
        <w:t>Figure 7.10</w:t>
      </w:r>
      <w:r w:rsidR="00A83786" w:rsidRPr="007F6332">
        <w:t>: Percentage of parents/carers of participants in a paid job – longitudinal trends for participants in the Scheme for two to six years</w:t>
      </w:r>
    </w:p>
    <w:p w14:paraId="14FB4B0C" w14:textId="77777777" w:rsidR="00A83786" w:rsidRPr="007F6332" w:rsidRDefault="00A83786" w:rsidP="00A83786">
      <w:pPr>
        <w:pStyle w:val="FSRnormal"/>
        <w:rPr>
          <w:rFonts w:cs="Arial"/>
        </w:rPr>
      </w:pPr>
      <w:r w:rsidRPr="007F6332">
        <w:rPr>
          <w:rFonts w:cs="Arial"/>
          <w:noProof/>
        </w:rPr>
        <w:drawing>
          <wp:inline distT="0" distB="0" distL="0" distR="0" wp14:anchorId="6B7E6AC7" wp14:editId="7B279421">
            <wp:extent cx="5646109" cy="3274828"/>
            <wp:effectExtent l="0" t="0" r="0" b="1905"/>
            <wp:docPr id="20" name="Picture 20" descr="Figure 7.10: Percentage of parents/carers of participants in a paid job – longitudinal trends for participants in the Scheme for two to six years.&#10;At baseline, for participants who have been in the Scheme for 2 to 4 years, the percentage in paid job at baseline is similar between families and carers of participants aged 0 to 14, versus participants aged 15 and over; for participants who have been in the Scheme for 5 to 6 years, the percentages of families and carers in a paid job at baseline is similar for participants aged 0 to 14, versus 15 and over.&#10;Longitudinally, families and carers of both participant age groups improve at a similar rate in earlier years. however, towards reassessment time points, the percentage of families and carers aged 15 and over in paid employment starts to decrease slight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7.10: Percentage of parents/carers of participants in a paid job – longitudinal trends for participants in the Scheme for two to six years.&#10;At baseline, for participants who have been in the Scheme for 2 to 4 years, the percentage in paid job at baseline is similar between families and carers of participants aged 0 to 14, versus participants aged 15 and over; for participants who have been in the Scheme for 5 to 6 years, the percentages of families and carers in a paid job at baseline is similar for participants aged 0 to 14, versus 15 and over.&#10;Longitudinally, families and carers of both participant age groups improve at a similar rate in earlier years. however, towards reassessment time points, the percentage of families and carers aged 15 and over in paid employment starts to decrease slightly.&#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85926" cy="3297923"/>
                    </a:xfrm>
                    <a:prstGeom prst="rect">
                      <a:avLst/>
                    </a:prstGeom>
                    <a:noFill/>
                  </pic:spPr>
                </pic:pic>
              </a:graphicData>
            </a:graphic>
          </wp:inline>
        </w:drawing>
      </w:r>
    </w:p>
    <w:bookmarkEnd w:id="272"/>
    <w:p w14:paraId="077ABE77" w14:textId="2167DC0D" w:rsidR="00A83786" w:rsidRPr="007F6332" w:rsidRDefault="0045717D" w:rsidP="00A83786">
      <w:pPr>
        <w:pStyle w:val="FSRnormal"/>
        <w:rPr>
          <w:rFonts w:cs="Arial"/>
        </w:rPr>
      </w:pPr>
      <w:r w:rsidRPr="007F6332">
        <w:rPr>
          <w:rFonts w:cs="Arial"/>
        </w:rPr>
        <w:t>Figure 7.10</w:t>
      </w:r>
      <w:r w:rsidR="00A83786" w:rsidRPr="007F6332">
        <w:rPr>
          <w:rFonts w:cs="Arial"/>
        </w:rPr>
        <w:t xml:space="preserve"> shows that for participants in the Scheme five or six years, families and carers of those aged 0 to 14 tend to have lower employment outcomes than families and carers of older participants. However, this difference is not apparent for families and carers of participants in the Scheme for shorter durations. For families and carers of participants aged 15 and over, improvements seem to have levelled off over the latest year or two.</w:t>
      </w:r>
    </w:p>
    <w:p w14:paraId="0AE98A10" w14:textId="77777777" w:rsidR="00A83786" w:rsidRPr="007F6332" w:rsidRDefault="00A83786" w:rsidP="00E81C0D">
      <w:pPr>
        <w:pStyle w:val="Heading3"/>
        <w:ind w:left="709" w:hanging="709"/>
        <w:rPr>
          <w:rFonts w:cs="Arial"/>
        </w:rPr>
      </w:pPr>
      <w:bookmarkStart w:id="273" w:name="_Toc146286177"/>
      <w:bookmarkStart w:id="274" w:name="_Toc152615004"/>
      <w:r w:rsidRPr="007F6332">
        <w:rPr>
          <w:rFonts w:cs="Arial"/>
        </w:rPr>
        <w:t>Results – “Has the NDIS helped?”</w:t>
      </w:r>
      <w:bookmarkEnd w:id="273"/>
      <w:bookmarkEnd w:id="274"/>
    </w:p>
    <w:p w14:paraId="3FDA96E6" w14:textId="2EA80C90" w:rsidR="0045717D" w:rsidRPr="007F6332" w:rsidRDefault="0045717D" w:rsidP="00A83786">
      <w:pPr>
        <w:rPr>
          <w:rFonts w:cs="Arial"/>
        </w:rPr>
        <w:sectPr w:rsidR="0045717D" w:rsidRPr="007F6332" w:rsidSect="0032159E">
          <w:pgSz w:w="11906" w:h="16838"/>
          <w:pgMar w:top="1440" w:right="1440" w:bottom="1440" w:left="1440" w:header="708" w:footer="708" w:gutter="0"/>
          <w:cols w:space="708"/>
          <w:docGrid w:linePitch="360"/>
        </w:sectPr>
      </w:pPr>
      <w:r w:rsidRPr="007F6332">
        <w:rPr>
          <w:rFonts w:cs="Arial"/>
        </w:rPr>
        <w:t>Table 7.</w:t>
      </w:r>
      <w:r w:rsidR="00E57A79" w:rsidRPr="007F6332">
        <w:rPr>
          <w:rFonts w:cs="Arial"/>
        </w:rPr>
        <w:t xml:space="preserve">5 </w:t>
      </w:r>
      <w:r w:rsidR="00A83786" w:rsidRPr="007F6332">
        <w:rPr>
          <w:rFonts w:cs="Arial"/>
        </w:rPr>
        <w:t>shows the percentages of families and carers responding positively at first reassessment and at latest reassessment, as well as the change between the two time points. Results are shown separately for participants aged 0 to 14 and those aged 15 and over.</w:t>
      </w:r>
    </w:p>
    <w:p w14:paraId="228E94C5" w14:textId="7FF6BC70" w:rsidR="00A83786" w:rsidRPr="007F6332" w:rsidRDefault="0045717D" w:rsidP="009D6ABA">
      <w:pPr>
        <w:pStyle w:val="FiguresandTablesHeading4"/>
      </w:pPr>
      <w:r w:rsidRPr="007F6332">
        <w:lastRenderedPageBreak/>
        <w:t>Table 7.</w:t>
      </w:r>
      <w:r w:rsidR="00E57A79" w:rsidRPr="007F6332">
        <w:t>5</w:t>
      </w:r>
      <w:r w:rsidRPr="007F6332">
        <w:t>:</w:t>
      </w:r>
      <w:r w:rsidR="00A83786" w:rsidRPr="007F6332">
        <w:t xml:space="preserve"> “Has the NDIS helped?” – families and carers</w:t>
      </w:r>
      <w:r w:rsidR="00A83786" w:rsidRPr="007F6332">
        <w:rPr>
          <w:rStyle w:val="FootnoteReference"/>
        </w:rPr>
        <w:footnoteReference w:id="152"/>
      </w:r>
    </w:p>
    <w:p w14:paraId="6A13547C" w14:textId="79C57643" w:rsidR="00D553EA" w:rsidRPr="007F6332" w:rsidRDefault="00D553EA" w:rsidP="00AA4D17">
      <w:pPr>
        <w:pStyle w:val="Tables"/>
        <w:spacing w:before="240" w:after="200"/>
        <w:rPr>
          <w:rFonts w:cs="Arial"/>
        </w:rPr>
      </w:pPr>
      <w:r w:rsidRPr="007F6332">
        <w:rPr>
          <w:rFonts w:cs="Arial"/>
        </w:rPr>
        <w:t>Participant aged 0 to 14</w:t>
      </w:r>
    </w:p>
    <w:tbl>
      <w:tblPr>
        <w:tblStyle w:val="GridTable2"/>
        <w:tblW w:w="8927"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257"/>
        <w:gridCol w:w="1890"/>
        <w:gridCol w:w="1890"/>
        <w:gridCol w:w="1890"/>
      </w:tblGrid>
      <w:tr w:rsidR="00D553EA" w:rsidRPr="007F6332" w14:paraId="5DE564E5" w14:textId="77777777" w:rsidTr="00AA4D17">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257" w:type="dxa"/>
            <w:shd w:val="clear" w:color="auto" w:fill="6B2976"/>
            <w:vAlign w:val="center"/>
          </w:tcPr>
          <w:p w14:paraId="194B19E1" w14:textId="77777777" w:rsidR="00D553EA" w:rsidRPr="007F6332" w:rsidRDefault="00D553EA" w:rsidP="00C529C1">
            <w:pPr>
              <w:rPr>
                <w:rFonts w:cs="Arial"/>
                <w:color w:val="FFFFFF"/>
                <w:szCs w:val="22"/>
              </w:rPr>
            </w:pPr>
            <w:r w:rsidRPr="007F6332">
              <w:rPr>
                <w:rFonts w:cs="Arial"/>
                <w:color w:val="FFFFFF"/>
                <w:szCs w:val="22"/>
              </w:rPr>
              <w:t>Domain</w:t>
            </w:r>
          </w:p>
        </w:tc>
        <w:tc>
          <w:tcPr>
            <w:tcW w:w="1890" w:type="dxa"/>
            <w:shd w:val="clear" w:color="auto" w:fill="6B2976"/>
            <w:vAlign w:val="center"/>
          </w:tcPr>
          <w:p w14:paraId="712C87EE" w14:textId="77777777" w:rsidR="00D553EA" w:rsidRPr="007F6332" w:rsidRDefault="00D553EA" w:rsidP="00AA4D17">
            <w:pPr>
              <w:jc w:val="center"/>
              <w:cnfStyle w:val="100000000000" w:firstRow="1" w:lastRow="0" w:firstColumn="0" w:lastColumn="0" w:oddVBand="0" w:evenVBand="0" w:oddHBand="0" w:evenHBand="0" w:firstRowFirstColumn="0" w:firstRowLastColumn="0" w:lastRowFirstColumn="0" w:lastRowLastColumn="0"/>
              <w:rPr>
                <w:rFonts w:cs="Arial"/>
                <w:b w:val="0"/>
                <w:color w:val="FFFFFF"/>
                <w:szCs w:val="22"/>
              </w:rPr>
            </w:pPr>
            <w:r w:rsidRPr="007F6332">
              <w:rPr>
                <w:rFonts w:cs="Arial"/>
                <w:color w:val="FFFFFF"/>
                <w:szCs w:val="22"/>
              </w:rPr>
              <w:t>First reassessment %</w:t>
            </w:r>
          </w:p>
        </w:tc>
        <w:tc>
          <w:tcPr>
            <w:tcW w:w="1890" w:type="dxa"/>
            <w:shd w:val="clear" w:color="auto" w:fill="6B2976"/>
            <w:vAlign w:val="center"/>
          </w:tcPr>
          <w:p w14:paraId="5467A255" w14:textId="77777777" w:rsidR="00D553EA" w:rsidRPr="007F6332" w:rsidRDefault="00D553EA" w:rsidP="00AA4D17">
            <w:pPr>
              <w:jc w:val="center"/>
              <w:cnfStyle w:val="100000000000" w:firstRow="1" w:lastRow="0" w:firstColumn="0" w:lastColumn="0" w:oddVBand="0" w:evenVBand="0" w:oddHBand="0" w:evenHBand="0" w:firstRowFirstColumn="0" w:firstRowLastColumn="0" w:lastRowFirstColumn="0" w:lastRowLastColumn="0"/>
              <w:rPr>
                <w:rFonts w:cs="Arial"/>
                <w:b w:val="0"/>
                <w:color w:val="FFFFFF"/>
                <w:szCs w:val="22"/>
              </w:rPr>
            </w:pPr>
            <w:r w:rsidRPr="007F6332">
              <w:rPr>
                <w:rFonts w:cs="Arial"/>
                <w:color w:val="FFFFFF"/>
                <w:szCs w:val="22"/>
              </w:rPr>
              <w:t>Latest reassessment %</w:t>
            </w:r>
          </w:p>
        </w:tc>
        <w:tc>
          <w:tcPr>
            <w:tcW w:w="1890" w:type="dxa"/>
            <w:shd w:val="clear" w:color="auto" w:fill="6B2976"/>
            <w:vAlign w:val="center"/>
          </w:tcPr>
          <w:p w14:paraId="26CB6DDF" w14:textId="77777777" w:rsidR="00D553EA" w:rsidRPr="007F6332" w:rsidRDefault="00D553EA" w:rsidP="00AA4D17">
            <w:pPr>
              <w:jc w:val="center"/>
              <w:cnfStyle w:val="100000000000" w:firstRow="1" w:lastRow="0" w:firstColumn="0" w:lastColumn="0" w:oddVBand="0" w:evenVBand="0" w:oddHBand="0" w:evenHBand="0" w:firstRowFirstColumn="0" w:firstRowLastColumn="0" w:lastRowFirstColumn="0" w:lastRowLastColumn="0"/>
              <w:rPr>
                <w:rFonts w:cs="Arial"/>
                <w:b w:val="0"/>
                <w:color w:val="FFFFFF"/>
                <w:szCs w:val="22"/>
              </w:rPr>
            </w:pPr>
            <w:r w:rsidRPr="007F6332">
              <w:rPr>
                <w:rFonts w:cs="Arial"/>
                <w:color w:val="FFFFFF"/>
                <w:szCs w:val="22"/>
              </w:rPr>
              <w:t>Percentage point change</w:t>
            </w:r>
          </w:p>
        </w:tc>
      </w:tr>
      <w:tr w:rsidR="00D553EA" w:rsidRPr="007F6332" w14:paraId="07541C1D" w14:textId="77777777" w:rsidTr="00AA4D1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257" w:type="dxa"/>
            <w:shd w:val="clear" w:color="000000" w:fill="A7A9AC"/>
          </w:tcPr>
          <w:p w14:paraId="445C80E7" w14:textId="77777777" w:rsidR="00D553EA" w:rsidRPr="007F6332" w:rsidRDefault="00D553EA" w:rsidP="00C529C1">
            <w:pPr>
              <w:rPr>
                <w:rFonts w:cs="Arial"/>
                <w:color w:val="000000"/>
                <w:szCs w:val="22"/>
              </w:rPr>
            </w:pPr>
            <w:r w:rsidRPr="007F6332">
              <w:rPr>
                <w:rFonts w:cs="Arial"/>
                <w:color w:val="000000"/>
                <w:szCs w:val="22"/>
              </w:rPr>
              <w:t>Rights and advocacy</w:t>
            </w:r>
          </w:p>
        </w:tc>
        <w:tc>
          <w:tcPr>
            <w:tcW w:w="1890" w:type="dxa"/>
            <w:shd w:val="clear" w:color="000000" w:fill="A7A9AC"/>
            <w:vAlign w:val="center"/>
          </w:tcPr>
          <w:p w14:paraId="2BCA0459"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63</w:t>
            </w:r>
          </w:p>
        </w:tc>
        <w:tc>
          <w:tcPr>
            <w:tcW w:w="1890" w:type="dxa"/>
            <w:shd w:val="clear" w:color="000000" w:fill="A7A9AC"/>
            <w:vAlign w:val="center"/>
          </w:tcPr>
          <w:p w14:paraId="0015896D"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72</w:t>
            </w:r>
          </w:p>
        </w:tc>
        <w:tc>
          <w:tcPr>
            <w:tcW w:w="1890" w:type="dxa"/>
            <w:shd w:val="clear" w:color="000000" w:fill="A7A9AC"/>
            <w:vAlign w:val="center"/>
          </w:tcPr>
          <w:p w14:paraId="5545CBD3"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+8</w:t>
            </w:r>
          </w:p>
        </w:tc>
      </w:tr>
      <w:tr w:rsidR="00D553EA" w:rsidRPr="007F6332" w14:paraId="764A9A0A" w14:textId="77777777" w:rsidTr="00AA4D17">
        <w:trPr>
          <w:trHeight w:val="301"/>
        </w:trPr>
        <w:tc>
          <w:tcPr>
            <w:cnfStyle w:val="001000000000" w:firstRow="0" w:lastRow="0" w:firstColumn="1" w:lastColumn="0" w:oddVBand="0" w:evenVBand="0" w:oddHBand="0" w:evenHBand="0" w:firstRowFirstColumn="0" w:firstRowLastColumn="0" w:lastRowFirstColumn="0" w:lastRowLastColumn="0"/>
            <w:tcW w:w="3257" w:type="dxa"/>
            <w:shd w:val="clear" w:color="auto" w:fill="auto"/>
          </w:tcPr>
          <w:p w14:paraId="40C74832" w14:textId="77777777" w:rsidR="00D553EA" w:rsidRPr="007F6332" w:rsidRDefault="00D553EA" w:rsidP="00C529C1">
            <w:pPr>
              <w:rPr>
                <w:rFonts w:cs="Arial"/>
                <w:color w:val="000000"/>
                <w:szCs w:val="22"/>
              </w:rPr>
            </w:pPr>
            <w:r w:rsidRPr="007F6332">
              <w:rPr>
                <w:rFonts w:cs="Arial"/>
                <w:color w:val="000000"/>
                <w:szCs w:val="22"/>
              </w:rPr>
              <w:t>Families feel supported</w:t>
            </w:r>
          </w:p>
        </w:tc>
        <w:tc>
          <w:tcPr>
            <w:tcW w:w="1890" w:type="dxa"/>
            <w:shd w:val="clear" w:color="auto" w:fill="auto"/>
            <w:vAlign w:val="center"/>
          </w:tcPr>
          <w:p w14:paraId="382980D4"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69</w:t>
            </w:r>
          </w:p>
        </w:tc>
        <w:tc>
          <w:tcPr>
            <w:tcW w:w="1890" w:type="dxa"/>
            <w:shd w:val="clear" w:color="auto" w:fill="auto"/>
            <w:vAlign w:val="center"/>
          </w:tcPr>
          <w:p w14:paraId="2B40169D"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76</w:t>
            </w:r>
          </w:p>
        </w:tc>
        <w:tc>
          <w:tcPr>
            <w:tcW w:w="1890" w:type="dxa"/>
            <w:shd w:val="clear" w:color="auto" w:fill="auto"/>
            <w:vAlign w:val="center"/>
          </w:tcPr>
          <w:p w14:paraId="54B05775"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+8</w:t>
            </w:r>
          </w:p>
        </w:tc>
      </w:tr>
      <w:tr w:rsidR="00D553EA" w:rsidRPr="007F6332" w14:paraId="3E552C2C" w14:textId="77777777" w:rsidTr="00AA4D1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257" w:type="dxa"/>
            <w:shd w:val="clear" w:color="000000" w:fill="A7A9AC"/>
          </w:tcPr>
          <w:p w14:paraId="27046AA5" w14:textId="77777777" w:rsidR="00D553EA" w:rsidRPr="007F6332" w:rsidRDefault="00D553EA" w:rsidP="00C529C1">
            <w:pPr>
              <w:rPr>
                <w:rFonts w:cs="Arial"/>
                <w:color w:val="000000"/>
                <w:szCs w:val="22"/>
              </w:rPr>
            </w:pPr>
            <w:r w:rsidRPr="007F6332">
              <w:rPr>
                <w:rFonts w:cs="Arial"/>
                <w:color w:val="000000"/>
                <w:szCs w:val="22"/>
              </w:rPr>
              <w:t>Access to services, programs and activities</w:t>
            </w:r>
          </w:p>
        </w:tc>
        <w:tc>
          <w:tcPr>
            <w:tcW w:w="1890" w:type="dxa"/>
            <w:shd w:val="clear" w:color="000000" w:fill="A7A9AC"/>
            <w:vAlign w:val="center"/>
          </w:tcPr>
          <w:p w14:paraId="6F7BFCE7"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71</w:t>
            </w:r>
          </w:p>
        </w:tc>
        <w:tc>
          <w:tcPr>
            <w:tcW w:w="1890" w:type="dxa"/>
            <w:shd w:val="clear" w:color="000000" w:fill="A7A9AC"/>
            <w:vAlign w:val="center"/>
          </w:tcPr>
          <w:p w14:paraId="02A21645"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78</w:t>
            </w:r>
          </w:p>
        </w:tc>
        <w:tc>
          <w:tcPr>
            <w:tcW w:w="1890" w:type="dxa"/>
            <w:shd w:val="clear" w:color="000000" w:fill="A7A9AC"/>
            <w:vAlign w:val="center"/>
          </w:tcPr>
          <w:p w14:paraId="1F3CFB5B"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w:t>
            </w:r>
          </w:p>
        </w:tc>
      </w:tr>
      <w:tr w:rsidR="00D553EA" w:rsidRPr="007F6332" w14:paraId="2BF781DD" w14:textId="77777777" w:rsidTr="00AA4D17">
        <w:trPr>
          <w:trHeight w:val="301"/>
        </w:trPr>
        <w:tc>
          <w:tcPr>
            <w:cnfStyle w:val="001000000000" w:firstRow="0" w:lastRow="0" w:firstColumn="1" w:lastColumn="0" w:oddVBand="0" w:evenVBand="0" w:oddHBand="0" w:evenHBand="0" w:firstRowFirstColumn="0" w:firstRowLastColumn="0" w:lastRowFirstColumn="0" w:lastRowLastColumn="0"/>
            <w:tcW w:w="3257" w:type="dxa"/>
            <w:shd w:val="clear" w:color="auto" w:fill="auto"/>
          </w:tcPr>
          <w:p w14:paraId="648C5C97" w14:textId="77777777" w:rsidR="00D553EA" w:rsidRPr="007F6332" w:rsidRDefault="00D553EA" w:rsidP="00C529C1">
            <w:pPr>
              <w:rPr>
                <w:rFonts w:cs="Arial"/>
                <w:color w:val="000000"/>
                <w:szCs w:val="22"/>
              </w:rPr>
            </w:pPr>
            <w:r w:rsidRPr="007F6332">
              <w:rPr>
                <w:rFonts w:cs="Arial"/>
                <w:color w:val="000000"/>
                <w:szCs w:val="22"/>
              </w:rPr>
              <w:t>Health and wellbeing</w:t>
            </w:r>
          </w:p>
        </w:tc>
        <w:tc>
          <w:tcPr>
            <w:tcW w:w="1890" w:type="dxa"/>
            <w:shd w:val="clear" w:color="auto" w:fill="auto"/>
            <w:vAlign w:val="center"/>
          </w:tcPr>
          <w:p w14:paraId="77C8E711"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44</w:t>
            </w:r>
          </w:p>
        </w:tc>
        <w:tc>
          <w:tcPr>
            <w:tcW w:w="1890" w:type="dxa"/>
            <w:shd w:val="clear" w:color="auto" w:fill="auto"/>
            <w:vAlign w:val="center"/>
          </w:tcPr>
          <w:p w14:paraId="71556BB0"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48</w:t>
            </w:r>
          </w:p>
        </w:tc>
        <w:tc>
          <w:tcPr>
            <w:tcW w:w="1890" w:type="dxa"/>
            <w:shd w:val="clear" w:color="auto" w:fill="auto"/>
            <w:vAlign w:val="center"/>
          </w:tcPr>
          <w:p w14:paraId="75112A28"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+4</w:t>
            </w:r>
          </w:p>
        </w:tc>
      </w:tr>
      <w:tr w:rsidR="00D553EA" w:rsidRPr="007F6332" w14:paraId="5E204C1B" w14:textId="77777777" w:rsidTr="00AA4D1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257" w:type="dxa"/>
            <w:tcBorders>
              <w:bottom w:val="single" w:sz="4" w:space="0" w:color="auto"/>
            </w:tcBorders>
            <w:shd w:val="clear" w:color="000000" w:fill="A7A9AC"/>
          </w:tcPr>
          <w:p w14:paraId="513DD31A" w14:textId="77777777" w:rsidR="00D553EA" w:rsidRPr="007F6332" w:rsidRDefault="00D553EA" w:rsidP="00C529C1">
            <w:pPr>
              <w:rPr>
                <w:rFonts w:cs="Arial"/>
                <w:color w:val="000000"/>
                <w:szCs w:val="22"/>
              </w:rPr>
            </w:pPr>
            <w:r w:rsidRPr="007F6332">
              <w:rPr>
                <w:rFonts w:cs="Arial"/>
                <w:color w:val="000000"/>
                <w:szCs w:val="22"/>
              </w:rPr>
              <w:t>Child’s development</w:t>
            </w:r>
          </w:p>
        </w:tc>
        <w:tc>
          <w:tcPr>
            <w:tcW w:w="1890" w:type="dxa"/>
            <w:tcBorders>
              <w:bottom w:val="single" w:sz="4" w:space="0" w:color="auto"/>
            </w:tcBorders>
            <w:shd w:val="clear" w:color="000000" w:fill="A7A9AC"/>
            <w:vAlign w:val="center"/>
          </w:tcPr>
          <w:p w14:paraId="4BD861CA"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75</w:t>
            </w:r>
          </w:p>
        </w:tc>
        <w:tc>
          <w:tcPr>
            <w:tcW w:w="1890" w:type="dxa"/>
            <w:tcBorders>
              <w:bottom w:val="single" w:sz="4" w:space="0" w:color="auto"/>
            </w:tcBorders>
            <w:shd w:val="clear" w:color="000000" w:fill="A7A9AC"/>
            <w:vAlign w:val="center"/>
          </w:tcPr>
          <w:p w14:paraId="472C57F3"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81</w:t>
            </w:r>
          </w:p>
        </w:tc>
        <w:tc>
          <w:tcPr>
            <w:tcW w:w="1890" w:type="dxa"/>
            <w:tcBorders>
              <w:bottom w:val="single" w:sz="4" w:space="0" w:color="auto"/>
            </w:tcBorders>
            <w:shd w:val="clear" w:color="000000" w:fill="A7A9AC"/>
            <w:vAlign w:val="center"/>
          </w:tcPr>
          <w:p w14:paraId="0B36EFC1"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w:t>
            </w:r>
          </w:p>
        </w:tc>
      </w:tr>
    </w:tbl>
    <w:p w14:paraId="7EDF5466" w14:textId="021DAA3E" w:rsidR="00D553EA" w:rsidRPr="007F6332" w:rsidRDefault="00D553EA" w:rsidP="00AA4D17">
      <w:pPr>
        <w:pStyle w:val="Tables"/>
        <w:spacing w:before="240" w:after="200"/>
        <w:rPr>
          <w:rFonts w:cs="Arial"/>
        </w:rPr>
      </w:pPr>
      <w:r w:rsidRPr="007F6332">
        <w:rPr>
          <w:rFonts w:cs="Arial"/>
        </w:rPr>
        <w:t>Participants aged 15 and over</w:t>
      </w:r>
    </w:p>
    <w:tbl>
      <w:tblPr>
        <w:tblStyle w:val="GridTable2"/>
        <w:tblW w:w="8924"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1888"/>
        <w:gridCol w:w="1888"/>
        <w:gridCol w:w="1888"/>
      </w:tblGrid>
      <w:tr w:rsidR="00D553EA" w:rsidRPr="007F6332" w14:paraId="787E9F54" w14:textId="77777777" w:rsidTr="00AA4D1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60" w:type="dxa"/>
            <w:tcBorders>
              <w:right w:val="none" w:sz="0" w:space="0" w:color="auto"/>
            </w:tcBorders>
            <w:shd w:val="clear" w:color="auto" w:fill="6B2976"/>
            <w:vAlign w:val="center"/>
          </w:tcPr>
          <w:p w14:paraId="7BD6DC05" w14:textId="77777777" w:rsidR="00D553EA" w:rsidRPr="007F6332" w:rsidRDefault="00D553EA" w:rsidP="00D8325F">
            <w:pPr>
              <w:rPr>
                <w:rFonts w:cs="Arial"/>
                <w:color w:val="FFFFFF"/>
                <w:szCs w:val="22"/>
              </w:rPr>
            </w:pPr>
            <w:r w:rsidRPr="007F6332">
              <w:rPr>
                <w:rFonts w:cs="Arial"/>
                <w:color w:val="FFFFFF"/>
                <w:szCs w:val="22"/>
              </w:rPr>
              <w:t>Domain</w:t>
            </w:r>
          </w:p>
        </w:tc>
        <w:tc>
          <w:tcPr>
            <w:tcW w:w="1888" w:type="dxa"/>
            <w:shd w:val="clear" w:color="auto" w:fill="6B2976"/>
            <w:vAlign w:val="center"/>
          </w:tcPr>
          <w:p w14:paraId="1862AAAE" w14:textId="77777777" w:rsidR="00D553EA" w:rsidRPr="007F6332" w:rsidRDefault="00D553EA" w:rsidP="00AA4D17">
            <w:pPr>
              <w:jc w:val="center"/>
              <w:cnfStyle w:val="100000000000" w:firstRow="1" w:lastRow="0" w:firstColumn="0" w:lastColumn="0" w:oddVBand="0" w:evenVBand="0" w:oddHBand="0" w:evenHBand="0" w:firstRowFirstColumn="0" w:firstRowLastColumn="0" w:lastRowFirstColumn="0" w:lastRowLastColumn="0"/>
              <w:rPr>
                <w:rFonts w:cs="Arial"/>
                <w:b w:val="0"/>
                <w:color w:val="FFFFFF"/>
                <w:szCs w:val="22"/>
              </w:rPr>
            </w:pPr>
            <w:r w:rsidRPr="007F6332">
              <w:rPr>
                <w:rFonts w:cs="Arial"/>
                <w:color w:val="FFFFFF"/>
                <w:szCs w:val="22"/>
              </w:rPr>
              <w:t>First reassessment %</w:t>
            </w:r>
          </w:p>
        </w:tc>
        <w:tc>
          <w:tcPr>
            <w:tcW w:w="1888" w:type="dxa"/>
            <w:shd w:val="clear" w:color="auto" w:fill="6B2976"/>
            <w:vAlign w:val="center"/>
          </w:tcPr>
          <w:p w14:paraId="1C3A8F5C" w14:textId="77777777" w:rsidR="00D553EA" w:rsidRPr="007F6332" w:rsidRDefault="00D553EA" w:rsidP="00AA4D17">
            <w:pPr>
              <w:jc w:val="center"/>
              <w:cnfStyle w:val="100000000000" w:firstRow="1" w:lastRow="0" w:firstColumn="0" w:lastColumn="0" w:oddVBand="0" w:evenVBand="0" w:oddHBand="0" w:evenHBand="0" w:firstRowFirstColumn="0" w:firstRowLastColumn="0" w:lastRowFirstColumn="0" w:lastRowLastColumn="0"/>
              <w:rPr>
                <w:rFonts w:cs="Arial"/>
                <w:b w:val="0"/>
                <w:color w:val="FFFFFF"/>
                <w:szCs w:val="22"/>
              </w:rPr>
            </w:pPr>
            <w:r w:rsidRPr="007F6332">
              <w:rPr>
                <w:rFonts w:cs="Arial"/>
                <w:color w:val="FFFFFF"/>
                <w:szCs w:val="22"/>
              </w:rPr>
              <w:t>Latest reassessment %</w:t>
            </w:r>
          </w:p>
        </w:tc>
        <w:tc>
          <w:tcPr>
            <w:tcW w:w="1888" w:type="dxa"/>
            <w:shd w:val="clear" w:color="auto" w:fill="6B2976"/>
            <w:vAlign w:val="center"/>
          </w:tcPr>
          <w:p w14:paraId="0D9A6E1A" w14:textId="40D95416" w:rsidR="00D553EA" w:rsidRPr="007F6332" w:rsidRDefault="00D553EA" w:rsidP="00AA4D17">
            <w:pPr>
              <w:jc w:val="center"/>
              <w:cnfStyle w:val="100000000000" w:firstRow="1" w:lastRow="0" w:firstColumn="0" w:lastColumn="0" w:oddVBand="0" w:evenVBand="0" w:oddHBand="0" w:evenHBand="0" w:firstRowFirstColumn="0" w:firstRowLastColumn="0" w:lastRowFirstColumn="0" w:lastRowLastColumn="0"/>
              <w:rPr>
                <w:rFonts w:cs="Arial"/>
                <w:b w:val="0"/>
                <w:color w:val="FFFFFF"/>
                <w:szCs w:val="22"/>
              </w:rPr>
            </w:pPr>
            <w:r w:rsidRPr="007F6332">
              <w:rPr>
                <w:rFonts w:cs="Arial"/>
                <w:color w:val="FFFFFF"/>
                <w:szCs w:val="22"/>
              </w:rPr>
              <w:t>Percentage point change</w:t>
            </w:r>
          </w:p>
        </w:tc>
      </w:tr>
      <w:tr w:rsidR="00D553EA" w:rsidRPr="007F6332" w14:paraId="715FF081" w14:textId="77777777" w:rsidTr="00AA4D1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260" w:type="dxa"/>
            <w:shd w:val="clear" w:color="000000" w:fill="A7A9AC"/>
          </w:tcPr>
          <w:p w14:paraId="2CB34916" w14:textId="77777777" w:rsidR="00D553EA" w:rsidRPr="007F6332" w:rsidRDefault="00D553EA" w:rsidP="00D8325F">
            <w:pPr>
              <w:rPr>
                <w:rFonts w:cs="Arial"/>
                <w:color w:val="000000"/>
                <w:szCs w:val="22"/>
              </w:rPr>
            </w:pPr>
            <w:r w:rsidRPr="007F6332">
              <w:rPr>
                <w:rFonts w:cs="Arial"/>
                <w:color w:val="000000"/>
                <w:szCs w:val="22"/>
              </w:rPr>
              <w:t>Rights and advocacy</w:t>
            </w:r>
          </w:p>
        </w:tc>
        <w:tc>
          <w:tcPr>
            <w:tcW w:w="1888" w:type="dxa"/>
            <w:tcBorders>
              <w:left w:val="nil"/>
            </w:tcBorders>
            <w:shd w:val="clear" w:color="000000" w:fill="A7A9AC"/>
            <w:vAlign w:val="center"/>
          </w:tcPr>
          <w:p w14:paraId="5EAB2233"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51</w:t>
            </w:r>
          </w:p>
        </w:tc>
        <w:tc>
          <w:tcPr>
            <w:tcW w:w="1888" w:type="dxa"/>
            <w:shd w:val="clear" w:color="000000" w:fill="A7A9AC"/>
            <w:vAlign w:val="center"/>
          </w:tcPr>
          <w:p w14:paraId="664BF6A3"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63</w:t>
            </w:r>
          </w:p>
        </w:tc>
        <w:tc>
          <w:tcPr>
            <w:tcW w:w="1888" w:type="dxa"/>
            <w:shd w:val="clear" w:color="000000" w:fill="A7A9AC"/>
            <w:vAlign w:val="center"/>
          </w:tcPr>
          <w:p w14:paraId="0B41AB93"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+12</w:t>
            </w:r>
          </w:p>
        </w:tc>
      </w:tr>
      <w:tr w:rsidR="00D553EA" w:rsidRPr="007F6332" w14:paraId="5A450A13" w14:textId="77777777" w:rsidTr="00AA4D17">
        <w:trPr>
          <w:trHeight w:val="301"/>
        </w:trPr>
        <w:tc>
          <w:tcPr>
            <w:cnfStyle w:val="001000000000" w:firstRow="0" w:lastRow="0" w:firstColumn="1" w:lastColumn="0" w:oddVBand="0" w:evenVBand="0" w:oddHBand="0" w:evenHBand="0" w:firstRowFirstColumn="0" w:firstRowLastColumn="0" w:lastRowFirstColumn="0" w:lastRowLastColumn="0"/>
            <w:tcW w:w="3260" w:type="dxa"/>
            <w:shd w:val="clear" w:color="auto" w:fill="auto"/>
          </w:tcPr>
          <w:p w14:paraId="089A775B" w14:textId="77777777" w:rsidR="00D553EA" w:rsidRPr="007F6332" w:rsidRDefault="00D553EA" w:rsidP="00D8325F">
            <w:pPr>
              <w:rPr>
                <w:rFonts w:cs="Arial"/>
                <w:color w:val="000000"/>
                <w:szCs w:val="22"/>
              </w:rPr>
            </w:pPr>
            <w:r w:rsidRPr="007F6332">
              <w:rPr>
                <w:rFonts w:cs="Arial"/>
                <w:color w:val="000000"/>
                <w:szCs w:val="22"/>
              </w:rPr>
              <w:t>Families feel supported</w:t>
            </w:r>
          </w:p>
        </w:tc>
        <w:tc>
          <w:tcPr>
            <w:tcW w:w="1888" w:type="dxa"/>
            <w:tcBorders>
              <w:left w:val="nil"/>
            </w:tcBorders>
            <w:shd w:val="clear" w:color="auto" w:fill="auto"/>
            <w:vAlign w:val="center"/>
          </w:tcPr>
          <w:p w14:paraId="57AAD420"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63</w:t>
            </w:r>
          </w:p>
        </w:tc>
        <w:tc>
          <w:tcPr>
            <w:tcW w:w="1888" w:type="dxa"/>
            <w:shd w:val="clear" w:color="auto" w:fill="auto"/>
            <w:vAlign w:val="center"/>
          </w:tcPr>
          <w:p w14:paraId="4F98ADBC"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75</w:t>
            </w:r>
          </w:p>
        </w:tc>
        <w:tc>
          <w:tcPr>
            <w:tcW w:w="1888" w:type="dxa"/>
            <w:shd w:val="clear" w:color="auto" w:fill="auto"/>
            <w:vAlign w:val="center"/>
          </w:tcPr>
          <w:p w14:paraId="2F4DE488"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+12</w:t>
            </w:r>
          </w:p>
        </w:tc>
      </w:tr>
      <w:tr w:rsidR="00D553EA" w:rsidRPr="007F6332" w14:paraId="553392FF" w14:textId="77777777" w:rsidTr="00AA4D1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260" w:type="dxa"/>
            <w:shd w:val="clear" w:color="000000" w:fill="A7A9AC"/>
          </w:tcPr>
          <w:p w14:paraId="25A05E7C" w14:textId="77777777" w:rsidR="00D553EA" w:rsidRPr="007F6332" w:rsidRDefault="00D553EA" w:rsidP="00D8325F">
            <w:pPr>
              <w:rPr>
                <w:rFonts w:cs="Arial"/>
                <w:color w:val="000000"/>
                <w:szCs w:val="22"/>
              </w:rPr>
            </w:pPr>
            <w:r w:rsidRPr="007F6332">
              <w:rPr>
                <w:rFonts w:cs="Arial"/>
                <w:color w:val="000000"/>
                <w:szCs w:val="22"/>
              </w:rPr>
              <w:t>Access to services, programs and activities</w:t>
            </w:r>
          </w:p>
        </w:tc>
        <w:tc>
          <w:tcPr>
            <w:tcW w:w="1888" w:type="dxa"/>
            <w:tcBorders>
              <w:left w:val="nil"/>
            </w:tcBorders>
            <w:shd w:val="clear" w:color="000000" w:fill="A7A9AC"/>
            <w:vAlign w:val="center"/>
          </w:tcPr>
          <w:p w14:paraId="7EBF4DC8"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60</w:t>
            </w:r>
          </w:p>
        </w:tc>
        <w:tc>
          <w:tcPr>
            <w:tcW w:w="1888" w:type="dxa"/>
            <w:shd w:val="clear" w:color="000000" w:fill="A7A9AC"/>
            <w:vAlign w:val="center"/>
          </w:tcPr>
          <w:p w14:paraId="0C17EABE"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70</w:t>
            </w:r>
          </w:p>
        </w:tc>
        <w:tc>
          <w:tcPr>
            <w:tcW w:w="1888" w:type="dxa"/>
            <w:shd w:val="clear" w:color="000000" w:fill="A7A9AC"/>
            <w:vAlign w:val="center"/>
          </w:tcPr>
          <w:p w14:paraId="0C9542E2"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+10</w:t>
            </w:r>
          </w:p>
        </w:tc>
      </w:tr>
      <w:tr w:rsidR="00D553EA" w:rsidRPr="007F6332" w14:paraId="663C21DB" w14:textId="77777777" w:rsidTr="00AA4D17">
        <w:trPr>
          <w:trHeight w:val="301"/>
        </w:trPr>
        <w:tc>
          <w:tcPr>
            <w:cnfStyle w:val="001000000000" w:firstRow="0" w:lastRow="0" w:firstColumn="1" w:lastColumn="0" w:oddVBand="0" w:evenVBand="0" w:oddHBand="0" w:evenHBand="0" w:firstRowFirstColumn="0" w:firstRowLastColumn="0" w:lastRowFirstColumn="0" w:lastRowLastColumn="0"/>
            <w:tcW w:w="3260" w:type="dxa"/>
            <w:shd w:val="clear" w:color="auto" w:fill="auto"/>
          </w:tcPr>
          <w:p w14:paraId="369B11A3" w14:textId="77777777" w:rsidR="00D553EA" w:rsidRPr="007F6332" w:rsidRDefault="00D553EA" w:rsidP="00D8325F">
            <w:pPr>
              <w:rPr>
                <w:rFonts w:cs="Arial"/>
                <w:color w:val="000000"/>
                <w:szCs w:val="22"/>
              </w:rPr>
            </w:pPr>
            <w:r w:rsidRPr="007F6332">
              <w:rPr>
                <w:rFonts w:cs="Arial"/>
                <w:color w:val="000000"/>
                <w:szCs w:val="22"/>
              </w:rPr>
              <w:t>Health and wellbeing</w:t>
            </w:r>
          </w:p>
        </w:tc>
        <w:tc>
          <w:tcPr>
            <w:tcW w:w="1888" w:type="dxa"/>
            <w:tcBorders>
              <w:left w:val="nil"/>
            </w:tcBorders>
            <w:shd w:val="clear" w:color="auto" w:fill="auto"/>
            <w:vAlign w:val="center"/>
          </w:tcPr>
          <w:p w14:paraId="0ABB9CA2"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36</w:t>
            </w:r>
          </w:p>
        </w:tc>
        <w:tc>
          <w:tcPr>
            <w:tcW w:w="1888" w:type="dxa"/>
            <w:shd w:val="clear" w:color="auto" w:fill="auto"/>
            <w:vAlign w:val="center"/>
          </w:tcPr>
          <w:p w14:paraId="5A74A2E1"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41</w:t>
            </w:r>
          </w:p>
        </w:tc>
        <w:tc>
          <w:tcPr>
            <w:tcW w:w="1888" w:type="dxa"/>
            <w:shd w:val="clear" w:color="auto" w:fill="auto"/>
            <w:vAlign w:val="center"/>
          </w:tcPr>
          <w:p w14:paraId="47997C23" w14:textId="77777777" w:rsidR="00D553EA" w:rsidRPr="007F6332" w:rsidRDefault="00D553EA" w:rsidP="00AA4D17">
            <w:pPr>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w:t>
            </w:r>
          </w:p>
        </w:tc>
      </w:tr>
      <w:tr w:rsidR="00D553EA" w:rsidRPr="007F6332" w14:paraId="73034101" w14:textId="77777777" w:rsidTr="00AA4D1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260" w:type="dxa"/>
            <w:tcBorders>
              <w:bottom w:val="single" w:sz="4" w:space="0" w:color="auto"/>
            </w:tcBorders>
            <w:shd w:val="clear" w:color="000000" w:fill="A7A9AC"/>
          </w:tcPr>
          <w:p w14:paraId="2BEBB1EA" w14:textId="77777777" w:rsidR="00D553EA" w:rsidRPr="007F6332" w:rsidRDefault="00D553EA" w:rsidP="00D8325F">
            <w:pPr>
              <w:rPr>
                <w:rFonts w:cs="Arial"/>
                <w:color w:val="000000"/>
                <w:szCs w:val="22"/>
              </w:rPr>
            </w:pPr>
            <w:r w:rsidRPr="007F6332">
              <w:rPr>
                <w:rFonts w:cs="Arial"/>
                <w:color w:val="000000"/>
                <w:szCs w:val="22"/>
              </w:rPr>
              <w:t>Child’s development</w:t>
            </w:r>
          </w:p>
        </w:tc>
        <w:tc>
          <w:tcPr>
            <w:tcW w:w="1888" w:type="dxa"/>
            <w:tcBorders>
              <w:left w:val="nil"/>
              <w:bottom w:val="single" w:sz="4" w:space="0" w:color="auto"/>
            </w:tcBorders>
            <w:shd w:val="clear" w:color="000000" w:fill="A7A9AC"/>
            <w:vAlign w:val="center"/>
          </w:tcPr>
          <w:p w14:paraId="6604ABD5"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w:t>
            </w:r>
          </w:p>
        </w:tc>
        <w:tc>
          <w:tcPr>
            <w:tcW w:w="1888" w:type="dxa"/>
            <w:tcBorders>
              <w:bottom w:val="single" w:sz="4" w:space="0" w:color="auto"/>
            </w:tcBorders>
            <w:shd w:val="clear" w:color="000000" w:fill="A7A9AC"/>
            <w:vAlign w:val="center"/>
          </w:tcPr>
          <w:p w14:paraId="5C40F48D"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w:t>
            </w:r>
          </w:p>
        </w:tc>
        <w:tc>
          <w:tcPr>
            <w:tcW w:w="1888" w:type="dxa"/>
            <w:tcBorders>
              <w:bottom w:val="single" w:sz="4" w:space="0" w:color="auto"/>
            </w:tcBorders>
            <w:shd w:val="clear" w:color="000000" w:fill="A7A9AC"/>
            <w:vAlign w:val="center"/>
          </w:tcPr>
          <w:p w14:paraId="42F2ADD3" w14:textId="77777777" w:rsidR="00D553EA" w:rsidRPr="007F6332" w:rsidRDefault="00D553EA" w:rsidP="00AA4D17">
            <w:pPr>
              <w:jc w:val="center"/>
              <w:cnfStyle w:val="000000100000" w:firstRow="0" w:lastRow="0" w:firstColumn="0" w:lastColumn="0" w:oddVBand="0" w:evenVBand="0" w:oddHBand="1" w:evenHBand="0" w:firstRowFirstColumn="0" w:firstRowLastColumn="0" w:lastRowFirstColumn="0" w:lastRowLastColumn="0"/>
              <w:rPr>
                <w:rFonts w:cs="Arial"/>
                <w:color w:val="000000"/>
                <w:szCs w:val="22"/>
              </w:rPr>
            </w:pPr>
            <w:r w:rsidRPr="007F6332">
              <w:rPr>
                <w:rFonts w:cs="Arial"/>
                <w:color w:val="000000"/>
                <w:szCs w:val="22"/>
              </w:rPr>
              <w:t>-</w:t>
            </w:r>
          </w:p>
        </w:tc>
      </w:tr>
    </w:tbl>
    <w:p w14:paraId="5EE1BCE5" w14:textId="37A80382" w:rsidR="00A83786" w:rsidRPr="007F6332" w:rsidRDefault="00A83786" w:rsidP="00A83786">
      <w:pPr>
        <w:spacing w:before="120"/>
        <w:rPr>
          <w:rFonts w:cs="Arial"/>
        </w:rPr>
      </w:pPr>
      <w:r w:rsidRPr="007F6332">
        <w:rPr>
          <w:rFonts w:cs="Arial"/>
        </w:rPr>
        <w:t>From</w:t>
      </w:r>
      <w:r w:rsidR="0045717D" w:rsidRPr="007F6332">
        <w:rPr>
          <w:rFonts w:cs="Arial"/>
        </w:rPr>
        <w:t xml:space="preserve"> Table 7.</w:t>
      </w:r>
      <w:r w:rsidR="00E57A79" w:rsidRPr="007F6332">
        <w:rPr>
          <w:rFonts w:cs="Arial"/>
        </w:rPr>
        <w:t>5</w:t>
      </w:r>
      <w:r w:rsidRPr="007F6332">
        <w:rPr>
          <w:rFonts w:cs="Arial"/>
        </w:rPr>
        <w:t xml:space="preserve">, perceptions tend to be more positive for families/carers of participants aged 0 to 14 than for those of older participants. The largest improvements over time in the Scheme have been observed for “rights and advocacy” and “families feel supported” (+8 percentage points for families/carers of participants aged 0 to 14, and +12 percentage points for families/carers of participants aged 15 and over). Strong improvements have also been observed for access to services (+7 and +10 for families/carers of participants aged 0 to 14 and those aged 15 and over, respectively), and to a lesser extent health and wellbeing (+4 and +5, respectively). </w:t>
      </w:r>
    </w:p>
    <w:p w14:paraId="15188F03" w14:textId="78218D8E" w:rsidR="00A83786" w:rsidRPr="007F6332" w:rsidRDefault="0045717D" w:rsidP="00A83786">
      <w:pPr>
        <w:rPr>
          <w:rFonts w:cs="Arial"/>
        </w:rPr>
      </w:pPr>
      <w:r w:rsidRPr="007F6332">
        <w:rPr>
          <w:rFonts w:cs="Arial"/>
        </w:rPr>
        <w:t xml:space="preserve">Figure 7.11 </w:t>
      </w:r>
      <w:r w:rsidR="00A83786" w:rsidRPr="007F6332">
        <w:rPr>
          <w:rFonts w:cs="Arial"/>
        </w:rPr>
        <w:t>provides more detail for the question “Has the NDIS improved the level of support for your family?”, showing trends over time in the Scheme for different duration cohorts (participants who have been in the Scheme for approximately six, five, four, three or two years at 30 June 2023).</w:t>
      </w:r>
    </w:p>
    <w:p w14:paraId="3BE2CD19" w14:textId="77777777" w:rsidR="00624BC3" w:rsidRPr="007F6332" w:rsidRDefault="00624BC3" w:rsidP="00A83786">
      <w:pPr>
        <w:rPr>
          <w:rFonts w:cs="Arial"/>
        </w:rPr>
        <w:sectPr w:rsidR="00624BC3" w:rsidRPr="007F6332" w:rsidSect="0032159E">
          <w:pgSz w:w="11906" w:h="16838"/>
          <w:pgMar w:top="1440" w:right="1440" w:bottom="1440" w:left="1440" w:header="708" w:footer="708" w:gutter="0"/>
          <w:cols w:space="708"/>
          <w:docGrid w:linePitch="360"/>
        </w:sectPr>
      </w:pPr>
    </w:p>
    <w:p w14:paraId="6A331631" w14:textId="41D465EE" w:rsidR="00A83786" w:rsidRPr="007F6332" w:rsidRDefault="0045717D" w:rsidP="0049321D">
      <w:pPr>
        <w:pStyle w:val="FiguresandTablesHeading4"/>
      </w:pPr>
      <w:bookmarkStart w:id="275" w:name="_Hlk151927841"/>
      <w:r w:rsidRPr="007F6332">
        <w:lastRenderedPageBreak/>
        <w:t>Figure 7.11</w:t>
      </w:r>
      <w:r w:rsidR="00A83786" w:rsidRPr="007F6332">
        <w:t>: Percentage of families/carers who think that the NDIS has improved the level of support for their family – longitudinal trends for participants in the Scheme for two to six years, age 0 to 14 and 15 and over.</w:t>
      </w:r>
    </w:p>
    <w:p w14:paraId="44E7472B" w14:textId="77777777" w:rsidR="00A83786" w:rsidRPr="007F6332" w:rsidRDefault="00A83786" w:rsidP="00A83786">
      <w:pPr>
        <w:pStyle w:val="FSRnormal"/>
        <w:spacing w:before="0"/>
        <w:ind w:right="-613"/>
        <w:rPr>
          <w:rFonts w:cs="Arial"/>
        </w:rPr>
      </w:pPr>
      <w:r w:rsidRPr="007F6332">
        <w:rPr>
          <w:rFonts w:cs="Arial"/>
          <w:noProof/>
        </w:rPr>
        <w:drawing>
          <wp:inline distT="0" distB="0" distL="0" distR="0" wp14:anchorId="25D8F866" wp14:editId="2FB216FF">
            <wp:extent cx="5848350" cy="2404522"/>
            <wp:effectExtent l="0" t="0" r="0" b="0"/>
            <wp:docPr id="28" name="Picture 28" descr=" Figure 7.11: Percentage of families/carers who think that the NDIS has improved the level of support for their family – longitudinal trends for participants in the Scheme for two to six years, age 0 to 14 and 15 and over.&#10;There is notable cohort effect in families and carers saying the NDIS improved the level of support for their family, where families and carers of participants who have been in the Scheme for longer (entered the Scheme earlier) are less likely to say the NDIS helped.&#10;All cohorts experienced improvement in the percentage saying the NDIS helped towards later reassessment time points. In particular, for families and carers of participants aged 15 and over the percentage in paid job is very similar by latest reassessment for most time-in-Scheme cohor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 Figure 7.11: Percentage of families/carers who think that the NDIS has improved the level of support for their family – longitudinal trends for participants in the Scheme for two to six years, age 0 to 14 and 15 and over.&#10;There is notable cohort effect in families and carers saying the NDIS improved the level of support for their family, where families and carers of participants who have been in the Scheme for longer (entered the Scheme earlier) are less likely to say the NDIS helped.&#10;All cohorts experienced improvement in the percentage saying the NDIS helped towards later reassessment time points. In particular, for families and carers of participants aged 15 and over the percentage in paid job is very similar by latest reassessment for most time-in-Scheme cohorts.&#1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73319" cy="2414788"/>
                    </a:xfrm>
                    <a:prstGeom prst="rect">
                      <a:avLst/>
                    </a:prstGeom>
                    <a:noFill/>
                  </pic:spPr>
                </pic:pic>
              </a:graphicData>
            </a:graphic>
          </wp:inline>
        </w:drawing>
      </w:r>
    </w:p>
    <w:bookmarkEnd w:id="275"/>
    <w:p w14:paraId="49301810" w14:textId="65F7B2A7" w:rsidR="00A83786" w:rsidRPr="007F6332" w:rsidRDefault="0045717D" w:rsidP="00A83786">
      <w:pPr>
        <w:pStyle w:val="FSRnormal"/>
        <w:rPr>
          <w:rFonts w:cs="Arial"/>
        </w:rPr>
      </w:pPr>
      <w:r w:rsidRPr="007F6332">
        <w:rPr>
          <w:rFonts w:cs="Arial"/>
        </w:rPr>
        <w:t>Figure 7.11</w:t>
      </w:r>
      <w:r w:rsidR="00A83786" w:rsidRPr="007F6332">
        <w:rPr>
          <w:rFonts w:cs="Arial"/>
        </w:rPr>
        <w:t xml:space="preserve"> shows that families and carers increasingly feel that the NDIS has improved the level of support for their family, the longer the participant has been in the Scheme. Families and carers of participants entering more recently tend to have higher levels of satisfaction.</w:t>
      </w:r>
    </w:p>
    <w:p w14:paraId="6C1D9FAC" w14:textId="77777777" w:rsidR="00BE32D8" w:rsidRPr="007F6332" w:rsidRDefault="00BE32D8" w:rsidP="00E81C0D">
      <w:pPr>
        <w:pStyle w:val="Heading3"/>
        <w:ind w:left="709" w:hanging="709"/>
        <w:rPr>
          <w:rFonts w:cs="Arial"/>
        </w:rPr>
      </w:pPr>
      <w:bookmarkStart w:id="276" w:name="_Toc145107698"/>
      <w:bookmarkStart w:id="277" w:name="_Toc152615005"/>
      <w:r w:rsidRPr="007F6332">
        <w:rPr>
          <w:rFonts w:cs="Arial"/>
        </w:rPr>
        <w:t>Investment Effectiveness Analysis</w:t>
      </w:r>
      <w:bookmarkEnd w:id="276"/>
      <w:bookmarkEnd w:id="277"/>
    </w:p>
    <w:p w14:paraId="4783771B" w14:textId="3A883120" w:rsidR="00BE32D8" w:rsidRPr="007F6332" w:rsidRDefault="00BE32D8" w:rsidP="00BE32D8">
      <w:pPr>
        <w:rPr>
          <w:rStyle w:val="normaltextrun"/>
          <w:rFonts w:cs="Arial"/>
          <w:color w:val="000000"/>
          <w:sz w:val="21"/>
          <w:szCs w:val="21"/>
          <w:shd w:val="clear" w:color="auto" w:fill="FFFFFF"/>
        </w:rPr>
      </w:pPr>
      <w:r w:rsidRPr="007F6332">
        <w:rPr>
          <w:rStyle w:val="normaltextrun"/>
          <w:rFonts w:cs="Arial"/>
          <w:color w:val="000000"/>
          <w:sz w:val="21"/>
          <w:szCs w:val="21"/>
          <w:shd w:val="clear" w:color="auto" w:fill="FFFFFF"/>
        </w:rPr>
        <w:t xml:space="preserve">The Investment Effectiveness Program (IEP) is being undertaken by the NDIA to better understand the link between </w:t>
      </w:r>
      <w:r w:rsidR="00F40CE1" w:rsidRPr="007F6332">
        <w:rPr>
          <w:rStyle w:val="normaltextrun"/>
          <w:rFonts w:cs="Arial"/>
          <w:color w:val="000000"/>
          <w:sz w:val="21"/>
          <w:szCs w:val="21"/>
          <w:shd w:val="clear" w:color="auto" w:fill="FFFFFF"/>
        </w:rPr>
        <w:t>g</w:t>
      </w:r>
      <w:r w:rsidRPr="007F6332">
        <w:rPr>
          <w:rStyle w:val="normaltextrun"/>
          <w:rFonts w:cs="Arial"/>
          <w:color w:val="000000"/>
          <w:sz w:val="21"/>
          <w:szCs w:val="21"/>
          <w:shd w:val="clear" w:color="auto" w:fill="FFFFFF"/>
        </w:rPr>
        <w:t>overnment</w:t>
      </w:r>
      <w:r w:rsidR="00F40CE1" w:rsidRPr="007F6332">
        <w:rPr>
          <w:rStyle w:val="normaltextrun"/>
          <w:rFonts w:cs="Arial"/>
          <w:color w:val="000000"/>
          <w:sz w:val="21"/>
          <w:szCs w:val="21"/>
          <w:shd w:val="clear" w:color="auto" w:fill="FFFFFF"/>
        </w:rPr>
        <w:t>-</w:t>
      </w:r>
      <w:r w:rsidRPr="007F6332">
        <w:rPr>
          <w:rStyle w:val="normaltextrun"/>
          <w:rFonts w:cs="Arial"/>
          <w:color w:val="000000"/>
          <w:sz w:val="21"/>
          <w:szCs w:val="21"/>
          <w:shd w:val="clear" w:color="auto" w:fill="FFFFFF"/>
        </w:rPr>
        <w:t>funded supports and the attainment of participant outcomes. The analysis has been designed so that in future, this evidence can be used by participants, their carers and planners to understand what types and combinations of funding have been effective for others in similar circumstances.</w:t>
      </w:r>
    </w:p>
    <w:p w14:paraId="197D16C2" w14:textId="77777777" w:rsidR="00BE32D8" w:rsidRPr="007F6332" w:rsidRDefault="00BE32D8" w:rsidP="00BE32D8">
      <w:pPr>
        <w:rPr>
          <w:rStyle w:val="normaltextrun"/>
          <w:rFonts w:cs="Arial"/>
          <w:color w:val="000000"/>
          <w:sz w:val="21"/>
          <w:szCs w:val="21"/>
          <w:shd w:val="clear" w:color="auto" w:fill="FFFFFF"/>
        </w:rPr>
      </w:pPr>
      <w:r w:rsidRPr="007F6332">
        <w:rPr>
          <w:rStyle w:val="normaltextrun"/>
          <w:rFonts w:cs="Arial"/>
          <w:color w:val="000000"/>
          <w:sz w:val="21"/>
          <w:szCs w:val="21"/>
          <w:shd w:val="clear" w:color="auto" w:fill="FFFFFF"/>
        </w:rPr>
        <w:t>Understanding these links can better inform participants on how their decisions regarding potential supports impact their individual needs and help their ongoing choices under the Scheme. The IEP will produce two key deliverables:</w:t>
      </w:r>
    </w:p>
    <w:p w14:paraId="6EDEE30C" w14:textId="77777777" w:rsidR="00BE32D8" w:rsidRPr="007F6332" w:rsidRDefault="00BE32D8" w:rsidP="00CE7E91">
      <w:pPr>
        <w:pStyle w:val="ListParagraph"/>
        <w:numPr>
          <w:ilvl w:val="0"/>
          <w:numId w:val="47"/>
        </w:numPr>
        <w:rPr>
          <w:rStyle w:val="normaltextrun"/>
          <w:rFonts w:cs="Arial"/>
          <w:color w:val="000000"/>
          <w:sz w:val="21"/>
          <w:szCs w:val="21"/>
          <w:shd w:val="clear" w:color="auto" w:fill="FFFFFF"/>
        </w:rPr>
      </w:pPr>
      <w:r w:rsidRPr="007F6332">
        <w:rPr>
          <w:rStyle w:val="normaltextrun"/>
          <w:rFonts w:cs="Arial"/>
          <w:color w:val="000000"/>
          <w:sz w:val="21"/>
          <w:szCs w:val="21"/>
          <w:shd w:val="clear" w:color="auto" w:fill="FFFFFF"/>
        </w:rPr>
        <w:t xml:space="preserve">An analysis of outcomes quantifying the marginal effect of different types, levels and combinations of support payment for all NDIS participants. </w:t>
      </w:r>
    </w:p>
    <w:p w14:paraId="77B923A4" w14:textId="77777777" w:rsidR="00BE32D8" w:rsidRPr="007F6332" w:rsidRDefault="00BE32D8" w:rsidP="00CE7E91">
      <w:pPr>
        <w:pStyle w:val="ListParagraph"/>
        <w:numPr>
          <w:ilvl w:val="0"/>
          <w:numId w:val="47"/>
        </w:numPr>
        <w:rPr>
          <w:rStyle w:val="normaltextrun"/>
          <w:rFonts w:cs="Arial"/>
          <w:color w:val="000000"/>
          <w:sz w:val="21"/>
          <w:szCs w:val="21"/>
          <w:shd w:val="clear" w:color="auto" w:fill="FFFFFF"/>
        </w:rPr>
      </w:pPr>
      <w:r w:rsidRPr="007F6332">
        <w:rPr>
          <w:rStyle w:val="normaltextrun"/>
          <w:rFonts w:cs="Arial"/>
          <w:color w:val="000000"/>
          <w:sz w:val="21"/>
          <w:szCs w:val="21"/>
          <w:shd w:val="clear" w:color="auto" w:fill="FFFFFF"/>
        </w:rPr>
        <w:t>An effectiveness modelling report and dashboard that shows how findings could be used by participants and planners to shape plans which are closer to a theoretical ‘ideal’ payment mix, allowing for individuals’ preferences and goals.</w:t>
      </w:r>
    </w:p>
    <w:p w14:paraId="14993428" w14:textId="7E424D4C" w:rsidR="00BE32D8" w:rsidRPr="007F6332" w:rsidRDefault="00BE32D8" w:rsidP="00BE32D8">
      <w:pPr>
        <w:rPr>
          <w:rStyle w:val="normaltextrun"/>
          <w:rFonts w:cs="Arial"/>
          <w:color w:val="000000"/>
          <w:sz w:val="21"/>
          <w:szCs w:val="21"/>
          <w:shd w:val="clear" w:color="auto" w:fill="FFFFFF"/>
        </w:rPr>
      </w:pPr>
      <w:r w:rsidRPr="007F6332">
        <w:rPr>
          <w:rStyle w:val="normaltextrun"/>
          <w:rFonts w:cs="Arial"/>
          <w:color w:val="000000"/>
          <w:sz w:val="21"/>
          <w:szCs w:val="21"/>
          <w:shd w:val="clear" w:color="auto" w:fill="FFFFFF"/>
        </w:rPr>
        <w:t xml:space="preserve">A pilot has been established to test analytical approaches, using a single cohort of participants aged 15-24 with intellectual disability (ID) and/or Down syndrome when they joined the NDIS. This cohort was selected following a process of internal consultation and prioritisation. </w:t>
      </w:r>
    </w:p>
    <w:p w14:paraId="43DB822D" w14:textId="0F6C9AE0" w:rsidR="002E7F61" w:rsidRPr="007F6332" w:rsidRDefault="00BE32D8" w:rsidP="00B308E2">
      <w:pPr>
        <w:rPr>
          <w:rFonts w:cs="Arial"/>
        </w:rPr>
      </w:pPr>
      <w:r w:rsidRPr="007F6332">
        <w:rPr>
          <w:rStyle w:val="normaltextrun"/>
          <w:rFonts w:cs="Arial"/>
          <w:color w:val="000000"/>
          <w:szCs w:val="22"/>
          <w:shd w:val="clear" w:color="auto" w:fill="FFFFFF"/>
        </w:rPr>
        <w:t xml:space="preserve">Initial models from the pilot group have uncovered several positive relationships between certain payment categories and outcomes. Some were obvious, for example more Capacity Building payments for Daily Activity is associated with a better daily living outcome. While others were less so, for example more Core Transport payments are associated with better ‘Home’ outcomes. Further work is ongoing to validate the findings of the analysis. </w:t>
      </w:r>
    </w:p>
    <w:p w14:paraId="03DEF4F6" w14:textId="77777777" w:rsidR="008D6CCF" w:rsidRPr="007F6332" w:rsidRDefault="008D6CCF" w:rsidP="00B308E2">
      <w:pPr>
        <w:rPr>
          <w:rFonts w:cs="Arial"/>
        </w:rPr>
        <w:sectPr w:rsidR="008D6CCF" w:rsidRPr="007F6332" w:rsidSect="0032159E">
          <w:pgSz w:w="11906" w:h="16838"/>
          <w:pgMar w:top="1440" w:right="1440" w:bottom="1440" w:left="1440" w:header="708" w:footer="708" w:gutter="0"/>
          <w:cols w:space="708"/>
          <w:docGrid w:linePitch="360"/>
        </w:sectPr>
      </w:pPr>
    </w:p>
    <w:p w14:paraId="4FAEE6F4" w14:textId="0AA11E1A" w:rsidR="008D6CCF" w:rsidRPr="007F6332" w:rsidRDefault="008D6CCF" w:rsidP="003E047F">
      <w:pPr>
        <w:pStyle w:val="Heading2"/>
        <w:tabs>
          <w:tab w:val="left" w:pos="709"/>
        </w:tabs>
        <w:ind w:hanging="1080"/>
        <w:rPr>
          <w:rFonts w:cs="Arial"/>
        </w:rPr>
      </w:pPr>
      <w:bookmarkStart w:id="278" w:name="_Toc152615006"/>
      <w:r w:rsidRPr="007F6332">
        <w:rPr>
          <w:rFonts w:cs="Arial"/>
        </w:rPr>
        <w:lastRenderedPageBreak/>
        <w:t>Risk management</w:t>
      </w:r>
      <w:bookmarkEnd w:id="278"/>
    </w:p>
    <w:p w14:paraId="1FBDE513" w14:textId="77777777" w:rsidR="00DE38C9" w:rsidRPr="007F6332" w:rsidRDefault="00DE38C9" w:rsidP="00E81C0D">
      <w:pPr>
        <w:pStyle w:val="Heading3"/>
        <w:ind w:left="709" w:hanging="709"/>
        <w:rPr>
          <w:rFonts w:cs="Arial"/>
          <w:lang w:val="en-AU"/>
        </w:rPr>
      </w:pPr>
      <w:bookmarkStart w:id="279" w:name="_Toc152615007"/>
      <w:r w:rsidRPr="007F6332">
        <w:rPr>
          <w:rFonts w:cs="Arial"/>
        </w:rPr>
        <w:t>Introduction</w:t>
      </w:r>
      <w:bookmarkEnd w:id="279"/>
    </w:p>
    <w:p w14:paraId="3D831899" w14:textId="2120AD80" w:rsidR="00DE38C9" w:rsidRPr="007F6332" w:rsidRDefault="00AC0D04" w:rsidP="00DE38C9">
      <w:pPr>
        <w:pStyle w:val="FSRnormal"/>
        <w:rPr>
          <w:rFonts w:cs="Arial"/>
        </w:rPr>
      </w:pPr>
      <w:bookmarkStart w:id="280" w:name="_Hlk150700265"/>
      <w:r w:rsidRPr="007F6332">
        <w:rPr>
          <w:rFonts w:cs="Arial"/>
        </w:rPr>
        <w:t xml:space="preserve">Although </w:t>
      </w:r>
      <w:r w:rsidR="00DE38C9" w:rsidRPr="007F6332">
        <w:rPr>
          <w:rFonts w:cs="Arial"/>
        </w:rPr>
        <w:t xml:space="preserve">the </w:t>
      </w:r>
      <w:r w:rsidRPr="007F6332">
        <w:rPr>
          <w:rFonts w:cs="Arial"/>
        </w:rPr>
        <w:t xml:space="preserve">National Disability Insurance </w:t>
      </w:r>
      <w:r w:rsidR="00DE38C9" w:rsidRPr="007F6332">
        <w:rPr>
          <w:rFonts w:cs="Arial"/>
        </w:rPr>
        <w:t>Scheme</w:t>
      </w:r>
      <w:r w:rsidRPr="007F6332">
        <w:rPr>
          <w:rFonts w:cs="Arial"/>
        </w:rPr>
        <w:t xml:space="preserve"> (NDIS)</w:t>
      </w:r>
      <w:r w:rsidR="00DE38C9" w:rsidRPr="007F6332">
        <w:rPr>
          <w:rFonts w:cs="Arial"/>
        </w:rPr>
        <w:t xml:space="preserve"> has been in operation for over 10 years, it has only been available to all States</w:t>
      </w:r>
      <w:r w:rsidR="00850C22" w:rsidRPr="007F6332">
        <w:rPr>
          <w:rFonts w:cs="Arial"/>
        </w:rPr>
        <w:t xml:space="preserve"> and Territories</w:t>
      </w:r>
      <w:r w:rsidR="00DE38C9" w:rsidRPr="007F6332">
        <w:rPr>
          <w:rFonts w:cs="Arial"/>
        </w:rPr>
        <w:t xml:space="preserve"> for 5 years, and to all Australians for 3 years. Given the long-term nature of the Scheme, experience continues to be relatively immature, and many aspects remain difficult to interpret. Specifically, estimation of future expenditure based on experience is inherently challenging given the relative size, complexity, and immaturity of the Scheme, meaning there is significant uncertainty in the projection. In addition, within emerging experience to date, issues have been identified with the current resource allocation process, and in particular the lack of a mechanism for robust assessments of support need. </w:t>
      </w:r>
    </w:p>
    <w:bookmarkEnd w:id="280"/>
    <w:p w14:paraId="69538051" w14:textId="15D17EE8" w:rsidR="00DE38C9" w:rsidRPr="007F6332" w:rsidRDefault="00DE38C9" w:rsidP="00DE38C9">
      <w:pPr>
        <w:pStyle w:val="FSRnormal"/>
        <w:rPr>
          <w:rFonts w:cs="Arial"/>
        </w:rPr>
      </w:pPr>
      <w:r w:rsidRPr="007F6332">
        <w:rPr>
          <w:rFonts w:cs="Arial"/>
        </w:rPr>
        <w:t xml:space="preserve">As the Scheme continues to mature, and staff, operational and governance capabilities improve, there is an expectation the Scheme </w:t>
      </w:r>
      <w:r w:rsidR="00850C22" w:rsidRPr="007F6332">
        <w:rPr>
          <w:rFonts w:cs="Arial"/>
        </w:rPr>
        <w:t xml:space="preserve">operations and </w:t>
      </w:r>
      <w:r w:rsidRPr="007F6332">
        <w:rPr>
          <w:rFonts w:cs="Arial"/>
        </w:rPr>
        <w:t>experience will change, perhaps materially, and this would affect the eventual trajectory of Scheme expense.</w:t>
      </w:r>
      <w:r w:rsidR="00850C22" w:rsidRPr="007F6332">
        <w:rPr>
          <w:rFonts w:cs="Arial"/>
        </w:rPr>
        <w:t xml:space="preserve"> Decisions and actions of the Government and Agency and the Australian and global economic climate will also impact on the Scheme, including the existing </w:t>
      </w:r>
      <w:r w:rsidR="002D6881" w:rsidRPr="007F6332">
        <w:rPr>
          <w:rFonts w:cs="Arial"/>
        </w:rPr>
        <w:t>Budget initiatives</w:t>
      </w:r>
      <w:r w:rsidR="00850C22" w:rsidRPr="007F6332">
        <w:rPr>
          <w:rFonts w:cs="Arial"/>
        </w:rPr>
        <w:t xml:space="preserve"> and potential upcoming changes to policy settings.</w:t>
      </w:r>
      <w:r w:rsidRPr="007F6332">
        <w:rPr>
          <w:rFonts w:cs="Arial"/>
        </w:rPr>
        <w:t xml:space="preserve"> </w:t>
      </w:r>
    </w:p>
    <w:p w14:paraId="436EA25B" w14:textId="4F0E3E25" w:rsidR="00DE38C9" w:rsidRPr="007F6332" w:rsidRDefault="00DE38C9" w:rsidP="00DE38C9">
      <w:pPr>
        <w:pStyle w:val="FSRnormal"/>
        <w:rPr>
          <w:rFonts w:cs="Arial"/>
        </w:rPr>
      </w:pPr>
      <w:r w:rsidRPr="007F6332">
        <w:rPr>
          <w:rFonts w:cs="Arial"/>
        </w:rPr>
        <w:t>Future events cannot be predicted</w:t>
      </w:r>
      <w:r w:rsidR="00AC0D04" w:rsidRPr="007F6332">
        <w:rPr>
          <w:rFonts w:cs="Arial"/>
        </w:rPr>
        <w:t xml:space="preserve"> with certainty</w:t>
      </w:r>
      <w:r w:rsidRPr="007F6332">
        <w:rPr>
          <w:rFonts w:cs="Arial"/>
        </w:rPr>
        <w:t>, and they may lead to unexpected impacts on Scheme experience which differ from the projections in this report. Examples of events with the potential to have a significant impact on future Scheme experience include another pandemic, unexpected changes in global inflationary pressures and changes to economic conditions which cause further workforce shortages in the disability sector.</w:t>
      </w:r>
    </w:p>
    <w:p w14:paraId="06574B5D" w14:textId="3B01042A" w:rsidR="00DE38C9" w:rsidRPr="007F6332" w:rsidRDefault="00DE38C9" w:rsidP="00DE38C9">
      <w:pPr>
        <w:pStyle w:val="FSRnormal"/>
        <w:rPr>
          <w:rFonts w:cs="Arial"/>
        </w:rPr>
      </w:pPr>
      <w:r w:rsidRPr="007F6332">
        <w:rPr>
          <w:rFonts w:cs="Arial"/>
        </w:rPr>
        <w:t xml:space="preserve">With each update of the AFSR, projection assumptions balance both the emerging experience (considering the significance and duration of the trends), and future expectation which continue to change over time. Updates to assumptions consider the significant growth in the Scheme over the past seven years, the relative immaturity of the Scheme and, in the most recent projection, </w:t>
      </w:r>
      <w:r w:rsidR="002D6881" w:rsidRPr="007F6332">
        <w:rPr>
          <w:rFonts w:cs="Arial"/>
        </w:rPr>
        <w:t>Budget initiatives</w:t>
      </w:r>
      <w:r w:rsidRPr="007F6332">
        <w:rPr>
          <w:rFonts w:cs="Arial"/>
        </w:rPr>
        <w:t>. As more data becomes available and as the Scheme continues to evolve, so too does the projection of Scheme costs.</w:t>
      </w:r>
    </w:p>
    <w:p w14:paraId="5DF2DB24" w14:textId="6CEE46CA" w:rsidR="00DE38C9" w:rsidRPr="007F6332" w:rsidRDefault="00DE38C9" w:rsidP="00DE38C9">
      <w:pPr>
        <w:pStyle w:val="FSRnormal"/>
        <w:rPr>
          <w:rFonts w:cs="Arial"/>
        </w:rPr>
      </w:pPr>
      <w:r w:rsidRPr="007F6332">
        <w:rPr>
          <w:rFonts w:cs="Arial"/>
        </w:rPr>
        <w:t>Significant pressures on the financial sustainability of the Scheme remain and have become more significant. This is reflected in the upward revision of projected Scheme expenses in past AFSR</w:t>
      </w:r>
      <w:r w:rsidR="00AC0D04" w:rsidRPr="007F6332">
        <w:rPr>
          <w:rFonts w:cs="Arial"/>
        </w:rPr>
        <w:t>s.</w:t>
      </w:r>
    </w:p>
    <w:p w14:paraId="48CDE24C" w14:textId="3FB5D2E5" w:rsidR="00DE38C9" w:rsidRPr="007F6332" w:rsidRDefault="00DE38C9" w:rsidP="00DE38C9">
      <w:pPr>
        <w:pStyle w:val="FSRnormal"/>
        <w:rPr>
          <w:rFonts w:cs="Arial"/>
        </w:rPr>
      </w:pPr>
      <w:r w:rsidRPr="007F6332">
        <w:rPr>
          <w:rFonts w:cs="Arial"/>
        </w:rPr>
        <w:t xml:space="preserve">There are a number of risks that impact on the financial sustainability of the Scheme. This chapter provides a commentary on these and the mitigation factors in place or being developed to reduce the likelihood or impact of these risks. </w:t>
      </w:r>
    </w:p>
    <w:p w14:paraId="140DDB3D" w14:textId="77777777" w:rsidR="003149C1" w:rsidRPr="007F6332" w:rsidRDefault="003149C1" w:rsidP="003149C1">
      <w:pPr>
        <w:pStyle w:val="Heading3"/>
        <w:ind w:left="709" w:hanging="709"/>
        <w:rPr>
          <w:rFonts w:cs="Arial"/>
          <w:lang w:val="en-AU"/>
        </w:rPr>
        <w:sectPr w:rsidR="003149C1" w:rsidRPr="007F6332" w:rsidSect="00CE7E91">
          <w:pgSz w:w="11906" w:h="16838"/>
          <w:pgMar w:top="1440" w:right="1440" w:bottom="1440" w:left="1440" w:header="708" w:footer="850" w:gutter="0"/>
          <w:cols w:space="708"/>
          <w:docGrid w:linePitch="360"/>
        </w:sectPr>
      </w:pPr>
      <w:bookmarkStart w:id="281" w:name="_Toc152615008"/>
    </w:p>
    <w:p w14:paraId="1D6F5EDE" w14:textId="10EDA7E5" w:rsidR="00DE38C9" w:rsidRPr="007F6332" w:rsidRDefault="00DE38C9" w:rsidP="00E81C0D">
      <w:pPr>
        <w:pStyle w:val="Heading3"/>
        <w:ind w:left="709" w:hanging="709"/>
        <w:rPr>
          <w:rFonts w:cs="Arial"/>
          <w:lang w:val="en-AU"/>
        </w:rPr>
      </w:pPr>
      <w:r w:rsidRPr="007F6332">
        <w:rPr>
          <w:rFonts w:cs="Arial"/>
          <w:lang w:val="en-AU"/>
        </w:rPr>
        <w:lastRenderedPageBreak/>
        <w:t xml:space="preserve">Risk </w:t>
      </w:r>
      <w:r w:rsidRPr="007F6332">
        <w:rPr>
          <w:rFonts w:cs="Arial"/>
        </w:rPr>
        <w:t>Management</w:t>
      </w:r>
      <w:r w:rsidRPr="007F6332">
        <w:rPr>
          <w:rFonts w:cs="Arial"/>
          <w:lang w:val="en-AU"/>
        </w:rPr>
        <w:t xml:space="preserve"> Arrangements </w:t>
      </w:r>
      <w:r w:rsidR="008A1C67" w:rsidRPr="007F6332">
        <w:rPr>
          <w:rFonts w:cs="Arial"/>
          <w:lang w:val="en-AU"/>
        </w:rPr>
        <w:t>and</w:t>
      </w:r>
      <w:r w:rsidRPr="007F6332">
        <w:rPr>
          <w:rFonts w:cs="Arial"/>
          <w:lang w:val="en-AU"/>
        </w:rPr>
        <w:t xml:space="preserve"> Responsibilities</w:t>
      </w:r>
      <w:bookmarkEnd w:id="281"/>
    </w:p>
    <w:p w14:paraId="54973BA5" w14:textId="3D68776E" w:rsidR="00DE38C9" w:rsidRPr="007F6332" w:rsidRDefault="00DE38C9" w:rsidP="00DE38C9">
      <w:pPr>
        <w:pStyle w:val="FSRnormal"/>
        <w:rPr>
          <w:rFonts w:cs="Arial"/>
        </w:rPr>
      </w:pPr>
      <w:r w:rsidRPr="007F6332">
        <w:rPr>
          <w:rFonts w:cs="Arial"/>
        </w:rPr>
        <w:t xml:space="preserve">As set out in the NDIS Corporate Plan 23-27, the Agency’s approach to risk management is </w:t>
      </w:r>
      <w:r w:rsidR="00AC0D04" w:rsidRPr="007F6332">
        <w:rPr>
          <w:rFonts w:cs="Arial"/>
        </w:rPr>
        <w:t xml:space="preserve">to </w:t>
      </w:r>
      <w:r w:rsidRPr="007F6332">
        <w:rPr>
          <w:rFonts w:cs="Arial"/>
        </w:rPr>
        <w:t>embed an understanding of risks, controls and mitigations in every aspect of the organisation, across business planning, escalations and reporting, decision making, operations and strategic initiatives.</w:t>
      </w:r>
    </w:p>
    <w:p w14:paraId="48D81058" w14:textId="77777777" w:rsidR="00DE38C9" w:rsidRPr="007F6332" w:rsidRDefault="00DE38C9" w:rsidP="00DE38C9">
      <w:pPr>
        <w:pStyle w:val="FSRnormal"/>
        <w:rPr>
          <w:rFonts w:cs="Arial"/>
        </w:rPr>
      </w:pPr>
      <w:r w:rsidRPr="007F6332">
        <w:rPr>
          <w:rFonts w:cs="Arial"/>
        </w:rPr>
        <w:t>The NDIA’s risk governance and framework is underpinned by the:</w:t>
      </w:r>
    </w:p>
    <w:p w14:paraId="23F7CCEC" w14:textId="77777777" w:rsidR="00DE38C9" w:rsidRPr="007F6332" w:rsidRDefault="00DE38C9" w:rsidP="00DE38C9">
      <w:pPr>
        <w:pStyle w:val="FSRlist"/>
        <w:ind w:left="1080"/>
        <w:rPr>
          <w:rFonts w:cs="Arial"/>
        </w:rPr>
      </w:pPr>
      <w:r w:rsidRPr="007F6332">
        <w:rPr>
          <w:rFonts w:cs="Arial"/>
        </w:rPr>
        <w:t>National Disability Insurance Scheme Act 2013</w:t>
      </w:r>
    </w:p>
    <w:p w14:paraId="747D421D" w14:textId="77777777" w:rsidR="00DE38C9" w:rsidRPr="007F6332" w:rsidRDefault="00DE38C9" w:rsidP="00DE38C9">
      <w:pPr>
        <w:pStyle w:val="FSRlist"/>
        <w:ind w:left="1080"/>
        <w:rPr>
          <w:rFonts w:cs="Arial"/>
        </w:rPr>
      </w:pPr>
      <w:r w:rsidRPr="007F6332">
        <w:rPr>
          <w:rFonts w:cs="Arial"/>
        </w:rPr>
        <w:t>National Disability Insurance Scheme Risk Management Rules 2013</w:t>
      </w:r>
    </w:p>
    <w:p w14:paraId="045E3E36" w14:textId="77777777" w:rsidR="00DE38C9" w:rsidRPr="007F6332" w:rsidRDefault="00DE38C9" w:rsidP="00DE38C9">
      <w:pPr>
        <w:pStyle w:val="FSRlist"/>
        <w:ind w:left="1080"/>
        <w:rPr>
          <w:rFonts w:cs="Arial"/>
        </w:rPr>
      </w:pPr>
      <w:r w:rsidRPr="007F6332">
        <w:rPr>
          <w:rFonts w:cs="Arial"/>
        </w:rPr>
        <w:t>Public Governance, Performance and Accountability Act 2013</w:t>
      </w:r>
    </w:p>
    <w:p w14:paraId="2E8551D8" w14:textId="77777777" w:rsidR="00DE38C9" w:rsidRPr="007F6332" w:rsidRDefault="00DE38C9" w:rsidP="00DE38C9">
      <w:pPr>
        <w:pStyle w:val="FSRlist"/>
        <w:ind w:left="1080"/>
        <w:rPr>
          <w:rFonts w:cs="Arial"/>
        </w:rPr>
      </w:pPr>
      <w:r w:rsidRPr="007F6332">
        <w:rPr>
          <w:rFonts w:cs="Arial"/>
        </w:rPr>
        <w:t>related Commonwealth policies and frameworks.</w:t>
      </w:r>
    </w:p>
    <w:p w14:paraId="4BA19619" w14:textId="77777777" w:rsidR="00DE38C9" w:rsidRPr="007F6332" w:rsidRDefault="00DE38C9" w:rsidP="00DE38C9">
      <w:pPr>
        <w:pStyle w:val="FSRnormal"/>
        <w:rPr>
          <w:rFonts w:cs="Arial"/>
        </w:rPr>
      </w:pPr>
      <w:r w:rsidRPr="007F6332">
        <w:rPr>
          <w:rFonts w:cs="Arial"/>
        </w:rPr>
        <w:t xml:space="preserve">The Board oversees this approach through the Risk Committee and Audit Committee, to ensure effective risk management, performance management and governance frameworks. </w:t>
      </w:r>
    </w:p>
    <w:p w14:paraId="110813A1" w14:textId="77777777" w:rsidR="00DE38C9" w:rsidRPr="007F6332" w:rsidRDefault="00DE38C9" w:rsidP="00DE38C9">
      <w:pPr>
        <w:pStyle w:val="FSRnormal"/>
        <w:rPr>
          <w:rFonts w:cs="Arial"/>
        </w:rPr>
      </w:pPr>
      <w:r w:rsidRPr="007F6332">
        <w:rPr>
          <w:rFonts w:cs="Arial"/>
        </w:rPr>
        <w:t xml:space="preserve">Senior executives are responsible for managing Agency risks through regular monitoring and reviewing of risks, controls and treatment plans. </w:t>
      </w:r>
    </w:p>
    <w:p w14:paraId="7DE5B318" w14:textId="25D3845D" w:rsidR="00DE38C9" w:rsidRPr="007F6332" w:rsidRDefault="00DE38C9" w:rsidP="00DE38C9">
      <w:pPr>
        <w:pStyle w:val="FSRnormal"/>
        <w:rPr>
          <w:rFonts w:cs="Arial"/>
        </w:rPr>
      </w:pPr>
      <w:r w:rsidRPr="007F6332">
        <w:rPr>
          <w:rFonts w:cs="Arial"/>
        </w:rPr>
        <w:t xml:space="preserve">Risk management roles and responsibilities are defined for staff at all levels and supported by guidance materials, training modules, and access to </w:t>
      </w:r>
      <w:r w:rsidR="003C006E" w:rsidRPr="007F6332">
        <w:rPr>
          <w:rFonts w:cs="Arial"/>
        </w:rPr>
        <w:t xml:space="preserve">risk </w:t>
      </w:r>
      <w:r w:rsidRPr="007F6332">
        <w:rPr>
          <w:rFonts w:cs="Arial"/>
        </w:rPr>
        <w:t>advisory services.</w:t>
      </w:r>
    </w:p>
    <w:p w14:paraId="701494FB" w14:textId="77777777" w:rsidR="00DE38C9" w:rsidRPr="007F6332" w:rsidRDefault="00DE38C9" w:rsidP="00DE38C9">
      <w:pPr>
        <w:pStyle w:val="FSRnormal"/>
        <w:rPr>
          <w:rFonts w:cs="Arial"/>
        </w:rPr>
      </w:pPr>
      <w:r w:rsidRPr="007F6332">
        <w:rPr>
          <w:rFonts w:cs="Arial"/>
        </w:rPr>
        <w:t xml:space="preserve">The proactive use of risk management enables the Agency to effectively manage its operational and strategic risks within the bounds of appetite set by the Board. </w:t>
      </w:r>
    </w:p>
    <w:p w14:paraId="60A4455C" w14:textId="6BBA8170" w:rsidR="00DE38C9" w:rsidRPr="007F6332" w:rsidRDefault="00DE38C9" w:rsidP="00DE38C9">
      <w:pPr>
        <w:pStyle w:val="FSRnormal"/>
        <w:rPr>
          <w:rFonts w:cs="Arial"/>
        </w:rPr>
      </w:pPr>
      <w:r w:rsidRPr="007F6332">
        <w:rPr>
          <w:rFonts w:cs="Arial"/>
        </w:rPr>
        <w:t xml:space="preserve">The Risk Management Strategy describes the Agency’s strategic approach to managing risks and is underpinned by risk management processes and procedural materials that guide all levels of the organisation to identify and manage risks and implement applicable strategies to minimise </w:t>
      </w:r>
      <w:r w:rsidR="00AC0D04" w:rsidRPr="007F6332">
        <w:rPr>
          <w:rFonts w:cs="Arial"/>
        </w:rPr>
        <w:t xml:space="preserve">adverse consequences </w:t>
      </w:r>
      <w:r w:rsidRPr="007F6332">
        <w:rPr>
          <w:rFonts w:cs="Arial"/>
        </w:rPr>
        <w:t>and maximise opportunities. Implementation of a positive risk culture within the Agency is supported through executive advocacy, risk training, and awareness activities.</w:t>
      </w:r>
    </w:p>
    <w:p w14:paraId="1905D515" w14:textId="5683B3B7" w:rsidR="00DE38C9" w:rsidRPr="007F6332" w:rsidRDefault="00DE38C9" w:rsidP="00DE38C9">
      <w:pPr>
        <w:pStyle w:val="FSRnormal"/>
        <w:rPr>
          <w:rFonts w:cs="Arial"/>
        </w:rPr>
      </w:pPr>
      <w:r w:rsidRPr="007F6332">
        <w:rPr>
          <w:rFonts w:cs="Arial"/>
        </w:rPr>
        <w:t xml:space="preserve">The Agency has a structured approach to identifying, managing, escalating, and communicating key risks. Together the Board, Chief Risk Officer (CRO), and </w:t>
      </w:r>
      <w:r w:rsidR="00D1217D" w:rsidRPr="007F6332">
        <w:rPr>
          <w:rFonts w:cs="Arial"/>
        </w:rPr>
        <w:t xml:space="preserve">Strategic </w:t>
      </w:r>
      <w:r w:rsidRPr="007F6332">
        <w:rPr>
          <w:rFonts w:cs="Arial"/>
        </w:rPr>
        <w:t>Leadership Team oversee the efficacy of risk management performance of the NDIA. The responsibilities of the Board to ensure effective implementation of a contemporary risk management framework is enabled through the Risk Committee and Audit Committee.</w:t>
      </w:r>
    </w:p>
    <w:p w14:paraId="0FCC475F" w14:textId="77777777" w:rsidR="00DE38C9" w:rsidRPr="007F6332" w:rsidRDefault="00DE38C9" w:rsidP="00DE38C9">
      <w:pPr>
        <w:pStyle w:val="FSRnormal"/>
        <w:rPr>
          <w:rFonts w:cs="Arial"/>
        </w:rPr>
      </w:pPr>
      <w:r w:rsidRPr="007F6332">
        <w:rPr>
          <w:rFonts w:cs="Arial"/>
        </w:rPr>
        <w:t>The CRO has responsibility to ensure:</w:t>
      </w:r>
    </w:p>
    <w:p w14:paraId="2ADAB897" w14:textId="77777777" w:rsidR="00DE38C9" w:rsidRPr="007F6332" w:rsidRDefault="00DE38C9" w:rsidP="0049321D">
      <w:pPr>
        <w:pStyle w:val="FSRlist"/>
      </w:pPr>
      <w:r w:rsidRPr="007F6332">
        <w:t>NDIA</w:t>
      </w:r>
      <w:r w:rsidRPr="007F6332">
        <w:rPr>
          <w:b/>
          <w:bCs/>
        </w:rPr>
        <w:t xml:space="preserve"> </w:t>
      </w:r>
      <w:r w:rsidRPr="007F6332">
        <w:t>systems, reporting and processes have risk management embedded.</w:t>
      </w:r>
    </w:p>
    <w:p w14:paraId="23E851B9" w14:textId="77777777" w:rsidR="00DE38C9" w:rsidRPr="007F6332" w:rsidRDefault="00DE38C9" w:rsidP="0049321D">
      <w:pPr>
        <w:pStyle w:val="FSRlist"/>
      </w:pPr>
      <w:r w:rsidRPr="007F6332">
        <w:t>Risk owners are supported by dedicated risk officers.</w:t>
      </w:r>
    </w:p>
    <w:p w14:paraId="2293EA05" w14:textId="77777777" w:rsidR="00DE38C9" w:rsidRPr="007F6332" w:rsidRDefault="00DE38C9" w:rsidP="0049321D">
      <w:pPr>
        <w:pStyle w:val="FSRlist"/>
      </w:pPr>
      <w:r w:rsidRPr="007F6332">
        <w:t>Appropriate controls are in place to mitigate fraud and promote compliance, and manage risk associated with safeguarding public funds while concurrently supporting participant choice and control.</w:t>
      </w:r>
    </w:p>
    <w:p w14:paraId="1F85840E" w14:textId="32EE3CB3" w:rsidR="00DE38C9" w:rsidRPr="007F6332" w:rsidRDefault="00DE38C9" w:rsidP="00DE38C9">
      <w:pPr>
        <w:rPr>
          <w:rFonts w:cs="Arial"/>
          <w:szCs w:val="22"/>
          <w:lang w:val="en-AU"/>
        </w:rPr>
      </w:pPr>
      <w:r w:rsidRPr="007F6332">
        <w:rPr>
          <w:rFonts w:cs="Arial"/>
          <w:lang w:val="en-AU"/>
        </w:rPr>
        <w:lastRenderedPageBreak/>
        <w:t xml:space="preserve">The Scheme </w:t>
      </w:r>
      <w:r w:rsidR="00DE172B" w:rsidRPr="007F6332">
        <w:rPr>
          <w:rFonts w:cs="Arial"/>
          <w:lang w:val="en-AU"/>
        </w:rPr>
        <w:t>A</w:t>
      </w:r>
      <w:r w:rsidRPr="007F6332">
        <w:rPr>
          <w:rFonts w:cs="Arial"/>
          <w:lang w:val="en-AU"/>
        </w:rPr>
        <w:t xml:space="preserve">ctuary also has certain risk management responsibilities as part of their role, with the </w:t>
      </w:r>
      <w:r w:rsidRPr="007F6332">
        <w:rPr>
          <w:rFonts w:cs="Arial"/>
          <w:szCs w:val="22"/>
          <w:lang w:val="en-AU"/>
        </w:rPr>
        <w:t>primary focus relating to the financial sustainability of the Scheme.</w:t>
      </w:r>
    </w:p>
    <w:p w14:paraId="6027D670" w14:textId="63C7CB51" w:rsidR="00DE38C9" w:rsidRPr="007F6332" w:rsidRDefault="00EE2C5D" w:rsidP="00DE38C9">
      <w:pPr>
        <w:rPr>
          <w:rFonts w:cs="Arial"/>
          <w:szCs w:val="22"/>
          <w:lang w:val="en-AU"/>
        </w:rPr>
      </w:pPr>
      <w:r w:rsidRPr="007F6332">
        <w:rPr>
          <w:rFonts w:cs="Arial"/>
          <w:szCs w:val="22"/>
          <w:lang w:val="en-AU"/>
        </w:rPr>
        <w:t>Figure 8.1</w:t>
      </w:r>
      <w:r w:rsidR="00DE38C9" w:rsidRPr="007F6332">
        <w:rPr>
          <w:rFonts w:cs="Arial"/>
          <w:szCs w:val="22"/>
          <w:lang w:val="en-AU"/>
        </w:rPr>
        <w:t xml:space="preserve"> illustrates how the role of the CRO and Scheme Actuary </w:t>
      </w:r>
      <w:r w:rsidRPr="007F6332">
        <w:rPr>
          <w:rFonts w:cs="Arial"/>
          <w:szCs w:val="22"/>
          <w:lang w:val="en-AU"/>
        </w:rPr>
        <w:t>relate</w:t>
      </w:r>
      <w:r w:rsidR="00DE38C9" w:rsidRPr="007F6332">
        <w:rPr>
          <w:rFonts w:cs="Arial"/>
          <w:szCs w:val="22"/>
          <w:lang w:val="en-AU"/>
        </w:rPr>
        <w:t xml:space="preserve"> with respect to risk management. </w:t>
      </w:r>
    </w:p>
    <w:p w14:paraId="735A8038" w14:textId="67862290" w:rsidR="00DE38C9" w:rsidRPr="007F6332" w:rsidRDefault="00DE38C9" w:rsidP="0049321D">
      <w:pPr>
        <w:pStyle w:val="FiguresandTablesHeading4"/>
      </w:pPr>
      <w:r w:rsidRPr="007F6332">
        <w:t xml:space="preserve">Figure </w:t>
      </w:r>
      <w:r w:rsidR="003C006E" w:rsidRPr="007F6332">
        <w:t>8.</w:t>
      </w:r>
      <w:r w:rsidRPr="007F6332">
        <w:t>1 – NDIS &amp; NDIA Risk Management Ecosystem</w:t>
      </w:r>
    </w:p>
    <w:p w14:paraId="71F5D602" w14:textId="77777777" w:rsidR="00DE38C9" w:rsidRPr="007F6332" w:rsidRDefault="00DE38C9" w:rsidP="00B91D74">
      <w:pPr>
        <w:rPr>
          <w:rFonts w:cs="Arial"/>
          <w:szCs w:val="22"/>
          <w:lang w:val="en-AU"/>
        </w:rPr>
      </w:pPr>
      <w:r w:rsidRPr="007F6332">
        <w:rPr>
          <w:rFonts w:cs="Arial"/>
          <w:noProof/>
        </w:rPr>
        <w:drawing>
          <wp:inline distT="0" distB="0" distL="0" distR="0" wp14:anchorId="0DA1D535" wp14:editId="1CAD171D">
            <wp:extent cx="5785049" cy="3189767"/>
            <wp:effectExtent l="0" t="0" r="6350" b="0"/>
            <wp:docPr id="1655340367" name="Picture 1655340367" descr="The left-hand side shows the NDIA in a circle surrounded by the elements of risk management as follows &#10;Operational - systems, reporting and processes.&#10;Change management.&#10;Risk management framework.&#10;Monitoring and oversight.&#10;Safeguarding of public funds.&#10;Within the NDIA circle the following governance forums are listed - the Board, Risk Committee, Sustainability Committee and the Senior Leadership Team.&#10;An arrow pointing out of the NDIA circle towards an NDIS circle states that the Agency is responsible for administering the Scheme.&#10; &#10;On the right is the NDIS circle, surrounded by risk and other factors impacting on the Scheme.&#10;Participant demographics.&#10;Participant Experience.&#10;Providers.&#10;Disability sector practitioners.&#10;Government.&#10;Economic and social outcomes.&#10;Fraud and non-compliance.&#10; &#10;At the top, spanning the entire diagram is the Chief Risk Officer, who has overall responsibility for managing risk across the NDIA and NDIS.&#10; &#10;At the bottom, shows the Scheme Actuary having responsibility for managing Financial Sustainability risk of the NDIS, which the diagram illustrates includes all of the risk and other factors noted as impacting on the Scheme as well as the impact of the Agency as it is responsible for administering the Sche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40367" name="Picture 1655340367" descr="The left-hand side shows the NDIA in a circle surrounded by the elements of risk management as follows &#10;Operational - systems, reporting and processes.&#10;Change management.&#10;Risk management framework.&#10;Monitoring and oversight.&#10;Safeguarding of public funds.&#10;Within the NDIA circle the following governance forums are listed - the Board, Risk Committee, Sustainability Committee and the Senior Leadership Team.&#10;An arrow pointing out of the NDIA circle towards an NDIS circle states that the Agency is responsible for administering the Scheme.&#10; &#10;On the right is the NDIS circle, surrounded by risk and other factors impacting on the Scheme.&#10;Participant demographics.&#10;Participant Experience.&#10;Providers.&#10;Disability sector practitioners.&#10;Government.&#10;Economic and social outcomes.&#10;Fraud and non-compliance.&#10; &#10;At the top, spanning the entire diagram is the Chief Risk Officer, who has overall responsibility for managing risk across the NDIA and NDIS.&#10; &#10;At the bottom, shows the Scheme Actuary having responsibility for managing Financial Sustainability risk of the NDIS, which the diagram illustrates includes all of the risk and other factors noted as impacting on the Scheme as well as the impact of the Agency as it is responsible for administering the Scheme.&#1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800413" cy="3198238"/>
                    </a:xfrm>
                    <a:prstGeom prst="rect">
                      <a:avLst/>
                    </a:prstGeom>
                    <a:noFill/>
                    <a:ln>
                      <a:noFill/>
                    </a:ln>
                  </pic:spPr>
                </pic:pic>
              </a:graphicData>
            </a:graphic>
          </wp:inline>
        </w:drawing>
      </w:r>
    </w:p>
    <w:p w14:paraId="7F1FF9B1" w14:textId="73C8DD0D" w:rsidR="00DE38C9" w:rsidRPr="007F6332" w:rsidRDefault="00DE38C9" w:rsidP="00DE38C9">
      <w:pPr>
        <w:rPr>
          <w:rFonts w:cs="Arial"/>
          <w:lang w:val="en-AU"/>
        </w:rPr>
      </w:pPr>
      <w:r w:rsidRPr="007F6332">
        <w:rPr>
          <w:rFonts w:cs="Arial"/>
          <w:szCs w:val="22"/>
          <w:lang w:val="en-AU"/>
        </w:rPr>
        <w:t>The responsibilities of the Scheme Actuary in relation to the risk management of the Scheme are described in more detail in the Section 8.3.</w:t>
      </w:r>
    </w:p>
    <w:p w14:paraId="65CDB470" w14:textId="77777777" w:rsidR="003149C1" w:rsidRPr="007F6332" w:rsidRDefault="003149C1" w:rsidP="003149C1">
      <w:pPr>
        <w:pStyle w:val="Heading3"/>
        <w:ind w:left="709" w:hanging="709"/>
        <w:rPr>
          <w:rFonts w:cs="Arial"/>
        </w:rPr>
        <w:sectPr w:rsidR="003149C1" w:rsidRPr="007F6332" w:rsidSect="00CE7E91">
          <w:pgSz w:w="11906" w:h="16838"/>
          <w:pgMar w:top="1440" w:right="1440" w:bottom="1440" w:left="1440" w:header="708" w:footer="850" w:gutter="0"/>
          <w:cols w:space="708"/>
          <w:docGrid w:linePitch="360"/>
        </w:sectPr>
      </w:pPr>
      <w:bookmarkStart w:id="282" w:name="_Toc152615009"/>
    </w:p>
    <w:p w14:paraId="08BAFBF5" w14:textId="77777777" w:rsidR="00DE38C9" w:rsidRPr="007F6332" w:rsidRDefault="00DE38C9" w:rsidP="00E81C0D">
      <w:pPr>
        <w:pStyle w:val="Heading3"/>
        <w:ind w:left="709" w:hanging="709"/>
        <w:rPr>
          <w:rFonts w:cs="Arial"/>
          <w:lang w:val="en-AU"/>
        </w:rPr>
      </w:pPr>
      <w:r w:rsidRPr="007F6332">
        <w:rPr>
          <w:rFonts w:cs="Arial"/>
        </w:rPr>
        <w:lastRenderedPageBreak/>
        <w:t>Responsibilities</w:t>
      </w:r>
      <w:r w:rsidRPr="007F6332">
        <w:rPr>
          <w:rFonts w:cs="Arial"/>
          <w:lang w:val="en-AU"/>
        </w:rPr>
        <w:t xml:space="preserve"> of the Scheme Actuary</w:t>
      </w:r>
      <w:bookmarkEnd w:id="282"/>
    </w:p>
    <w:p w14:paraId="086094D6" w14:textId="789B6FB9" w:rsidR="00DE38C9" w:rsidRPr="007F6332" w:rsidRDefault="00DE38C9" w:rsidP="00DE38C9">
      <w:pPr>
        <w:rPr>
          <w:rFonts w:cs="Arial"/>
          <w:szCs w:val="22"/>
          <w:lang w:val="en-AU"/>
        </w:rPr>
      </w:pPr>
      <w:r w:rsidRPr="007F6332">
        <w:rPr>
          <w:rFonts w:cs="Arial"/>
          <w:szCs w:val="22"/>
          <w:lang w:val="en-AU"/>
        </w:rPr>
        <w:t xml:space="preserve">The responsibilities of the Scheme </w:t>
      </w:r>
      <w:r w:rsidR="003C006E" w:rsidRPr="007F6332">
        <w:rPr>
          <w:rFonts w:cs="Arial"/>
          <w:szCs w:val="22"/>
          <w:lang w:val="en-AU"/>
        </w:rPr>
        <w:t>A</w:t>
      </w:r>
      <w:r w:rsidRPr="007F6332">
        <w:rPr>
          <w:rFonts w:cs="Arial"/>
          <w:szCs w:val="22"/>
          <w:lang w:val="en-AU"/>
        </w:rPr>
        <w:t>ctuary in relation to the risk management of the Scheme are broadly defined in legislation and more explicitly detailed in the documents which comprise the Scheme’s and Agency’s Risk Management Framework. These responsibilities are as follows:</w:t>
      </w:r>
    </w:p>
    <w:p w14:paraId="6FB43839" w14:textId="77777777" w:rsidR="00DE38C9" w:rsidRPr="007F6332" w:rsidRDefault="00DE38C9" w:rsidP="00CD33D0">
      <w:pPr>
        <w:pStyle w:val="FSRHeading4"/>
        <w:rPr>
          <w:rFonts w:cs="Arial"/>
        </w:rPr>
      </w:pPr>
      <w:r w:rsidRPr="007F6332">
        <w:rPr>
          <w:rFonts w:cs="Arial"/>
        </w:rPr>
        <w:t>NDIS Act</w:t>
      </w:r>
    </w:p>
    <w:p w14:paraId="6FDDE681" w14:textId="77777777" w:rsidR="00DE38C9" w:rsidRPr="007F6332" w:rsidRDefault="00DE38C9" w:rsidP="00CE7E91">
      <w:pPr>
        <w:pStyle w:val="ListParagraph"/>
        <w:numPr>
          <w:ilvl w:val="0"/>
          <w:numId w:val="50"/>
        </w:numPr>
        <w:ind w:left="714" w:hanging="357"/>
        <w:rPr>
          <w:rFonts w:cs="Arial"/>
          <w:i/>
          <w:iCs/>
          <w:lang w:val="en-AU"/>
        </w:rPr>
      </w:pPr>
      <w:r w:rsidRPr="007F6332">
        <w:rPr>
          <w:rFonts w:cs="Arial"/>
          <w:i/>
          <w:iCs/>
          <w:szCs w:val="22"/>
          <w:lang w:val="en-AU"/>
        </w:rPr>
        <w:t xml:space="preserve">If the scheme actuary has significant concerns about the </w:t>
      </w:r>
      <w:r w:rsidRPr="007F6332">
        <w:rPr>
          <w:rFonts w:cs="Arial"/>
          <w:b/>
          <w:bCs/>
          <w:i/>
          <w:iCs/>
          <w:szCs w:val="22"/>
          <w:lang w:val="en-AU"/>
        </w:rPr>
        <w:t>financial sustainability</w:t>
      </w:r>
      <w:r w:rsidRPr="007F6332">
        <w:rPr>
          <w:rFonts w:cs="Arial"/>
          <w:i/>
          <w:iCs/>
          <w:szCs w:val="22"/>
          <w:lang w:val="en-AU"/>
        </w:rPr>
        <w:t xml:space="preserve"> of the National Disability Insurance Scheme, </w:t>
      </w:r>
      <w:r w:rsidRPr="007F6332">
        <w:rPr>
          <w:rFonts w:cs="Arial"/>
          <w:b/>
          <w:bCs/>
          <w:i/>
          <w:iCs/>
          <w:szCs w:val="22"/>
          <w:lang w:val="en-AU"/>
        </w:rPr>
        <w:t>or the risk management processes of the Agency</w:t>
      </w:r>
      <w:r w:rsidRPr="007F6332">
        <w:rPr>
          <w:rFonts w:cs="Arial"/>
          <w:i/>
          <w:iCs/>
          <w:szCs w:val="22"/>
          <w:lang w:val="en-AU"/>
        </w:rPr>
        <w:t>, he or she must report those concerns to the Board as soon as reasonably practicable.</w:t>
      </w:r>
      <w:r w:rsidRPr="007F6332">
        <w:rPr>
          <w:rStyle w:val="FootnoteReference"/>
          <w:rFonts w:cs="Arial"/>
          <w:i/>
          <w:iCs/>
          <w:szCs w:val="22"/>
          <w:lang w:val="en-AU"/>
        </w:rPr>
        <w:footnoteReference w:id="153"/>
      </w:r>
    </w:p>
    <w:p w14:paraId="2EE0D02F" w14:textId="77777777" w:rsidR="00DE38C9" w:rsidRPr="007F6332" w:rsidRDefault="00DE38C9" w:rsidP="00CD33D0">
      <w:pPr>
        <w:pStyle w:val="FSRHeading4"/>
        <w:rPr>
          <w:rFonts w:cs="Arial"/>
        </w:rPr>
      </w:pPr>
      <w:r w:rsidRPr="007F6332">
        <w:rPr>
          <w:rFonts w:cs="Arial"/>
        </w:rPr>
        <w:t>NDIS Risk Management Rules</w:t>
      </w:r>
    </w:p>
    <w:p w14:paraId="019F7584" w14:textId="77777777" w:rsidR="00DE38C9" w:rsidRPr="007F6332" w:rsidRDefault="00DE38C9" w:rsidP="00CE7E91">
      <w:pPr>
        <w:pStyle w:val="FSRnormal"/>
        <w:numPr>
          <w:ilvl w:val="0"/>
          <w:numId w:val="50"/>
        </w:numPr>
        <w:spacing w:before="0"/>
        <w:ind w:left="714" w:hanging="357"/>
        <w:rPr>
          <w:rFonts w:cs="Arial"/>
          <w:i/>
          <w:iCs/>
        </w:rPr>
      </w:pPr>
      <w:r w:rsidRPr="007F6332">
        <w:rPr>
          <w:rFonts w:eastAsiaTheme="minorHAnsi" w:cs="Arial"/>
          <w:i/>
          <w:iCs/>
          <w:lang w:eastAsia="en-US"/>
        </w:rPr>
        <w:t xml:space="preserve">The Board must also ensure that the scheme actuary is involved in decisions made by the Agency and the Board </w:t>
      </w:r>
      <w:r w:rsidRPr="007F6332">
        <w:rPr>
          <w:rFonts w:eastAsiaTheme="minorHAnsi" w:cs="Arial"/>
          <w:b/>
          <w:bCs/>
          <w:i/>
          <w:iCs/>
          <w:lang w:eastAsia="en-US"/>
        </w:rPr>
        <w:t>in relation to risk</w:t>
      </w:r>
      <w:r w:rsidRPr="007F6332">
        <w:rPr>
          <w:rFonts w:eastAsiaTheme="minorHAnsi" w:cs="Arial"/>
          <w:i/>
          <w:iCs/>
          <w:lang w:eastAsia="en-US"/>
        </w:rPr>
        <w:t xml:space="preserve">, to the extent that that involvement is appropriate and consistent with the scheme actuary’s duties and the </w:t>
      </w:r>
      <w:r w:rsidRPr="007F6332">
        <w:rPr>
          <w:rFonts w:eastAsiaTheme="minorHAnsi" w:cs="Arial"/>
          <w:i/>
          <w:lang w:eastAsia="en-US"/>
        </w:rPr>
        <w:t xml:space="preserve">National Disability Insurance </w:t>
      </w:r>
      <w:r w:rsidRPr="007F6332">
        <w:rPr>
          <w:rFonts w:eastAsiaTheme="minorHAnsi" w:cs="Arial"/>
          <w:i/>
          <w:iCs/>
          <w:lang w:eastAsia="en-US"/>
        </w:rPr>
        <w:t>Scheme—Rules for the Scheme Actuary 2013</w:t>
      </w:r>
      <w:r w:rsidRPr="007F6332">
        <w:rPr>
          <w:rFonts w:eastAsiaTheme="minorHAnsi" w:cs="Arial"/>
          <w:i/>
          <w:lang w:eastAsia="en-US"/>
        </w:rPr>
        <w:t>.</w:t>
      </w:r>
      <w:r w:rsidRPr="007F6332">
        <w:rPr>
          <w:rStyle w:val="FootnoteReference"/>
          <w:rFonts w:eastAsiaTheme="minorHAnsi" w:cs="Arial"/>
          <w:i/>
          <w:iCs/>
          <w:lang w:eastAsia="en-US"/>
        </w:rPr>
        <w:footnoteReference w:id="154"/>
      </w:r>
    </w:p>
    <w:p w14:paraId="5D6C05A5" w14:textId="06D53B74" w:rsidR="00DE38C9" w:rsidRPr="007F6332" w:rsidRDefault="00DE38C9" w:rsidP="00CD33D0">
      <w:pPr>
        <w:pStyle w:val="FSRHeading4"/>
        <w:rPr>
          <w:rFonts w:cs="Arial"/>
        </w:rPr>
      </w:pPr>
      <w:r w:rsidRPr="007F6332">
        <w:rPr>
          <w:rFonts w:cs="Arial"/>
        </w:rPr>
        <w:t>NDIS - Rules for the Scheme Actuary</w:t>
      </w:r>
    </w:p>
    <w:p w14:paraId="142169BB" w14:textId="77777777" w:rsidR="00DE38C9" w:rsidRPr="007F6332" w:rsidRDefault="00DE38C9" w:rsidP="00CE7E91">
      <w:pPr>
        <w:pStyle w:val="FSRnormal"/>
        <w:numPr>
          <w:ilvl w:val="0"/>
          <w:numId w:val="50"/>
        </w:numPr>
        <w:spacing w:before="0"/>
        <w:ind w:left="714" w:hanging="357"/>
        <w:rPr>
          <w:rFonts w:cs="Arial"/>
          <w:i/>
          <w:iCs/>
        </w:rPr>
      </w:pPr>
      <w:r w:rsidRPr="007F6332">
        <w:rPr>
          <w:rFonts w:cs="Arial"/>
          <w:i/>
          <w:iCs/>
        </w:rPr>
        <w:t>The scheme actuary must include the following matters in an annual financial sustainability report:</w:t>
      </w:r>
      <w:r w:rsidRPr="007F6332">
        <w:rPr>
          <w:rStyle w:val="FootnoteReference"/>
          <w:rFonts w:cs="Arial"/>
          <w:i/>
          <w:iCs/>
        </w:rPr>
        <w:footnoteReference w:id="155"/>
      </w:r>
    </w:p>
    <w:p w14:paraId="60E1E141" w14:textId="27AEA7D4" w:rsidR="00DE38C9" w:rsidRPr="007F6332" w:rsidRDefault="00DE38C9" w:rsidP="00DE38C9">
      <w:pPr>
        <w:pStyle w:val="FSRnormal"/>
        <w:ind w:left="720"/>
        <w:rPr>
          <w:rFonts w:cs="Arial"/>
          <w:i/>
          <w:iCs/>
        </w:rPr>
      </w:pPr>
      <w:r w:rsidRPr="007F6332">
        <w:rPr>
          <w:rFonts w:cs="Arial"/>
          <w:i/>
          <w:iCs/>
        </w:rPr>
        <w:t xml:space="preserve">(a) </w:t>
      </w:r>
      <w:r w:rsidRPr="007F6332">
        <w:rPr>
          <w:rFonts w:cs="Arial"/>
          <w:b/>
          <w:bCs/>
          <w:i/>
          <w:iCs/>
        </w:rPr>
        <w:t>an overall assessment of the financial sustainability of the NDIS</w:t>
      </w:r>
      <w:r w:rsidRPr="007F6332">
        <w:rPr>
          <w:rFonts w:cs="Arial"/>
          <w:i/>
          <w:iCs/>
        </w:rPr>
        <w:t xml:space="preserve"> that identifies the key risks and issues impacting on the financial sustainability of the </w:t>
      </w:r>
      <w:r w:rsidR="00043BF8" w:rsidRPr="007F6332">
        <w:rPr>
          <w:rFonts w:cs="Arial"/>
          <w:i/>
          <w:iCs/>
        </w:rPr>
        <w:t>NDIS.</w:t>
      </w:r>
    </w:p>
    <w:p w14:paraId="548B6EE7" w14:textId="77777777" w:rsidR="00DE38C9" w:rsidRPr="007F6332" w:rsidRDefault="00DE38C9" w:rsidP="00DE38C9">
      <w:pPr>
        <w:pStyle w:val="FSRnormal"/>
        <w:ind w:left="720"/>
        <w:rPr>
          <w:rFonts w:cs="Arial"/>
          <w:i/>
          <w:iCs/>
        </w:rPr>
      </w:pPr>
      <w:r w:rsidRPr="007F6332">
        <w:rPr>
          <w:rFonts w:cs="Arial"/>
          <w:i/>
          <w:iCs/>
        </w:rPr>
        <w:t xml:space="preserve">(b) </w:t>
      </w:r>
      <w:r w:rsidRPr="007F6332">
        <w:rPr>
          <w:rFonts w:cs="Arial"/>
          <w:b/>
          <w:bCs/>
          <w:i/>
          <w:iCs/>
        </w:rPr>
        <w:t>a discussion of the key risks</w:t>
      </w:r>
      <w:r w:rsidRPr="007F6332">
        <w:rPr>
          <w:rFonts w:cs="Arial"/>
          <w:i/>
          <w:iCs/>
        </w:rPr>
        <w:t xml:space="preserve"> and issues identified and, where these have an adverse </w:t>
      </w:r>
      <w:r w:rsidRPr="007F6332">
        <w:rPr>
          <w:rFonts w:cs="Arial"/>
          <w:b/>
          <w:bCs/>
          <w:i/>
          <w:iCs/>
        </w:rPr>
        <w:t>impact on financial sustainability</w:t>
      </w:r>
      <w:r w:rsidRPr="007F6332">
        <w:rPr>
          <w:rFonts w:cs="Arial"/>
          <w:i/>
          <w:iCs/>
        </w:rPr>
        <w:t>, recommendations designed to manage the risks or address the issues.</w:t>
      </w:r>
    </w:p>
    <w:p w14:paraId="042A6A2A" w14:textId="77777777" w:rsidR="00DE38C9" w:rsidRPr="007F6332" w:rsidRDefault="00DE38C9" w:rsidP="00CE7E91">
      <w:pPr>
        <w:pStyle w:val="FSRnormal"/>
        <w:numPr>
          <w:ilvl w:val="0"/>
          <w:numId w:val="50"/>
        </w:numPr>
        <w:rPr>
          <w:rFonts w:cs="Arial"/>
          <w:i/>
          <w:iCs/>
        </w:rPr>
      </w:pPr>
      <w:r w:rsidRPr="007F6332">
        <w:rPr>
          <w:rFonts w:cs="Arial"/>
          <w:i/>
          <w:iCs/>
        </w:rPr>
        <w:t xml:space="preserve">The scheme actuary must advise the Agency on how processes, systems and tools of the </w:t>
      </w:r>
      <w:r w:rsidRPr="007F6332">
        <w:rPr>
          <w:rFonts w:cs="Arial"/>
          <w:b/>
          <w:bCs/>
          <w:i/>
          <w:iCs/>
        </w:rPr>
        <w:t>NDIS</w:t>
      </w:r>
      <w:r w:rsidRPr="007F6332">
        <w:rPr>
          <w:rFonts w:cs="Arial"/>
          <w:i/>
          <w:iCs/>
        </w:rPr>
        <w:t xml:space="preserve"> relating to </w:t>
      </w:r>
      <w:r w:rsidRPr="007F6332">
        <w:rPr>
          <w:rFonts w:eastAsiaTheme="minorHAnsi" w:cs="Arial"/>
          <w:i/>
          <w:iCs/>
          <w:szCs w:val="22"/>
          <w:lang w:eastAsia="en-US"/>
        </w:rPr>
        <w:t xml:space="preserve">the </w:t>
      </w:r>
      <w:r w:rsidRPr="007F6332">
        <w:rPr>
          <w:rFonts w:eastAsiaTheme="minorHAnsi" w:cs="Arial"/>
          <w:b/>
          <w:bCs/>
          <w:i/>
          <w:iCs/>
          <w:szCs w:val="22"/>
          <w:lang w:eastAsia="en-US"/>
        </w:rPr>
        <w:t>NDIS risk management framework</w:t>
      </w:r>
      <w:r w:rsidRPr="007F6332">
        <w:rPr>
          <w:rFonts w:cs="Arial"/>
          <w:i/>
          <w:iCs/>
        </w:rPr>
        <w:t xml:space="preserve"> can best be developed and implemented to enable the scheme actuary to perform his or her duties under section 180B of the Act effectively, and in particular to allow the scheme actuary to be satisfied that the NDIS is </w:t>
      </w:r>
      <w:r w:rsidRPr="007F6332">
        <w:rPr>
          <w:rFonts w:cs="Arial"/>
          <w:b/>
          <w:bCs/>
          <w:i/>
          <w:iCs/>
        </w:rPr>
        <w:t>financially sustainable</w:t>
      </w:r>
      <w:r w:rsidRPr="007F6332">
        <w:rPr>
          <w:rFonts w:cs="Arial"/>
          <w:i/>
          <w:iCs/>
        </w:rPr>
        <w:t>.</w:t>
      </w:r>
      <w:r w:rsidRPr="007F6332">
        <w:rPr>
          <w:rStyle w:val="FootnoteReference"/>
          <w:rFonts w:cs="Arial"/>
          <w:i/>
          <w:iCs/>
        </w:rPr>
        <w:footnoteReference w:id="156"/>
      </w:r>
    </w:p>
    <w:p w14:paraId="6A37835B" w14:textId="77777777" w:rsidR="00DE38C9" w:rsidRPr="007F6332" w:rsidRDefault="00DE38C9" w:rsidP="00CE7E91">
      <w:pPr>
        <w:pStyle w:val="FSRnormal"/>
        <w:numPr>
          <w:ilvl w:val="0"/>
          <w:numId w:val="50"/>
        </w:numPr>
        <w:rPr>
          <w:rFonts w:cs="Arial"/>
          <w:i/>
          <w:iCs/>
        </w:rPr>
      </w:pPr>
      <w:r w:rsidRPr="007F6332">
        <w:rPr>
          <w:rFonts w:cs="Arial"/>
          <w:i/>
          <w:iCs/>
        </w:rPr>
        <w:lastRenderedPageBreak/>
        <w:t>The scheme actuary must include the following matters in an annual financial sustainability report:</w:t>
      </w:r>
      <w:r w:rsidRPr="007F6332">
        <w:rPr>
          <w:rStyle w:val="FootnoteReference"/>
          <w:rFonts w:cs="Arial"/>
          <w:i/>
          <w:iCs/>
        </w:rPr>
        <w:footnoteReference w:id="157"/>
      </w:r>
    </w:p>
    <w:p w14:paraId="6EB71971" w14:textId="77777777" w:rsidR="00DE38C9" w:rsidRPr="007F6332" w:rsidRDefault="00DE38C9" w:rsidP="00DE38C9">
      <w:pPr>
        <w:pStyle w:val="FSRnormal"/>
        <w:ind w:left="720"/>
        <w:rPr>
          <w:rFonts w:cs="Arial"/>
          <w:i/>
          <w:iCs/>
        </w:rPr>
      </w:pPr>
      <w:r w:rsidRPr="007F6332">
        <w:rPr>
          <w:rFonts w:cs="Arial"/>
          <w:i/>
          <w:iCs/>
        </w:rPr>
        <w:t xml:space="preserve">(a) a discussion of the Agency's administrative infrastructure, its administrative processes and </w:t>
      </w:r>
      <w:r w:rsidRPr="007F6332">
        <w:rPr>
          <w:rFonts w:cs="Arial"/>
          <w:b/>
          <w:bCs/>
          <w:i/>
          <w:iCs/>
        </w:rPr>
        <w:t>risk management arrangements</w:t>
      </w:r>
    </w:p>
    <w:p w14:paraId="0157E6A9" w14:textId="77777777" w:rsidR="00DE38C9" w:rsidRPr="007F6332" w:rsidRDefault="00DE38C9" w:rsidP="00DE38C9">
      <w:pPr>
        <w:pStyle w:val="FSRnormal"/>
        <w:ind w:left="720"/>
        <w:rPr>
          <w:rFonts w:cs="Arial"/>
          <w:i/>
          <w:iCs/>
        </w:rPr>
      </w:pPr>
      <w:r w:rsidRPr="007F6332">
        <w:rPr>
          <w:rFonts w:cs="Arial"/>
          <w:b/>
          <w:bCs/>
          <w:i/>
          <w:iCs/>
        </w:rPr>
        <w:t>Risk management arrangements</w:t>
      </w:r>
      <w:r w:rsidRPr="007F6332">
        <w:rPr>
          <w:rFonts w:cs="Arial"/>
          <w:i/>
          <w:iCs/>
        </w:rPr>
        <w:t xml:space="preserve">, of the Agency, means all of the systems, structures, cultures, processes, policies and people that identify, assess, mitigate and monitor all sources of risk, both internal and external, </w:t>
      </w:r>
      <w:r w:rsidRPr="007F6332">
        <w:rPr>
          <w:rFonts w:cs="Arial"/>
          <w:b/>
          <w:bCs/>
          <w:i/>
          <w:iCs/>
        </w:rPr>
        <w:t>to financial sustainability</w:t>
      </w:r>
      <w:r w:rsidRPr="007F6332">
        <w:rPr>
          <w:rFonts w:cs="Arial"/>
          <w:i/>
          <w:iCs/>
        </w:rPr>
        <w:t>.</w:t>
      </w:r>
      <w:r w:rsidRPr="007F6332">
        <w:rPr>
          <w:rStyle w:val="FootnoteReference"/>
          <w:rFonts w:cs="Arial"/>
          <w:i/>
          <w:iCs/>
        </w:rPr>
        <w:footnoteReference w:id="158"/>
      </w:r>
    </w:p>
    <w:p w14:paraId="2438965F" w14:textId="77777777" w:rsidR="00DE38C9" w:rsidRPr="007F6332" w:rsidRDefault="00DE38C9" w:rsidP="00CD33D0">
      <w:pPr>
        <w:pStyle w:val="FSRHeading4"/>
        <w:rPr>
          <w:rFonts w:cs="Arial"/>
        </w:rPr>
      </w:pPr>
      <w:r w:rsidRPr="007F6332">
        <w:rPr>
          <w:rFonts w:cs="Arial"/>
        </w:rPr>
        <w:t>NDIA Risk Management Strategy</w:t>
      </w:r>
    </w:p>
    <w:p w14:paraId="29ED7E1A" w14:textId="77777777" w:rsidR="00DE38C9" w:rsidRPr="007F6332" w:rsidRDefault="00DE38C9" w:rsidP="00DE38C9">
      <w:pPr>
        <w:pStyle w:val="FSRnormal"/>
        <w:rPr>
          <w:rFonts w:cs="Arial"/>
        </w:rPr>
      </w:pPr>
      <w:r w:rsidRPr="007F6332">
        <w:rPr>
          <w:rFonts w:cs="Arial"/>
        </w:rPr>
        <w:t>Risk management roles and responsibilities – responsibilities of the Scheme Actuary are to:</w:t>
      </w:r>
      <w:r w:rsidRPr="007F6332">
        <w:rPr>
          <w:rStyle w:val="FootnoteReference"/>
          <w:rFonts w:cs="Arial"/>
        </w:rPr>
        <w:footnoteReference w:id="159"/>
      </w:r>
    </w:p>
    <w:p w14:paraId="170B6448" w14:textId="676DF44F" w:rsidR="00DE38C9" w:rsidRPr="007F6332" w:rsidRDefault="00DE38C9" w:rsidP="00DE38C9">
      <w:pPr>
        <w:pStyle w:val="FSRlist"/>
        <w:rPr>
          <w:rFonts w:cs="Arial"/>
          <w:i/>
        </w:rPr>
      </w:pPr>
      <w:r w:rsidRPr="007F6332">
        <w:rPr>
          <w:rFonts w:cs="Arial"/>
          <w:b/>
          <w:bCs/>
          <w:i/>
        </w:rPr>
        <w:t>Assess the financial sustainability of the Scheme and risks to that sustainability</w:t>
      </w:r>
      <w:r w:rsidRPr="007F6332">
        <w:rPr>
          <w:rFonts w:cs="Arial"/>
          <w:i/>
        </w:rPr>
        <w:t xml:space="preserve"> and identify recommendations to manage or address these </w:t>
      </w:r>
      <w:r w:rsidR="00043BF8" w:rsidRPr="007F6332">
        <w:rPr>
          <w:rFonts w:cs="Arial"/>
          <w:i/>
        </w:rPr>
        <w:t>risks.</w:t>
      </w:r>
      <w:r w:rsidRPr="007F6332">
        <w:rPr>
          <w:rFonts w:cs="Arial"/>
          <w:i/>
        </w:rPr>
        <w:t xml:space="preserve"> </w:t>
      </w:r>
    </w:p>
    <w:p w14:paraId="2B12DC29" w14:textId="77777777" w:rsidR="00DE38C9" w:rsidRPr="007F6332" w:rsidRDefault="00DE38C9" w:rsidP="00DE38C9">
      <w:pPr>
        <w:pStyle w:val="FSRlist"/>
        <w:rPr>
          <w:rFonts w:cs="Arial"/>
          <w:i/>
        </w:rPr>
      </w:pPr>
      <w:r w:rsidRPr="007F6332">
        <w:rPr>
          <w:rFonts w:cs="Arial"/>
          <w:i/>
        </w:rPr>
        <w:t xml:space="preserve">Include in an annual financial sustainability report a </w:t>
      </w:r>
      <w:r w:rsidRPr="007F6332">
        <w:rPr>
          <w:rFonts w:cs="Arial"/>
          <w:b/>
          <w:bCs/>
          <w:i/>
        </w:rPr>
        <w:t>discussion of the Agency’s risk management arrangements</w:t>
      </w:r>
      <w:r w:rsidRPr="007F6332">
        <w:rPr>
          <w:rFonts w:cs="Arial"/>
          <w:i/>
        </w:rPr>
        <w:t xml:space="preserve"> and any recommendations in relation to inadequacies.</w:t>
      </w:r>
    </w:p>
    <w:p w14:paraId="0D94E35B" w14:textId="77777777" w:rsidR="00DE38C9" w:rsidRPr="007F6332" w:rsidRDefault="00DE38C9" w:rsidP="00CD33D0">
      <w:pPr>
        <w:pStyle w:val="FSRHeading4"/>
        <w:rPr>
          <w:rFonts w:cs="Arial"/>
        </w:rPr>
      </w:pPr>
      <w:r w:rsidRPr="007F6332">
        <w:rPr>
          <w:rFonts w:cs="Arial"/>
        </w:rPr>
        <w:t>NDIS Insurance Principles and Financial Sustainability Manual</w:t>
      </w:r>
    </w:p>
    <w:p w14:paraId="23E2DCB6" w14:textId="77777777" w:rsidR="00DE38C9" w:rsidRPr="007F6332" w:rsidRDefault="00DE38C9" w:rsidP="00DE38C9">
      <w:pPr>
        <w:pStyle w:val="FSRnormal"/>
        <w:rPr>
          <w:rFonts w:cs="Arial"/>
        </w:rPr>
      </w:pPr>
      <w:r w:rsidRPr="007F6332">
        <w:rPr>
          <w:rFonts w:cs="Arial"/>
          <w:iCs/>
        </w:rPr>
        <w:t>The</w:t>
      </w:r>
      <w:r w:rsidRPr="007F6332">
        <w:rPr>
          <w:rFonts w:cs="Arial"/>
          <w:i/>
        </w:rPr>
        <w:t xml:space="preserve"> NDIS Insurance Principles and Financial Sustainability Manual </w:t>
      </w:r>
      <w:r w:rsidRPr="007F6332">
        <w:rPr>
          <w:rFonts w:cs="Arial"/>
        </w:rPr>
        <w:t>outlines the NDIS’ insurance model in detail and defines financial sustainability as the state where:</w:t>
      </w:r>
      <w:r w:rsidRPr="007F6332">
        <w:rPr>
          <w:rStyle w:val="FootnoteReference"/>
          <w:rFonts w:cs="Arial"/>
        </w:rPr>
        <w:footnoteReference w:id="160"/>
      </w:r>
    </w:p>
    <w:p w14:paraId="5139E841" w14:textId="77777777" w:rsidR="00DE38C9" w:rsidRPr="007F6332" w:rsidRDefault="00DE38C9" w:rsidP="0049321D">
      <w:pPr>
        <w:pStyle w:val="FSRlist"/>
      </w:pPr>
      <w:r w:rsidRPr="007F6332">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358FD54D" w14:textId="77777777" w:rsidR="00DE38C9" w:rsidRPr="007F6332" w:rsidRDefault="00DE38C9" w:rsidP="0049321D">
      <w:pPr>
        <w:pStyle w:val="FSRlist"/>
      </w:pPr>
      <w:r w:rsidRPr="007F6332">
        <w:t>Contributors think that the cost is and will continue to be affordable, under control, represents value for money and, therefore, remain willing to contribute.</w:t>
      </w:r>
    </w:p>
    <w:p w14:paraId="7C8D7BC2" w14:textId="77777777" w:rsidR="00B91D74" w:rsidRPr="007F6332" w:rsidRDefault="00DE38C9" w:rsidP="00B91D74">
      <w:pPr>
        <w:pStyle w:val="FSRnormal"/>
        <w:rPr>
          <w:rFonts w:cs="Arial"/>
        </w:rPr>
      </w:pPr>
      <w:r w:rsidRPr="007F6332">
        <w:rPr>
          <w:rFonts w:cs="Arial"/>
        </w:rPr>
        <w:t>To comprehensively consider the risks to financial sustainability faced by the Scheme, the two-fold definition above can be linked to the Strategic Risks identified in the most recent Corporate Plan and this analysis is provided in the next section.</w:t>
      </w:r>
      <w:bookmarkStart w:id="283" w:name="_Toc152615010"/>
    </w:p>
    <w:p w14:paraId="788D88A1" w14:textId="77777777" w:rsidR="003149C1" w:rsidRPr="007F6332" w:rsidRDefault="003149C1" w:rsidP="00B55A92">
      <w:pPr>
        <w:pStyle w:val="Heading3"/>
        <w:rPr>
          <w:rFonts w:cs="Arial"/>
        </w:rPr>
        <w:sectPr w:rsidR="003149C1" w:rsidRPr="007F6332" w:rsidSect="00CE7E91">
          <w:pgSz w:w="11906" w:h="16838"/>
          <w:pgMar w:top="1440" w:right="1440" w:bottom="1440" w:left="1440" w:header="708" w:footer="850" w:gutter="0"/>
          <w:cols w:space="708"/>
          <w:docGrid w:linePitch="360"/>
        </w:sectPr>
      </w:pPr>
    </w:p>
    <w:p w14:paraId="390926D5" w14:textId="4AE2DEE3" w:rsidR="00DE38C9" w:rsidRPr="007F6332" w:rsidRDefault="00DE38C9" w:rsidP="00E81C0D">
      <w:pPr>
        <w:pStyle w:val="Heading3"/>
        <w:ind w:left="709" w:hanging="709"/>
        <w:rPr>
          <w:rFonts w:cs="Arial"/>
        </w:rPr>
      </w:pPr>
      <w:r w:rsidRPr="007F6332">
        <w:rPr>
          <w:rFonts w:cs="Arial"/>
        </w:rPr>
        <w:lastRenderedPageBreak/>
        <w:t>Corporate Plan Strategic Risks</w:t>
      </w:r>
      <w:bookmarkEnd w:id="283"/>
    </w:p>
    <w:p w14:paraId="2F239072" w14:textId="77777777" w:rsidR="00DE38C9" w:rsidRPr="007F6332" w:rsidRDefault="00DE38C9" w:rsidP="00DE38C9">
      <w:pPr>
        <w:pStyle w:val="FSRnormal"/>
        <w:rPr>
          <w:rFonts w:cs="Arial"/>
        </w:rPr>
      </w:pPr>
      <w:r w:rsidRPr="007F6332">
        <w:rPr>
          <w:rFonts w:cs="Arial"/>
        </w:rPr>
        <w:t>On an annual basis, the NDIA Board determines the strategic risks for the Agency, which are directly aligned to the Corporate Plan. The Board determined seven strategic risks for 2023-24 in the areas of:</w:t>
      </w:r>
    </w:p>
    <w:p w14:paraId="026941CE" w14:textId="77777777" w:rsidR="00DE38C9" w:rsidRPr="007F6332" w:rsidRDefault="00DE38C9" w:rsidP="00DE38C9">
      <w:pPr>
        <w:pStyle w:val="FSRlist"/>
        <w:ind w:left="1080"/>
        <w:rPr>
          <w:rFonts w:cs="Arial"/>
        </w:rPr>
      </w:pPr>
      <w:r w:rsidRPr="007F6332">
        <w:rPr>
          <w:rFonts w:cs="Arial"/>
        </w:rPr>
        <w:t>Scheme outcomes</w:t>
      </w:r>
    </w:p>
    <w:p w14:paraId="1B0E2DE4" w14:textId="7E19FE18" w:rsidR="00DE38C9" w:rsidRPr="007F6332" w:rsidRDefault="00DE38C9" w:rsidP="00DE38C9">
      <w:pPr>
        <w:pStyle w:val="FSRlist"/>
        <w:ind w:left="1080"/>
        <w:rPr>
          <w:rFonts w:cs="Arial"/>
        </w:rPr>
      </w:pPr>
      <w:r w:rsidRPr="007F6332">
        <w:rPr>
          <w:rFonts w:cs="Arial"/>
        </w:rPr>
        <w:t xml:space="preserve">Participant </w:t>
      </w:r>
      <w:r w:rsidR="003C006E" w:rsidRPr="007F6332">
        <w:rPr>
          <w:rFonts w:cs="Arial"/>
        </w:rPr>
        <w:t>e</w:t>
      </w:r>
      <w:r w:rsidRPr="007F6332">
        <w:rPr>
          <w:rFonts w:cs="Arial"/>
        </w:rPr>
        <w:t>xperience</w:t>
      </w:r>
    </w:p>
    <w:p w14:paraId="0A034433" w14:textId="77777777" w:rsidR="00DE38C9" w:rsidRPr="007F6332" w:rsidRDefault="00DE38C9" w:rsidP="00DE38C9">
      <w:pPr>
        <w:pStyle w:val="FSRlist"/>
        <w:ind w:left="1080"/>
        <w:rPr>
          <w:rFonts w:cs="Arial"/>
        </w:rPr>
      </w:pPr>
      <w:r w:rsidRPr="007F6332">
        <w:rPr>
          <w:rFonts w:cs="Arial"/>
        </w:rPr>
        <w:t xml:space="preserve">Partner and provider performance </w:t>
      </w:r>
    </w:p>
    <w:p w14:paraId="3A5BFDC4" w14:textId="77777777" w:rsidR="00DE38C9" w:rsidRPr="007F6332" w:rsidRDefault="00DE38C9" w:rsidP="00DE38C9">
      <w:pPr>
        <w:pStyle w:val="FSRlist"/>
        <w:ind w:left="1080"/>
        <w:rPr>
          <w:rFonts w:cs="Arial"/>
        </w:rPr>
      </w:pPr>
      <w:r w:rsidRPr="007F6332">
        <w:rPr>
          <w:rFonts w:cs="Arial"/>
        </w:rPr>
        <w:t xml:space="preserve">Scheme sustainability </w:t>
      </w:r>
    </w:p>
    <w:p w14:paraId="76232C9B" w14:textId="1C3FCF47" w:rsidR="00DE38C9" w:rsidRPr="007F6332" w:rsidRDefault="00DE38C9" w:rsidP="00DE38C9">
      <w:pPr>
        <w:pStyle w:val="FSRlist"/>
        <w:ind w:left="1080"/>
        <w:rPr>
          <w:rFonts w:cs="Arial"/>
        </w:rPr>
      </w:pPr>
      <w:r w:rsidRPr="007F6332">
        <w:rPr>
          <w:rFonts w:cs="Arial"/>
        </w:rPr>
        <w:t xml:space="preserve">People </w:t>
      </w:r>
      <w:r w:rsidR="003C006E" w:rsidRPr="007F6332">
        <w:rPr>
          <w:rFonts w:cs="Arial"/>
        </w:rPr>
        <w:t>c</w:t>
      </w:r>
      <w:r w:rsidRPr="007F6332">
        <w:rPr>
          <w:rFonts w:cs="Arial"/>
        </w:rPr>
        <w:t xml:space="preserve">apability and </w:t>
      </w:r>
      <w:r w:rsidR="003C006E" w:rsidRPr="007F6332">
        <w:rPr>
          <w:rFonts w:cs="Arial"/>
        </w:rPr>
        <w:t>c</w:t>
      </w:r>
      <w:r w:rsidRPr="007F6332">
        <w:rPr>
          <w:rFonts w:cs="Arial"/>
        </w:rPr>
        <w:t xml:space="preserve">apacity </w:t>
      </w:r>
    </w:p>
    <w:p w14:paraId="3E731F6F" w14:textId="56FF8ACB" w:rsidR="00DE38C9" w:rsidRPr="007F6332" w:rsidRDefault="00DE38C9" w:rsidP="00DE38C9">
      <w:pPr>
        <w:pStyle w:val="FSRlist"/>
        <w:ind w:left="1080"/>
        <w:rPr>
          <w:rFonts w:cs="Arial"/>
        </w:rPr>
      </w:pPr>
      <w:r w:rsidRPr="007F6332">
        <w:rPr>
          <w:rFonts w:cs="Arial"/>
        </w:rPr>
        <w:t xml:space="preserve">Scheme </w:t>
      </w:r>
      <w:r w:rsidR="003C006E" w:rsidRPr="007F6332">
        <w:rPr>
          <w:rFonts w:cs="Arial"/>
        </w:rPr>
        <w:t>i</w:t>
      </w:r>
      <w:r w:rsidRPr="007F6332">
        <w:rPr>
          <w:rFonts w:cs="Arial"/>
        </w:rPr>
        <w:t xml:space="preserve">ntegrity </w:t>
      </w:r>
    </w:p>
    <w:p w14:paraId="6189B92B" w14:textId="77777777" w:rsidR="00DE38C9" w:rsidRPr="007F6332" w:rsidRDefault="00DE38C9" w:rsidP="00DE38C9">
      <w:pPr>
        <w:pStyle w:val="FSRlist"/>
        <w:ind w:left="1080"/>
        <w:rPr>
          <w:rFonts w:cs="Arial"/>
        </w:rPr>
      </w:pPr>
      <w:r w:rsidRPr="007F6332">
        <w:rPr>
          <w:rFonts w:cs="Arial"/>
        </w:rPr>
        <w:t>Change delivery and capacity.</w:t>
      </w:r>
    </w:p>
    <w:p w14:paraId="7B918A46" w14:textId="0388BFD3" w:rsidR="00DE38C9" w:rsidRPr="007F6332" w:rsidRDefault="00DE38C9" w:rsidP="00DE38C9">
      <w:pPr>
        <w:pStyle w:val="FSRnormal"/>
        <w:rPr>
          <w:rFonts w:cs="Arial"/>
        </w:rPr>
      </w:pPr>
      <w:r w:rsidRPr="007F6332">
        <w:rPr>
          <w:rFonts w:cs="Arial"/>
        </w:rPr>
        <w:t xml:space="preserve">The Agency’s strategic risks are monitored against key performance indicators and reported to the </w:t>
      </w:r>
      <w:r w:rsidR="0028489A" w:rsidRPr="007F6332">
        <w:rPr>
          <w:rFonts w:cs="Arial"/>
        </w:rPr>
        <w:t xml:space="preserve">Strategic </w:t>
      </w:r>
      <w:r w:rsidRPr="007F6332">
        <w:rPr>
          <w:rFonts w:cs="Arial"/>
        </w:rPr>
        <w:t>Leadership Team and Risk Committee on a quarterly basis. The strategic risks are complemented by operational risks and controls which are owned and managed at group or initiative level.</w:t>
      </w:r>
    </w:p>
    <w:p w14:paraId="19728F9A" w14:textId="247C69D6" w:rsidR="00DE38C9" w:rsidRPr="007F6332" w:rsidRDefault="003C006E" w:rsidP="00DE38C9">
      <w:pPr>
        <w:pStyle w:val="FSRnormal"/>
        <w:rPr>
          <w:rFonts w:cs="Arial"/>
        </w:rPr>
      </w:pPr>
      <w:r w:rsidRPr="007F6332">
        <w:rPr>
          <w:rFonts w:cs="Arial"/>
        </w:rPr>
        <w:t>A</w:t>
      </w:r>
      <w:r w:rsidR="00DE38C9" w:rsidRPr="007F6332">
        <w:rPr>
          <w:rFonts w:cs="Arial"/>
        </w:rPr>
        <w:t xml:space="preserve"> number of key risks to the financial sustainability of the Scheme</w:t>
      </w:r>
      <w:r w:rsidRPr="007F6332">
        <w:rPr>
          <w:rFonts w:cs="Arial"/>
        </w:rPr>
        <w:t xml:space="preserve"> have been identified</w:t>
      </w:r>
      <w:r w:rsidR="00DE38C9" w:rsidRPr="007F6332">
        <w:rPr>
          <w:rFonts w:cs="Arial"/>
        </w:rPr>
        <w:t>:</w:t>
      </w:r>
    </w:p>
    <w:p w14:paraId="5AFBB746" w14:textId="77777777" w:rsidR="00DE38C9" w:rsidRPr="007F6332" w:rsidRDefault="00DE38C9" w:rsidP="00DE38C9">
      <w:pPr>
        <w:pStyle w:val="FSRlist"/>
        <w:ind w:left="1077" w:hanging="357"/>
        <w:rPr>
          <w:rFonts w:cs="Arial"/>
        </w:rPr>
      </w:pPr>
      <w:r w:rsidRPr="007F6332">
        <w:rPr>
          <w:rFonts w:cs="Arial"/>
        </w:rPr>
        <w:t>Inflationary effects, including additional growth</w:t>
      </w:r>
    </w:p>
    <w:p w14:paraId="05B2D857" w14:textId="53F4F349" w:rsidR="00DE38C9" w:rsidRPr="007F6332" w:rsidRDefault="00DE38C9" w:rsidP="00DE38C9">
      <w:pPr>
        <w:pStyle w:val="FSRlist"/>
        <w:ind w:left="1077" w:hanging="357"/>
        <w:rPr>
          <w:rFonts w:cs="Arial"/>
        </w:rPr>
      </w:pPr>
      <w:r w:rsidRPr="007F6332">
        <w:rPr>
          <w:rFonts w:cs="Arial"/>
        </w:rPr>
        <w:t>New incidence of disability</w:t>
      </w:r>
    </w:p>
    <w:p w14:paraId="39224843" w14:textId="77777777" w:rsidR="00DE38C9" w:rsidRPr="007F6332" w:rsidRDefault="00DE38C9" w:rsidP="00DE38C9">
      <w:pPr>
        <w:pStyle w:val="FSRlist"/>
        <w:ind w:left="1077" w:hanging="357"/>
        <w:rPr>
          <w:rFonts w:cs="Arial"/>
        </w:rPr>
      </w:pPr>
      <w:r w:rsidRPr="007F6332">
        <w:rPr>
          <w:rFonts w:cs="Arial"/>
        </w:rPr>
        <w:t>Agency capacity and funding</w:t>
      </w:r>
    </w:p>
    <w:p w14:paraId="733B1731" w14:textId="77777777" w:rsidR="00DE38C9" w:rsidRPr="007F6332" w:rsidRDefault="00DE38C9" w:rsidP="00DE38C9">
      <w:pPr>
        <w:pStyle w:val="FSRlist"/>
        <w:ind w:left="1077" w:hanging="357"/>
        <w:rPr>
          <w:rFonts w:cs="Arial"/>
        </w:rPr>
      </w:pPr>
      <w:r w:rsidRPr="007F6332">
        <w:rPr>
          <w:rFonts w:cs="Arial"/>
        </w:rPr>
        <w:t>Capability of disability sector to respond to demand</w:t>
      </w:r>
    </w:p>
    <w:p w14:paraId="3CF59F5F" w14:textId="77777777" w:rsidR="00DE38C9" w:rsidRPr="007F6332" w:rsidRDefault="00DE38C9" w:rsidP="00DE38C9">
      <w:pPr>
        <w:pStyle w:val="FSRlist"/>
        <w:ind w:left="1077" w:hanging="357"/>
        <w:rPr>
          <w:rFonts w:cs="Arial"/>
        </w:rPr>
      </w:pPr>
      <w:r w:rsidRPr="007F6332">
        <w:rPr>
          <w:rFonts w:cs="Arial"/>
        </w:rPr>
        <w:t>Fraud and non-compliance</w:t>
      </w:r>
    </w:p>
    <w:p w14:paraId="35EFE0FF" w14:textId="77777777" w:rsidR="00DE38C9" w:rsidRPr="007F6332" w:rsidRDefault="00DE38C9" w:rsidP="00DE38C9">
      <w:pPr>
        <w:pStyle w:val="FSRlist"/>
        <w:ind w:left="1077" w:hanging="357"/>
        <w:rPr>
          <w:rFonts w:cs="Arial"/>
        </w:rPr>
      </w:pPr>
      <w:r w:rsidRPr="007F6332">
        <w:rPr>
          <w:rFonts w:cs="Arial"/>
        </w:rPr>
        <w:t>Transitions into SIL</w:t>
      </w:r>
    </w:p>
    <w:p w14:paraId="4E97562D" w14:textId="77777777" w:rsidR="00DE38C9" w:rsidRPr="007F6332" w:rsidRDefault="00DE38C9" w:rsidP="00DE38C9">
      <w:pPr>
        <w:pStyle w:val="FSRlist"/>
        <w:ind w:left="1077" w:hanging="357"/>
        <w:rPr>
          <w:rFonts w:cs="Arial"/>
        </w:rPr>
      </w:pPr>
      <w:r w:rsidRPr="007F6332">
        <w:rPr>
          <w:rFonts w:cs="Arial"/>
        </w:rPr>
        <w:t>3P/PACE rollout implications</w:t>
      </w:r>
    </w:p>
    <w:p w14:paraId="1ED1D763" w14:textId="3033A193" w:rsidR="00DE38C9" w:rsidRPr="007F6332" w:rsidRDefault="002D6881" w:rsidP="00DE38C9">
      <w:pPr>
        <w:pStyle w:val="FSRlist"/>
        <w:ind w:left="1077" w:hanging="357"/>
        <w:rPr>
          <w:rFonts w:cs="Arial"/>
        </w:rPr>
      </w:pPr>
      <w:r w:rsidRPr="007F6332">
        <w:rPr>
          <w:rFonts w:cs="Arial"/>
        </w:rPr>
        <w:t>Budget initiatives</w:t>
      </w:r>
    </w:p>
    <w:p w14:paraId="7340BF0A" w14:textId="35FC2B52" w:rsidR="00DE38C9" w:rsidRPr="007F6332" w:rsidRDefault="00DE38C9" w:rsidP="00DE38C9">
      <w:pPr>
        <w:pStyle w:val="FSRnormal"/>
        <w:rPr>
          <w:rFonts w:cs="Arial"/>
        </w:rPr>
      </w:pPr>
      <w:r w:rsidRPr="007F6332">
        <w:rPr>
          <w:rFonts w:cs="Arial"/>
        </w:rPr>
        <w:t xml:space="preserve">Each of these key risks are expanded on in the commentary below, linking each of them to the strategic risks in the </w:t>
      </w:r>
      <w:r w:rsidR="0028489A" w:rsidRPr="007F6332">
        <w:rPr>
          <w:rFonts w:cs="Arial"/>
        </w:rPr>
        <w:t>C</w:t>
      </w:r>
      <w:r w:rsidRPr="007F6332">
        <w:rPr>
          <w:rFonts w:cs="Arial"/>
        </w:rPr>
        <w:t xml:space="preserve">orporate </w:t>
      </w:r>
      <w:r w:rsidR="0028489A" w:rsidRPr="007F6332">
        <w:rPr>
          <w:rFonts w:cs="Arial"/>
        </w:rPr>
        <w:t>P</w:t>
      </w:r>
      <w:r w:rsidRPr="007F6332">
        <w:rPr>
          <w:rFonts w:cs="Arial"/>
        </w:rPr>
        <w:t>lan.</w:t>
      </w:r>
    </w:p>
    <w:p w14:paraId="15EDC6D1" w14:textId="77777777" w:rsidR="00DE38C9" w:rsidRPr="007F6332" w:rsidRDefault="00DE38C9" w:rsidP="00E81C0D">
      <w:pPr>
        <w:pStyle w:val="Heading4"/>
        <w:ind w:left="851" w:hanging="851"/>
        <w:rPr>
          <w:rFonts w:cs="Arial"/>
        </w:rPr>
      </w:pPr>
      <w:r w:rsidRPr="007F6332">
        <w:rPr>
          <w:rFonts w:cs="Arial"/>
        </w:rPr>
        <w:t>Strategic risk 1 - Scheme outcomes</w:t>
      </w:r>
    </w:p>
    <w:p w14:paraId="5DF0EDDB" w14:textId="77777777" w:rsidR="00DE38C9" w:rsidRPr="007F6332" w:rsidRDefault="00DE38C9" w:rsidP="00DE38C9">
      <w:pPr>
        <w:autoSpaceDE w:val="0"/>
        <w:autoSpaceDN w:val="0"/>
        <w:adjustRightInd w:val="0"/>
        <w:spacing w:after="0" w:line="240" w:lineRule="auto"/>
        <w:rPr>
          <w:rFonts w:eastAsiaTheme="minorHAnsi" w:cs="Arial"/>
          <w:i/>
          <w:iCs/>
          <w:color w:val="000000"/>
          <w:szCs w:val="22"/>
          <w:lang w:val="en-AU" w:eastAsia="en-US"/>
        </w:rPr>
      </w:pPr>
      <w:r w:rsidRPr="007F6332">
        <w:rPr>
          <w:rFonts w:eastAsiaTheme="minorHAnsi" w:cs="Arial"/>
          <w:i/>
          <w:iCs/>
          <w:color w:val="000000"/>
          <w:szCs w:val="22"/>
          <w:lang w:val="en-AU" w:eastAsia="en-US"/>
        </w:rPr>
        <w:t>Ability to deliver consistent, high-quality plans to facilitate the achievement of identified goals</w:t>
      </w:r>
    </w:p>
    <w:p w14:paraId="7EE1D1A8" w14:textId="77777777" w:rsidR="00DE38C9" w:rsidRPr="007F6332" w:rsidRDefault="00DE38C9" w:rsidP="00DE38C9">
      <w:pPr>
        <w:autoSpaceDE w:val="0"/>
        <w:autoSpaceDN w:val="0"/>
        <w:adjustRightInd w:val="0"/>
        <w:spacing w:after="0" w:line="240" w:lineRule="auto"/>
        <w:rPr>
          <w:rFonts w:eastAsiaTheme="minorHAnsi" w:cs="Arial"/>
          <w:color w:val="000000"/>
          <w:szCs w:val="22"/>
          <w:lang w:val="en-AU" w:eastAsia="en-US"/>
        </w:rPr>
      </w:pPr>
      <w:r w:rsidRPr="007F6332">
        <w:rPr>
          <w:rFonts w:eastAsiaTheme="minorHAnsi" w:cs="Arial"/>
          <w:i/>
          <w:iCs/>
          <w:color w:val="000000"/>
          <w:szCs w:val="22"/>
          <w:lang w:val="en-AU" w:eastAsia="en-US"/>
        </w:rPr>
        <w:t>to enable participant social and economic outcomes.</w:t>
      </w:r>
    </w:p>
    <w:p w14:paraId="383517D6" w14:textId="77777777" w:rsidR="00DE38C9" w:rsidRPr="007F6332" w:rsidRDefault="00DE38C9" w:rsidP="00DE38C9">
      <w:pPr>
        <w:pStyle w:val="FSRnormal"/>
        <w:rPr>
          <w:rFonts w:cs="Arial"/>
        </w:rPr>
      </w:pPr>
      <w:r w:rsidRPr="007F6332">
        <w:rPr>
          <w:rFonts w:cs="Arial"/>
        </w:rPr>
        <w:t>Strategic Risk 1 closely mirrors the first component in the definition of financial sustainability in Section 8.3 above.</w:t>
      </w:r>
    </w:p>
    <w:p w14:paraId="67E045AE" w14:textId="7726085D" w:rsidR="00DE38C9" w:rsidRPr="007F6332" w:rsidRDefault="00DE38C9" w:rsidP="00DE38C9">
      <w:pPr>
        <w:pStyle w:val="FSRnormal"/>
        <w:rPr>
          <w:rFonts w:cs="Arial"/>
        </w:rPr>
      </w:pPr>
      <w:r w:rsidRPr="007F6332">
        <w:rPr>
          <w:rFonts w:cs="Arial"/>
        </w:rPr>
        <w:t xml:space="preserve">The mitigation strategies for this risk outlined in the Corporate Plan include a focus on, and being informed by, participant goals and outcomes in the delivery of the Scheme, investment </w:t>
      </w:r>
      <w:r w:rsidRPr="007F6332">
        <w:rPr>
          <w:rFonts w:cs="Arial"/>
        </w:rPr>
        <w:lastRenderedPageBreak/>
        <w:t xml:space="preserve">in engagement with the disability sector, seeking co-design for Scheme changes and enhancing the quality and consistency of home and living decisions. All of these actions help to reduce risks </w:t>
      </w:r>
      <w:r w:rsidR="003C006E" w:rsidRPr="007F6332">
        <w:rPr>
          <w:rFonts w:cs="Arial"/>
        </w:rPr>
        <w:t xml:space="preserve">to </w:t>
      </w:r>
      <w:r w:rsidRPr="007F6332">
        <w:rPr>
          <w:rFonts w:cs="Arial"/>
        </w:rPr>
        <w:t>the financial sustainability of the Scheme. The NDIS Outcomes Framework, Investment Effectiveness Program and various Home and Living activities are key vehicles through which these mitigation strategies will be delivered.</w:t>
      </w:r>
    </w:p>
    <w:p w14:paraId="21DE155B" w14:textId="77777777" w:rsidR="00DE38C9" w:rsidRPr="007F6332" w:rsidRDefault="00DE38C9" w:rsidP="00DE38C9">
      <w:pPr>
        <w:pStyle w:val="FSRnormal"/>
        <w:rPr>
          <w:rFonts w:cs="Arial"/>
        </w:rPr>
      </w:pPr>
      <w:r w:rsidRPr="007F6332">
        <w:rPr>
          <w:rFonts w:cs="Arial"/>
        </w:rPr>
        <w:t>The NDIS Outcomes Framework measures outcomes for the families and carers of participants, recognising that the outcomes for people with a disability and the people who support them are likely to be linked. Participant outcomes and family and carer outcomes are discussed in Section 7.</w:t>
      </w:r>
    </w:p>
    <w:p w14:paraId="103C9A9E" w14:textId="02CFDDFD" w:rsidR="00EE2C5D" w:rsidRPr="007F6332" w:rsidRDefault="00DE172B" w:rsidP="00DE172B">
      <w:pPr>
        <w:pStyle w:val="FSRnormal"/>
        <w:rPr>
          <w:rFonts w:cs="Arial"/>
        </w:rPr>
      </w:pPr>
      <w:r w:rsidRPr="007F6332">
        <w:rPr>
          <w:rFonts w:cs="Arial"/>
        </w:rPr>
        <w:t>The Investment Effectiveness Program (IEP) is being undertaken by the NDIA to better understand the link between Government funded supports and the attainment of participant outcomes. It is discussed in Section 7.</w:t>
      </w:r>
      <w:r w:rsidR="00C60FAD" w:rsidRPr="007F6332">
        <w:rPr>
          <w:rFonts w:cs="Arial"/>
        </w:rPr>
        <w:t xml:space="preserve"> </w:t>
      </w:r>
    </w:p>
    <w:p w14:paraId="15EE4214" w14:textId="1F0EA780" w:rsidR="00DE38C9" w:rsidRPr="007F6332" w:rsidRDefault="00DE172B" w:rsidP="00DE172B">
      <w:pPr>
        <w:pStyle w:val="FSRnormal"/>
        <w:rPr>
          <w:rFonts w:cs="Arial"/>
        </w:rPr>
      </w:pPr>
      <w:r w:rsidRPr="007F6332">
        <w:rPr>
          <w:rFonts w:cs="Arial"/>
          <w:bCs/>
          <w:iCs/>
        </w:rPr>
        <w:t xml:space="preserve">Investigation has been undertaken into the volume and types of participants who are not currently in SIL arrangements but might be expected to transition into SIL supports at some point. This work will continue to evolve and help inform views of the future growth in numbers of participants with SIL or other </w:t>
      </w:r>
      <w:r w:rsidR="0028489A" w:rsidRPr="007F6332">
        <w:rPr>
          <w:rFonts w:cs="Arial"/>
          <w:bCs/>
          <w:iCs/>
        </w:rPr>
        <w:t>H</w:t>
      </w:r>
      <w:r w:rsidRPr="007F6332">
        <w:rPr>
          <w:rFonts w:cs="Arial"/>
          <w:bCs/>
          <w:iCs/>
        </w:rPr>
        <w:t xml:space="preserve">ome and </w:t>
      </w:r>
      <w:r w:rsidR="0028489A" w:rsidRPr="007F6332">
        <w:rPr>
          <w:rFonts w:cs="Arial"/>
          <w:bCs/>
          <w:iCs/>
        </w:rPr>
        <w:t>L</w:t>
      </w:r>
      <w:r w:rsidRPr="007F6332">
        <w:rPr>
          <w:rFonts w:cs="Arial"/>
          <w:bCs/>
          <w:iCs/>
        </w:rPr>
        <w:t>iving arrangements.</w:t>
      </w:r>
      <w:r w:rsidRPr="007F6332" w:rsidDel="00DE172B">
        <w:rPr>
          <w:rFonts w:cs="Arial"/>
        </w:rPr>
        <w:t xml:space="preserve"> </w:t>
      </w:r>
      <w:r w:rsidRPr="007F6332">
        <w:rPr>
          <w:rFonts w:cs="Arial"/>
        </w:rPr>
        <w:t>T</w:t>
      </w:r>
      <w:r w:rsidR="003C006E" w:rsidRPr="007F6332">
        <w:rPr>
          <w:rFonts w:cs="Arial"/>
        </w:rPr>
        <w:t>he</w:t>
      </w:r>
      <w:r w:rsidR="00DE38C9" w:rsidRPr="007F6332">
        <w:rPr>
          <w:rFonts w:cs="Arial"/>
        </w:rPr>
        <w:t xml:space="preserve"> implementation of the Home and Living Framework which includes co-design of improved ways of delivering </w:t>
      </w:r>
      <w:r w:rsidR="0028489A" w:rsidRPr="007F6332">
        <w:rPr>
          <w:rFonts w:cs="Arial"/>
        </w:rPr>
        <w:t>H</w:t>
      </w:r>
      <w:r w:rsidR="00DE38C9" w:rsidRPr="007F6332">
        <w:rPr>
          <w:rFonts w:cs="Arial"/>
        </w:rPr>
        <w:t xml:space="preserve">ome and </w:t>
      </w:r>
      <w:r w:rsidR="0028489A" w:rsidRPr="007F6332">
        <w:rPr>
          <w:rFonts w:cs="Arial"/>
        </w:rPr>
        <w:t>L</w:t>
      </w:r>
      <w:r w:rsidR="00DE38C9" w:rsidRPr="007F6332">
        <w:rPr>
          <w:rFonts w:cs="Arial"/>
        </w:rPr>
        <w:t>iving supports t</w:t>
      </w:r>
      <w:r w:rsidR="00DE38C9" w:rsidRPr="007F6332">
        <w:rPr>
          <w:rFonts w:cs="Arial"/>
          <w:color w:val="222222"/>
          <w:shd w:val="clear" w:color="auto" w:fill="FFFFFF"/>
        </w:rPr>
        <w:t xml:space="preserve">hat give greater flexibility to participants and providers, </w:t>
      </w:r>
      <w:r w:rsidRPr="007F6332">
        <w:rPr>
          <w:rFonts w:cs="Arial"/>
          <w:color w:val="222222"/>
          <w:shd w:val="clear" w:color="auto" w:fill="FFFFFF"/>
        </w:rPr>
        <w:t>is</w:t>
      </w:r>
      <w:r w:rsidR="00DE38C9" w:rsidRPr="007F6332">
        <w:rPr>
          <w:rFonts w:cs="Arial"/>
          <w:color w:val="222222"/>
          <w:shd w:val="clear" w:color="auto" w:fill="FFFFFF"/>
        </w:rPr>
        <w:t xml:space="preserve"> outcomes-focused, encourage</w:t>
      </w:r>
      <w:r w:rsidRPr="007F6332">
        <w:rPr>
          <w:rFonts w:cs="Arial"/>
          <w:color w:val="222222"/>
          <w:shd w:val="clear" w:color="auto" w:fill="FFFFFF"/>
        </w:rPr>
        <w:t>s</w:t>
      </w:r>
      <w:r w:rsidR="00DE38C9" w:rsidRPr="007F6332">
        <w:rPr>
          <w:rFonts w:cs="Arial"/>
          <w:color w:val="222222"/>
          <w:shd w:val="clear" w:color="auto" w:fill="FFFFFF"/>
        </w:rPr>
        <w:t xml:space="preserve"> better practice and ensure</w:t>
      </w:r>
      <w:r w:rsidRPr="007F6332">
        <w:rPr>
          <w:rFonts w:cs="Arial"/>
          <w:color w:val="222222"/>
          <w:shd w:val="clear" w:color="auto" w:fill="FFFFFF"/>
        </w:rPr>
        <w:t>s</w:t>
      </w:r>
      <w:r w:rsidR="00DE38C9" w:rsidRPr="007F6332">
        <w:rPr>
          <w:rFonts w:cs="Arial"/>
          <w:color w:val="222222"/>
          <w:shd w:val="clear" w:color="auto" w:fill="FFFFFF"/>
        </w:rPr>
        <w:t xml:space="preserve"> Scheme sustainability</w:t>
      </w:r>
      <w:r w:rsidR="00DE38C9" w:rsidRPr="007F6332">
        <w:rPr>
          <w:rStyle w:val="FootnoteReference"/>
          <w:rFonts w:cs="Arial"/>
          <w:color w:val="222222"/>
          <w:shd w:val="clear" w:color="auto" w:fill="FFFFFF"/>
        </w:rPr>
        <w:footnoteReference w:id="161"/>
      </w:r>
      <w:r w:rsidR="00DE38C9" w:rsidRPr="007F6332">
        <w:rPr>
          <w:rFonts w:cs="Arial"/>
        </w:rPr>
        <w:t xml:space="preserve">. </w:t>
      </w:r>
      <w:r w:rsidRPr="007F6332">
        <w:rPr>
          <w:rFonts w:cs="Arial"/>
        </w:rPr>
        <w:t>O</w:t>
      </w:r>
      <w:r w:rsidR="00DE38C9" w:rsidRPr="007F6332">
        <w:rPr>
          <w:rFonts w:cs="Arial"/>
        </w:rPr>
        <w:t>ver the medium to long term th</w:t>
      </w:r>
      <w:r w:rsidRPr="007F6332">
        <w:rPr>
          <w:rFonts w:cs="Arial"/>
        </w:rPr>
        <w:t xml:space="preserve">is </w:t>
      </w:r>
      <w:r w:rsidR="00DE38C9" w:rsidRPr="007F6332">
        <w:rPr>
          <w:rFonts w:cs="Arial"/>
        </w:rPr>
        <w:t>will</w:t>
      </w:r>
      <w:r w:rsidRPr="007F6332">
        <w:rPr>
          <w:rFonts w:cs="Arial"/>
        </w:rPr>
        <w:t xml:space="preserve"> likely</w:t>
      </w:r>
      <w:r w:rsidR="00DE38C9" w:rsidRPr="007F6332">
        <w:rPr>
          <w:rFonts w:cs="Arial"/>
        </w:rPr>
        <w:t xml:space="preserve"> have an impact on future numbers of participants accessing SIL supports. Future uncertainty relating to transitions into SIL, as measured by its impact on total Scheme expenses, has been quantified in Section 6 and are also discussed in the context of the Scheme’s sustainability under Strategic Risk 4 below. </w:t>
      </w:r>
    </w:p>
    <w:p w14:paraId="3D0AB057" w14:textId="77777777" w:rsidR="00DE38C9" w:rsidRPr="007F6332" w:rsidRDefault="00DE38C9" w:rsidP="00DE38C9">
      <w:pPr>
        <w:pStyle w:val="FSRnormal"/>
        <w:rPr>
          <w:rFonts w:cs="Arial"/>
        </w:rPr>
      </w:pPr>
      <w:r w:rsidRPr="007F6332">
        <w:rPr>
          <w:rFonts w:cs="Arial"/>
        </w:rPr>
        <w:t>Section 9 of this report includes recommendations in relation to</w:t>
      </w:r>
      <w:r w:rsidR="00DE172B" w:rsidRPr="007F6332">
        <w:rPr>
          <w:rFonts w:cs="Arial"/>
        </w:rPr>
        <w:t xml:space="preserve"> the Outcomes framework,</w:t>
      </w:r>
      <w:r w:rsidRPr="007F6332">
        <w:rPr>
          <w:rFonts w:cs="Arial"/>
        </w:rPr>
        <w:t xml:space="preserve"> Home and Living supports and the Investment Effectiveness Program which are aimed at further mitigation of the risks to Scheme outcomes discussed above.</w:t>
      </w:r>
    </w:p>
    <w:p w14:paraId="254D9612" w14:textId="77777777" w:rsidR="00DE38C9" w:rsidRPr="007F6332" w:rsidRDefault="00DE38C9" w:rsidP="00E81C0D">
      <w:pPr>
        <w:pStyle w:val="Heading4"/>
        <w:ind w:left="851" w:hanging="851"/>
        <w:rPr>
          <w:rFonts w:cs="Arial"/>
        </w:rPr>
      </w:pPr>
      <w:r w:rsidRPr="007F6332">
        <w:rPr>
          <w:rFonts w:cs="Arial"/>
        </w:rPr>
        <w:t>Strategic risk 2 - Participant experience</w:t>
      </w:r>
    </w:p>
    <w:p w14:paraId="2C82FB18" w14:textId="77777777" w:rsidR="00DE38C9" w:rsidRPr="007F6332" w:rsidRDefault="00DE38C9" w:rsidP="00DE38C9">
      <w:pPr>
        <w:autoSpaceDE w:val="0"/>
        <w:autoSpaceDN w:val="0"/>
        <w:adjustRightInd w:val="0"/>
        <w:spacing w:after="0" w:line="240" w:lineRule="auto"/>
        <w:rPr>
          <w:rFonts w:eastAsiaTheme="minorHAnsi" w:cs="Arial"/>
          <w:i/>
          <w:iCs/>
          <w:color w:val="000000"/>
          <w:szCs w:val="22"/>
          <w:lang w:val="en-AU" w:eastAsia="en-US"/>
        </w:rPr>
      </w:pPr>
      <w:r w:rsidRPr="007F6332">
        <w:rPr>
          <w:rFonts w:eastAsiaTheme="minorHAnsi" w:cs="Arial"/>
          <w:i/>
          <w:iCs/>
          <w:color w:val="000000"/>
          <w:szCs w:val="22"/>
          <w:lang w:val="en-AU" w:eastAsia="en-US"/>
        </w:rPr>
        <w:t>Ability to provide a quality participant experience in access decisions and planning, including</w:t>
      </w:r>
    </w:p>
    <w:p w14:paraId="37E7974B" w14:textId="77777777" w:rsidR="00DE38C9" w:rsidRPr="007F6332" w:rsidRDefault="00DE38C9" w:rsidP="00DE38C9">
      <w:pPr>
        <w:autoSpaceDE w:val="0"/>
        <w:autoSpaceDN w:val="0"/>
        <w:adjustRightInd w:val="0"/>
        <w:spacing w:after="0" w:line="240" w:lineRule="auto"/>
        <w:rPr>
          <w:rFonts w:eastAsiaTheme="minorHAnsi" w:cs="Arial"/>
          <w:i/>
          <w:iCs/>
          <w:color w:val="000000"/>
          <w:szCs w:val="22"/>
          <w:lang w:val="en-AU" w:eastAsia="en-US"/>
        </w:rPr>
      </w:pPr>
      <w:r w:rsidRPr="007F6332">
        <w:rPr>
          <w:rFonts w:eastAsiaTheme="minorHAnsi" w:cs="Arial"/>
          <w:i/>
          <w:iCs/>
          <w:color w:val="000000"/>
          <w:szCs w:val="22"/>
          <w:lang w:val="en-AU" w:eastAsia="en-US"/>
        </w:rPr>
        <w:t>timely reviews.</w:t>
      </w:r>
    </w:p>
    <w:p w14:paraId="4AA3EE57" w14:textId="77777777" w:rsidR="00DE38C9" w:rsidRPr="007F6332" w:rsidRDefault="00DE38C9" w:rsidP="00DE38C9">
      <w:pPr>
        <w:pStyle w:val="FSRnormal"/>
        <w:rPr>
          <w:rFonts w:cs="Arial"/>
        </w:rPr>
      </w:pPr>
      <w:r w:rsidRPr="007F6332">
        <w:rPr>
          <w:rFonts w:cs="Arial"/>
        </w:rPr>
        <w:t xml:space="preserve">Strategic Risk 2 also ties in with the first component in the definition of financial sustainability and in particular focuses on participants’ views as to whether they are receiving reasonable and necessary support. </w:t>
      </w:r>
    </w:p>
    <w:p w14:paraId="0DFB4E22" w14:textId="77777777" w:rsidR="00DE38C9" w:rsidRPr="007F6332" w:rsidRDefault="00DE38C9" w:rsidP="00DE38C9">
      <w:pPr>
        <w:pStyle w:val="FSRnormal"/>
        <w:rPr>
          <w:rFonts w:cs="Arial"/>
        </w:rPr>
      </w:pPr>
      <w:r w:rsidRPr="007F6332">
        <w:rPr>
          <w:rFonts w:cs="Arial"/>
        </w:rPr>
        <w:t>The mitigation strategies for this risk focus on participant experience and feedback, including through co-design, and enhancing responsiveness to critical incidents and complaints.</w:t>
      </w:r>
    </w:p>
    <w:p w14:paraId="7CF12F9C" w14:textId="7B83D42D" w:rsidR="00DE38C9" w:rsidRPr="007F6332" w:rsidRDefault="00DE38C9" w:rsidP="00DE38C9">
      <w:pPr>
        <w:pStyle w:val="FSRnormal"/>
        <w:rPr>
          <w:rFonts w:cs="Arial"/>
        </w:rPr>
      </w:pPr>
      <w:r w:rsidRPr="007F6332">
        <w:rPr>
          <w:rFonts w:cs="Arial"/>
        </w:rPr>
        <w:lastRenderedPageBreak/>
        <w:t xml:space="preserve">The Participant Service Charter being actioned under the Participant Service Improvement Plan 2022-23 sets out how the Agency works towards increased consistency and transparency of decision making with better operational procedures, guidelines and controls. The Agency </w:t>
      </w:r>
      <w:r w:rsidR="003C006E" w:rsidRPr="007F6332">
        <w:rPr>
          <w:rFonts w:cs="Arial"/>
        </w:rPr>
        <w:t xml:space="preserve">has </w:t>
      </w:r>
      <w:r w:rsidRPr="007F6332">
        <w:rPr>
          <w:rFonts w:cs="Arial"/>
        </w:rPr>
        <w:t>design</w:t>
      </w:r>
      <w:r w:rsidR="003C006E" w:rsidRPr="007F6332">
        <w:rPr>
          <w:rFonts w:cs="Arial"/>
        </w:rPr>
        <w:t>ed</w:t>
      </w:r>
      <w:r w:rsidRPr="007F6332">
        <w:rPr>
          <w:rFonts w:cs="Arial"/>
        </w:rPr>
        <w:t xml:space="preserve"> and buil</w:t>
      </w:r>
      <w:r w:rsidR="003C006E" w:rsidRPr="007F6332">
        <w:rPr>
          <w:rFonts w:cs="Arial"/>
        </w:rPr>
        <w:t>t</w:t>
      </w:r>
      <w:r w:rsidRPr="007F6332">
        <w:rPr>
          <w:rFonts w:cs="Arial"/>
        </w:rPr>
        <w:t xml:space="preserve"> a new Information and Communication Technology (ICT) system</w:t>
      </w:r>
      <w:r w:rsidR="003C006E" w:rsidRPr="007F6332">
        <w:rPr>
          <w:rFonts w:cs="Arial"/>
        </w:rPr>
        <w:t>, PACE,</w:t>
      </w:r>
      <w:r w:rsidRPr="007F6332">
        <w:rPr>
          <w:rFonts w:cs="Arial"/>
        </w:rPr>
        <w:t xml:space="preserve"> to provide an enhanced Customer Relationship Management system and improve the end-to-end participant pathway.</w:t>
      </w:r>
      <w:r w:rsidR="003C006E" w:rsidRPr="007F6332">
        <w:rPr>
          <w:rFonts w:cs="Arial"/>
        </w:rPr>
        <w:t xml:space="preserve"> This is </w:t>
      </w:r>
      <w:r w:rsidR="00EE2C5D" w:rsidRPr="007F6332">
        <w:rPr>
          <w:rFonts w:cs="Arial"/>
        </w:rPr>
        <w:t xml:space="preserve">discussed </w:t>
      </w:r>
      <w:r w:rsidR="003C006E" w:rsidRPr="007F6332">
        <w:rPr>
          <w:rFonts w:cs="Arial"/>
        </w:rPr>
        <w:t>in more detail in Section 2.</w:t>
      </w:r>
    </w:p>
    <w:p w14:paraId="4BBC7BE4" w14:textId="77777777" w:rsidR="00DE38C9" w:rsidRPr="007F6332" w:rsidRDefault="00DE38C9" w:rsidP="00DE38C9">
      <w:pPr>
        <w:pStyle w:val="FSRnormal"/>
        <w:rPr>
          <w:rFonts w:cs="Arial"/>
        </w:rPr>
      </w:pPr>
      <w:r w:rsidRPr="007F6332">
        <w:rPr>
          <w:rFonts w:cs="Arial"/>
        </w:rPr>
        <w:t>The implementation of the Participant Safeguarding Policy</w:t>
      </w:r>
      <w:r w:rsidRPr="007F6332">
        <w:rPr>
          <w:rStyle w:val="FootnoteReference"/>
          <w:rFonts w:cs="Arial"/>
          <w:iCs/>
        </w:rPr>
        <w:footnoteReference w:id="162"/>
      </w:r>
      <w:r w:rsidRPr="007F6332">
        <w:rPr>
          <w:rFonts w:cs="Arial"/>
        </w:rPr>
        <w:t xml:space="preserve"> from April 2023 details how the Agency will be more proactive in identifying, assessing, and managing risk of harm to participants including when responding to critical incidents and complaints, provides clarity on roles and responsibilities in the NDIS support system and improves safeguarding resources for people with disability and Agency staff.</w:t>
      </w:r>
    </w:p>
    <w:p w14:paraId="18E9BC5D" w14:textId="774E2AF5" w:rsidR="00DE38C9" w:rsidRPr="007F6332" w:rsidRDefault="00DE38C9" w:rsidP="00DE38C9">
      <w:pPr>
        <w:pStyle w:val="FSRnormal"/>
        <w:rPr>
          <w:rFonts w:cs="Arial"/>
        </w:rPr>
      </w:pPr>
      <w:r w:rsidRPr="007F6332">
        <w:rPr>
          <w:rFonts w:cs="Arial"/>
        </w:rPr>
        <w:t>Section 9 of this report includes a recommendation in relation to Participant Outcomes which at a high level suggests that the NDIA should seek to redesign its outcomes framework to include broader system and community outcomes, as well as more objective measures of some participant and family/carer outcomes that are currently self-reported. This recommendation seeks to directly address the risks to the first component in the definition of financial sustainability.</w:t>
      </w:r>
    </w:p>
    <w:p w14:paraId="59EBE9CA" w14:textId="46790728" w:rsidR="00DE38C9" w:rsidRPr="007F6332" w:rsidRDefault="00DE38C9" w:rsidP="00E81C0D">
      <w:pPr>
        <w:pStyle w:val="Heading4"/>
        <w:ind w:left="851" w:hanging="851"/>
        <w:rPr>
          <w:rFonts w:cs="Arial"/>
        </w:rPr>
      </w:pPr>
      <w:r w:rsidRPr="007F6332">
        <w:rPr>
          <w:rFonts w:cs="Arial"/>
        </w:rPr>
        <w:t>Strategic risk 3 - Partner and provider performance</w:t>
      </w:r>
    </w:p>
    <w:p w14:paraId="4A74D874" w14:textId="77777777" w:rsidR="00DE38C9" w:rsidRPr="007F6332" w:rsidRDefault="00DE38C9" w:rsidP="00DE38C9">
      <w:pPr>
        <w:autoSpaceDE w:val="0"/>
        <w:autoSpaceDN w:val="0"/>
        <w:adjustRightInd w:val="0"/>
        <w:spacing w:after="0" w:line="240" w:lineRule="auto"/>
        <w:rPr>
          <w:rFonts w:eastAsiaTheme="minorHAnsi" w:cs="Arial"/>
          <w:i/>
          <w:iCs/>
          <w:color w:val="000000"/>
          <w:szCs w:val="22"/>
          <w:lang w:val="en-AU" w:eastAsia="en-US"/>
        </w:rPr>
      </w:pPr>
      <w:r w:rsidRPr="007F6332">
        <w:rPr>
          <w:rFonts w:eastAsiaTheme="minorHAnsi" w:cs="Arial"/>
          <w:i/>
          <w:iCs/>
          <w:color w:val="000000"/>
          <w:szCs w:val="22"/>
          <w:lang w:val="en-AU" w:eastAsia="en-US"/>
        </w:rPr>
        <w:t>Ability to enable partner and provider capacity and service delivery.</w:t>
      </w:r>
    </w:p>
    <w:p w14:paraId="7FA0AD75" w14:textId="77777777" w:rsidR="00DE38C9" w:rsidRPr="007F6332" w:rsidRDefault="00DE38C9" w:rsidP="00DE38C9">
      <w:pPr>
        <w:pStyle w:val="FSRnormal"/>
        <w:rPr>
          <w:rFonts w:cs="Arial"/>
          <w:iCs/>
        </w:rPr>
      </w:pPr>
      <w:r w:rsidRPr="007F6332">
        <w:rPr>
          <w:rFonts w:cs="Arial"/>
          <w:iCs/>
        </w:rPr>
        <w:t>Strategic Risk 3 relates to both aspects of the Scheme’s financial sustainability, that is, participants’ views that they are receiving reasonable and necessary support and contributors’ views on the cost effectiveness of the Scheme.</w:t>
      </w:r>
    </w:p>
    <w:p w14:paraId="522B611B" w14:textId="0CD2EF8B" w:rsidR="00DE38C9" w:rsidRPr="007F6332" w:rsidRDefault="00DE38C9" w:rsidP="00DE38C9">
      <w:pPr>
        <w:pStyle w:val="FSRnormal"/>
        <w:rPr>
          <w:rFonts w:cs="Arial"/>
          <w:iCs/>
        </w:rPr>
      </w:pPr>
      <w:r w:rsidRPr="007F6332">
        <w:rPr>
          <w:rFonts w:cs="Arial"/>
          <w:iCs/>
        </w:rPr>
        <w:t>A specific challenge in relation to this strategic risk is the capability of the disability provider market to respond to demand.</w:t>
      </w:r>
    </w:p>
    <w:p w14:paraId="65392F89" w14:textId="77777777" w:rsidR="00DE38C9" w:rsidRPr="007F6332" w:rsidRDefault="00DE38C9" w:rsidP="00DE38C9">
      <w:pPr>
        <w:pStyle w:val="FSRnormal"/>
        <w:rPr>
          <w:rFonts w:cs="Arial"/>
        </w:rPr>
      </w:pPr>
      <w:r w:rsidRPr="007F6332">
        <w:rPr>
          <w:rFonts w:cs="Arial"/>
          <w:iCs/>
        </w:rPr>
        <w:t xml:space="preserve">The mitigation strategies outlined in the Corporate Plan prioritise regular engagement with partner organisations and NDIS providers, monitoring of costs to help participants identify value for money services and collaboration with other government bodies (i.e., the Department of Social Services and the NDIS Quality and Safeguards Commission) in support of a robust provider sector. </w:t>
      </w:r>
    </w:p>
    <w:p w14:paraId="5DE175BB" w14:textId="7EC4EB42" w:rsidR="00DE38C9" w:rsidRPr="007F6332" w:rsidRDefault="00DE38C9" w:rsidP="00DE38C9">
      <w:pPr>
        <w:pStyle w:val="FSRnormal"/>
        <w:rPr>
          <w:rFonts w:cs="Arial"/>
          <w:iCs/>
        </w:rPr>
      </w:pPr>
      <w:r w:rsidRPr="007F6332">
        <w:rPr>
          <w:rFonts w:cs="Arial"/>
          <w:iCs/>
        </w:rPr>
        <w:t>As the cost of the Scheme increases, it becomes increasingly important to measure how successful the Scheme is in building the capacity of participants to increase their independence and economic and social participation. A positive perception of the Scheme by the public, who contribute through taxation, needs to be maintained to ensure their ongoing support and continued development of a robust provider market.</w:t>
      </w:r>
    </w:p>
    <w:p w14:paraId="2D6E7468" w14:textId="77777777" w:rsidR="00DE38C9" w:rsidRPr="007F6332" w:rsidRDefault="00DE38C9" w:rsidP="00DE38C9">
      <w:pPr>
        <w:pStyle w:val="FSRnormal"/>
        <w:rPr>
          <w:rFonts w:cs="Arial"/>
          <w:iCs/>
        </w:rPr>
      </w:pPr>
      <w:r w:rsidRPr="007F6332">
        <w:rPr>
          <w:rFonts w:cs="Arial"/>
          <w:iCs/>
        </w:rPr>
        <w:lastRenderedPageBreak/>
        <w:t>Ideally, this cost-benefit analysis should have wider scope than just the NDIS. The NDIS is expected to benefit the broader Australian economy, for example through reduced hospitalisations via improved support in the community.</w:t>
      </w:r>
    </w:p>
    <w:p w14:paraId="01747BB9" w14:textId="77777777" w:rsidR="00DE38C9" w:rsidRPr="007F6332" w:rsidRDefault="00DE38C9" w:rsidP="00DE38C9">
      <w:pPr>
        <w:pStyle w:val="FSRnormal"/>
        <w:rPr>
          <w:rFonts w:cs="Arial"/>
          <w:iCs/>
        </w:rPr>
      </w:pPr>
      <w:r w:rsidRPr="007F6332">
        <w:rPr>
          <w:rFonts w:cs="Arial"/>
          <w:iCs/>
        </w:rPr>
        <w:t>Hence, measurement of outcomes and costs, both to the NDIS and other mainstream service systems, is critical in understanding the success of the NDIS and is a legislative requirement.</w:t>
      </w:r>
    </w:p>
    <w:p w14:paraId="6CBB15B0" w14:textId="146F8EE2" w:rsidR="00DE38C9" w:rsidRPr="007F6332" w:rsidRDefault="00DE38C9" w:rsidP="00DE38C9">
      <w:pPr>
        <w:pStyle w:val="FSRnormal"/>
        <w:rPr>
          <w:rFonts w:cs="Arial"/>
        </w:rPr>
      </w:pPr>
      <w:r w:rsidRPr="007F6332">
        <w:rPr>
          <w:rFonts w:cs="Arial"/>
        </w:rPr>
        <w:t xml:space="preserve">Further, the </w:t>
      </w:r>
      <w:r w:rsidR="003C006E" w:rsidRPr="007F6332">
        <w:rPr>
          <w:rFonts w:cs="Arial"/>
        </w:rPr>
        <w:t>NDIS</w:t>
      </w:r>
      <w:r w:rsidRPr="007F6332">
        <w:rPr>
          <w:rFonts w:cs="Arial"/>
        </w:rPr>
        <w:t xml:space="preserve"> forms part of the broader Australia’s Disability Strategy 2021-2031. The strategy is a commitment from all governments to a shared vision of an inclusive Australian society that enables people with disability to fulfil their potential as equal citizens. In particular, the strategy emphasises the need for improved performance of mainstream services in delivering outcomes for people with disability.</w:t>
      </w:r>
    </w:p>
    <w:p w14:paraId="603BE497" w14:textId="77777777" w:rsidR="00DE38C9" w:rsidRPr="007F6332" w:rsidRDefault="00DE38C9" w:rsidP="00E81C0D">
      <w:pPr>
        <w:pStyle w:val="Heading4"/>
        <w:ind w:left="851" w:hanging="851"/>
        <w:rPr>
          <w:rFonts w:cs="Arial"/>
        </w:rPr>
      </w:pPr>
      <w:r w:rsidRPr="007F6332">
        <w:rPr>
          <w:rFonts w:cs="Arial"/>
        </w:rPr>
        <w:t>Strategic risk 4 - Scheme sustainability</w:t>
      </w:r>
    </w:p>
    <w:p w14:paraId="74BD708F" w14:textId="77777777" w:rsidR="00DE38C9" w:rsidRPr="007F6332" w:rsidRDefault="00DE38C9" w:rsidP="00DE38C9">
      <w:pPr>
        <w:autoSpaceDE w:val="0"/>
        <w:autoSpaceDN w:val="0"/>
        <w:adjustRightInd w:val="0"/>
        <w:spacing w:after="0" w:line="240" w:lineRule="auto"/>
        <w:rPr>
          <w:rFonts w:eastAsiaTheme="minorHAnsi" w:cs="Arial"/>
          <w:i/>
          <w:iCs/>
          <w:color w:val="000000"/>
          <w:szCs w:val="22"/>
          <w:lang w:val="en-AU" w:eastAsia="en-US"/>
        </w:rPr>
      </w:pPr>
      <w:r w:rsidRPr="007F6332">
        <w:rPr>
          <w:rFonts w:eastAsiaTheme="minorHAnsi" w:cs="Arial"/>
          <w:i/>
          <w:iCs/>
          <w:color w:val="000000"/>
          <w:szCs w:val="22"/>
          <w:lang w:val="en-AU" w:eastAsia="en-US"/>
        </w:rPr>
        <w:t>Scheme scope, growth and/or costs deviate significantly.</w:t>
      </w:r>
    </w:p>
    <w:p w14:paraId="229419E2" w14:textId="77777777" w:rsidR="00DE38C9" w:rsidRPr="007F6332" w:rsidRDefault="00DE38C9" w:rsidP="00DE38C9">
      <w:pPr>
        <w:pStyle w:val="FSRnormal"/>
        <w:rPr>
          <w:rFonts w:cs="Arial"/>
        </w:rPr>
      </w:pPr>
      <w:r w:rsidRPr="007F6332">
        <w:rPr>
          <w:rFonts w:cs="Arial"/>
        </w:rPr>
        <w:t>Strategic Risk 4 relates directly to the ongoing costs of the Scheme as referred to in the second component of the financial sustainability definition.</w:t>
      </w:r>
    </w:p>
    <w:p w14:paraId="26B1B75D" w14:textId="77777777" w:rsidR="00DE38C9" w:rsidRPr="007F6332" w:rsidRDefault="00DE38C9" w:rsidP="0049321D">
      <w:pPr>
        <w:pStyle w:val="HeadingH5"/>
      </w:pPr>
      <w:r w:rsidRPr="007F6332">
        <w:t>Inflationary effects</w:t>
      </w:r>
    </w:p>
    <w:p w14:paraId="0AD43079" w14:textId="1597EB30" w:rsidR="00DE38C9" w:rsidRPr="007F6332" w:rsidRDefault="00DE38C9" w:rsidP="00DE38C9">
      <w:pPr>
        <w:pStyle w:val="FSRnormal"/>
        <w:spacing w:before="0"/>
        <w:rPr>
          <w:rFonts w:cs="Arial"/>
        </w:rPr>
      </w:pPr>
      <w:r w:rsidRPr="007F6332">
        <w:rPr>
          <w:rFonts w:cs="Arial"/>
          <w:iCs/>
        </w:rPr>
        <w:t xml:space="preserve">Section </w:t>
      </w:r>
      <w:r w:rsidR="003C006E" w:rsidRPr="007F6332">
        <w:rPr>
          <w:rFonts w:cs="Arial"/>
          <w:iCs/>
        </w:rPr>
        <w:t>5.7</w:t>
      </w:r>
      <w:r w:rsidRPr="007F6332">
        <w:rPr>
          <w:rFonts w:cs="Arial"/>
          <w:iCs/>
        </w:rPr>
        <w:t xml:space="preserve"> sets out the inflation</w:t>
      </w:r>
      <w:r w:rsidRPr="007F6332">
        <w:rPr>
          <w:rFonts w:cs="Arial"/>
        </w:rPr>
        <w:t xml:space="preserve"> assumptions used for the </w:t>
      </w:r>
      <w:r w:rsidR="00B724CC" w:rsidRPr="007F6332">
        <w:rPr>
          <w:rFonts w:cs="Arial"/>
        </w:rPr>
        <w:t>June 2023 projections</w:t>
      </w:r>
      <w:r w:rsidRPr="007F6332">
        <w:rPr>
          <w:rFonts w:cs="Arial"/>
        </w:rPr>
        <w:t xml:space="preserve"> and shows the impact of the </w:t>
      </w:r>
      <w:r w:rsidR="002D6881" w:rsidRPr="007F6332">
        <w:rPr>
          <w:rFonts w:cs="Arial"/>
        </w:rPr>
        <w:t>Budget initiatives</w:t>
      </w:r>
      <w:r w:rsidRPr="007F6332">
        <w:rPr>
          <w:rFonts w:cs="Arial"/>
        </w:rPr>
        <w:t xml:space="preserve"> which are expected to reduce the levels of additional growth observed in payments, below historic</w:t>
      </w:r>
      <w:r w:rsidR="003C006E" w:rsidRPr="007F6332">
        <w:rPr>
          <w:rFonts w:cs="Arial"/>
        </w:rPr>
        <w:t>al</w:t>
      </w:r>
      <w:r w:rsidRPr="007F6332">
        <w:rPr>
          <w:rFonts w:cs="Arial"/>
        </w:rPr>
        <w:t xml:space="preserve"> levels.</w:t>
      </w:r>
    </w:p>
    <w:p w14:paraId="09544297" w14:textId="00263CF3" w:rsidR="00DE38C9" w:rsidRPr="007F6332" w:rsidRDefault="00DE38C9" w:rsidP="00DE38C9">
      <w:pPr>
        <w:pStyle w:val="FSRnormal"/>
        <w:rPr>
          <w:rFonts w:cs="Arial"/>
        </w:rPr>
      </w:pPr>
      <w:r w:rsidRPr="007F6332">
        <w:rPr>
          <w:rFonts w:cs="Arial"/>
        </w:rPr>
        <w:t xml:space="preserve">Sustained elevated levels of additional growth remains one of the most critical sustainability pressures for the Scheme given the material impact on projected Scheme expenses. </w:t>
      </w:r>
    </w:p>
    <w:p w14:paraId="008B49EA" w14:textId="77777777" w:rsidR="00DE38C9" w:rsidRPr="007F6332" w:rsidRDefault="00DE38C9" w:rsidP="00DE38C9">
      <w:pPr>
        <w:pStyle w:val="FSRnormal"/>
        <w:rPr>
          <w:rFonts w:cs="Arial"/>
        </w:rPr>
      </w:pPr>
      <w:r w:rsidRPr="007F6332">
        <w:rPr>
          <w:rFonts w:cs="Arial"/>
        </w:rPr>
        <w:t xml:space="preserve">Given the evolving nature of the Scheme, assumptions relating to additional growth involve considerable judgement and thus, remain highly uncertain. </w:t>
      </w:r>
    </w:p>
    <w:p w14:paraId="7A9F4C2D" w14:textId="77777777" w:rsidR="00DE38C9" w:rsidRPr="007F6332" w:rsidRDefault="00DE38C9" w:rsidP="00DE38C9">
      <w:pPr>
        <w:pStyle w:val="FSRnormal"/>
        <w:rPr>
          <w:rFonts w:cs="Arial"/>
        </w:rPr>
      </w:pPr>
      <w:r w:rsidRPr="007F6332">
        <w:rPr>
          <w:rFonts w:cs="Arial"/>
        </w:rPr>
        <w:t>The scenario analysis in Section 6.1 can be used to gauge the impact of higher normal inflation and additional growth assumptions compared with the baseline projection.</w:t>
      </w:r>
    </w:p>
    <w:p w14:paraId="4C3A6710" w14:textId="77777777" w:rsidR="00DE38C9" w:rsidRPr="007F6332" w:rsidRDefault="00DE38C9" w:rsidP="00DE38C9">
      <w:pPr>
        <w:pStyle w:val="FSRnormal"/>
        <w:rPr>
          <w:rFonts w:cs="Arial"/>
        </w:rPr>
      </w:pPr>
      <w:r w:rsidRPr="007F6332">
        <w:rPr>
          <w:rFonts w:cs="Arial"/>
        </w:rPr>
        <w:t xml:space="preserve">The uncertainty around the additional growth assumption is also demonstrated in the stochastic modelling presented in Section 6.2 which includes a quantification of the substantial impact of this uncertainty on Scheme expenses. </w:t>
      </w:r>
    </w:p>
    <w:p w14:paraId="7790BAD5" w14:textId="5EBAC4AE" w:rsidR="00DE38C9" w:rsidRPr="007F6332" w:rsidRDefault="00DE38C9" w:rsidP="0049321D">
      <w:pPr>
        <w:pStyle w:val="HeadingH5"/>
      </w:pPr>
      <w:r w:rsidRPr="007F6332">
        <w:t>New incidence of disability</w:t>
      </w:r>
    </w:p>
    <w:p w14:paraId="065C7E69" w14:textId="43088FBC" w:rsidR="00DE38C9" w:rsidRPr="007F6332" w:rsidRDefault="00DE38C9" w:rsidP="00DE38C9">
      <w:pPr>
        <w:pStyle w:val="FSRnormal"/>
        <w:spacing w:before="120"/>
        <w:rPr>
          <w:rFonts w:cs="Arial"/>
        </w:rPr>
      </w:pPr>
      <w:r w:rsidRPr="007F6332">
        <w:rPr>
          <w:rFonts w:cs="Arial"/>
          <w:iCs/>
        </w:rPr>
        <w:t>Section 5.</w:t>
      </w:r>
      <w:r w:rsidR="003C006E" w:rsidRPr="007F6332">
        <w:rPr>
          <w:rFonts w:cs="Arial"/>
          <w:iCs/>
        </w:rPr>
        <w:t>4</w:t>
      </w:r>
      <w:r w:rsidRPr="007F6332">
        <w:rPr>
          <w:rFonts w:cs="Arial"/>
          <w:iCs/>
        </w:rPr>
        <w:t xml:space="preserve"> sets out the new </w:t>
      </w:r>
      <w:r w:rsidRPr="007F6332">
        <w:rPr>
          <w:rFonts w:cs="Arial"/>
        </w:rPr>
        <w:t xml:space="preserve">entrant rate assumptions and details the revisions made to these to reflect the latest expectations of future Scheme experience. Overall, the revised assumptions reflect a future expected decline in the long-term new entrants in the adult population over the next three years to 30 June 2026. </w:t>
      </w:r>
    </w:p>
    <w:p w14:paraId="256A2D88" w14:textId="55FCE5B5" w:rsidR="00DE38C9" w:rsidRPr="007F6332" w:rsidRDefault="00DE38C9" w:rsidP="00DE38C9">
      <w:pPr>
        <w:pStyle w:val="FSRnormal"/>
        <w:rPr>
          <w:rFonts w:cs="Arial"/>
        </w:rPr>
      </w:pPr>
      <w:r w:rsidRPr="007F6332">
        <w:rPr>
          <w:rFonts w:cs="Arial"/>
        </w:rPr>
        <w:t xml:space="preserve">However, participation rates (the proportion of the Australian population that are NDIS participants) have not shown signs of slowing down and it is uncertain as to when new </w:t>
      </w:r>
      <w:r w:rsidRPr="007F6332">
        <w:rPr>
          <w:rFonts w:cs="Arial"/>
        </w:rPr>
        <w:lastRenderedPageBreak/>
        <w:t>entrant rates will stabilise. This trend is driven predominantly by children with developmental delay joining the Scheme and new participants with autism.</w:t>
      </w:r>
    </w:p>
    <w:p w14:paraId="36BB5D86" w14:textId="1AEE07F3" w:rsidR="00DE38C9" w:rsidRPr="007F6332" w:rsidRDefault="00DE38C9" w:rsidP="00DE38C9">
      <w:pPr>
        <w:pStyle w:val="FSRnormal"/>
        <w:rPr>
          <w:rFonts w:cs="Arial"/>
        </w:rPr>
      </w:pPr>
      <w:r w:rsidRPr="007F6332">
        <w:rPr>
          <w:rFonts w:cs="Arial"/>
        </w:rPr>
        <w:t>Greater than expected new entrants will result in additional growth of Scheme expenses beyond those projected in this report. To illustrate the impact of current trajectories continuing scenario analysis is presented in Section 6.1, and uncertainty around these assumptions is included in the stochastic modelling presented in Section 6.2.</w:t>
      </w:r>
    </w:p>
    <w:p w14:paraId="44E9B44B" w14:textId="77777777" w:rsidR="00DE38C9" w:rsidRPr="007F6332" w:rsidRDefault="00DE38C9" w:rsidP="00D02DB4">
      <w:pPr>
        <w:pStyle w:val="HeadingH5"/>
      </w:pPr>
      <w:r w:rsidRPr="007F6332">
        <w:t>Participants leaving the Scheme</w:t>
      </w:r>
    </w:p>
    <w:p w14:paraId="54B6881F" w14:textId="17214906" w:rsidR="00DE38C9" w:rsidRPr="007F6332" w:rsidRDefault="00DE38C9" w:rsidP="00DE38C9">
      <w:pPr>
        <w:pStyle w:val="FSRnormal"/>
        <w:spacing w:before="0"/>
        <w:rPr>
          <w:rFonts w:cs="Arial"/>
        </w:rPr>
      </w:pPr>
      <w:r w:rsidRPr="007F6332">
        <w:rPr>
          <w:rFonts w:cs="Arial"/>
          <w:iCs/>
        </w:rPr>
        <w:t>Section 5.</w:t>
      </w:r>
      <w:r w:rsidR="00D7753B" w:rsidRPr="007F6332">
        <w:rPr>
          <w:rFonts w:cs="Arial"/>
          <w:iCs/>
        </w:rPr>
        <w:t>4</w:t>
      </w:r>
      <w:r w:rsidRPr="007F6332">
        <w:rPr>
          <w:rFonts w:cs="Arial"/>
          <w:iCs/>
        </w:rPr>
        <w:t xml:space="preserve"> </w:t>
      </w:r>
      <w:r w:rsidR="00D7753B" w:rsidRPr="007F6332">
        <w:rPr>
          <w:rFonts w:cs="Arial"/>
          <w:iCs/>
        </w:rPr>
        <w:t xml:space="preserve">also </w:t>
      </w:r>
      <w:r w:rsidRPr="007F6332">
        <w:rPr>
          <w:rFonts w:cs="Arial"/>
          <w:iCs/>
        </w:rPr>
        <w:t xml:space="preserve">discusses </w:t>
      </w:r>
      <w:r w:rsidRPr="007F6332">
        <w:rPr>
          <w:rFonts w:cs="Arial"/>
        </w:rPr>
        <w:t>the rate of participants leaving the Scheme for reasons other than death and assume a higher rate of participants leaving the Scheme relative to the previous review</w:t>
      </w:r>
      <w:r w:rsidR="00D7753B" w:rsidRPr="007F6332">
        <w:rPr>
          <w:rFonts w:cs="Arial"/>
        </w:rPr>
        <w:t>.</w:t>
      </w:r>
      <w:r w:rsidRPr="007F6332">
        <w:rPr>
          <w:rFonts w:cs="Arial"/>
        </w:rPr>
        <w:t xml:space="preserve"> </w:t>
      </w:r>
    </w:p>
    <w:p w14:paraId="7990F628" w14:textId="77777777" w:rsidR="00DE38C9" w:rsidRPr="007F6332" w:rsidRDefault="00DE38C9" w:rsidP="00DE38C9">
      <w:pPr>
        <w:pStyle w:val="FSRnormal"/>
        <w:rPr>
          <w:rFonts w:cs="Arial"/>
        </w:rPr>
      </w:pPr>
      <w:r w:rsidRPr="007F6332">
        <w:rPr>
          <w:rFonts w:cs="Arial"/>
        </w:rPr>
        <w:t xml:space="preserve">The vast majority of participants leaving the Scheme are expected to be children and experience has shown that the rate of participants leaving the Scheme is highly dependent on operational changes and resource allocation towards eligibility reassessment and therefore remains uncertain. </w:t>
      </w:r>
    </w:p>
    <w:p w14:paraId="4940681F" w14:textId="620529C5" w:rsidR="00DE38C9" w:rsidRPr="007F6332" w:rsidRDefault="00DE38C9" w:rsidP="00DE38C9">
      <w:pPr>
        <w:pStyle w:val="FSRnormal"/>
        <w:rPr>
          <w:rFonts w:cs="Arial"/>
        </w:rPr>
      </w:pPr>
      <w:r w:rsidRPr="007F6332">
        <w:rPr>
          <w:rFonts w:cs="Arial"/>
        </w:rPr>
        <w:t xml:space="preserve">To quantify this inherent uncertainty, the scenario analysis in Section 6.1 presents a scenario where the impact of </w:t>
      </w:r>
      <w:r w:rsidR="002D6881" w:rsidRPr="007F6332">
        <w:rPr>
          <w:rFonts w:cs="Arial"/>
        </w:rPr>
        <w:t>Budget initiatives</w:t>
      </w:r>
      <w:r w:rsidRPr="007F6332">
        <w:rPr>
          <w:rFonts w:cs="Arial"/>
        </w:rPr>
        <w:t xml:space="preserve"> on the rate of participants leaving the Scheme is removed.</w:t>
      </w:r>
    </w:p>
    <w:p w14:paraId="46E75663" w14:textId="77777777" w:rsidR="00DE38C9" w:rsidRPr="007F6332" w:rsidRDefault="00DE38C9" w:rsidP="00D02DB4">
      <w:pPr>
        <w:pStyle w:val="HeadingH5"/>
      </w:pPr>
      <w:r w:rsidRPr="007F6332">
        <w:t>Transitions into SIL</w:t>
      </w:r>
    </w:p>
    <w:p w14:paraId="33E9E7BC" w14:textId="72FB17E9" w:rsidR="00DE38C9" w:rsidRPr="007F6332" w:rsidRDefault="00DE38C9" w:rsidP="00DE38C9">
      <w:pPr>
        <w:pStyle w:val="FSRnormal"/>
        <w:spacing w:before="0"/>
        <w:rPr>
          <w:rFonts w:cs="Arial"/>
        </w:rPr>
      </w:pPr>
      <w:r w:rsidRPr="007F6332">
        <w:rPr>
          <w:rFonts w:cs="Arial"/>
          <w:iCs/>
        </w:rPr>
        <w:t>Section 5.</w:t>
      </w:r>
      <w:r w:rsidR="00D7753B" w:rsidRPr="007F6332">
        <w:rPr>
          <w:rFonts w:cs="Arial"/>
          <w:iCs/>
        </w:rPr>
        <w:t>5</w:t>
      </w:r>
      <w:r w:rsidRPr="007F6332">
        <w:rPr>
          <w:rFonts w:cs="Arial"/>
          <w:iCs/>
        </w:rPr>
        <w:t xml:space="preserve"> sets out the assumptions related to SIL participants</w:t>
      </w:r>
      <w:r w:rsidRPr="007F6332">
        <w:rPr>
          <w:rFonts w:cs="Arial"/>
        </w:rPr>
        <w:t xml:space="preserve"> used for the </w:t>
      </w:r>
      <w:r w:rsidR="00B724CC" w:rsidRPr="007F6332">
        <w:rPr>
          <w:rFonts w:cs="Arial"/>
        </w:rPr>
        <w:t>June 2023 projections</w:t>
      </w:r>
      <w:r w:rsidRPr="007F6332">
        <w:rPr>
          <w:rFonts w:cs="Arial"/>
        </w:rPr>
        <w:t>, including enhancements to capture the rate of participants transitioning to newly accessing SIL supports.</w:t>
      </w:r>
    </w:p>
    <w:p w14:paraId="2F6BF3FC" w14:textId="7B204AB2" w:rsidR="00DE38C9" w:rsidRPr="007F6332" w:rsidRDefault="00DE38C9" w:rsidP="00DE38C9">
      <w:pPr>
        <w:pStyle w:val="FSRnormal"/>
        <w:rPr>
          <w:rFonts w:cs="Arial"/>
        </w:rPr>
      </w:pPr>
      <w:r w:rsidRPr="007F6332">
        <w:rPr>
          <w:rFonts w:cs="Arial"/>
        </w:rPr>
        <w:t>While the SIL transition assumptions are derived based on recent experience combined with long term expectations</w:t>
      </w:r>
      <w:r w:rsidR="00D7753B" w:rsidRPr="007F6332">
        <w:rPr>
          <w:rFonts w:cs="Arial"/>
        </w:rPr>
        <w:t>,</w:t>
      </w:r>
      <w:r w:rsidRPr="007F6332">
        <w:rPr>
          <w:rFonts w:cs="Arial"/>
        </w:rPr>
        <w:t xml:space="preserve"> there remains a degree of uncertainty around the emerging experience relating to the net increase in participants with SIL supports and when the number of participants with SIL will reach ‘maturity’ (grow in line with the overall growth in the adult population of the Scheme). Moreover, there is also uncertainty as to which alternative, </w:t>
      </w:r>
      <w:r w:rsidR="00D7753B" w:rsidRPr="007F6332">
        <w:rPr>
          <w:rFonts w:cs="Arial"/>
        </w:rPr>
        <w:t xml:space="preserve">more flexible and more efficient </w:t>
      </w:r>
      <w:r w:rsidRPr="007F6332">
        <w:rPr>
          <w:rFonts w:cs="Arial"/>
        </w:rPr>
        <w:t xml:space="preserve">Home and Living options may be used in the Scheme in the future. Similarly, there is a high degree of uncertainty around the effectiveness and the implementation of the </w:t>
      </w:r>
      <w:r w:rsidR="002D6881" w:rsidRPr="007F6332">
        <w:rPr>
          <w:rFonts w:cs="Arial"/>
        </w:rPr>
        <w:t>Budget initiatives</w:t>
      </w:r>
      <w:r w:rsidRPr="007F6332">
        <w:rPr>
          <w:rFonts w:cs="Arial"/>
        </w:rPr>
        <w:t xml:space="preserve"> which also impact SIL transitions.</w:t>
      </w:r>
    </w:p>
    <w:p w14:paraId="392C7033" w14:textId="77777777" w:rsidR="00DE38C9" w:rsidRPr="007F6332" w:rsidRDefault="00DE38C9" w:rsidP="00DE38C9">
      <w:pPr>
        <w:pStyle w:val="FSRnormal"/>
        <w:rPr>
          <w:rFonts w:cs="Arial"/>
        </w:rPr>
      </w:pPr>
      <w:r w:rsidRPr="007F6332">
        <w:rPr>
          <w:rFonts w:cs="Arial"/>
        </w:rPr>
        <w:t>As anticipating the number of participants likely to require SIL supports is a challenge that also has a material impact on projected Scheme expenses, scenarios are presented in Section 6.1 that illustrate the impact of higher or lower numbers of participants in SIL compared with the baseline projection and the stochastic modelling of transitions into SIL is presented in Section 6.2.</w:t>
      </w:r>
    </w:p>
    <w:p w14:paraId="4B2EC3F1" w14:textId="77777777" w:rsidR="0028489A" w:rsidRPr="007F6332" w:rsidRDefault="0028489A" w:rsidP="0028489A">
      <w:pPr>
        <w:pStyle w:val="FSRnormal"/>
        <w:rPr>
          <w:rFonts w:cs="Arial"/>
        </w:rPr>
      </w:pPr>
      <w:r w:rsidRPr="007F6332">
        <w:rPr>
          <w:rFonts w:cs="Arial"/>
        </w:rPr>
        <w:t>There are three mitigation strategies listed in the Corporate Plan which are designed to address risks to the Scheme’s sustainability:</w:t>
      </w:r>
    </w:p>
    <w:p w14:paraId="5C1FCE17" w14:textId="77777777" w:rsidR="0028489A" w:rsidRPr="007F6332" w:rsidRDefault="0028489A" w:rsidP="00CE7E91">
      <w:pPr>
        <w:pStyle w:val="FSRnormal"/>
        <w:numPr>
          <w:ilvl w:val="0"/>
          <w:numId w:val="51"/>
        </w:numPr>
        <w:rPr>
          <w:rFonts w:cs="Arial"/>
        </w:rPr>
      </w:pPr>
      <w:r w:rsidRPr="007F6332">
        <w:rPr>
          <w:rFonts w:cs="Arial"/>
        </w:rPr>
        <w:t>Monitoring Scheme costs against allocated funding.</w:t>
      </w:r>
    </w:p>
    <w:p w14:paraId="4B322484" w14:textId="77777777" w:rsidR="0028489A" w:rsidRPr="007F6332" w:rsidRDefault="0028489A" w:rsidP="00CE7E91">
      <w:pPr>
        <w:pStyle w:val="FSRnormal"/>
        <w:numPr>
          <w:ilvl w:val="0"/>
          <w:numId w:val="51"/>
        </w:numPr>
        <w:rPr>
          <w:rFonts w:cs="Arial"/>
        </w:rPr>
      </w:pPr>
      <w:r w:rsidRPr="007F6332">
        <w:rPr>
          <w:rFonts w:cs="Arial"/>
        </w:rPr>
        <w:lastRenderedPageBreak/>
        <w:t>Engaging across jurisdictions to promote increased access and inclusiveness in community and mainstream supports.</w:t>
      </w:r>
    </w:p>
    <w:p w14:paraId="5DAFC5D3" w14:textId="155DC980" w:rsidR="0028489A" w:rsidRPr="007F6332" w:rsidRDefault="0028489A" w:rsidP="00CE7E91">
      <w:pPr>
        <w:pStyle w:val="FSRnormal"/>
        <w:numPr>
          <w:ilvl w:val="0"/>
          <w:numId w:val="51"/>
        </w:numPr>
        <w:rPr>
          <w:rFonts w:cs="Arial"/>
        </w:rPr>
      </w:pPr>
      <w:r w:rsidRPr="007F6332">
        <w:rPr>
          <w:rFonts w:cs="Arial"/>
        </w:rPr>
        <w:t xml:space="preserve">Working closely with the disability community to implement the </w:t>
      </w:r>
      <w:r w:rsidR="002D6881" w:rsidRPr="007F6332">
        <w:rPr>
          <w:rFonts w:cs="Arial"/>
        </w:rPr>
        <w:t>Budget initiatives</w:t>
      </w:r>
      <w:r w:rsidRPr="007F6332">
        <w:rPr>
          <w:rFonts w:cs="Arial"/>
        </w:rPr>
        <w:t xml:space="preserve"> and through this close collaboration identify other opportunities to moderate future growth. The </w:t>
      </w:r>
      <w:r w:rsidR="002D6881" w:rsidRPr="007F6332">
        <w:rPr>
          <w:rFonts w:cs="Arial"/>
        </w:rPr>
        <w:t>Budget initiatives</w:t>
      </w:r>
      <w:r w:rsidRPr="007F6332">
        <w:rPr>
          <w:rFonts w:cs="Arial"/>
        </w:rPr>
        <w:t xml:space="preserve"> are discussed further under the commentary for Strategic risk 7 below. </w:t>
      </w:r>
    </w:p>
    <w:p w14:paraId="3F39394B" w14:textId="30A5C37C" w:rsidR="00DE38C9" w:rsidRPr="007F6332" w:rsidRDefault="00DE38C9" w:rsidP="00DE38C9">
      <w:pPr>
        <w:pStyle w:val="FSRnormal"/>
        <w:rPr>
          <w:rFonts w:cs="Arial"/>
        </w:rPr>
      </w:pPr>
      <w:r w:rsidRPr="007F6332">
        <w:rPr>
          <w:rFonts w:cs="Arial"/>
        </w:rPr>
        <w:t xml:space="preserve">Section 9 of this report includes recommendations in relation to </w:t>
      </w:r>
      <w:r w:rsidR="00D7753B" w:rsidRPr="007F6332">
        <w:rPr>
          <w:rFonts w:cs="Arial"/>
        </w:rPr>
        <w:t>a</w:t>
      </w:r>
      <w:r w:rsidRPr="007F6332">
        <w:rPr>
          <w:rFonts w:cs="Arial"/>
        </w:rPr>
        <w:t xml:space="preserve">dditional </w:t>
      </w:r>
      <w:r w:rsidR="00D7753B" w:rsidRPr="007F6332">
        <w:rPr>
          <w:rFonts w:cs="Arial"/>
        </w:rPr>
        <w:t>g</w:t>
      </w:r>
      <w:r w:rsidRPr="007F6332">
        <w:rPr>
          <w:rFonts w:cs="Arial"/>
        </w:rPr>
        <w:t xml:space="preserve">rowth, </w:t>
      </w:r>
      <w:r w:rsidR="00D7753B" w:rsidRPr="007F6332">
        <w:rPr>
          <w:rFonts w:cs="Arial"/>
        </w:rPr>
        <w:t>m</w:t>
      </w:r>
      <w:r w:rsidRPr="007F6332">
        <w:rPr>
          <w:rFonts w:cs="Arial"/>
        </w:rPr>
        <w:t xml:space="preserve">odel enhancements and </w:t>
      </w:r>
      <w:r w:rsidR="00D7753B" w:rsidRPr="007F6332">
        <w:rPr>
          <w:rFonts w:cs="Arial"/>
        </w:rPr>
        <w:t>n</w:t>
      </w:r>
      <w:r w:rsidRPr="007F6332">
        <w:rPr>
          <w:rFonts w:cs="Arial"/>
        </w:rPr>
        <w:t xml:space="preserve">ew </w:t>
      </w:r>
      <w:r w:rsidR="00D7753B" w:rsidRPr="007F6332">
        <w:rPr>
          <w:rFonts w:cs="Arial"/>
        </w:rPr>
        <w:t>e</w:t>
      </w:r>
      <w:r w:rsidRPr="007F6332">
        <w:rPr>
          <w:rFonts w:cs="Arial"/>
        </w:rPr>
        <w:t>ntrants which aim to reduce uncertainty in these areas.</w:t>
      </w:r>
    </w:p>
    <w:p w14:paraId="1157D4EE" w14:textId="77777777" w:rsidR="00DE38C9" w:rsidRPr="007F6332" w:rsidRDefault="00DE38C9" w:rsidP="00E81C0D">
      <w:pPr>
        <w:pStyle w:val="Heading4"/>
        <w:ind w:left="851" w:hanging="863"/>
        <w:rPr>
          <w:rFonts w:cs="Arial"/>
        </w:rPr>
      </w:pPr>
      <w:r w:rsidRPr="007F6332">
        <w:rPr>
          <w:rFonts w:cs="Arial"/>
        </w:rPr>
        <w:t>Strategic risk 5 – People, capability and capacity</w:t>
      </w:r>
    </w:p>
    <w:p w14:paraId="71906A67" w14:textId="77777777" w:rsidR="00DE38C9" w:rsidRPr="007F6332" w:rsidRDefault="00DE38C9" w:rsidP="00DE38C9">
      <w:pPr>
        <w:autoSpaceDE w:val="0"/>
        <w:autoSpaceDN w:val="0"/>
        <w:adjustRightInd w:val="0"/>
        <w:spacing w:after="0" w:line="240" w:lineRule="auto"/>
        <w:rPr>
          <w:rFonts w:eastAsiaTheme="minorHAnsi" w:cs="Arial"/>
          <w:i/>
          <w:iCs/>
          <w:szCs w:val="22"/>
          <w:lang w:val="en-AU" w:eastAsia="en-US"/>
        </w:rPr>
      </w:pPr>
      <w:r w:rsidRPr="007F6332">
        <w:rPr>
          <w:rFonts w:eastAsiaTheme="minorHAnsi" w:cs="Arial"/>
          <w:i/>
          <w:iCs/>
          <w:szCs w:val="22"/>
          <w:lang w:val="en-AU" w:eastAsia="en-US"/>
        </w:rPr>
        <w:t>Ability to attract and retain a highly capable, high-performing workforce.</w:t>
      </w:r>
    </w:p>
    <w:p w14:paraId="4C4ED73F" w14:textId="0B6FB512" w:rsidR="00DE38C9" w:rsidRPr="007F6332" w:rsidRDefault="00DE38C9" w:rsidP="00DE38C9">
      <w:pPr>
        <w:pStyle w:val="FSRnormal"/>
        <w:rPr>
          <w:rFonts w:cs="Arial"/>
        </w:rPr>
      </w:pPr>
      <w:r w:rsidRPr="007F6332">
        <w:rPr>
          <w:rFonts w:cs="Arial"/>
        </w:rPr>
        <w:t>Strategic Risk 5 relates, directly and indirectly, to both aspects of the Scheme’s financial sustainability, because the ability of the Scheme to maintain a high-performing workforce across all areas of its operations will impact participants’ access to reasonable and necessary supports and also the cost of the Scheme.</w:t>
      </w:r>
    </w:p>
    <w:p w14:paraId="07A46009" w14:textId="57821B2D" w:rsidR="00DE38C9" w:rsidRPr="007F6332" w:rsidRDefault="00DE38C9" w:rsidP="00DE38C9">
      <w:pPr>
        <w:pStyle w:val="FSRnormal"/>
        <w:rPr>
          <w:rFonts w:cs="Arial"/>
        </w:rPr>
      </w:pPr>
      <w:r w:rsidRPr="007F6332">
        <w:rPr>
          <w:rFonts w:cs="Arial"/>
        </w:rPr>
        <w:t xml:space="preserve">The projections presented in this report implicitly assume that labour supply constraints observed in previous years will not </w:t>
      </w:r>
      <w:r w:rsidR="00EE2C5D" w:rsidRPr="007F6332">
        <w:rPr>
          <w:rFonts w:cs="Arial"/>
        </w:rPr>
        <w:t xml:space="preserve">continue </w:t>
      </w:r>
      <w:r w:rsidRPr="007F6332">
        <w:rPr>
          <w:rFonts w:cs="Arial"/>
        </w:rPr>
        <w:t>and that the Agency and disability sector more broadly will continue to be adequately resourced.</w:t>
      </w:r>
    </w:p>
    <w:p w14:paraId="4804EC12" w14:textId="4259C84A" w:rsidR="00DE38C9" w:rsidRPr="007F6332" w:rsidRDefault="00DE38C9" w:rsidP="00DE38C9">
      <w:pPr>
        <w:pStyle w:val="FSRnormal"/>
        <w:rPr>
          <w:rFonts w:cs="Arial"/>
        </w:rPr>
      </w:pPr>
      <w:r w:rsidRPr="007F6332">
        <w:rPr>
          <w:rFonts w:cs="Arial"/>
        </w:rPr>
        <w:t>In Table 5.</w:t>
      </w:r>
      <w:r w:rsidR="00D7753B" w:rsidRPr="007F6332">
        <w:rPr>
          <w:rFonts w:cs="Arial"/>
        </w:rPr>
        <w:t>36</w:t>
      </w:r>
      <w:r w:rsidRPr="007F6332">
        <w:rPr>
          <w:rFonts w:cs="Arial"/>
        </w:rPr>
        <w:t xml:space="preserve"> of Section 5.</w:t>
      </w:r>
      <w:r w:rsidR="00D7753B" w:rsidRPr="007F6332">
        <w:rPr>
          <w:rFonts w:cs="Arial"/>
        </w:rPr>
        <w:t>10</w:t>
      </w:r>
      <w:r w:rsidRPr="007F6332">
        <w:rPr>
          <w:rFonts w:cs="Arial"/>
        </w:rPr>
        <w:t xml:space="preserve"> the projected operating expenses before </w:t>
      </w:r>
      <w:r w:rsidR="002D6881" w:rsidRPr="007F6332">
        <w:rPr>
          <w:rFonts w:cs="Arial"/>
        </w:rPr>
        <w:t>Budget initiatives</w:t>
      </w:r>
      <w:r w:rsidRPr="007F6332">
        <w:rPr>
          <w:rFonts w:cs="Arial"/>
        </w:rPr>
        <w:t xml:space="preserve"> are shown based on the 2022-23 Scheme projections and reflect higher projected participant numbers compared with the previous review, assuming a consistent level of resources per participant supported each year. The 2023-24 Budget includes Agency operating expenses of $1,680 million in 2024-25, approximately $</w:t>
      </w:r>
      <w:r w:rsidR="00EE2C5D" w:rsidRPr="007F6332">
        <w:rPr>
          <w:rFonts w:cs="Arial"/>
        </w:rPr>
        <w:t>470</w:t>
      </w:r>
      <w:r w:rsidRPr="007F6332">
        <w:rPr>
          <w:rFonts w:cs="Arial"/>
        </w:rPr>
        <w:t xml:space="preserve"> million lower than </w:t>
      </w:r>
      <w:r w:rsidR="00D7753B" w:rsidRPr="007F6332">
        <w:rPr>
          <w:rFonts w:cs="Arial"/>
        </w:rPr>
        <w:t xml:space="preserve">budgeted </w:t>
      </w:r>
      <w:r w:rsidRPr="007F6332">
        <w:rPr>
          <w:rFonts w:cs="Arial"/>
        </w:rPr>
        <w:t>projected expenses in 202</w:t>
      </w:r>
      <w:r w:rsidR="00D7753B" w:rsidRPr="007F6332">
        <w:rPr>
          <w:rFonts w:cs="Arial"/>
        </w:rPr>
        <w:t>3-2</w:t>
      </w:r>
      <w:r w:rsidRPr="007F6332">
        <w:rPr>
          <w:rFonts w:cs="Arial"/>
        </w:rPr>
        <w:t>4</w:t>
      </w:r>
      <w:r w:rsidR="00D7753B" w:rsidRPr="007F6332">
        <w:rPr>
          <w:rFonts w:cs="Arial"/>
        </w:rPr>
        <w:t>.</w:t>
      </w:r>
      <w:r w:rsidRPr="007F6332">
        <w:rPr>
          <w:rFonts w:cs="Arial"/>
        </w:rPr>
        <w:t xml:space="preserve"> </w:t>
      </w:r>
      <w:r w:rsidR="00D7753B" w:rsidRPr="007F6332">
        <w:rPr>
          <w:rFonts w:cs="Arial"/>
        </w:rPr>
        <w:t xml:space="preserve">Such a </w:t>
      </w:r>
      <w:r w:rsidRPr="007F6332">
        <w:rPr>
          <w:rFonts w:cs="Arial"/>
        </w:rPr>
        <w:t xml:space="preserve">proposed reduction in operating expenses </w:t>
      </w:r>
      <w:r w:rsidR="00D7753B" w:rsidRPr="007F6332">
        <w:rPr>
          <w:rFonts w:cs="Arial"/>
        </w:rPr>
        <w:t xml:space="preserve">would </w:t>
      </w:r>
      <w:r w:rsidRPr="007F6332">
        <w:rPr>
          <w:rFonts w:cs="Arial"/>
        </w:rPr>
        <w:t xml:space="preserve">result in </w:t>
      </w:r>
      <w:r w:rsidR="00EE2C5D" w:rsidRPr="007F6332">
        <w:rPr>
          <w:rFonts w:cs="Arial"/>
        </w:rPr>
        <w:t xml:space="preserve">substantial </w:t>
      </w:r>
      <w:r w:rsidRPr="007F6332">
        <w:rPr>
          <w:rFonts w:cs="Arial"/>
        </w:rPr>
        <w:t>reductions in resources, leading to increased workloads and less capacity to support participants and manage risk, including fraud and integrity.</w:t>
      </w:r>
    </w:p>
    <w:p w14:paraId="0182B8D4" w14:textId="4BA2DDE5" w:rsidR="00DE38C9" w:rsidRPr="007F6332" w:rsidRDefault="00DE38C9" w:rsidP="00E02C33">
      <w:pPr>
        <w:autoSpaceDE w:val="0"/>
        <w:autoSpaceDN w:val="0"/>
        <w:adjustRightInd w:val="0"/>
        <w:spacing w:before="240" w:after="240"/>
        <w:rPr>
          <w:rFonts w:cs="Arial"/>
        </w:rPr>
      </w:pPr>
      <w:r w:rsidRPr="007F6332">
        <w:rPr>
          <w:rFonts w:cs="Arial"/>
          <w:iCs/>
          <w:lang w:val="en-AU"/>
        </w:rPr>
        <w:t>The mitigation strategies outlined in the Corporate Plan aim to enhance the Agency’</w:t>
      </w:r>
      <w:r w:rsidR="00D7753B" w:rsidRPr="007F6332">
        <w:rPr>
          <w:rFonts w:cs="Arial"/>
          <w:iCs/>
          <w:lang w:val="en-AU"/>
        </w:rPr>
        <w:t xml:space="preserve">s </w:t>
      </w:r>
      <w:r w:rsidR="00D7753B" w:rsidRPr="007F6332">
        <w:rPr>
          <w:rFonts w:cs="Arial"/>
        </w:rPr>
        <w:t>workforce and culture strategies and put in place the right capability and capacity strategies, processes and supports to maintain a high performing workforce.</w:t>
      </w:r>
    </w:p>
    <w:p w14:paraId="0EF94182" w14:textId="77777777" w:rsidR="00DE38C9" w:rsidRPr="007F6332" w:rsidRDefault="00DE38C9" w:rsidP="00E81C0D">
      <w:pPr>
        <w:pStyle w:val="Heading4"/>
        <w:ind w:left="851" w:hanging="851"/>
        <w:rPr>
          <w:rFonts w:cs="Arial"/>
        </w:rPr>
      </w:pPr>
      <w:r w:rsidRPr="007F6332">
        <w:rPr>
          <w:rFonts w:cs="Arial"/>
        </w:rPr>
        <w:t>Strategic risk 6 – Scheme integrity</w:t>
      </w:r>
    </w:p>
    <w:p w14:paraId="0B52DD51" w14:textId="77777777" w:rsidR="00DE38C9" w:rsidRPr="007F6332" w:rsidRDefault="00DE38C9" w:rsidP="00DE38C9">
      <w:pPr>
        <w:autoSpaceDE w:val="0"/>
        <w:autoSpaceDN w:val="0"/>
        <w:adjustRightInd w:val="0"/>
        <w:spacing w:after="0" w:line="240" w:lineRule="auto"/>
        <w:rPr>
          <w:rFonts w:eastAsiaTheme="minorHAnsi" w:cs="Arial"/>
          <w:i/>
          <w:iCs/>
          <w:color w:val="000000"/>
          <w:szCs w:val="22"/>
          <w:lang w:val="en-AU" w:eastAsia="en-US"/>
        </w:rPr>
      </w:pPr>
      <w:r w:rsidRPr="007F6332">
        <w:rPr>
          <w:rFonts w:eastAsiaTheme="minorHAnsi" w:cs="Arial"/>
          <w:i/>
          <w:iCs/>
          <w:color w:val="000000"/>
          <w:szCs w:val="22"/>
          <w:lang w:val="en-AU" w:eastAsia="en-US"/>
        </w:rPr>
        <w:t>Ability to protect the Scheme and participants against fraud and non-compliance.</w:t>
      </w:r>
    </w:p>
    <w:p w14:paraId="0501172D" w14:textId="09659EA5" w:rsidR="00DE38C9" w:rsidRPr="007F6332" w:rsidRDefault="00DE38C9" w:rsidP="00DE38C9">
      <w:pPr>
        <w:pStyle w:val="FSRnormal"/>
        <w:rPr>
          <w:rFonts w:cs="Arial"/>
        </w:rPr>
      </w:pPr>
      <w:r w:rsidRPr="007F6332">
        <w:rPr>
          <w:rFonts w:cs="Arial"/>
        </w:rPr>
        <w:t xml:space="preserve">Fraud and non-compliance within the Scheme erode participant outcomes and inflate Scheme expenses and maintaining the Scheme’s integrity by addressing Strategic Risk 6 is </w:t>
      </w:r>
      <w:r w:rsidR="00EE2C5D" w:rsidRPr="007F6332">
        <w:rPr>
          <w:rFonts w:cs="Arial"/>
        </w:rPr>
        <w:t xml:space="preserve">therefore </w:t>
      </w:r>
      <w:r w:rsidRPr="007F6332">
        <w:rPr>
          <w:rFonts w:cs="Arial"/>
        </w:rPr>
        <w:t>critical to its financial sustainability.</w:t>
      </w:r>
    </w:p>
    <w:p w14:paraId="15E2D1A9" w14:textId="422783FE" w:rsidR="00DE38C9" w:rsidRPr="007F6332" w:rsidRDefault="00DE38C9" w:rsidP="00DE38C9">
      <w:pPr>
        <w:pStyle w:val="FSRnormal"/>
        <w:rPr>
          <w:rFonts w:cs="Arial"/>
        </w:rPr>
      </w:pPr>
      <w:r w:rsidRPr="007F6332">
        <w:rPr>
          <w:rFonts w:cs="Arial"/>
        </w:rPr>
        <w:t xml:space="preserve">The </w:t>
      </w:r>
      <w:r w:rsidR="00D7753B" w:rsidRPr="007F6332">
        <w:rPr>
          <w:rFonts w:cs="Arial"/>
        </w:rPr>
        <w:t>m</w:t>
      </w:r>
      <w:r w:rsidRPr="007F6332">
        <w:rPr>
          <w:rFonts w:cs="Arial"/>
        </w:rPr>
        <w:t>itigation strategies in the Corporate Plan which address risks to the Scheme’s integrity are as follows:</w:t>
      </w:r>
    </w:p>
    <w:p w14:paraId="3991F3FC" w14:textId="77777777" w:rsidR="00DE38C9" w:rsidRPr="007F6332" w:rsidRDefault="00DE38C9" w:rsidP="00E02C33">
      <w:pPr>
        <w:pStyle w:val="FSRlist"/>
        <w:rPr>
          <w:rFonts w:cs="Arial"/>
        </w:rPr>
      </w:pPr>
      <w:r w:rsidRPr="007F6332">
        <w:rPr>
          <w:rFonts w:cs="Arial"/>
        </w:rPr>
        <w:lastRenderedPageBreak/>
        <w:t xml:space="preserve">Expanded and more sophisticated prevention, detection and treatment options for fraud and non-compliance. </w:t>
      </w:r>
    </w:p>
    <w:p w14:paraId="2F49D37E" w14:textId="77777777" w:rsidR="00DE38C9" w:rsidRPr="007F6332" w:rsidRDefault="00DE38C9" w:rsidP="00E02C33">
      <w:pPr>
        <w:pStyle w:val="FSRlist"/>
        <w:rPr>
          <w:rFonts w:cs="Arial"/>
        </w:rPr>
      </w:pPr>
      <w:r w:rsidRPr="007F6332">
        <w:rPr>
          <w:rFonts w:cs="Arial"/>
        </w:rPr>
        <w:t xml:space="preserve">Implement enhancements identified through the efforts of the Fraud Fusion Taskforce. </w:t>
      </w:r>
    </w:p>
    <w:p w14:paraId="3E4348C3" w14:textId="77777777" w:rsidR="00DE38C9" w:rsidRPr="007F6332" w:rsidRDefault="00DE38C9" w:rsidP="00E02C33">
      <w:pPr>
        <w:pStyle w:val="FSRlist"/>
        <w:rPr>
          <w:rFonts w:cs="Arial"/>
        </w:rPr>
      </w:pPr>
      <w:r w:rsidRPr="007F6332">
        <w:rPr>
          <w:rFonts w:cs="Arial"/>
        </w:rPr>
        <w:t>Recognise the threat of cyber-attack and commit to maintain appropriate cyber security measures according to the Australian Government Security Framework (AGSF) inclusive of the Protective Security Policy Framework (PSPF), Australian Government Information Security Manual (ISM) and the Australian Secret Intelligence Organisation’s (ASIO) Technical Notes.</w:t>
      </w:r>
    </w:p>
    <w:p w14:paraId="364B3F53" w14:textId="77777777" w:rsidR="00DE38C9" w:rsidRPr="007F6332" w:rsidRDefault="00DE38C9" w:rsidP="00DE38C9">
      <w:pPr>
        <w:pStyle w:val="FSRnormal"/>
        <w:rPr>
          <w:rFonts w:cs="Arial"/>
        </w:rPr>
      </w:pPr>
      <w:r w:rsidRPr="007F6332">
        <w:rPr>
          <w:rFonts w:cs="Arial"/>
        </w:rPr>
        <w:t>While improvements to Agency processes are underway, as well as initiatives to address fraud and non-compliance, many of these are at an early stage. To the extent any such initiatives are already implemented they will be reflected in the experience used to set the assumptions at this review, but no additional future savings have been allowed for explicitly in the projections presented.</w:t>
      </w:r>
    </w:p>
    <w:p w14:paraId="7FC92EDC" w14:textId="00FF6D09" w:rsidR="00DE38C9" w:rsidRPr="007F6332" w:rsidRDefault="00DE38C9" w:rsidP="00DE38C9">
      <w:pPr>
        <w:pStyle w:val="FSRnormal"/>
        <w:rPr>
          <w:rFonts w:cs="Arial"/>
          <w:iCs/>
        </w:rPr>
      </w:pPr>
      <w:r w:rsidRPr="007F6332">
        <w:rPr>
          <w:rFonts w:cs="Arial"/>
        </w:rPr>
        <w:t>To further curtail fraud and non-compliance in the Scheme, Section 9 of this report includes a recommendation for the focus of the Agency, with the support of additional investment, to move from monitoring behaviour of providers to one of taking action to reduce non-compliant and fraudulent behaviours.</w:t>
      </w:r>
    </w:p>
    <w:p w14:paraId="6417BAB6" w14:textId="77777777" w:rsidR="00DE38C9" w:rsidRPr="007F6332" w:rsidRDefault="00DE38C9" w:rsidP="00E81C0D">
      <w:pPr>
        <w:pStyle w:val="Heading4"/>
        <w:ind w:left="851" w:hanging="851"/>
        <w:rPr>
          <w:rFonts w:cs="Arial"/>
        </w:rPr>
      </w:pPr>
      <w:r w:rsidRPr="007F6332">
        <w:rPr>
          <w:rFonts w:cs="Arial"/>
        </w:rPr>
        <w:t>Strategic risk 7 – Change delivery and capacity</w:t>
      </w:r>
    </w:p>
    <w:p w14:paraId="7D62BDA4" w14:textId="77777777" w:rsidR="00DE38C9" w:rsidRPr="007F6332" w:rsidRDefault="00DE38C9" w:rsidP="00DE38C9">
      <w:pPr>
        <w:autoSpaceDE w:val="0"/>
        <w:autoSpaceDN w:val="0"/>
        <w:adjustRightInd w:val="0"/>
        <w:spacing w:after="0" w:line="240" w:lineRule="auto"/>
        <w:rPr>
          <w:rFonts w:eastAsiaTheme="minorHAnsi" w:cs="Arial"/>
          <w:i/>
          <w:iCs/>
          <w:szCs w:val="22"/>
          <w:lang w:val="en-AU" w:eastAsia="en-US"/>
        </w:rPr>
      </w:pPr>
      <w:r w:rsidRPr="007F6332">
        <w:rPr>
          <w:rFonts w:eastAsiaTheme="minorHAnsi" w:cs="Arial"/>
          <w:i/>
          <w:iCs/>
          <w:szCs w:val="22"/>
          <w:lang w:val="en-AU" w:eastAsia="en-US"/>
        </w:rPr>
        <w:t>Ability to implement fast-paced strategic initiatives, with a high degree of operational and Scheme readiness.</w:t>
      </w:r>
    </w:p>
    <w:p w14:paraId="50124180" w14:textId="77777777" w:rsidR="00DE38C9" w:rsidRPr="007F6332" w:rsidRDefault="00DE38C9" w:rsidP="00DE38C9">
      <w:pPr>
        <w:pStyle w:val="FSRnormal"/>
        <w:rPr>
          <w:rFonts w:cs="Arial"/>
        </w:rPr>
      </w:pPr>
      <w:r w:rsidRPr="007F6332">
        <w:rPr>
          <w:rFonts w:cs="Arial"/>
        </w:rPr>
        <w:t xml:space="preserve">The 2022-23 projection of Scheme expenses allows for the expected impact of the measures announced in the 2023-24 Budget to lift the NDIA’s capability, capacity, and systems to better support participants. Effective implementation of these and other strategic initiatives and mitigating risks to these initiatives is key to ensuring the Scheme’s financial sustainability. </w:t>
      </w:r>
    </w:p>
    <w:p w14:paraId="6767AE54" w14:textId="2E1FE030" w:rsidR="00DE38C9" w:rsidRPr="007F6332" w:rsidRDefault="00DE38C9" w:rsidP="00DE38C9">
      <w:pPr>
        <w:pStyle w:val="FSRnormal"/>
        <w:rPr>
          <w:rFonts w:cs="Arial"/>
        </w:rPr>
      </w:pPr>
      <w:r w:rsidRPr="007F6332">
        <w:rPr>
          <w:rFonts w:cs="Arial"/>
        </w:rPr>
        <w:t xml:space="preserve">The implementation of the Budget measures is still in </w:t>
      </w:r>
      <w:r w:rsidR="003171CA" w:rsidRPr="007F6332">
        <w:rPr>
          <w:rFonts w:cs="Arial"/>
        </w:rPr>
        <w:t xml:space="preserve">its </w:t>
      </w:r>
      <w:r w:rsidRPr="007F6332">
        <w:rPr>
          <w:rFonts w:cs="Arial"/>
        </w:rPr>
        <w:t xml:space="preserve">early stages and as such there is uncertainty around the level to which they will mitigate Scheme growth. In Section 6.1 a scenario is presented without the impact of the </w:t>
      </w:r>
      <w:r w:rsidR="002D6881" w:rsidRPr="007F6332">
        <w:rPr>
          <w:rFonts w:cs="Arial"/>
        </w:rPr>
        <w:t>Budget initiatives</w:t>
      </w:r>
      <w:r w:rsidRPr="007F6332">
        <w:rPr>
          <w:rFonts w:cs="Arial"/>
        </w:rPr>
        <w:t xml:space="preserve"> resulting in an increase to Scheme expenses of $6.2 billion in 2026-27 and $15.4 billion in 2032-33 relative to the June 2023 projections documented in this 2022-23 AFSR.</w:t>
      </w:r>
    </w:p>
    <w:p w14:paraId="0F97BCC3" w14:textId="4B0C7E4A" w:rsidR="00DE38C9" w:rsidRPr="007F6332" w:rsidRDefault="00DE38C9" w:rsidP="00DE38C9">
      <w:pPr>
        <w:pStyle w:val="FSRnormal"/>
        <w:rPr>
          <w:rFonts w:cs="Arial"/>
        </w:rPr>
      </w:pPr>
      <w:r w:rsidRPr="007F6332">
        <w:rPr>
          <w:rFonts w:cs="Arial"/>
        </w:rPr>
        <w:t>Another significant initiative impacting the Scheme is the planned national roll-out of 3P (PACE). The transition to this new CRM system is intended to deliver medium and long-term improvements to the efficiency of planning processes for the Agency and improve the participant experience. However as with any material shift in information and communications technology, there could be short term implementation issues.</w:t>
      </w:r>
    </w:p>
    <w:p w14:paraId="4B313C10" w14:textId="3955B7B2" w:rsidR="00DE38C9" w:rsidRPr="007F6332" w:rsidRDefault="00DE38C9" w:rsidP="00DE38C9">
      <w:pPr>
        <w:pStyle w:val="FSRnormal"/>
        <w:rPr>
          <w:rFonts w:cs="Arial"/>
        </w:rPr>
      </w:pPr>
      <w:r w:rsidRPr="007F6332">
        <w:rPr>
          <w:rFonts w:cs="Arial"/>
        </w:rPr>
        <w:t xml:space="preserve">The </w:t>
      </w:r>
      <w:r w:rsidR="003171CA" w:rsidRPr="007F6332">
        <w:rPr>
          <w:rFonts w:cs="Arial"/>
        </w:rPr>
        <w:t>m</w:t>
      </w:r>
      <w:r w:rsidRPr="007F6332">
        <w:rPr>
          <w:rFonts w:cs="Arial"/>
        </w:rPr>
        <w:t>itigation strategies in the Corporate Plan which address Change delivery and capacity risks focus on:</w:t>
      </w:r>
    </w:p>
    <w:p w14:paraId="3ADA06A2" w14:textId="77777777" w:rsidR="00DE38C9" w:rsidRPr="007F6332" w:rsidRDefault="00DE38C9" w:rsidP="00DE38C9">
      <w:pPr>
        <w:pStyle w:val="FSRlist"/>
        <w:ind w:left="1080"/>
        <w:rPr>
          <w:rFonts w:cs="Arial"/>
        </w:rPr>
      </w:pPr>
      <w:r w:rsidRPr="007F6332">
        <w:rPr>
          <w:rFonts w:cs="Arial"/>
        </w:rPr>
        <w:lastRenderedPageBreak/>
        <w:t>Investing in continuous improvement approaches for major project management capability.</w:t>
      </w:r>
    </w:p>
    <w:p w14:paraId="593D4001" w14:textId="77777777" w:rsidR="00DE38C9" w:rsidRPr="007F6332" w:rsidRDefault="00DE38C9" w:rsidP="00DE38C9">
      <w:pPr>
        <w:pStyle w:val="FSRlist"/>
        <w:ind w:left="1080"/>
        <w:rPr>
          <w:rFonts w:cs="Arial"/>
        </w:rPr>
      </w:pPr>
      <w:r w:rsidRPr="007F6332">
        <w:rPr>
          <w:rFonts w:cs="Arial"/>
        </w:rPr>
        <w:t>Working collaboratively with Scheme stakeholders to prepare for significant changes.</w:t>
      </w:r>
    </w:p>
    <w:p w14:paraId="1DCD4753" w14:textId="77777777" w:rsidR="00DE38C9" w:rsidRPr="007F6332" w:rsidRDefault="00DE38C9" w:rsidP="00DE38C9">
      <w:pPr>
        <w:pStyle w:val="FSRlist"/>
        <w:ind w:left="1080"/>
        <w:rPr>
          <w:rFonts w:cs="Arial"/>
        </w:rPr>
      </w:pPr>
      <w:r w:rsidRPr="007F6332">
        <w:rPr>
          <w:rFonts w:cs="Arial"/>
        </w:rPr>
        <w:t>Establishing a strategic change capability to ensure a coordinated and targeted effort towards effective implementation and monitoring of the NDIA’s strategic reform priorities.</w:t>
      </w:r>
    </w:p>
    <w:p w14:paraId="6735F046" w14:textId="77777777" w:rsidR="00DE38C9" w:rsidRPr="007F6332" w:rsidRDefault="00DE38C9" w:rsidP="00DE38C9">
      <w:pPr>
        <w:pStyle w:val="FSRlist"/>
        <w:ind w:left="1080"/>
        <w:rPr>
          <w:rFonts w:cs="Arial"/>
        </w:rPr>
      </w:pPr>
      <w:r w:rsidRPr="007F6332">
        <w:rPr>
          <w:rFonts w:cs="Arial"/>
        </w:rPr>
        <w:t>The establishment of a rapid policy implementation approach to deliver coordinated implementation of high priority, urgent operational changes.</w:t>
      </w:r>
    </w:p>
    <w:p w14:paraId="1B4FA551" w14:textId="4F1BB87D" w:rsidR="00DE38C9" w:rsidRPr="007F6332" w:rsidRDefault="00DE38C9" w:rsidP="00DE38C9">
      <w:pPr>
        <w:pStyle w:val="FSRlist"/>
        <w:numPr>
          <w:ilvl w:val="0"/>
          <w:numId w:val="0"/>
        </w:numPr>
        <w:rPr>
          <w:rFonts w:cs="Arial"/>
        </w:rPr>
      </w:pPr>
      <w:r w:rsidRPr="007F6332">
        <w:rPr>
          <w:rFonts w:cs="Arial"/>
        </w:rPr>
        <w:t>Additionally, as mentioned under Strategic Risk 4 above, the Agency ha</w:t>
      </w:r>
      <w:r w:rsidR="00EE2C5D" w:rsidRPr="007F6332">
        <w:rPr>
          <w:rFonts w:cs="Arial"/>
        </w:rPr>
        <w:t>s</w:t>
      </w:r>
      <w:r w:rsidRPr="007F6332">
        <w:rPr>
          <w:rFonts w:cs="Arial"/>
        </w:rPr>
        <w:t xml:space="preserve"> included as a mitigation strategy</w:t>
      </w:r>
      <w:r w:rsidR="00EE2C5D" w:rsidRPr="007F6332">
        <w:rPr>
          <w:rFonts w:cs="Arial"/>
        </w:rPr>
        <w:t>,</w:t>
      </w:r>
      <w:r w:rsidRPr="007F6332">
        <w:rPr>
          <w:rFonts w:cs="Arial"/>
        </w:rPr>
        <w:t xml:space="preserve"> to work closely with the disability community to implement the measures announced by the Government as part of its Budget package on 9 May 2023 to improve outcomes for participants and ensure the sustainability of the NDIS for future generations. Through this close collaboration, other opportunities to moderate future growth will be identified. </w:t>
      </w:r>
    </w:p>
    <w:p w14:paraId="12831ADC" w14:textId="458E8C55" w:rsidR="00DE38C9" w:rsidRPr="007F6332" w:rsidRDefault="00DE38C9" w:rsidP="00DE38C9">
      <w:pPr>
        <w:pStyle w:val="FSRnormal"/>
        <w:rPr>
          <w:rFonts w:cs="Arial"/>
        </w:rPr>
      </w:pPr>
      <w:r w:rsidRPr="007F6332">
        <w:rPr>
          <w:rFonts w:cs="Arial"/>
        </w:rPr>
        <w:t xml:space="preserve">Section 9 of this report includes recommendations in relation to both the </w:t>
      </w:r>
      <w:r w:rsidR="002D6881" w:rsidRPr="007F6332">
        <w:rPr>
          <w:rFonts w:cs="Arial"/>
        </w:rPr>
        <w:t>Budget initiatives</w:t>
      </w:r>
      <w:r w:rsidRPr="007F6332">
        <w:rPr>
          <w:rFonts w:cs="Arial"/>
        </w:rPr>
        <w:t xml:space="preserve"> and 3P (PACE), which at a high level include monitoring of the effectiveness of the various initiatives contained within these programs and improve the data collection and quality to enhance future decision-making.</w:t>
      </w:r>
    </w:p>
    <w:p w14:paraId="7FEA9134" w14:textId="77777777" w:rsidR="00DE38C9" w:rsidRPr="007F6332" w:rsidRDefault="00DE38C9" w:rsidP="00E81C0D">
      <w:pPr>
        <w:pStyle w:val="Heading3"/>
        <w:ind w:left="709" w:hanging="709"/>
        <w:rPr>
          <w:rFonts w:cs="Arial"/>
          <w:lang w:val="en-AU"/>
        </w:rPr>
      </w:pPr>
      <w:bookmarkStart w:id="284" w:name="_Toc152615011"/>
      <w:r w:rsidRPr="007F6332">
        <w:rPr>
          <w:rFonts w:cs="Arial"/>
          <w:lang w:val="en-AU"/>
        </w:rPr>
        <w:t>Modelling Risks</w:t>
      </w:r>
      <w:bookmarkEnd w:id="284"/>
    </w:p>
    <w:p w14:paraId="64D16941" w14:textId="77777777" w:rsidR="00DE38C9" w:rsidRPr="007F6332" w:rsidRDefault="00DE38C9" w:rsidP="00DE38C9">
      <w:pPr>
        <w:pStyle w:val="FSRnormal"/>
        <w:rPr>
          <w:rFonts w:cs="Arial"/>
        </w:rPr>
      </w:pPr>
      <w:r w:rsidRPr="007F6332">
        <w:rPr>
          <w:rFonts w:cs="Arial"/>
        </w:rPr>
        <w:t xml:space="preserve">The decisions made in relation to the Scheme’s ongoing operations and financial sustainability are at least in part reliant upon the modelling provided to decision makers. NDIS payment processes are still evolving and there is a limited history available for setting assumptions, as well as some limitations in the data available for analysis. </w:t>
      </w:r>
    </w:p>
    <w:p w14:paraId="043F0B8B" w14:textId="0D0ABFE3" w:rsidR="000F47AF" w:rsidRPr="007F6332" w:rsidRDefault="000F47AF" w:rsidP="00DE38C9">
      <w:pPr>
        <w:pStyle w:val="FSRnormal"/>
        <w:rPr>
          <w:rFonts w:cs="Arial"/>
        </w:rPr>
      </w:pPr>
      <w:bookmarkStart w:id="285" w:name="_Hlk150701033"/>
      <w:r w:rsidRPr="007F6332">
        <w:rPr>
          <w:rFonts w:cs="Arial"/>
        </w:rPr>
        <w:t>Modelling imperfections exist, which</w:t>
      </w:r>
      <w:r w:rsidRPr="007F6332" w:rsidDel="00975D97">
        <w:rPr>
          <w:rFonts w:cs="Arial"/>
        </w:rPr>
        <w:t xml:space="preserve"> relate to factors impacting the Scheme that are not reflected in the projections, or are indirectly captured in the projections but not explicitly allowed for in the structure of the modelling or the assumptions used. Examples include increases in plan utilisation with increased duration in the Scheme, the level of fraud and/or non-compliance within the Scheme, and the impacts of government policy or legislative changes to the Scheme’s operations.</w:t>
      </w:r>
    </w:p>
    <w:p w14:paraId="4755BB10" w14:textId="2644C2BB" w:rsidR="00DE38C9" w:rsidRPr="007F6332" w:rsidRDefault="00DE38C9" w:rsidP="00F12926">
      <w:pPr>
        <w:pStyle w:val="FSRnormal"/>
        <w:rPr>
          <w:rFonts w:cs="Arial"/>
        </w:rPr>
      </w:pPr>
      <w:bookmarkStart w:id="286" w:name="_Hlk150701113"/>
      <w:bookmarkStart w:id="287" w:name="_Hlk150701066"/>
      <w:bookmarkEnd w:id="285"/>
      <w:r w:rsidRPr="007F6332">
        <w:rPr>
          <w:rFonts w:cs="Arial"/>
        </w:rPr>
        <w:t>The</w:t>
      </w:r>
      <w:r w:rsidR="00F12926" w:rsidRPr="007F6332">
        <w:rPr>
          <w:rFonts w:cs="Arial"/>
        </w:rPr>
        <w:t xml:space="preserve">se limitations give rise to </w:t>
      </w:r>
      <w:r w:rsidRPr="007F6332">
        <w:rPr>
          <w:rFonts w:cs="Arial"/>
        </w:rPr>
        <w:t>model specification risk, which is the risk that</w:t>
      </w:r>
      <w:r w:rsidR="00F12926" w:rsidRPr="007F6332">
        <w:rPr>
          <w:rFonts w:cs="Arial"/>
        </w:rPr>
        <w:t xml:space="preserve"> the model is not an accurate representation of reality. The dynamically changing nature of the NDIS means that the</w:t>
      </w:r>
      <w:r w:rsidRPr="007F6332">
        <w:rPr>
          <w:rFonts w:cs="Arial"/>
        </w:rPr>
        <w:t xml:space="preserve"> actual outcomes of the Scheme </w:t>
      </w:r>
      <w:r w:rsidR="004E7404" w:rsidRPr="007F6332">
        <w:rPr>
          <w:rFonts w:cs="Arial"/>
        </w:rPr>
        <w:t xml:space="preserve">may </w:t>
      </w:r>
      <w:r w:rsidRPr="007F6332">
        <w:rPr>
          <w:rFonts w:cs="Arial"/>
        </w:rPr>
        <w:t>vary from the projections</w:t>
      </w:r>
      <w:r w:rsidR="00F12926" w:rsidRPr="007F6332">
        <w:rPr>
          <w:rFonts w:cs="Arial"/>
        </w:rPr>
        <w:t>.</w:t>
      </w:r>
      <w:r w:rsidRPr="007F6332">
        <w:rPr>
          <w:rFonts w:cs="Arial"/>
        </w:rPr>
        <w:t xml:space="preserve"> </w:t>
      </w:r>
      <w:r w:rsidR="00975D97" w:rsidRPr="007F6332">
        <w:rPr>
          <w:rFonts w:cs="Arial"/>
        </w:rPr>
        <w:t xml:space="preserve">Model specification risk </w:t>
      </w:r>
      <w:r w:rsidRPr="007F6332">
        <w:rPr>
          <w:rFonts w:cs="Arial"/>
        </w:rPr>
        <w:t xml:space="preserve">is discussed in Section 6.2 and is explicitly included in the </w:t>
      </w:r>
      <w:r w:rsidR="0028489A" w:rsidRPr="007F6332">
        <w:rPr>
          <w:rFonts w:cs="Arial"/>
        </w:rPr>
        <w:t>s</w:t>
      </w:r>
      <w:r w:rsidRPr="007F6332">
        <w:rPr>
          <w:rFonts w:cs="Arial"/>
        </w:rPr>
        <w:t>tochastic analysis presented in that section</w:t>
      </w:r>
      <w:bookmarkEnd w:id="286"/>
      <w:r w:rsidRPr="007F6332">
        <w:rPr>
          <w:rFonts w:cs="Arial"/>
        </w:rPr>
        <w:t>.</w:t>
      </w:r>
    </w:p>
    <w:p w14:paraId="53E59A0D" w14:textId="77777777" w:rsidR="003149C1" w:rsidRPr="007F6332" w:rsidRDefault="003149C1" w:rsidP="00B55A92">
      <w:pPr>
        <w:pStyle w:val="Heading3"/>
        <w:rPr>
          <w:rFonts w:cs="Arial"/>
        </w:rPr>
        <w:sectPr w:rsidR="003149C1" w:rsidRPr="007F6332" w:rsidSect="00CE7E91">
          <w:pgSz w:w="11906" w:h="16838"/>
          <w:pgMar w:top="1440" w:right="1440" w:bottom="1440" w:left="1440" w:header="708" w:footer="850" w:gutter="0"/>
          <w:cols w:space="708"/>
          <w:docGrid w:linePitch="360"/>
        </w:sectPr>
      </w:pPr>
      <w:bookmarkStart w:id="288" w:name="_Toc152615012"/>
      <w:bookmarkEnd w:id="287"/>
    </w:p>
    <w:p w14:paraId="3896A40B" w14:textId="77777777" w:rsidR="00DE38C9" w:rsidRPr="007F6332" w:rsidRDefault="00DE38C9" w:rsidP="00E81C0D">
      <w:pPr>
        <w:pStyle w:val="Heading3"/>
        <w:ind w:left="709" w:hanging="709"/>
        <w:rPr>
          <w:rFonts w:cs="Arial"/>
          <w:lang w:val="en-AU"/>
        </w:rPr>
      </w:pPr>
      <w:r w:rsidRPr="007F6332">
        <w:rPr>
          <w:rFonts w:cs="Arial"/>
        </w:rPr>
        <w:lastRenderedPageBreak/>
        <w:t>Business</w:t>
      </w:r>
      <w:r w:rsidRPr="007F6332">
        <w:rPr>
          <w:rFonts w:cs="Arial"/>
          <w:lang w:val="en-AU"/>
        </w:rPr>
        <w:t xml:space="preserve"> continuity and Risk management system</w:t>
      </w:r>
      <w:bookmarkEnd w:id="288"/>
    </w:p>
    <w:p w14:paraId="06201257" w14:textId="77777777" w:rsidR="00DE38C9" w:rsidRPr="007F6332" w:rsidRDefault="00DE38C9" w:rsidP="00DE38C9">
      <w:pPr>
        <w:pStyle w:val="FSRnormal"/>
        <w:rPr>
          <w:rFonts w:cs="Arial"/>
        </w:rPr>
      </w:pPr>
      <w:r w:rsidRPr="007F6332">
        <w:rPr>
          <w:rFonts w:cs="Arial"/>
        </w:rPr>
        <w:t>The Agency is committed to ensuring that participant supports, provider services, and other critical business functions are maintained or quickly restored in the event of a significant outage, incident or crisis event. The Agency has established business continuity management plans, maintained through regular review and scenario analysis, to ensure the rapid resumption of participant and provider services and critical business activities in emergency situations.</w:t>
      </w:r>
    </w:p>
    <w:p w14:paraId="176C4D01" w14:textId="02EA77AD" w:rsidR="00DE38C9" w:rsidRPr="007F6332" w:rsidRDefault="00DE38C9" w:rsidP="00DE38C9">
      <w:pPr>
        <w:pStyle w:val="FSRnormal"/>
        <w:rPr>
          <w:rFonts w:cs="Arial"/>
        </w:rPr>
      </w:pPr>
      <w:r w:rsidRPr="007F6332">
        <w:rPr>
          <w:rFonts w:cs="Arial"/>
        </w:rPr>
        <w:t>The Agency’s integrated risk management system provides a single platform for managing operational, strategic, fraud, project and regulatory risks, audit recommendations, incidents, and business continuity plans. The system gives accountable executives extended visibility to the risks and controls within their business</w:t>
      </w:r>
      <w:r w:rsidR="009E4CF4" w:rsidRPr="007F6332">
        <w:rPr>
          <w:rFonts w:cs="Arial"/>
        </w:rPr>
        <w:t xml:space="preserve"> area</w:t>
      </w:r>
      <w:r w:rsidRPr="007F6332">
        <w:rPr>
          <w:rFonts w:cs="Arial"/>
        </w:rPr>
        <w:t xml:space="preserve"> and the broader Agency and provides for a connected risk environment through which inter-dependencies can be identified and managed.</w:t>
      </w:r>
    </w:p>
    <w:p w14:paraId="30D2D816" w14:textId="77777777" w:rsidR="00DE38C9" w:rsidRPr="007F6332" w:rsidRDefault="00DE38C9" w:rsidP="00E81C0D">
      <w:pPr>
        <w:pStyle w:val="Heading3"/>
        <w:ind w:left="709" w:hanging="709"/>
        <w:rPr>
          <w:rFonts w:cs="Arial"/>
          <w:lang w:val="en-AU"/>
        </w:rPr>
      </w:pPr>
      <w:bookmarkStart w:id="289" w:name="_Toc152615013"/>
      <w:r w:rsidRPr="007F6332">
        <w:rPr>
          <w:rFonts w:cs="Arial"/>
        </w:rPr>
        <w:t>Assessment</w:t>
      </w:r>
      <w:r w:rsidRPr="007F6332">
        <w:rPr>
          <w:rFonts w:cs="Arial"/>
          <w:lang w:val="en-AU"/>
        </w:rPr>
        <w:t xml:space="preserve"> of the Risk Management Framework</w:t>
      </w:r>
      <w:bookmarkEnd w:id="289"/>
    </w:p>
    <w:p w14:paraId="23B88ABA" w14:textId="77777777" w:rsidR="00DE38C9" w:rsidRPr="007F6332" w:rsidRDefault="00DE38C9" w:rsidP="00DE38C9">
      <w:pPr>
        <w:pStyle w:val="FSRnormal"/>
        <w:rPr>
          <w:rFonts w:cs="Arial"/>
        </w:rPr>
      </w:pPr>
      <w:r w:rsidRPr="007F6332">
        <w:rPr>
          <w:rFonts w:cs="Arial"/>
        </w:rPr>
        <w:t>While the Agency’s tools, processes and procedures are commensurate with an entity of this size and level of maturity, they will continue to evolve with the Scheme. Future advancement in risk maturity will focus on further embedding positive risk behaviours and culture within the Agency, continuing to improve the integration and digitisation of its risk ecosystem to enhance risk-based decision making and consistency (particularly around access and plan budgets), better governance and implementation of policy changes, and proactive management of financial sustainability risks.</w:t>
      </w:r>
    </w:p>
    <w:p w14:paraId="79AEC707" w14:textId="77777777" w:rsidR="00DE38C9" w:rsidRPr="007F6332" w:rsidRDefault="00DE38C9" w:rsidP="00DE38C9">
      <w:pPr>
        <w:pStyle w:val="FSRnormal"/>
        <w:rPr>
          <w:rFonts w:cs="Arial"/>
        </w:rPr>
      </w:pPr>
      <w:r w:rsidRPr="007F6332">
        <w:rPr>
          <w:rFonts w:cs="Arial"/>
        </w:rPr>
        <w:t>Managing strategic and operational risks to remain at an acceptable level is fundamental to the success and longevity of the Scheme. While strategies to mitigate these risks are articulated in current risk reporting, it will be important to monitor the effectiveness of these strategies in real time to ensure that they are having the desired impact and to make the necessary adjustments to ensure they remain within acceptable tolerances.</w:t>
      </w:r>
    </w:p>
    <w:p w14:paraId="41163FFE" w14:textId="3DCBAA91" w:rsidR="00DE38C9" w:rsidRPr="007F6332" w:rsidRDefault="00554CDB" w:rsidP="00DE38C9">
      <w:pPr>
        <w:pStyle w:val="FSRnormal"/>
        <w:rPr>
          <w:rFonts w:cs="Arial"/>
        </w:rPr>
      </w:pPr>
      <w:r w:rsidRPr="007F6332">
        <w:rPr>
          <w:rFonts w:cs="Arial"/>
        </w:rPr>
        <w:t>T</w:t>
      </w:r>
      <w:r w:rsidR="00DE38C9" w:rsidRPr="007F6332">
        <w:rPr>
          <w:rFonts w:cs="Arial"/>
        </w:rPr>
        <w:t xml:space="preserve">he risk management processes of the Agency and the Scheme </w:t>
      </w:r>
      <w:r w:rsidRPr="007F6332">
        <w:rPr>
          <w:rFonts w:cs="Arial"/>
        </w:rPr>
        <w:t xml:space="preserve">have been considered </w:t>
      </w:r>
      <w:r w:rsidR="00DE38C9" w:rsidRPr="007F6332">
        <w:rPr>
          <w:rFonts w:cs="Arial"/>
        </w:rPr>
        <w:t xml:space="preserve">and, based on the information available, </w:t>
      </w:r>
      <w:r w:rsidRPr="007F6332">
        <w:rPr>
          <w:rFonts w:cs="Arial"/>
        </w:rPr>
        <w:t xml:space="preserve">it is </w:t>
      </w:r>
      <w:r w:rsidR="00DE38C9" w:rsidRPr="007F6332">
        <w:rPr>
          <w:rFonts w:cs="Arial"/>
        </w:rPr>
        <w:t>assess</w:t>
      </w:r>
      <w:r w:rsidRPr="007F6332">
        <w:rPr>
          <w:rFonts w:cs="Arial"/>
        </w:rPr>
        <w:t>ed</w:t>
      </w:r>
      <w:r w:rsidR="00DE38C9" w:rsidRPr="007F6332">
        <w:rPr>
          <w:rFonts w:cs="Arial"/>
        </w:rPr>
        <w:t xml:space="preserve"> that they are operating effectively to support the financial sustainability of the Scheme. However, in this report </w:t>
      </w:r>
      <w:r w:rsidRPr="007F6332">
        <w:rPr>
          <w:rFonts w:cs="Arial"/>
        </w:rPr>
        <w:t>a</w:t>
      </w:r>
      <w:r w:rsidR="00DE38C9" w:rsidRPr="007F6332">
        <w:rPr>
          <w:rFonts w:cs="Arial"/>
        </w:rPr>
        <w:t xml:space="preserve"> number of key risks to the financial sustainability of the Scheme</w:t>
      </w:r>
      <w:r w:rsidRPr="007F6332">
        <w:rPr>
          <w:rFonts w:cs="Arial"/>
        </w:rPr>
        <w:t xml:space="preserve"> have been articulated</w:t>
      </w:r>
      <w:r w:rsidR="00DE38C9" w:rsidRPr="007F6332">
        <w:rPr>
          <w:rFonts w:cs="Arial"/>
        </w:rPr>
        <w:t xml:space="preserve"> and some areas of improvement to the risk management framework </w:t>
      </w:r>
      <w:r w:rsidRPr="007F6332">
        <w:rPr>
          <w:rFonts w:cs="Arial"/>
        </w:rPr>
        <w:t xml:space="preserve">have been identified </w:t>
      </w:r>
      <w:r w:rsidR="00DE38C9" w:rsidRPr="007F6332">
        <w:rPr>
          <w:rFonts w:cs="Arial"/>
        </w:rPr>
        <w:t xml:space="preserve">as set out in </w:t>
      </w:r>
      <w:r w:rsidRPr="007F6332">
        <w:rPr>
          <w:rFonts w:cs="Arial"/>
        </w:rPr>
        <w:t xml:space="preserve">the </w:t>
      </w:r>
      <w:r w:rsidR="00DE38C9" w:rsidRPr="007F6332">
        <w:rPr>
          <w:rFonts w:cs="Arial"/>
        </w:rPr>
        <w:t>recommendations in Section 9.</w:t>
      </w:r>
    </w:p>
    <w:p w14:paraId="133D431E" w14:textId="74DB6C2D" w:rsidR="008D6CCF" w:rsidRPr="007F6332" w:rsidRDefault="008D6CCF" w:rsidP="008D6CCF">
      <w:pPr>
        <w:rPr>
          <w:rFonts w:cs="Arial"/>
        </w:rPr>
      </w:pPr>
    </w:p>
    <w:p w14:paraId="16E58AD3" w14:textId="5D893DE0" w:rsidR="007148A0" w:rsidRPr="007F6332" w:rsidRDefault="002E7F61" w:rsidP="003E047F">
      <w:pPr>
        <w:pStyle w:val="Heading2"/>
        <w:tabs>
          <w:tab w:val="left" w:pos="709"/>
        </w:tabs>
        <w:ind w:hanging="1080"/>
        <w:rPr>
          <w:rFonts w:cs="Arial"/>
        </w:rPr>
      </w:pPr>
      <w:r w:rsidRPr="007F6332">
        <w:rPr>
          <w:rFonts w:cs="Arial"/>
        </w:rPr>
        <w:br w:type="page"/>
      </w:r>
      <w:bookmarkStart w:id="290" w:name="_Toc146286178"/>
      <w:bookmarkStart w:id="291" w:name="_Toc152615014"/>
      <w:r w:rsidR="00AF3D8D" w:rsidRPr="007F6332">
        <w:rPr>
          <w:rFonts w:cs="Arial"/>
        </w:rPr>
        <w:lastRenderedPageBreak/>
        <w:t>R</w:t>
      </w:r>
      <w:r w:rsidR="007148A0" w:rsidRPr="007F6332">
        <w:rPr>
          <w:rFonts w:cs="Arial"/>
        </w:rPr>
        <w:t>ecommendations</w:t>
      </w:r>
      <w:bookmarkEnd w:id="290"/>
      <w:bookmarkEnd w:id="291"/>
      <w:r w:rsidR="007148A0" w:rsidRPr="007F6332">
        <w:rPr>
          <w:rFonts w:cs="Arial"/>
        </w:rPr>
        <w:t xml:space="preserve"> </w:t>
      </w:r>
    </w:p>
    <w:p w14:paraId="1DE58149" w14:textId="77777777" w:rsidR="003A0B93" w:rsidRPr="007F6332" w:rsidRDefault="003A0B93" w:rsidP="003A0B93">
      <w:pPr>
        <w:pStyle w:val="FSRnormal"/>
        <w:rPr>
          <w:rFonts w:cs="Arial"/>
        </w:rPr>
      </w:pPr>
      <w:r w:rsidRPr="007F6332">
        <w:rPr>
          <w:rFonts w:cs="Arial"/>
        </w:rPr>
        <w:t>The AFSR is required to include “a discussion of the key risks and issues identified and, where these have an adverse impact on financial sustainability, recommendations designed to manage the risks or address the issues”</w:t>
      </w:r>
      <w:r w:rsidRPr="007F6332">
        <w:rPr>
          <w:rStyle w:val="FootnoteReference"/>
          <w:rFonts w:cs="Arial"/>
        </w:rPr>
        <w:footnoteReference w:id="163"/>
      </w:r>
      <w:r w:rsidRPr="007F6332">
        <w:rPr>
          <w:rFonts w:cs="Arial"/>
        </w:rPr>
        <w:t xml:space="preserve">. </w:t>
      </w:r>
    </w:p>
    <w:p w14:paraId="089DA02B" w14:textId="77777777" w:rsidR="003A0B93" w:rsidRPr="007F6332" w:rsidRDefault="003A0B93" w:rsidP="003A0B93">
      <w:pPr>
        <w:pStyle w:val="FSRnormal"/>
        <w:rPr>
          <w:rFonts w:cs="Arial"/>
        </w:rPr>
      </w:pPr>
      <w:r w:rsidRPr="007F6332">
        <w:rPr>
          <w:rFonts w:cs="Arial"/>
        </w:rPr>
        <w:t>It is important to recognise that measures to address financial sustainability risks do not just consider current and estimated future amounts of Scheme expenses or participant plan budgets. Many of the recommendations presented in this section are instead focused on reducing the level of uncertainty associated with future support needs and therefore payments made for supports, or on improving participant outcomes through the provision of supports funded by the Scheme. Reducing uncertainty and achieving positive outcomes from funded supports are both core components of financial sustainability.</w:t>
      </w:r>
    </w:p>
    <w:p w14:paraId="22165283" w14:textId="77777777" w:rsidR="003A0B93" w:rsidRPr="007F6332" w:rsidRDefault="003A0B93" w:rsidP="003A0B93">
      <w:pPr>
        <w:pStyle w:val="FSRnormal"/>
        <w:rPr>
          <w:rFonts w:cs="Arial"/>
        </w:rPr>
      </w:pPr>
      <w:r w:rsidRPr="007F6332">
        <w:rPr>
          <w:rFonts w:cs="Arial"/>
        </w:rPr>
        <w:t>Section 9.1 sets out a summary of the progress made during 2022-23 in relation to the recommendations made in the previous review. Section 9.2 includes new recommendations arising from the analysis undertaken in the development of this AFSR, that are intended to manage identified risks and achieve greater certainty in relation to the long-term financial sustainability of the Scheme.</w:t>
      </w:r>
    </w:p>
    <w:p w14:paraId="4D682A9B" w14:textId="10447465" w:rsidR="003A0B93" w:rsidRPr="007F6332" w:rsidRDefault="003A0B93" w:rsidP="003A0B93">
      <w:pPr>
        <w:spacing w:before="240"/>
        <w:rPr>
          <w:rFonts w:cs="Arial"/>
        </w:rPr>
      </w:pPr>
      <w:r w:rsidRPr="007F6332">
        <w:rPr>
          <w:rFonts w:cs="Arial"/>
        </w:rPr>
        <w:t>A</w:t>
      </w:r>
      <w:r w:rsidRPr="007F6332" w:rsidDel="00B54BCA">
        <w:rPr>
          <w:rFonts w:cs="Arial"/>
        </w:rPr>
        <w:t xml:space="preserve">s part of the Federal Budget delivered on 9 May 2023 (“the Budget”), the Government announced it will provide funding to the NDIS, over four years from 2023-24, to implement </w:t>
      </w:r>
      <w:r w:rsidRPr="007F6332">
        <w:rPr>
          <w:rFonts w:cs="Arial"/>
        </w:rPr>
        <w:t>initiatives</w:t>
      </w:r>
      <w:r w:rsidRPr="007F6332" w:rsidDel="00B54BCA">
        <w:rPr>
          <w:rFonts w:cs="Arial"/>
        </w:rPr>
        <w:t xml:space="preserve"> (“</w:t>
      </w:r>
      <w:r w:rsidR="002D6881" w:rsidRPr="007F6332">
        <w:rPr>
          <w:rFonts w:cs="Arial"/>
        </w:rPr>
        <w:t>Budget initiatives</w:t>
      </w:r>
      <w:r w:rsidRPr="007F6332" w:rsidDel="00B54BCA">
        <w:rPr>
          <w:rFonts w:cs="Arial"/>
        </w:rPr>
        <w:t xml:space="preserve">”) </w:t>
      </w:r>
      <w:r w:rsidRPr="007F6332">
        <w:rPr>
          <w:rFonts w:cs="Arial"/>
        </w:rPr>
        <w:t xml:space="preserve">aimed to support </w:t>
      </w:r>
      <w:r w:rsidRPr="007F6332" w:rsidDel="00B54BCA">
        <w:rPr>
          <w:rFonts w:cs="Arial"/>
        </w:rPr>
        <w:t>participant outcomes and address the effective and sustainable operat</w:t>
      </w:r>
      <w:r w:rsidRPr="007F6332">
        <w:rPr>
          <w:rFonts w:cs="Arial"/>
        </w:rPr>
        <w:t>ion</w:t>
      </w:r>
      <w:r w:rsidRPr="007F6332" w:rsidDel="00B54BCA">
        <w:rPr>
          <w:rFonts w:cs="Arial"/>
        </w:rPr>
        <w:t xml:space="preserve"> of the Scheme</w:t>
      </w:r>
      <w:r w:rsidRPr="007F6332" w:rsidDel="00B54BCA">
        <w:rPr>
          <w:rStyle w:val="FootnoteReference"/>
          <w:rFonts w:cs="Arial"/>
        </w:rPr>
        <w:footnoteReference w:id="164"/>
      </w:r>
      <w:r w:rsidRPr="007F6332" w:rsidDel="00B54BCA">
        <w:rPr>
          <w:rFonts w:cs="Arial"/>
        </w:rPr>
        <w:t xml:space="preserve">. </w:t>
      </w:r>
    </w:p>
    <w:p w14:paraId="30374CEF" w14:textId="1300FECB" w:rsidR="003A0B93" w:rsidRPr="007F6332" w:rsidRDefault="003A0B93" w:rsidP="003A0B93">
      <w:pPr>
        <w:pStyle w:val="FSRnormal"/>
        <w:rPr>
          <w:rFonts w:cs="Arial"/>
        </w:rPr>
      </w:pPr>
      <w:r w:rsidRPr="007F6332">
        <w:rPr>
          <w:rFonts w:cs="Arial"/>
        </w:rPr>
        <w:t>In October 2022, the Minister for the National Disability Insurance Scheme (NDIS) announced the Independent Review (“</w:t>
      </w:r>
      <w:r w:rsidR="00625B2C" w:rsidRPr="007F6332">
        <w:rPr>
          <w:rFonts w:cs="Arial"/>
        </w:rPr>
        <w:t xml:space="preserve">NDIS </w:t>
      </w:r>
      <w:r w:rsidRPr="007F6332">
        <w:rPr>
          <w:rFonts w:cs="Arial"/>
        </w:rPr>
        <w:t>Review”) into the NDIS to improve the wellbeing of Australians with disability and ensure the Scheme’s sustainability so that future generations receive the benefit of the NDIS. A final report by the Independent Review Panel</w:t>
      </w:r>
      <w:r w:rsidR="00B06458" w:rsidRPr="007F6332">
        <w:rPr>
          <w:rFonts w:cs="Arial"/>
        </w:rPr>
        <w:t xml:space="preserve"> was provided</w:t>
      </w:r>
      <w:r w:rsidRPr="007F6332">
        <w:rPr>
          <w:rFonts w:cs="Arial"/>
        </w:rPr>
        <w:t xml:space="preserve"> to the Disability Reform Ministers </w:t>
      </w:r>
      <w:r w:rsidR="00B06458" w:rsidRPr="007F6332">
        <w:rPr>
          <w:rFonts w:cs="Arial"/>
        </w:rPr>
        <w:t>in November</w:t>
      </w:r>
      <w:r w:rsidRPr="007F6332">
        <w:rPr>
          <w:rFonts w:cs="Arial"/>
        </w:rPr>
        <w:t xml:space="preserve"> 2023</w:t>
      </w:r>
      <w:r w:rsidRPr="007F6332">
        <w:rPr>
          <w:rStyle w:val="FootnoteReference"/>
          <w:rFonts w:cs="Arial"/>
        </w:rPr>
        <w:footnoteReference w:id="165"/>
      </w:r>
      <w:r w:rsidRPr="007F6332">
        <w:rPr>
          <w:rFonts w:cs="Arial"/>
        </w:rPr>
        <w:t xml:space="preserve">. It is expected that the </w:t>
      </w:r>
      <w:r w:rsidR="00625B2C" w:rsidRPr="007F6332">
        <w:rPr>
          <w:rFonts w:cs="Arial"/>
        </w:rPr>
        <w:t xml:space="preserve">NDIS </w:t>
      </w:r>
      <w:r w:rsidRPr="007F6332">
        <w:rPr>
          <w:rFonts w:cs="Arial"/>
        </w:rPr>
        <w:t>Review will lead to changes in the NDIA’s work plan.</w:t>
      </w:r>
    </w:p>
    <w:p w14:paraId="6B1B9784" w14:textId="283B7AA7" w:rsidR="00DE38C9" w:rsidRPr="007F6332" w:rsidRDefault="003A0B93" w:rsidP="003A0B93">
      <w:pPr>
        <w:spacing w:before="240"/>
        <w:rPr>
          <w:rFonts w:cs="Arial"/>
        </w:rPr>
        <w:sectPr w:rsidR="00DE38C9" w:rsidRPr="007F6332" w:rsidSect="00CE7E91">
          <w:pgSz w:w="11906" w:h="16838"/>
          <w:pgMar w:top="1440" w:right="1440" w:bottom="1440" w:left="1440" w:header="708" w:footer="850" w:gutter="0"/>
          <w:cols w:space="708"/>
          <w:docGrid w:linePitch="360"/>
        </w:sectPr>
      </w:pPr>
      <w:r w:rsidRPr="007F6332">
        <w:rPr>
          <w:rFonts w:cs="Arial"/>
        </w:rPr>
        <w:t>New recommendations described in this section have been determined independently of any changes that could arise from the</w:t>
      </w:r>
      <w:r w:rsidR="00625B2C" w:rsidRPr="007F6332">
        <w:rPr>
          <w:rFonts w:cs="Arial"/>
        </w:rPr>
        <w:t xml:space="preserve"> NDIS</w:t>
      </w:r>
      <w:r w:rsidRPr="007F6332">
        <w:rPr>
          <w:rFonts w:cs="Arial"/>
        </w:rPr>
        <w:t xml:space="preserve"> Review, once the final report is delivered, and before the </w:t>
      </w:r>
      <w:r w:rsidR="002D6881" w:rsidRPr="007F6332">
        <w:rPr>
          <w:rFonts w:cs="Arial"/>
        </w:rPr>
        <w:t>Budget initiatives</w:t>
      </w:r>
      <w:r w:rsidRPr="007F6332">
        <w:rPr>
          <w:rFonts w:cs="Arial"/>
        </w:rPr>
        <w:t xml:space="preserve"> have been fully designed and implementation commenced. Review recommendations may overlap to some extent with the recommendations detailed in Section 9.2 of this report and with</w:t>
      </w:r>
      <w:r w:rsidR="006A453F" w:rsidRPr="007F6332">
        <w:rPr>
          <w:rFonts w:cs="Arial"/>
        </w:rPr>
        <w:t xml:space="preserve"> the</w:t>
      </w:r>
      <w:r w:rsidRPr="007F6332">
        <w:rPr>
          <w:rFonts w:cs="Arial"/>
        </w:rPr>
        <w:t xml:space="preserve"> </w:t>
      </w:r>
      <w:r w:rsidR="002D6881" w:rsidRPr="007F6332">
        <w:rPr>
          <w:rFonts w:cs="Arial"/>
        </w:rPr>
        <w:t>Budget initiatives</w:t>
      </w:r>
      <w:r w:rsidRPr="007F6332">
        <w:rPr>
          <w:rFonts w:cs="Arial"/>
        </w:rPr>
        <w:t xml:space="preserve"> and should be viewed in this context.</w:t>
      </w:r>
    </w:p>
    <w:p w14:paraId="14665E29" w14:textId="77777777" w:rsidR="003A0B93" w:rsidRPr="007F6332" w:rsidRDefault="003A0B93" w:rsidP="00E81C0D">
      <w:pPr>
        <w:pStyle w:val="Heading3"/>
        <w:ind w:left="709" w:hanging="709"/>
        <w:rPr>
          <w:rFonts w:cs="Arial"/>
        </w:rPr>
      </w:pPr>
      <w:bookmarkStart w:id="292" w:name="_Toc152615015"/>
      <w:r w:rsidRPr="007F6332">
        <w:rPr>
          <w:rFonts w:cs="Arial"/>
        </w:rPr>
        <w:lastRenderedPageBreak/>
        <w:t>Key themes and progress since previous review</w:t>
      </w:r>
      <w:bookmarkEnd w:id="292"/>
    </w:p>
    <w:p w14:paraId="36371167" w14:textId="77777777" w:rsidR="003A0B93" w:rsidRPr="007F6332" w:rsidRDefault="003A0B93" w:rsidP="003A0B93">
      <w:pPr>
        <w:rPr>
          <w:rFonts w:cs="Arial"/>
        </w:rPr>
      </w:pPr>
      <w:r w:rsidRPr="007F6332">
        <w:rPr>
          <w:rFonts w:cs="Arial"/>
        </w:rPr>
        <w:t>Table 9.1 shows the key themes encompassed by the recommendations, including a summary of the progress made during 2022-23 and the corresponding recommendation for this review.</w:t>
      </w:r>
    </w:p>
    <w:p w14:paraId="79A37355" w14:textId="77777777" w:rsidR="003A0B93" w:rsidRPr="007F6332" w:rsidRDefault="003A0B93" w:rsidP="00D02DB4">
      <w:pPr>
        <w:pStyle w:val="FiguresandTablesHeading4"/>
      </w:pPr>
      <w:r w:rsidRPr="007F6332">
        <w:t>Table 9.1: Key themes and progress made during 2022-23</w:t>
      </w:r>
    </w:p>
    <w:tbl>
      <w:tblPr>
        <w:tblStyle w:val="TableGrid"/>
        <w:tblW w:w="9067" w:type="dxa"/>
        <w:tblLayout w:type="fixed"/>
        <w:tblLook w:val="04A0" w:firstRow="1" w:lastRow="0" w:firstColumn="1" w:lastColumn="0" w:noHBand="0" w:noVBand="1"/>
      </w:tblPr>
      <w:tblGrid>
        <w:gridCol w:w="3031"/>
        <w:gridCol w:w="3018"/>
        <w:gridCol w:w="3018"/>
      </w:tblGrid>
      <w:tr w:rsidR="003A0B93" w:rsidRPr="007F6332" w14:paraId="38620315" w14:textId="77777777" w:rsidTr="00EE4C9D">
        <w:trPr>
          <w:cantSplit/>
          <w:trHeight w:val="447"/>
          <w:tblHeader/>
        </w:trPr>
        <w:tc>
          <w:tcPr>
            <w:tcW w:w="3031" w:type="dxa"/>
            <w:tcBorders>
              <w:bottom w:val="single" w:sz="4" w:space="0" w:color="auto"/>
            </w:tcBorders>
            <w:shd w:val="clear" w:color="auto" w:fill="6B2976"/>
            <w:vAlign w:val="center"/>
          </w:tcPr>
          <w:p w14:paraId="0E8C78B2" w14:textId="77777777" w:rsidR="003A0B93" w:rsidRPr="007F6332" w:rsidRDefault="003A0B93" w:rsidP="00CD3C3B">
            <w:pPr>
              <w:rPr>
                <w:rFonts w:cs="Arial"/>
                <w:b/>
                <w:bCs/>
                <w:color w:val="FFFFFF"/>
                <w:sz w:val="20"/>
                <w:szCs w:val="20"/>
              </w:rPr>
            </w:pPr>
            <w:r w:rsidRPr="007F6332">
              <w:rPr>
                <w:rFonts w:cs="Arial"/>
                <w:b/>
                <w:bCs/>
                <w:color w:val="FFFFFF"/>
                <w:sz w:val="20"/>
                <w:szCs w:val="20"/>
              </w:rPr>
              <w:t>Key Themes</w:t>
            </w:r>
          </w:p>
        </w:tc>
        <w:tc>
          <w:tcPr>
            <w:tcW w:w="3018" w:type="dxa"/>
            <w:shd w:val="clear" w:color="auto" w:fill="6B2976"/>
            <w:vAlign w:val="center"/>
          </w:tcPr>
          <w:p w14:paraId="3DFEFF09" w14:textId="77777777" w:rsidR="003A0B93" w:rsidRPr="007F6332" w:rsidRDefault="003A0B93" w:rsidP="00CD3C3B">
            <w:pPr>
              <w:rPr>
                <w:rFonts w:cs="Arial"/>
                <w:b/>
                <w:bCs/>
                <w:color w:val="FFFFFF"/>
                <w:sz w:val="20"/>
                <w:szCs w:val="20"/>
              </w:rPr>
            </w:pPr>
            <w:r w:rsidRPr="007F6332">
              <w:rPr>
                <w:rFonts w:cs="Arial"/>
                <w:b/>
                <w:bCs/>
                <w:color w:val="FFFFFF"/>
                <w:sz w:val="20"/>
                <w:szCs w:val="20"/>
              </w:rPr>
              <w:t>Progress during 2022-23</w:t>
            </w:r>
          </w:p>
        </w:tc>
        <w:tc>
          <w:tcPr>
            <w:tcW w:w="3018" w:type="dxa"/>
            <w:shd w:val="clear" w:color="auto" w:fill="6B2976"/>
            <w:vAlign w:val="center"/>
          </w:tcPr>
          <w:p w14:paraId="7A8AC2D9" w14:textId="77777777" w:rsidR="003A0B93" w:rsidRPr="007F6332" w:rsidRDefault="003A0B93" w:rsidP="00CD3C3B">
            <w:pPr>
              <w:rPr>
                <w:rFonts w:cs="Arial"/>
                <w:b/>
                <w:bCs/>
                <w:color w:val="FFFFFF"/>
                <w:sz w:val="20"/>
                <w:szCs w:val="20"/>
              </w:rPr>
            </w:pPr>
            <w:r w:rsidRPr="007F6332">
              <w:rPr>
                <w:rFonts w:cs="Arial"/>
                <w:b/>
                <w:bCs/>
                <w:color w:val="FFFFFF"/>
                <w:sz w:val="20"/>
                <w:szCs w:val="20"/>
              </w:rPr>
              <w:t>This review</w:t>
            </w:r>
          </w:p>
        </w:tc>
      </w:tr>
      <w:tr w:rsidR="003A0B93" w:rsidRPr="007F6332" w14:paraId="74B0A0A7" w14:textId="77777777" w:rsidTr="00EE4C9D">
        <w:trPr>
          <w:cantSplit/>
        </w:trPr>
        <w:tc>
          <w:tcPr>
            <w:tcW w:w="3031" w:type="dxa"/>
            <w:shd w:val="clear" w:color="auto" w:fill="6B2976"/>
          </w:tcPr>
          <w:p w14:paraId="231D0709"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Participant and family/carer outcomes</w:t>
            </w:r>
          </w:p>
        </w:tc>
        <w:tc>
          <w:tcPr>
            <w:tcW w:w="3018" w:type="dxa"/>
          </w:tcPr>
          <w:p w14:paraId="2BA3A5E9" w14:textId="77777777" w:rsidR="003A0B93" w:rsidRPr="007F6332" w:rsidRDefault="003A0B93" w:rsidP="00CD3C3B">
            <w:pPr>
              <w:spacing w:before="60" w:after="60"/>
              <w:rPr>
                <w:rFonts w:cs="Arial"/>
                <w:sz w:val="20"/>
                <w:szCs w:val="20"/>
              </w:rPr>
            </w:pPr>
            <w:r w:rsidRPr="007F6332">
              <w:rPr>
                <w:rFonts w:cs="Arial"/>
                <w:sz w:val="20"/>
                <w:szCs w:val="20"/>
              </w:rPr>
              <w:t>No recommendation in previous review</w:t>
            </w:r>
          </w:p>
        </w:tc>
        <w:tc>
          <w:tcPr>
            <w:tcW w:w="3018" w:type="dxa"/>
          </w:tcPr>
          <w:p w14:paraId="4020939E"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1</w:t>
            </w:r>
          </w:p>
          <w:p w14:paraId="3CCBE22D" w14:textId="77777777" w:rsidR="003A0B93" w:rsidRPr="007F6332" w:rsidRDefault="003A0B93" w:rsidP="00CD3C3B">
            <w:pPr>
              <w:spacing w:before="60" w:after="60"/>
              <w:rPr>
                <w:rFonts w:cs="Arial"/>
                <w:sz w:val="20"/>
                <w:szCs w:val="20"/>
              </w:rPr>
            </w:pPr>
          </w:p>
        </w:tc>
      </w:tr>
      <w:tr w:rsidR="003A0B93" w:rsidRPr="007F6332" w14:paraId="25B02BBF" w14:textId="77777777" w:rsidTr="00EE4C9D">
        <w:trPr>
          <w:cantSplit/>
        </w:trPr>
        <w:tc>
          <w:tcPr>
            <w:tcW w:w="3031" w:type="dxa"/>
            <w:shd w:val="clear" w:color="auto" w:fill="6B2976"/>
          </w:tcPr>
          <w:p w14:paraId="37100B5F"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 xml:space="preserve">Additional growth in participant plans </w:t>
            </w:r>
          </w:p>
        </w:tc>
        <w:tc>
          <w:tcPr>
            <w:tcW w:w="3018" w:type="dxa"/>
          </w:tcPr>
          <w:p w14:paraId="7D911A25" w14:textId="77777777" w:rsidR="003A0B93" w:rsidRPr="007F6332" w:rsidRDefault="003A0B93" w:rsidP="00CD3C3B">
            <w:pPr>
              <w:spacing w:before="60" w:after="60"/>
              <w:rPr>
                <w:rFonts w:cs="Arial"/>
                <w:sz w:val="20"/>
                <w:szCs w:val="20"/>
              </w:rPr>
            </w:pPr>
            <w:r w:rsidRPr="007F6332">
              <w:rPr>
                <w:rFonts w:cs="Arial"/>
                <w:sz w:val="20"/>
                <w:szCs w:val="20"/>
              </w:rPr>
              <w:t>The service delivery team continued to monitor growth in participant plans during 2022-23.</w:t>
            </w:r>
          </w:p>
          <w:p w14:paraId="42A4E717" w14:textId="77777777" w:rsidR="003A0B93" w:rsidRPr="007F6332" w:rsidRDefault="003A0B93" w:rsidP="00CD3C3B">
            <w:pPr>
              <w:spacing w:before="60" w:after="60"/>
              <w:rPr>
                <w:rFonts w:cs="Arial"/>
                <w:sz w:val="20"/>
                <w:szCs w:val="20"/>
              </w:rPr>
            </w:pPr>
            <w:r w:rsidRPr="007F6332">
              <w:rPr>
                <w:rFonts w:cs="Arial"/>
                <w:sz w:val="20"/>
                <w:szCs w:val="20"/>
              </w:rPr>
              <w:t>Additionally, analysis was undertaken to investigate and better understand the link between payment growth and plan inflation, and the different components of each.</w:t>
            </w:r>
          </w:p>
          <w:p w14:paraId="4B423BB1" w14:textId="585919E2" w:rsidR="003A0B93" w:rsidRPr="007F6332" w:rsidRDefault="003A0B93" w:rsidP="00CD3C3B">
            <w:pPr>
              <w:spacing w:before="60" w:after="60"/>
              <w:rPr>
                <w:rFonts w:cs="Arial"/>
                <w:sz w:val="20"/>
                <w:szCs w:val="20"/>
              </w:rPr>
            </w:pPr>
            <w:r w:rsidRPr="007F6332">
              <w:rPr>
                <w:rFonts w:cs="Arial"/>
                <w:sz w:val="20"/>
                <w:szCs w:val="20"/>
              </w:rPr>
              <w:t xml:space="preserve">Insights into the drivers of growth in plan budgets above pricing impacts will be used to inform the co-design of </w:t>
            </w:r>
            <w:r w:rsidR="002D6881" w:rsidRPr="007F6332">
              <w:rPr>
                <w:rFonts w:cs="Arial"/>
                <w:sz w:val="20"/>
                <w:szCs w:val="20"/>
              </w:rPr>
              <w:t>Budget initiatives</w:t>
            </w:r>
            <w:r w:rsidRPr="007F6332">
              <w:rPr>
                <w:rFonts w:cs="Arial"/>
                <w:sz w:val="20"/>
                <w:szCs w:val="20"/>
              </w:rPr>
              <w:t xml:space="preserve"> to improve consistency in planning decisions.</w:t>
            </w:r>
          </w:p>
        </w:tc>
        <w:tc>
          <w:tcPr>
            <w:tcW w:w="3018" w:type="dxa"/>
          </w:tcPr>
          <w:p w14:paraId="46F8C314"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2</w:t>
            </w:r>
          </w:p>
          <w:p w14:paraId="50609E92" w14:textId="77777777" w:rsidR="003A0B93" w:rsidRPr="007F6332" w:rsidRDefault="003A0B93" w:rsidP="00CD3C3B">
            <w:pPr>
              <w:spacing w:before="60" w:after="60"/>
              <w:rPr>
                <w:rFonts w:cs="Arial"/>
                <w:sz w:val="20"/>
                <w:szCs w:val="20"/>
              </w:rPr>
            </w:pPr>
          </w:p>
        </w:tc>
      </w:tr>
      <w:tr w:rsidR="003A0B93" w:rsidRPr="007F6332" w14:paraId="12FB8506" w14:textId="77777777" w:rsidTr="00EE4C9D">
        <w:trPr>
          <w:cantSplit/>
        </w:trPr>
        <w:tc>
          <w:tcPr>
            <w:tcW w:w="3031" w:type="dxa"/>
            <w:shd w:val="clear" w:color="auto" w:fill="6B2976"/>
          </w:tcPr>
          <w:p w14:paraId="728AF6A8"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 xml:space="preserve">Participants with autism in the Scheme </w:t>
            </w:r>
          </w:p>
        </w:tc>
        <w:tc>
          <w:tcPr>
            <w:tcW w:w="3018" w:type="dxa"/>
          </w:tcPr>
          <w:p w14:paraId="6AB7A9CA" w14:textId="77777777" w:rsidR="003A0B93" w:rsidRPr="007F6332" w:rsidRDefault="003A0B93" w:rsidP="00CD3C3B">
            <w:pPr>
              <w:spacing w:before="60" w:after="60"/>
              <w:rPr>
                <w:rFonts w:cs="Arial"/>
                <w:sz w:val="20"/>
                <w:szCs w:val="20"/>
              </w:rPr>
            </w:pPr>
            <w:r w:rsidRPr="007F6332">
              <w:rPr>
                <w:rFonts w:cs="Arial"/>
                <w:sz w:val="20"/>
                <w:szCs w:val="20"/>
              </w:rPr>
              <w:t>Actual experience in 2022-23 shows an emergence of higher numbers, and proportion of female new entrants with autism, and a continued increase in the proportion of new entrants with autism aged 15 and above.</w:t>
            </w:r>
          </w:p>
          <w:p w14:paraId="582574AE" w14:textId="3E2E6C9D" w:rsidR="006A453F" w:rsidRPr="007F6332" w:rsidRDefault="006A453F" w:rsidP="00CD3C3B">
            <w:pPr>
              <w:spacing w:before="60" w:after="60"/>
              <w:rPr>
                <w:rFonts w:cs="Arial"/>
                <w:sz w:val="20"/>
                <w:szCs w:val="20"/>
              </w:rPr>
            </w:pPr>
            <w:r w:rsidRPr="007F6332">
              <w:rPr>
                <w:rFonts w:cs="Arial"/>
                <w:sz w:val="20"/>
                <w:szCs w:val="20"/>
              </w:rPr>
              <w:t>Work to better understand the drivers of the high numbers of participants with autism entering the Scheme is ongoing, as is the exploration of alternative scenarios relating to future experience.</w:t>
            </w:r>
          </w:p>
        </w:tc>
        <w:tc>
          <w:tcPr>
            <w:tcW w:w="3018" w:type="dxa"/>
          </w:tcPr>
          <w:p w14:paraId="2FFA158C"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3</w:t>
            </w:r>
          </w:p>
          <w:p w14:paraId="281969A3" w14:textId="77777777" w:rsidR="003A0B93" w:rsidRPr="007F6332" w:rsidRDefault="003A0B93" w:rsidP="00CD3C3B">
            <w:pPr>
              <w:spacing w:before="60" w:after="60"/>
              <w:rPr>
                <w:rFonts w:cs="Arial"/>
                <w:b/>
                <w:bCs/>
                <w:sz w:val="20"/>
                <w:szCs w:val="20"/>
              </w:rPr>
            </w:pPr>
          </w:p>
          <w:p w14:paraId="71F65A85" w14:textId="77777777" w:rsidR="003A0B93" w:rsidRPr="007F6332" w:rsidRDefault="003A0B93" w:rsidP="00CD3C3B">
            <w:pPr>
              <w:rPr>
                <w:rFonts w:cs="Arial"/>
                <w:sz w:val="20"/>
                <w:szCs w:val="20"/>
              </w:rPr>
            </w:pPr>
          </w:p>
        </w:tc>
      </w:tr>
      <w:tr w:rsidR="003A0B93" w:rsidRPr="007F6332" w14:paraId="03247C8B" w14:textId="77777777" w:rsidTr="00EE4C9D">
        <w:trPr>
          <w:cantSplit/>
        </w:trPr>
        <w:tc>
          <w:tcPr>
            <w:tcW w:w="3031" w:type="dxa"/>
            <w:shd w:val="clear" w:color="auto" w:fill="6B2976"/>
          </w:tcPr>
          <w:p w14:paraId="562AEF73"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lastRenderedPageBreak/>
              <w:t>Participants with complex/high support needs</w:t>
            </w:r>
          </w:p>
        </w:tc>
        <w:tc>
          <w:tcPr>
            <w:tcW w:w="3018" w:type="dxa"/>
          </w:tcPr>
          <w:p w14:paraId="4830F86D" w14:textId="6FBD30B2" w:rsidR="003A0B93" w:rsidRPr="007F6332" w:rsidRDefault="003A0B93" w:rsidP="00CD3C3B">
            <w:pPr>
              <w:spacing w:before="60" w:after="120"/>
              <w:rPr>
                <w:rFonts w:cs="Arial"/>
                <w:sz w:val="20"/>
                <w:szCs w:val="20"/>
              </w:rPr>
            </w:pPr>
            <w:r w:rsidRPr="007F6332">
              <w:rPr>
                <w:rFonts w:cs="Arial"/>
                <w:sz w:val="20"/>
                <w:szCs w:val="20"/>
              </w:rPr>
              <w:t xml:space="preserve">During 2022-23, </w:t>
            </w:r>
            <w:r w:rsidR="004A64EF" w:rsidRPr="007F6332">
              <w:rPr>
                <w:rFonts w:cs="Arial"/>
                <w:sz w:val="20"/>
                <w:szCs w:val="20"/>
              </w:rPr>
              <w:t>H</w:t>
            </w:r>
            <w:r w:rsidRPr="007F6332">
              <w:rPr>
                <w:rFonts w:cs="Arial"/>
                <w:sz w:val="20"/>
                <w:szCs w:val="20"/>
              </w:rPr>
              <w:t xml:space="preserve">ome and </w:t>
            </w:r>
            <w:r w:rsidR="004A64EF" w:rsidRPr="007F6332">
              <w:rPr>
                <w:rFonts w:cs="Arial"/>
                <w:sz w:val="20"/>
                <w:szCs w:val="20"/>
              </w:rPr>
              <w:t>L</w:t>
            </w:r>
            <w:r w:rsidRPr="007F6332">
              <w:rPr>
                <w:rFonts w:cs="Arial"/>
                <w:sz w:val="20"/>
                <w:szCs w:val="20"/>
              </w:rPr>
              <w:t>iving eligibility decisions for participants accessing SIL for the first time, were investigated to better understand the drivers for participants transitioning to SIL arrangements, the types of participants by disability, age and level of function, and time from eligibility decision being made, to services first being provided and payments made.</w:t>
            </w:r>
          </w:p>
          <w:p w14:paraId="19B74BC9" w14:textId="77777777" w:rsidR="003A0B93" w:rsidRPr="007F6332" w:rsidRDefault="003A0B93" w:rsidP="00CD3C3B">
            <w:pPr>
              <w:spacing w:before="60" w:after="60"/>
              <w:rPr>
                <w:rFonts w:cs="Arial"/>
                <w:sz w:val="20"/>
                <w:szCs w:val="20"/>
              </w:rPr>
            </w:pPr>
            <w:r w:rsidRPr="007F6332">
              <w:rPr>
                <w:rFonts w:cs="Arial"/>
                <w:sz w:val="20"/>
                <w:szCs w:val="20"/>
              </w:rPr>
              <w:t xml:space="preserve">Using these insights, more explicit modelling of participants transitioning to SIL supports was developed, and has provided stronger evidence that the projected numbers of participants entering SIL arrangements in the future is reasonable.  </w:t>
            </w:r>
          </w:p>
        </w:tc>
        <w:tc>
          <w:tcPr>
            <w:tcW w:w="3018" w:type="dxa"/>
          </w:tcPr>
          <w:p w14:paraId="27E31DDC" w14:textId="77777777" w:rsidR="003A0B93" w:rsidRPr="007F6332" w:rsidRDefault="003A0B93" w:rsidP="00CD3C3B">
            <w:pPr>
              <w:spacing w:before="60" w:after="60"/>
              <w:rPr>
                <w:rFonts w:cs="Arial"/>
                <w:b/>
                <w:bCs/>
                <w:sz w:val="20"/>
                <w:szCs w:val="20"/>
              </w:rPr>
            </w:pPr>
            <w:r w:rsidRPr="007F6332">
              <w:rPr>
                <w:rFonts w:cs="Arial"/>
                <w:b/>
                <w:bCs/>
                <w:sz w:val="20"/>
                <w:szCs w:val="20"/>
              </w:rPr>
              <w:t xml:space="preserve">Recommendation 4 </w:t>
            </w:r>
          </w:p>
          <w:p w14:paraId="4EFD5178" w14:textId="77777777" w:rsidR="003A0B93" w:rsidRPr="007F6332" w:rsidRDefault="003A0B93" w:rsidP="00CD3C3B">
            <w:pPr>
              <w:rPr>
                <w:rFonts w:cs="Arial"/>
                <w:sz w:val="20"/>
                <w:szCs w:val="20"/>
              </w:rPr>
            </w:pPr>
          </w:p>
          <w:p w14:paraId="672B4C8C" w14:textId="77777777" w:rsidR="003A0B93" w:rsidRPr="007F6332" w:rsidDel="00040A75" w:rsidRDefault="003A0B93" w:rsidP="00CD3C3B">
            <w:pPr>
              <w:spacing w:before="60" w:after="60"/>
              <w:rPr>
                <w:rFonts w:cs="Arial"/>
                <w:b/>
                <w:bCs/>
                <w:sz w:val="20"/>
                <w:szCs w:val="20"/>
              </w:rPr>
            </w:pPr>
          </w:p>
        </w:tc>
      </w:tr>
      <w:tr w:rsidR="003A0B93" w:rsidRPr="007F6332" w14:paraId="32454061" w14:textId="77777777" w:rsidTr="00EE4C9D">
        <w:trPr>
          <w:cantSplit/>
        </w:trPr>
        <w:tc>
          <w:tcPr>
            <w:tcW w:w="3031" w:type="dxa"/>
            <w:shd w:val="clear" w:color="auto" w:fill="6B2976"/>
          </w:tcPr>
          <w:p w14:paraId="29CA8044"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Participants with psychosocial disability in Scheme</w:t>
            </w:r>
          </w:p>
        </w:tc>
        <w:tc>
          <w:tcPr>
            <w:tcW w:w="3018" w:type="dxa"/>
          </w:tcPr>
          <w:p w14:paraId="58A78B25" w14:textId="56A5FA2B" w:rsidR="003A0B93" w:rsidRPr="007F6332" w:rsidRDefault="003A0B93" w:rsidP="00CD3C3B">
            <w:pPr>
              <w:spacing w:before="60" w:after="120"/>
              <w:rPr>
                <w:rFonts w:cs="Arial"/>
                <w:sz w:val="20"/>
                <w:szCs w:val="20"/>
              </w:rPr>
            </w:pPr>
            <w:r w:rsidRPr="007F6332">
              <w:rPr>
                <w:rFonts w:cs="Arial"/>
                <w:sz w:val="20"/>
                <w:szCs w:val="20"/>
              </w:rPr>
              <w:t xml:space="preserve">Participants entering the Scheme with psychosocial disability as their primary disability continue to be </w:t>
            </w:r>
            <w:r w:rsidR="006A453F" w:rsidRPr="007F6332">
              <w:rPr>
                <w:rFonts w:cs="Arial"/>
                <w:sz w:val="20"/>
                <w:szCs w:val="20"/>
              </w:rPr>
              <w:t>lower than originally expected by the Productivity Commission</w:t>
            </w:r>
            <w:r w:rsidRPr="007F6332">
              <w:rPr>
                <w:rFonts w:cs="Arial"/>
                <w:sz w:val="20"/>
                <w:szCs w:val="20"/>
              </w:rPr>
              <w:t xml:space="preserve">. This is evidenced by the high proportion of participants with psychosocial disability with a previously unmet need. Participants can have trouble gaining access to the Scheme, as they often have multiple types of disability, getting access to the Scheme via secondary disabilities, or as their level of functioning </w:t>
            </w:r>
            <w:r w:rsidR="006A453F" w:rsidRPr="007F6332">
              <w:rPr>
                <w:rFonts w:cs="Arial"/>
                <w:sz w:val="20"/>
                <w:szCs w:val="20"/>
              </w:rPr>
              <w:t>deteriorates</w:t>
            </w:r>
            <w:r w:rsidRPr="007F6332">
              <w:rPr>
                <w:rFonts w:cs="Arial"/>
                <w:sz w:val="20"/>
                <w:szCs w:val="20"/>
              </w:rPr>
              <w:t xml:space="preserve"> over time.</w:t>
            </w:r>
          </w:p>
          <w:p w14:paraId="2E91DE23" w14:textId="387B1DFC" w:rsidR="003A0B93" w:rsidRPr="007F6332" w:rsidRDefault="003A0B93" w:rsidP="00CD3C3B">
            <w:pPr>
              <w:spacing w:before="60" w:after="60"/>
              <w:rPr>
                <w:rFonts w:cs="Arial"/>
                <w:sz w:val="20"/>
                <w:szCs w:val="20"/>
              </w:rPr>
            </w:pPr>
          </w:p>
        </w:tc>
        <w:tc>
          <w:tcPr>
            <w:tcW w:w="3018" w:type="dxa"/>
          </w:tcPr>
          <w:p w14:paraId="2D03BA6F"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5</w:t>
            </w:r>
          </w:p>
          <w:p w14:paraId="03140660" w14:textId="77777777" w:rsidR="003A0B93" w:rsidRPr="007F6332" w:rsidRDefault="003A0B93" w:rsidP="00CD3C3B">
            <w:pPr>
              <w:spacing w:before="60" w:after="60"/>
              <w:rPr>
                <w:rFonts w:cs="Arial"/>
                <w:sz w:val="20"/>
                <w:szCs w:val="20"/>
              </w:rPr>
            </w:pPr>
          </w:p>
        </w:tc>
      </w:tr>
      <w:tr w:rsidR="003A0B93" w:rsidRPr="007F6332" w14:paraId="0C32A889" w14:textId="77777777" w:rsidTr="00EE4C9D">
        <w:trPr>
          <w:cantSplit/>
        </w:trPr>
        <w:tc>
          <w:tcPr>
            <w:tcW w:w="3031" w:type="dxa"/>
            <w:shd w:val="clear" w:color="auto" w:fill="6B2976"/>
          </w:tcPr>
          <w:p w14:paraId="25C3A93A" w14:textId="6D42CDF3" w:rsidR="003A0B93" w:rsidRPr="007F6332" w:rsidRDefault="002D6881"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Budget initiatives</w:t>
            </w:r>
            <w:r w:rsidR="003A0B93" w:rsidRPr="007F6332">
              <w:rPr>
                <w:rFonts w:cs="Arial"/>
                <w:b/>
                <w:bCs/>
                <w:color w:val="FFFFFF"/>
                <w:sz w:val="20"/>
                <w:szCs w:val="20"/>
              </w:rPr>
              <w:t xml:space="preserve"> </w:t>
            </w:r>
          </w:p>
        </w:tc>
        <w:tc>
          <w:tcPr>
            <w:tcW w:w="3018" w:type="dxa"/>
          </w:tcPr>
          <w:p w14:paraId="5E3FD456" w14:textId="77777777" w:rsidR="003A0B93" w:rsidRPr="007F6332" w:rsidRDefault="003A0B93" w:rsidP="00CD3C3B">
            <w:pPr>
              <w:rPr>
                <w:rFonts w:cs="Arial"/>
                <w:sz w:val="20"/>
                <w:szCs w:val="20"/>
              </w:rPr>
            </w:pPr>
            <w:r w:rsidRPr="007F6332">
              <w:rPr>
                <w:rFonts w:cs="Arial"/>
                <w:sz w:val="20"/>
                <w:szCs w:val="20"/>
              </w:rPr>
              <w:t>Not applicable to previous review.</w:t>
            </w:r>
          </w:p>
        </w:tc>
        <w:tc>
          <w:tcPr>
            <w:tcW w:w="3018" w:type="dxa"/>
          </w:tcPr>
          <w:p w14:paraId="51C1BEE8"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6</w:t>
            </w:r>
          </w:p>
          <w:p w14:paraId="10C5B80E" w14:textId="77777777" w:rsidR="003A0B93" w:rsidRPr="007F6332" w:rsidRDefault="003A0B93" w:rsidP="00CD3C3B">
            <w:pPr>
              <w:rPr>
                <w:rFonts w:cs="Arial"/>
                <w:b/>
                <w:bCs/>
                <w:sz w:val="20"/>
                <w:szCs w:val="20"/>
              </w:rPr>
            </w:pPr>
          </w:p>
        </w:tc>
      </w:tr>
      <w:tr w:rsidR="003A0B93" w:rsidRPr="007F6332" w14:paraId="4023E85C" w14:textId="77777777" w:rsidTr="00EE4C9D">
        <w:trPr>
          <w:cantSplit/>
        </w:trPr>
        <w:tc>
          <w:tcPr>
            <w:tcW w:w="3031" w:type="dxa"/>
            <w:shd w:val="clear" w:color="auto" w:fill="6B2976"/>
          </w:tcPr>
          <w:p w14:paraId="0E785322"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lastRenderedPageBreak/>
              <w:t xml:space="preserve">Long term Scheme projections and maturity </w:t>
            </w:r>
          </w:p>
        </w:tc>
        <w:tc>
          <w:tcPr>
            <w:tcW w:w="3018" w:type="dxa"/>
          </w:tcPr>
          <w:p w14:paraId="3919FE24" w14:textId="77777777" w:rsidR="003A0B93" w:rsidRPr="007F6332" w:rsidRDefault="003A0B93" w:rsidP="00CD3C3B">
            <w:pPr>
              <w:spacing w:before="60" w:after="60"/>
              <w:rPr>
                <w:rFonts w:cs="Arial"/>
                <w:b/>
                <w:bCs/>
                <w:sz w:val="20"/>
                <w:szCs w:val="20"/>
              </w:rPr>
            </w:pPr>
            <w:r w:rsidRPr="007F6332">
              <w:rPr>
                <w:rFonts w:cs="Arial"/>
                <w:sz w:val="20"/>
                <w:szCs w:val="20"/>
              </w:rPr>
              <w:t>Scheme expense projections have been replicated using a statistical modelling program to enable projections beyond 10 years, used to produce the lifetime cost estimates and provide projections over a forty-year period to inform the 2023 Intergenerational Report (IGR) forecasts.</w:t>
            </w:r>
          </w:p>
        </w:tc>
        <w:tc>
          <w:tcPr>
            <w:tcW w:w="3018" w:type="dxa"/>
          </w:tcPr>
          <w:p w14:paraId="35378D29" w14:textId="77777777" w:rsidR="003A0B93" w:rsidRPr="007F6332" w:rsidRDefault="003A0B93" w:rsidP="00CD3C3B">
            <w:pPr>
              <w:spacing w:before="60" w:after="60"/>
              <w:rPr>
                <w:rFonts w:cs="Arial"/>
                <w:b/>
                <w:bCs/>
                <w:sz w:val="20"/>
                <w:szCs w:val="20"/>
              </w:rPr>
            </w:pPr>
            <w:r w:rsidRPr="007F6332">
              <w:rPr>
                <w:rFonts w:cs="Arial"/>
                <w:b/>
                <w:bCs/>
                <w:sz w:val="20"/>
                <w:szCs w:val="20"/>
              </w:rPr>
              <w:t xml:space="preserve">Recommendation 7  </w:t>
            </w:r>
          </w:p>
          <w:p w14:paraId="2F2F2ED2" w14:textId="77777777" w:rsidR="003A0B93" w:rsidRPr="007F6332" w:rsidRDefault="003A0B93" w:rsidP="00CD3C3B">
            <w:pPr>
              <w:rPr>
                <w:rFonts w:cs="Arial"/>
                <w:b/>
                <w:bCs/>
                <w:sz w:val="20"/>
                <w:szCs w:val="20"/>
              </w:rPr>
            </w:pPr>
          </w:p>
        </w:tc>
      </w:tr>
      <w:tr w:rsidR="003A0B93" w:rsidRPr="007F6332" w14:paraId="32BEE73A" w14:textId="77777777" w:rsidTr="00EE4C9D">
        <w:trPr>
          <w:cantSplit/>
        </w:trPr>
        <w:tc>
          <w:tcPr>
            <w:tcW w:w="3031" w:type="dxa"/>
            <w:tcBorders>
              <w:bottom w:val="single" w:sz="4" w:space="0" w:color="auto"/>
            </w:tcBorders>
            <w:shd w:val="clear" w:color="auto" w:fill="6B2976"/>
          </w:tcPr>
          <w:p w14:paraId="3C95E27F"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Compliance and Fraud</w:t>
            </w:r>
          </w:p>
        </w:tc>
        <w:tc>
          <w:tcPr>
            <w:tcW w:w="3018" w:type="dxa"/>
            <w:tcBorders>
              <w:bottom w:val="single" w:sz="4" w:space="0" w:color="auto"/>
            </w:tcBorders>
          </w:tcPr>
          <w:p w14:paraId="5D1EEA24" w14:textId="77777777" w:rsidR="003A0B93" w:rsidRPr="007F6332" w:rsidRDefault="003A0B93" w:rsidP="00CD3C3B">
            <w:pPr>
              <w:spacing w:before="60" w:after="60"/>
              <w:rPr>
                <w:rFonts w:cs="Arial"/>
                <w:sz w:val="20"/>
                <w:szCs w:val="20"/>
              </w:rPr>
            </w:pPr>
            <w:r w:rsidRPr="007F6332">
              <w:rPr>
                <w:rFonts w:cs="Arial"/>
                <w:sz w:val="20"/>
                <w:szCs w:val="20"/>
              </w:rPr>
              <w:t>Fraud fusion taskforce being piloted.</w:t>
            </w:r>
          </w:p>
        </w:tc>
        <w:tc>
          <w:tcPr>
            <w:tcW w:w="3018" w:type="dxa"/>
            <w:tcBorders>
              <w:bottom w:val="single" w:sz="4" w:space="0" w:color="auto"/>
            </w:tcBorders>
          </w:tcPr>
          <w:p w14:paraId="06095647"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8</w:t>
            </w:r>
          </w:p>
          <w:p w14:paraId="2F3F8430" w14:textId="77777777" w:rsidR="003A0B93" w:rsidRPr="007F6332" w:rsidRDefault="003A0B93" w:rsidP="00CD3C3B">
            <w:pPr>
              <w:rPr>
                <w:rFonts w:cs="Arial"/>
                <w:sz w:val="20"/>
                <w:szCs w:val="20"/>
              </w:rPr>
            </w:pPr>
          </w:p>
        </w:tc>
      </w:tr>
      <w:tr w:rsidR="003A0B93" w:rsidRPr="007F6332" w14:paraId="2EC1B49A" w14:textId="77777777" w:rsidTr="00EE4C9D">
        <w:trPr>
          <w:cantSplit/>
        </w:trPr>
        <w:tc>
          <w:tcPr>
            <w:tcW w:w="3031" w:type="dxa"/>
            <w:tcBorders>
              <w:bottom w:val="single" w:sz="4" w:space="0" w:color="auto"/>
            </w:tcBorders>
            <w:shd w:val="clear" w:color="auto" w:fill="6B2976"/>
          </w:tcPr>
          <w:p w14:paraId="60B961FA"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Information systems and Scheme data</w:t>
            </w:r>
          </w:p>
        </w:tc>
        <w:tc>
          <w:tcPr>
            <w:tcW w:w="3018" w:type="dxa"/>
            <w:tcBorders>
              <w:bottom w:val="single" w:sz="4" w:space="0" w:color="auto"/>
            </w:tcBorders>
          </w:tcPr>
          <w:p w14:paraId="42F09FB8" w14:textId="250B4AAF" w:rsidR="003A0B93" w:rsidRPr="007F6332" w:rsidRDefault="003A0B93" w:rsidP="00CD3C3B">
            <w:pPr>
              <w:spacing w:before="60" w:after="120"/>
              <w:rPr>
                <w:rFonts w:cs="Arial"/>
                <w:sz w:val="20"/>
                <w:szCs w:val="20"/>
              </w:rPr>
            </w:pPr>
            <w:r w:rsidRPr="007F6332">
              <w:rPr>
                <w:rFonts w:cs="Arial"/>
                <w:sz w:val="20"/>
                <w:szCs w:val="20"/>
              </w:rPr>
              <w:t xml:space="preserve">A new participant CRM system (PACE) has been piloted in Tasmania during 2022-23, with a national roll-out planned starting from </w:t>
            </w:r>
            <w:r w:rsidR="00095472" w:rsidRPr="007F6332">
              <w:rPr>
                <w:rFonts w:cs="Arial"/>
                <w:sz w:val="20"/>
                <w:szCs w:val="20"/>
              </w:rPr>
              <w:t>October</w:t>
            </w:r>
            <w:r w:rsidRPr="007F6332">
              <w:rPr>
                <w:rFonts w:cs="Arial"/>
                <w:sz w:val="20"/>
                <w:szCs w:val="20"/>
              </w:rPr>
              <w:t xml:space="preserve"> 2023.</w:t>
            </w:r>
          </w:p>
          <w:p w14:paraId="242C1EE7" w14:textId="6D1B04B2" w:rsidR="003A0B93" w:rsidRPr="007F6332" w:rsidRDefault="003A0B93" w:rsidP="00CD3C3B">
            <w:pPr>
              <w:spacing w:before="60" w:after="60"/>
              <w:rPr>
                <w:rFonts w:cs="Arial"/>
                <w:sz w:val="20"/>
                <w:szCs w:val="20"/>
              </w:rPr>
            </w:pPr>
            <w:r w:rsidRPr="007F6332">
              <w:rPr>
                <w:rFonts w:cs="Arial"/>
                <w:sz w:val="20"/>
                <w:szCs w:val="20"/>
              </w:rPr>
              <w:t>Continued to improve integrity of data collected and stored within the Enterprise Data Warehouse (EDW), uplifting data modelling standards, improving governance systems and processes, and adding new tools, collectively delivering standardisation of definitions, improved and simplified access to users, and flexibility to customise data sets.</w:t>
            </w:r>
          </w:p>
        </w:tc>
        <w:tc>
          <w:tcPr>
            <w:tcW w:w="3018" w:type="dxa"/>
            <w:tcBorders>
              <w:bottom w:val="single" w:sz="4" w:space="0" w:color="auto"/>
            </w:tcBorders>
          </w:tcPr>
          <w:p w14:paraId="4BAA3B37"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9</w:t>
            </w:r>
          </w:p>
          <w:p w14:paraId="5CAE88C4" w14:textId="77777777" w:rsidR="003A0B93" w:rsidRPr="007F6332" w:rsidRDefault="003A0B93" w:rsidP="00CD3C3B">
            <w:pPr>
              <w:rPr>
                <w:rFonts w:cs="Arial"/>
                <w:sz w:val="20"/>
                <w:szCs w:val="20"/>
              </w:rPr>
            </w:pPr>
          </w:p>
        </w:tc>
      </w:tr>
      <w:tr w:rsidR="003A0B93" w:rsidRPr="007F6332" w14:paraId="699E56C4" w14:textId="77777777" w:rsidTr="00EE4C9D">
        <w:trPr>
          <w:cantSplit/>
        </w:trPr>
        <w:tc>
          <w:tcPr>
            <w:tcW w:w="3031" w:type="dxa"/>
            <w:tcBorders>
              <w:top w:val="single" w:sz="4" w:space="0" w:color="auto"/>
              <w:bottom w:val="single" w:sz="4" w:space="0" w:color="auto"/>
            </w:tcBorders>
            <w:shd w:val="clear" w:color="auto" w:fill="6B2976"/>
          </w:tcPr>
          <w:p w14:paraId="583A32EA" w14:textId="77777777" w:rsidR="003A0B93" w:rsidRPr="007F6332" w:rsidDel="006C1C38"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Participant data (PACE)</w:t>
            </w:r>
          </w:p>
        </w:tc>
        <w:tc>
          <w:tcPr>
            <w:tcW w:w="3018" w:type="dxa"/>
            <w:tcBorders>
              <w:top w:val="single" w:sz="4" w:space="0" w:color="auto"/>
              <w:bottom w:val="single" w:sz="4" w:space="0" w:color="auto"/>
            </w:tcBorders>
          </w:tcPr>
          <w:p w14:paraId="4BC012F9" w14:textId="77777777" w:rsidR="003A0B93" w:rsidRPr="007F6332" w:rsidRDefault="003A0B93" w:rsidP="00CD3C3B">
            <w:pPr>
              <w:spacing w:before="60" w:after="60"/>
              <w:rPr>
                <w:rFonts w:cs="Arial"/>
                <w:b/>
                <w:bCs/>
                <w:sz w:val="20"/>
                <w:szCs w:val="20"/>
              </w:rPr>
            </w:pPr>
            <w:r w:rsidRPr="007F6332">
              <w:rPr>
                <w:rFonts w:cs="Arial"/>
                <w:sz w:val="20"/>
                <w:szCs w:val="20"/>
              </w:rPr>
              <w:t xml:space="preserve">Not applicable to previous review. </w:t>
            </w:r>
          </w:p>
        </w:tc>
        <w:tc>
          <w:tcPr>
            <w:tcW w:w="3018" w:type="dxa"/>
            <w:tcBorders>
              <w:top w:val="single" w:sz="4" w:space="0" w:color="auto"/>
              <w:bottom w:val="single" w:sz="4" w:space="0" w:color="auto"/>
            </w:tcBorders>
          </w:tcPr>
          <w:p w14:paraId="22A4BDBD"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10</w:t>
            </w:r>
          </w:p>
          <w:p w14:paraId="250FC8FD" w14:textId="77777777" w:rsidR="003A0B93" w:rsidRPr="007F6332" w:rsidRDefault="003A0B93" w:rsidP="00CD3C3B">
            <w:pPr>
              <w:spacing w:before="60" w:after="60"/>
              <w:rPr>
                <w:rFonts w:cs="Arial"/>
                <w:b/>
                <w:bCs/>
                <w:sz w:val="20"/>
                <w:szCs w:val="20"/>
              </w:rPr>
            </w:pPr>
          </w:p>
        </w:tc>
      </w:tr>
      <w:tr w:rsidR="003A0B93" w:rsidRPr="007F6332" w14:paraId="3713F1D8" w14:textId="77777777" w:rsidTr="00EE4C9D">
        <w:trPr>
          <w:cantSplit/>
        </w:trPr>
        <w:tc>
          <w:tcPr>
            <w:tcW w:w="3031" w:type="dxa"/>
            <w:tcBorders>
              <w:top w:val="single" w:sz="4" w:space="0" w:color="auto"/>
            </w:tcBorders>
            <w:shd w:val="clear" w:color="auto" w:fill="6B2976"/>
          </w:tcPr>
          <w:p w14:paraId="7A739AA1" w14:textId="77777777" w:rsidR="003A0B93" w:rsidRPr="007F6332" w:rsidRDefault="003A0B93" w:rsidP="00CE7E91">
            <w:pPr>
              <w:pStyle w:val="ListParagraph"/>
              <w:numPr>
                <w:ilvl w:val="0"/>
                <w:numId w:val="29"/>
              </w:numPr>
              <w:spacing w:line="240" w:lineRule="auto"/>
              <w:rPr>
                <w:rFonts w:cs="Arial"/>
                <w:b/>
                <w:bCs/>
                <w:color w:val="FFFFFF"/>
                <w:sz w:val="20"/>
                <w:szCs w:val="20"/>
              </w:rPr>
            </w:pPr>
            <w:r w:rsidRPr="007F6332">
              <w:rPr>
                <w:rFonts w:cs="Arial"/>
                <w:b/>
                <w:bCs/>
                <w:color w:val="FFFFFF"/>
                <w:sz w:val="20"/>
                <w:szCs w:val="20"/>
              </w:rPr>
              <w:t xml:space="preserve">Investment Effectiveness Program </w:t>
            </w:r>
          </w:p>
        </w:tc>
        <w:tc>
          <w:tcPr>
            <w:tcW w:w="3018" w:type="dxa"/>
            <w:tcBorders>
              <w:top w:val="single" w:sz="4" w:space="0" w:color="auto"/>
            </w:tcBorders>
          </w:tcPr>
          <w:p w14:paraId="4000153D" w14:textId="77777777" w:rsidR="003A0B93" w:rsidRPr="007F6332" w:rsidRDefault="003A0B93" w:rsidP="00CD3C3B">
            <w:pPr>
              <w:spacing w:before="60" w:after="60"/>
              <w:rPr>
                <w:rFonts w:cs="Arial"/>
                <w:sz w:val="20"/>
                <w:szCs w:val="20"/>
              </w:rPr>
            </w:pPr>
            <w:r w:rsidRPr="007F6332">
              <w:rPr>
                <w:rFonts w:cs="Arial"/>
                <w:sz w:val="20"/>
                <w:szCs w:val="20"/>
              </w:rPr>
              <w:t xml:space="preserve">A preliminary analysis was undertaken for a pilot cohort of participants aged 15 to 24 with an intellectual disability including Down Syndrome, identifying “positive” relationships where funding leads to improved outcomes. </w:t>
            </w:r>
          </w:p>
        </w:tc>
        <w:tc>
          <w:tcPr>
            <w:tcW w:w="3018" w:type="dxa"/>
            <w:tcBorders>
              <w:top w:val="single" w:sz="4" w:space="0" w:color="auto"/>
            </w:tcBorders>
          </w:tcPr>
          <w:p w14:paraId="5E3B9DA6" w14:textId="77777777" w:rsidR="003A0B93" w:rsidRPr="007F6332" w:rsidRDefault="003A0B93" w:rsidP="00CD3C3B">
            <w:pPr>
              <w:spacing w:before="60" w:after="60"/>
              <w:rPr>
                <w:rFonts w:cs="Arial"/>
                <w:b/>
                <w:bCs/>
                <w:sz w:val="20"/>
                <w:szCs w:val="20"/>
              </w:rPr>
            </w:pPr>
            <w:r w:rsidRPr="007F6332">
              <w:rPr>
                <w:rFonts w:cs="Arial"/>
                <w:b/>
                <w:bCs/>
                <w:sz w:val="20"/>
                <w:szCs w:val="20"/>
              </w:rPr>
              <w:t>Recommendation 11</w:t>
            </w:r>
          </w:p>
          <w:p w14:paraId="301BD700" w14:textId="77777777" w:rsidR="003A0B93" w:rsidRPr="007F6332" w:rsidRDefault="003A0B93" w:rsidP="00CD3C3B">
            <w:pPr>
              <w:spacing w:before="60" w:after="60"/>
              <w:rPr>
                <w:rFonts w:cs="Arial"/>
                <w:b/>
                <w:bCs/>
                <w:sz w:val="20"/>
                <w:szCs w:val="20"/>
              </w:rPr>
            </w:pPr>
          </w:p>
        </w:tc>
      </w:tr>
    </w:tbl>
    <w:p w14:paraId="1CE54782" w14:textId="77777777" w:rsidR="006D1A97" w:rsidRPr="007F6332" w:rsidRDefault="006D1A97" w:rsidP="003A0B93">
      <w:pPr>
        <w:rPr>
          <w:rFonts w:cs="Arial"/>
        </w:rPr>
        <w:sectPr w:rsidR="006D1A97" w:rsidRPr="007F6332" w:rsidSect="00471F87">
          <w:pgSz w:w="11906" w:h="16838"/>
          <w:pgMar w:top="1440" w:right="1440" w:bottom="1440" w:left="1440" w:header="708" w:footer="708" w:gutter="0"/>
          <w:cols w:space="708"/>
          <w:docGrid w:linePitch="360"/>
        </w:sectPr>
      </w:pPr>
    </w:p>
    <w:p w14:paraId="748A6D6A" w14:textId="77777777" w:rsidR="003A0B93" w:rsidRPr="007F6332" w:rsidRDefault="003A0B93" w:rsidP="00E81C0D">
      <w:pPr>
        <w:pStyle w:val="Heading3"/>
        <w:ind w:left="709" w:hanging="709"/>
        <w:rPr>
          <w:rFonts w:cs="Arial"/>
        </w:rPr>
      </w:pPr>
      <w:bookmarkStart w:id="293" w:name="_Toc152615016"/>
      <w:r w:rsidRPr="007F6332">
        <w:rPr>
          <w:rFonts w:cs="Arial"/>
        </w:rPr>
        <w:lastRenderedPageBreak/>
        <w:t>Recommendations from this review</w:t>
      </w:r>
      <w:bookmarkEnd w:id="293"/>
    </w:p>
    <w:p w14:paraId="5E2173B0" w14:textId="066BAFFE" w:rsidR="003A0B93" w:rsidRPr="007F6332" w:rsidRDefault="003A0B93" w:rsidP="00D02DB4">
      <w:pPr>
        <w:pStyle w:val="FSRHeading4"/>
      </w:pPr>
      <w:r w:rsidRPr="007F6332">
        <w:t>Participant and family/carer outcomes</w:t>
      </w:r>
    </w:p>
    <w:p w14:paraId="44600C77" w14:textId="5B411DAA" w:rsidR="003A0B93" w:rsidRPr="007F6332" w:rsidRDefault="003A0B93" w:rsidP="003A0B93">
      <w:pPr>
        <w:spacing w:before="240"/>
        <w:rPr>
          <w:rFonts w:cs="Arial"/>
        </w:rPr>
      </w:pPr>
      <w:r w:rsidRPr="007F6332">
        <w:rPr>
          <w:rFonts w:cs="Arial"/>
        </w:rPr>
        <w:t xml:space="preserve">The existing NDIS Outcomes Framework for measuring outcomes for participants and their families and carers was developed during the trial period through an extensive consultation process, including with the Independent Advisory Council, disability organisations, disability researchers, and experts working with specific cohorts (such as Indigenous, </w:t>
      </w:r>
      <w:r w:rsidR="00625B2C" w:rsidRPr="007F6332">
        <w:rPr>
          <w:rFonts w:cs="Arial"/>
        </w:rPr>
        <w:t>Culturally and Linguistically Diverse (</w:t>
      </w:r>
      <w:r w:rsidRPr="007F6332">
        <w:rPr>
          <w:rFonts w:cs="Arial"/>
        </w:rPr>
        <w:t>CALD</w:t>
      </w:r>
      <w:r w:rsidR="00625B2C" w:rsidRPr="007F6332">
        <w:rPr>
          <w:rFonts w:cs="Arial"/>
        </w:rPr>
        <w:t>)</w:t>
      </w:r>
      <w:r w:rsidRPr="007F6332">
        <w:rPr>
          <w:rFonts w:cs="Arial"/>
        </w:rPr>
        <w:t>, early childhood, psychosocial disabilities). Draft questionnaires were piloted with trial participants and their families and carers, and their feedback was also incorporated into revised versions of the questionnaires.</w:t>
      </w:r>
    </w:p>
    <w:p w14:paraId="33CB0FCB" w14:textId="77777777" w:rsidR="003A0B93" w:rsidRPr="007F6332" w:rsidRDefault="003A0B93" w:rsidP="003A0B93">
      <w:pPr>
        <w:spacing w:before="240"/>
        <w:rPr>
          <w:rFonts w:cs="Arial"/>
        </w:rPr>
      </w:pPr>
      <w:r w:rsidRPr="007F6332">
        <w:rPr>
          <w:rFonts w:cs="Arial"/>
        </w:rPr>
        <w:t>Longitudinal data from the existing framework has been collected since 1 July 2016, thus building up a rich longitudinal history covering seven years. Information collected from the questionnaires is used to contribute to a range of publicly available reports, including the results shown in Section 7 of this AFSR.</w:t>
      </w:r>
    </w:p>
    <w:p w14:paraId="10299B11" w14:textId="01088ECD" w:rsidR="003A0B93" w:rsidRPr="007F6332" w:rsidRDefault="003A0B93" w:rsidP="003A0B93">
      <w:pPr>
        <w:spacing w:before="240"/>
        <w:rPr>
          <w:rFonts w:cs="Arial"/>
        </w:rPr>
      </w:pPr>
      <w:r w:rsidRPr="007F6332">
        <w:rPr>
          <w:rFonts w:cs="Arial"/>
        </w:rPr>
        <w:t xml:space="preserve">It is increasingly recognised that the NDIS is expected to have wider economic and societal benefits. Examples of the benefits may include increased participation in work for people with disability and their families and carers (with consequent reduction in government income support), reduced hospitalisations through improved support in the community, and reduced involvement with the justice system through improved community connections and health and wellbeing outcomes. In order to measure these broader benefits, an expanded outcomes framework will be required. </w:t>
      </w:r>
    </w:p>
    <w:p w14:paraId="272E971F" w14:textId="77777777" w:rsidR="003A0B93" w:rsidRPr="007F6332" w:rsidRDefault="003A0B93" w:rsidP="003A0B93">
      <w:pPr>
        <w:spacing w:before="240"/>
        <w:rPr>
          <w:rFonts w:cs="Arial"/>
        </w:rPr>
      </w:pPr>
      <w:r w:rsidRPr="007F6332">
        <w:rPr>
          <w:rFonts w:cs="Arial"/>
        </w:rPr>
        <w:t>The NDIS has contributed to the Australia’s Disability Strategy (ADS) Outcomes Framework which was developed to measure progress under ADS 2021-31. It was developed in consultation with people with disability and currently includes a broad spectrum of system measures, population measures and community attitude measures across seven outcome areas. While the ADS Outcomes Framework is still evolving, it can be used to inform the redesign of an outcomes framework for the NDIS, to better reflect the maturing of the Scheme and its impacts on the broader economy and community as well as on NDIS participants and their families and carers.</w:t>
      </w:r>
    </w:p>
    <w:p w14:paraId="22F51880" w14:textId="77777777" w:rsidR="006D1A97" w:rsidRPr="0070708A" w:rsidRDefault="003A0B93" w:rsidP="0070708A">
      <w:pPr>
        <w:rPr>
          <w:rStyle w:val="normaltextrun"/>
        </w:rPr>
        <w:sectPr w:rsidR="006D1A97" w:rsidRPr="0070708A" w:rsidSect="00CE7E91">
          <w:pgSz w:w="11906" w:h="16838"/>
          <w:pgMar w:top="1440" w:right="1440" w:bottom="1440" w:left="1440" w:header="708" w:footer="850" w:gutter="0"/>
          <w:cols w:space="708"/>
          <w:docGrid w:linePitch="360"/>
        </w:sectPr>
      </w:pPr>
      <w:r w:rsidRPr="0070708A">
        <w:rPr>
          <w:rStyle w:val="normaltextrun"/>
          <w:b/>
          <w:bCs/>
          <w:i/>
          <w:iCs/>
        </w:rPr>
        <w:t>Recommendation 1</w:t>
      </w:r>
      <w:r w:rsidRPr="0070708A">
        <w:rPr>
          <w:rStyle w:val="normaltextrun"/>
          <w:i/>
          <w:iCs/>
        </w:rPr>
        <w:t>: The NDIA should seek to redesign its outcomes framework to include broader system and community outcomes, as well as more objective measures of some participant and family/carer outcomes that are currently self-reported. The redesign should include appropriate co-design and engagement to ensure that measurement of Scheme outcomes and effectiveness is trusted and ultimately owned by participants, their families and carers and the sector more broadly. The redesigned outcomes framework will enable a broader view of Scheme benefits and a better understanding of how these benefits can be maximised</w:t>
      </w:r>
      <w:r w:rsidRPr="0070708A">
        <w:rPr>
          <w:rStyle w:val="normaltextrun"/>
        </w:rPr>
        <w:t>.</w:t>
      </w:r>
    </w:p>
    <w:p w14:paraId="576196A4" w14:textId="3CB1422B" w:rsidR="003A0B93" w:rsidRPr="007F6332" w:rsidRDefault="003A0B93" w:rsidP="0070708A">
      <w:pPr>
        <w:pStyle w:val="FSRHeading4"/>
      </w:pPr>
      <w:r w:rsidRPr="007F6332">
        <w:lastRenderedPageBreak/>
        <w:t>Additional growth in participant plan budgets</w:t>
      </w:r>
    </w:p>
    <w:p w14:paraId="55DCE3C6" w14:textId="77777777" w:rsidR="003A0B93" w:rsidRPr="007F6332" w:rsidRDefault="003A0B93" w:rsidP="003A0B93">
      <w:pPr>
        <w:spacing w:before="240"/>
        <w:rPr>
          <w:rFonts w:cs="Arial"/>
        </w:rPr>
      </w:pPr>
      <w:r w:rsidRPr="007F6332">
        <w:rPr>
          <w:rFonts w:cs="Arial"/>
        </w:rPr>
        <w:t xml:space="preserve">Additional growth in participant plan budgets (above normal inflation) has continued to increase in 2022-23, at a relatively higher rate compared to the average annualised growth rate over the past 3 years. This is true for participant cohorts with and without SIL supports, across all age groups, and irrespective of the length of time a participant has been in the Scheme. Additional growth in participant plan budgets translates into additional growth in average participants payments, to the extent participants use their budgets, and is a large source of the overall rate of growth in Scheme expenses. </w:t>
      </w:r>
    </w:p>
    <w:p w14:paraId="161B06BD" w14:textId="6035B1C1" w:rsidR="003A0B93" w:rsidRPr="007F6332" w:rsidRDefault="003A0B93" w:rsidP="003A0B93">
      <w:pPr>
        <w:spacing w:before="240"/>
        <w:rPr>
          <w:rFonts w:cs="Arial"/>
        </w:rPr>
      </w:pPr>
      <w:r w:rsidRPr="007F6332">
        <w:rPr>
          <w:rFonts w:cs="Arial"/>
        </w:rPr>
        <w:t>There is a high degree of variability in observed additional growth in average participant payments from year to year as shown in Section 4.6, which introduces greater uncertainty in setting assumptions about future expected additional growth.</w:t>
      </w:r>
    </w:p>
    <w:p w14:paraId="25DE320A" w14:textId="6DD7B99D" w:rsidR="003A0B93" w:rsidRPr="007F6332" w:rsidRDefault="003A0B93" w:rsidP="003A0B93">
      <w:pPr>
        <w:spacing w:before="240"/>
        <w:rPr>
          <w:rFonts w:cs="Arial"/>
        </w:rPr>
      </w:pPr>
      <w:r w:rsidRPr="007F6332">
        <w:rPr>
          <w:rFonts w:cs="Arial"/>
        </w:rPr>
        <w:t xml:space="preserve">Monitoring of additional growth in plan budgets provides evidence of participants seeking increases to their plans ahead of plan re-assessments (intraplan inflation), and/or significant increases in plan budgets on re-assessment (interplan inflation), suggesting a </w:t>
      </w:r>
      <w:r w:rsidR="0066690C" w:rsidRPr="007F6332">
        <w:rPr>
          <w:rFonts w:cs="Arial"/>
        </w:rPr>
        <w:t xml:space="preserve">potential </w:t>
      </w:r>
      <w:r w:rsidRPr="007F6332">
        <w:rPr>
          <w:rFonts w:cs="Arial"/>
        </w:rPr>
        <w:t xml:space="preserve">lack of </w:t>
      </w:r>
      <w:r w:rsidR="0066690C" w:rsidRPr="007F6332">
        <w:rPr>
          <w:rFonts w:cs="Arial"/>
        </w:rPr>
        <w:t xml:space="preserve">confidence </w:t>
      </w:r>
      <w:r w:rsidRPr="007F6332">
        <w:rPr>
          <w:rFonts w:cs="Arial"/>
        </w:rPr>
        <w:t xml:space="preserve">that they will have funding available to meet their needs as reasonably required, including a change in circumstances over their lifetime. </w:t>
      </w:r>
    </w:p>
    <w:p w14:paraId="58327802" w14:textId="36E3D984" w:rsidR="003A0B93" w:rsidRPr="007F6332" w:rsidRDefault="003A0B93" w:rsidP="003A0B93">
      <w:pPr>
        <w:spacing w:before="240"/>
        <w:rPr>
          <w:rFonts w:cs="Arial"/>
        </w:rPr>
      </w:pPr>
      <w:r w:rsidRPr="007F6332">
        <w:rPr>
          <w:rFonts w:cs="Arial"/>
        </w:rPr>
        <w:t>Understanding of key drivers of additional growth in participant plan budgets, and how that translates to additional growth in average participant payments is important in addressing additional growth pressures and setting assumptions for Scheme expense projections. These drivers may be related to the Agency’s planning processes, change</w:t>
      </w:r>
      <w:r w:rsidR="0066690C" w:rsidRPr="007F6332">
        <w:rPr>
          <w:rFonts w:cs="Arial"/>
        </w:rPr>
        <w:t>s</w:t>
      </w:r>
      <w:r w:rsidRPr="007F6332">
        <w:rPr>
          <w:rFonts w:cs="Arial"/>
        </w:rPr>
        <w:t xml:space="preserve"> in </w:t>
      </w:r>
      <w:r w:rsidR="0066690C" w:rsidRPr="007F6332">
        <w:rPr>
          <w:rFonts w:cs="Arial"/>
        </w:rPr>
        <w:t xml:space="preserve">participants’ </w:t>
      </w:r>
      <w:r w:rsidRPr="007F6332">
        <w:rPr>
          <w:rFonts w:cs="Arial"/>
        </w:rPr>
        <w:t>circumstances, such as a deterioration in level of function, or participants</w:t>
      </w:r>
      <w:r w:rsidR="00625B2C" w:rsidRPr="007F6332">
        <w:rPr>
          <w:rFonts w:cs="Arial"/>
        </w:rPr>
        <w:t>’</w:t>
      </w:r>
      <w:r w:rsidRPr="007F6332">
        <w:rPr>
          <w:rFonts w:cs="Arial"/>
        </w:rPr>
        <w:t xml:space="preserve"> usage of their plans</w:t>
      </w:r>
      <w:r w:rsidR="0066690C" w:rsidRPr="007F6332">
        <w:rPr>
          <w:rFonts w:cs="Arial"/>
        </w:rPr>
        <w:t xml:space="preserve"> including</w:t>
      </w:r>
      <w:r w:rsidRPr="007F6332">
        <w:rPr>
          <w:rFonts w:cs="Arial"/>
        </w:rPr>
        <w:t xml:space="preserve"> the timing, the type and volume of supports</w:t>
      </w:r>
      <w:r w:rsidR="0066690C" w:rsidRPr="007F6332">
        <w:rPr>
          <w:rFonts w:cs="Arial"/>
        </w:rPr>
        <w:t xml:space="preserve">. </w:t>
      </w:r>
    </w:p>
    <w:p w14:paraId="2332BE6B" w14:textId="3D3CD292" w:rsidR="003A0B93" w:rsidRPr="007F6332" w:rsidRDefault="003A0B93" w:rsidP="003A0B93">
      <w:pPr>
        <w:spacing w:before="240"/>
        <w:rPr>
          <w:rStyle w:val="normaltextrun"/>
          <w:rFonts w:cs="Arial"/>
          <w:b/>
          <w:bCs/>
          <w:i/>
          <w:iCs/>
          <w:color w:val="FF0000"/>
          <w:shd w:val="clear" w:color="auto" w:fill="FFFFFF"/>
        </w:rPr>
      </w:pPr>
      <w:r w:rsidRPr="007F6332">
        <w:rPr>
          <w:rStyle w:val="normaltextrun"/>
          <w:rFonts w:cs="Arial"/>
          <w:b/>
          <w:bCs/>
          <w:i/>
          <w:iCs/>
          <w:color w:val="000000"/>
          <w:shd w:val="clear" w:color="auto" w:fill="FFFFFF"/>
        </w:rPr>
        <w:t xml:space="preserve">Recommendation 2: </w:t>
      </w:r>
      <w:r w:rsidRPr="007F6332">
        <w:rPr>
          <w:rStyle w:val="normaltextrun"/>
          <w:rFonts w:cs="Arial"/>
          <w:i/>
          <w:iCs/>
          <w:color w:val="000000"/>
          <w:shd w:val="clear" w:color="auto" w:fill="FFFFFF"/>
        </w:rPr>
        <w:t>The Agency should seek to understand the emerging impact of the introduction of lifecycle funding and better planning processes</w:t>
      </w:r>
      <w:r w:rsidR="0066690C" w:rsidRPr="007F6332">
        <w:rPr>
          <w:rStyle w:val="normaltextrun"/>
          <w:rFonts w:cs="Arial"/>
          <w:i/>
          <w:iCs/>
          <w:color w:val="000000"/>
          <w:shd w:val="clear" w:color="auto" w:fill="FFFFFF"/>
        </w:rPr>
        <w:t xml:space="preserve"> </w:t>
      </w:r>
      <w:r w:rsidR="00095472" w:rsidRPr="007F6332">
        <w:rPr>
          <w:rStyle w:val="normaltextrun"/>
          <w:rFonts w:cs="Arial"/>
          <w:i/>
          <w:iCs/>
          <w:color w:val="000000"/>
          <w:shd w:val="clear" w:color="auto" w:fill="FFFFFF"/>
        </w:rPr>
        <w:t>within</w:t>
      </w:r>
      <w:r w:rsidR="0066690C" w:rsidRPr="007F6332">
        <w:rPr>
          <w:rStyle w:val="normaltextrun"/>
          <w:rFonts w:cs="Arial"/>
          <w:i/>
          <w:iCs/>
          <w:color w:val="000000"/>
          <w:shd w:val="clear" w:color="auto" w:fill="FFFFFF"/>
        </w:rPr>
        <w:t xml:space="preserve"> the </w:t>
      </w:r>
      <w:r w:rsidR="002D6881" w:rsidRPr="007F6332">
        <w:rPr>
          <w:rStyle w:val="normaltextrun"/>
          <w:rFonts w:cs="Arial"/>
          <w:i/>
          <w:iCs/>
          <w:color w:val="000000"/>
          <w:shd w:val="clear" w:color="auto" w:fill="FFFFFF"/>
        </w:rPr>
        <w:t>Budget initiatives</w:t>
      </w:r>
      <w:r w:rsidRPr="007F6332">
        <w:rPr>
          <w:rStyle w:val="normaltextrun"/>
          <w:rFonts w:cs="Arial"/>
          <w:i/>
          <w:iCs/>
          <w:color w:val="000000"/>
          <w:shd w:val="clear" w:color="auto" w:fill="FFFFFF"/>
        </w:rPr>
        <w:t xml:space="preserve">, on changes to participant plan budgets, the type of and use of supports, and proportion of plan budget used. This will help the Agency understand the effectiveness of these </w:t>
      </w:r>
      <w:r w:rsidR="002D6881" w:rsidRPr="007F6332">
        <w:rPr>
          <w:rStyle w:val="normaltextrun"/>
          <w:rFonts w:cs="Arial"/>
          <w:i/>
          <w:iCs/>
          <w:color w:val="000000"/>
          <w:shd w:val="clear" w:color="auto" w:fill="FFFFFF"/>
        </w:rPr>
        <w:t>Budget initiatives</w:t>
      </w:r>
      <w:r w:rsidRPr="007F6332">
        <w:rPr>
          <w:rStyle w:val="normaltextrun"/>
          <w:rFonts w:cs="Arial"/>
          <w:i/>
          <w:iCs/>
          <w:color w:val="000000"/>
          <w:shd w:val="clear" w:color="auto" w:fill="FFFFFF"/>
        </w:rPr>
        <w:t xml:space="preserve">. </w:t>
      </w:r>
    </w:p>
    <w:p w14:paraId="6CBFD29B" w14:textId="7B1D86A7" w:rsidR="003A0B93" w:rsidRPr="007F6332" w:rsidRDefault="003A0B93" w:rsidP="0070708A">
      <w:pPr>
        <w:pStyle w:val="FSRHeading4"/>
      </w:pPr>
      <w:r w:rsidRPr="007F6332">
        <w:t>Participants with autism in the Scheme</w:t>
      </w:r>
    </w:p>
    <w:p w14:paraId="15FF65F1" w14:textId="7DF0AEB0" w:rsidR="003A0B93" w:rsidRPr="007F6332" w:rsidRDefault="003A0B93" w:rsidP="003A0B93">
      <w:pPr>
        <w:spacing w:before="240"/>
        <w:rPr>
          <w:rFonts w:cs="Arial"/>
        </w:rPr>
      </w:pPr>
      <w:r w:rsidRPr="007F6332">
        <w:rPr>
          <w:rFonts w:cs="Arial"/>
        </w:rPr>
        <w:t xml:space="preserve">Numbers of participants with autism entering the Scheme continues to grow year-on-year, representing 30% of total new entrants into the Scheme in 2022-23, with higher-than-expected numbers of females with autism and older children and adults with autism aged 15 and above accessing the Scheme for the first time in 2022-23. Numbers of older children and adults with autism entering the Scheme aged 15 and above has increased by 18% per year, over the past two years which may be due to factors such as greater awareness of autism in older children and adults who may have missed out on a diagnosis as a child, or adults </w:t>
      </w:r>
      <w:r w:rsidR="0066690C" w:rsidRPr="007F6332">
        <w:rPr>
          <w:rFonts w:cs="Arial"/>
        </w:rPr>
        <w:t>who enter the Scheme with multiple disabilities or health conditions, including autism</w:t>
      </w:r>
      <w:r w:rsidRPr="007F6332">
        <w:rPr>
          <w:rFonts w:cs="Arial"/>
        </w:rPr>
        <w:t>.</w:t>
      </w:r>
    </w:p>
    <w:p w14:paraId="01F69C1B" w14:textId="156A9578" w:rsidR="003A0B93" w:rsidRPr="007F6332" w:rsidRDefault="003A0B93" w:rsidP="003A0B93">
      <w:pPr>
        <w:spacing w:before="240"/>
        <w:rPr>
          <w:rFonts w:cs="Arial"/>
        </w:rPr>
      </w:pPr>
      <w:r w:rsidRPr="007F6332">
        <w:rPr>
          <w:rFonts w:cs="Arial"/>
        </w:rPr>
        <w:t>Further, given the numbers of participants with developmental delay transitioning to autism has been lower than expected in 2022-23, it is likely the numbers of participants with autism in the Scheme at June 2023 is under</w:t>
      </w:r>
      <w:r w:rsidR="0066690C" w:rsidRPr="007F6332">
        <w:rPr>
          <w:rFonts w:cs="Arial"/>
        </w:rPr>
        <w:t>stated</w:t>
      </w:r>
      <w:r w:rsidRPr="007F6332">
        <w:rPr>
          <w:rFonts w:cs="Arial"/>
        </w:rPr>
        <w:t xml:space="preserve">. The lower-than-expected numbers of </w:t>
      </w:r>
      <w:r w:rsidRPr="007F6332">
        <w:rPr>
          <w:rFonts w:cs="Arial"/>
        </w:rPr>
        <w:lastRenderedPageBreak/>
        <w:t>participants with developmental delay transitioning to autism, or intellectual disability, was driven by lower numbers of eligibility re-assessments, with service delivery resources prioritising eligibility assessments into the Scheme.</w:t>
      </w:r>
    </w:p>
    <w:p w14:paraId="6CCF6B35" w14:textId="77777777" w:rsidR="003A0B93" w:rsidRPr="007F6332" w:rsidRDefault="003A0B93" w:rsidP="003A0B93">
      <w:pPr>
        <w:spacing w:before="240"/>
        <w:rPr>
          <w:rFonts w:cs="Arial"/>
        </w:rPr>
      </w:pPr>
      <w:r w:rsidRPr="007F6332">
        <w:rPr>
          <w:rFonts w:cs="Arial"/>
        </w:rPr>
        <w:t>Rates of new entrants with autism, or transitioning from developmental delay to autism, do not appear to be stabilising as expected, making it challenging to determine when participation rates, for participants with autism, can reasonably be expected to stabilise in the medium to long term. This leads to uncertainty in the future projections of participant numbers and continued revisions to new entrant rates, making it difficult to provide an evidence base to recommend improvements to Scheme design and processes to better support individuals with autism.</w:t>
      </w:r>
    </w:p>
    <w:p w14:paraId="6C50C152" w14:textId="77777777" w:rsidR="003A0B93" w:rsidRPr="007F6332" w:rsidRDefault="003A0B93" w:rsidP="003A0B93">
      <w:pPr>
        <w:spacing w:before="240"/>
        <w:rPr>
          <w:rFonts w:cs="Arial"/>
        </w:rPr>
      </w:pPr>
      <w:r w:rsidRPr="007F6332">
        <w:rPr>
          <w:rStyle w:val="normaltextrun"/>
          <w:rFonts w:cs="Arial"/>
          <w:b/>
          <w:bCs/>
          <w:i/>
          <w:iCs/>
          <w:color w:val="000000"/>
          <w:shd w:val="clear" w:color="auto" w:fill="FFFFFF"/>
        </w:rPr>
        <w:t>Recommendation 3:</w:t>
      </w:r>
      <w:r w:rsidRPr="007F6332">
        <w:rPr>
          <w:rStyle w:val="eop"/>
          <w:rFonts w:cs="Arial"/>
          <w:b/>
          <w:bCs/>
          <w:i/>
          <w:iCs/>
          <w:color w:val="000000"/>
          <w:shd w:val="clear" w:color="auto" w:fill="FFFFFF"/>
        </w:rPr>
        <w:t xml:space="preserve"> </w:t>
      </w:r>
      <w:r w:rsidRPr="007F6332">
        <w:rPr>
          <w:rStyle w:val="normaltextrun"/>
          <w:rFonts w:cs="Arial"/>
          <w:i/>
          <w:iCs/>
          <w:color w:val="000000"/>
          <w:shd w:val="clear" w:color="auto" w:fill="FFFFFF"/>
        </w:rPr>
        <w:t>The Agency should continue to better understand the drivers of the increasing prevalence of autism, specifically the increased rate of female participants entering the Scheme with autism, and higher than expected number of new entrants with autism aged 15 and above. This work will help gain insights, and lead to better informed decisions about older children and adult participants with autism, including expectations of future numbers of new entrants with autism.</w:t>
      </w:r>
    </w:p>
    <w:p w14:paraId="71155B4D" w14:textId="6F7DED64" w:rsidR="003A0B93" w:rsidRPr="007F6332" w:rsidRDefault="003A0B93" w:rsidP="0070708A">
      <w:pPr>
        <w:pStyle w:val="FSRHeading4"/>
      </w:pPr>
      <w:r w:rsidRPr="007F6332">
        <w:t>Participants with complex/high support needs</w:t>
      </w:r>
    </w:p>
    <w:p w14:paraId="5B5C8432" w14:textId="38CB81B5" w:rsidR="003A0B93" w:rsidRPr="007F6332" w:rsidRDefault="003A0B93" w:rsidP="003A0B93">
      <w:pPr>
        <w:spacing w:before="240"/>
        <w:rPr>
          <w:rFonts w:cs="Arial"/>
        </w:rPr>
      </w:pPr>
      <w:r w:rsidRPr="007F6332">
        <w:rPr>
          <w:rFonts w:cs="Arial"/>
        </w:rPr>
        <w:t xml:space="preserve">Participants with Supported Independent Living (SIL) supports represented a relatively low percentage (5%) of total participants, yet accounted for a disproportionately higher percentage of total Scheme expenses </w:t>
      </w:r>
      <w:r w:rsidR="0066690C" w:rsidRPr="007F6332">
        <w:rPr>
          <w:rFonts w:cs="Arial"/>
        </w:rPr>
        <w:t>(33% in 2022-23)</w:t>
      </w:r>
      <w:r w:rsidRPr="007F6332">
        <w:rPr>
          <w:rFonts w:cs="Arial"/>
        </w:rPr>
        <w:t xml:space="preserve">. </w:t>
      </w:r>
      <w:r w:rsidR="0066690C" w:rsidRPr="007F6332">
        <w:rPr>
          <w:rFonts w:cs="Arial"/>
        </w:rPr>
        <w:t xml:space="preserve">Average payments for participants with SIL ($387,700 in 2022-23) are approximately 9 times that for participants without SIL supports ($42,700). </w:t>
      </w:r>
      <w:r w:rsidRPr="007F6332">
        <w:rPr>
          <w:rFonts w:cs="Arial"/>
        </w:rPr>
        <w:t>A change in numbers of participants with SIL supports, even if it is small relative to Scheme numbers in aggregate, can have a material impact on total Scheme expenses, which was the case in 2022-23. Higher</w:t>
      </w:r>
      <w:r w:rsidR="00DB76DB" w:rsidRPr="007F6332">
        <w:rPr>
          <w:rFonts w:cs="Arial"/>
        </w:rPr>
        <w:t>-</w:t>
      </w:r>
      <w:r w:rsidRPr="007F6332">
        <w:rPr>
          <w:rFonts w:cs="Arial"/>
        </w:rPr>
        <w:t>than</w:t>
      </w:r>
      <w:r w:rsidR="00DB76DB" w:rsidRPr="007F6332">
        <w:rPr>
          <w:rFonts w:cs="Arial"/>
        </w:rPr>
        <w:t>-</w:t>
      </w:r>
      <w:r w:rsidRPr="007F6332">
        <w:rPr>
          <w:rFonts w:cs="Arial"/>
        </w:rPr>
        <w:t xml:space="preserve">expected numbers of participants transitioning into SIL arrangements for the first time in 2022-23, driven by </w:t>
      </w:r>
      <w:r w:rsidR="00DC780F" w:rsidRPr="007F6332">
        <w:rPr>
          <w:rFonts w:cs="Arial"/>
        </w:rPr>
        <w:t>changes to the Home and Living application process</w:t>
      </w:r>
      <w:r w:rsidRPr="007F6332">
        <w:rPr>
          <w:rFonts w:cs="Arial"/>
        </w:rPr>
        <w:t xml:space="preserve">, was the main reason for the higher-than-expected Scheme expenses in 2022-23 (Table 4.11). </w:t>
      </w:r>
    </w:p>
    <w:p w14:paraId="0748494F" w14:textId="6DEF1DA7" w:rsidR="003A0B93" w:rsidRPr="007F6332" w:rsidRDefault="003A0B93" w:rsidP="003A0B93">
      <w:pPr>
        <w:spacing w:before="240"/>
        <w:rPr>
          <w:rFonts w:cs="Arial"/>
        </w:rPr>
      </w:pPr>
      <w:r w:rsidRPr="007F6332">
        <w:rPr>
          <w:rFonts w:cs="Arial"/>
        </w:rPr>
        <w:t xml:space="preserve">As such, </w:t>
      </w:r>
      <w:r w:rsidR="00095472" w:rsidRPr="007F6332">
        <w:rPr>
          <w:rFonts w:cs="Arial"/>
        </w:rPr>
        <w:t xml:space="preserve">for </w:t>
      </w:r>
      <w:r w:rsidRPr="007F6332">
        <w:rPr>
          <w:rFonts w:cs="Arial"/>
        </w:rPr>
        <w:t xml:space="preserve">participants with SIL supports, </w:t>
      </w:r>
      <w:r w:rsidR="00095472" w:rsidRPr="007F6332">
        <w:rPr>
          <w:rFonts w:cs="Arial"/>
        </w:rPr>
        <w:t xml:space="preserve">it is critical </w:t>
      </w:r>
      <w:r w:rsidRPr="007F6332">
        <w:rPr>
          <w:rFonts w:cs="Arial"/>
        </w:rPr>
        <w:t>to better understand change</w:t>
      </w:r>
      <w:r w:rsidR="00095472" w:rsidRPr="007F6332">
        <w:rPr>
          <w:rFonts w:cs="Arial"/>
        </w:rPr>
        <w:t>s</w:t>
      </w:r>
      <w:r w:rsidRPr="007F6332">
        <w:rPr>
          <w:rFonts w:cs="Arial"/>
        </w:rPr>
        <w:t xml:space="preserve"> in circumstances</w:t>
      </w:r>
      <w:r w:rsidR="00095472" w:rsidRPr="007F6332">
        <w:rPr>
          <w:rFonts w:cs="Arial"/>
        </w:rPr>
        <w:t xml:space="preserve"> and/or</w:t>
      </w:r>
      <w:r w:rsidRPr="007F6332">
        <w:rPr>
          <w:rFonts w:cs="Arial"/>
        </w:rPr>
        <w:t xml:space="preserve"> level of function, secondary disabilities and other characteristics. There is also a need to better understand participants who are not currently receiving SIL supports but have complex/high-cost support needs and in many cases have similar characteristics to those currently in SIL. This would help the Agency build an evidence base to make better decisions related to home and living arrangements, and potential</w:t>
      </w:r>
      <w:r w:rsidR="00095472" w:rsidRPr="007F6332">
        <w:rPr>
          <w:rFonts w:cs="Arial"/>
        </w:rPr>
        <w:t>ly</w:t>
      </w:r>
      <w:r w:rsidRPr="007F6332">
        <w:rPr>
          <w:rFonts w:cs="Arial"/>
        </w:rPr>
        <w:t xml:space="preserve"> to provide innovative solutions for participants with complex/high-cost support needs.</w:t>
      </w:r>
    </w:p>
    <w:p w14:paraId="7B3118B0" w14:textId="77777777" w:rsidR="003A0B93" w:rsidRPr="007F6332" w:rsidRDefault="003A0B93" w:rsidP="003A0B93">
      <w:pPr>
        <w:spacing w:before="240"/>
        <w:rPr>
          <w:rFonts w:cs="Arial"/>
        </w:rPr>
      </w:pPr>
      <w:r w:rsidRPr="007F6332">
        <w:rPr>
          <w:rFonts w:cs="Arial"/>
        </w:rPr>
        <w:t>Additionally, variability in operational processes impacting the numbers of home and living eligibility decisions, makes it more challenging to analyse and draw robust conclusions from historical experience, used to set assumptions about future expected numbers of participants with SIL supports. This increases the uncertainty in future expected Scheme expense projections, making it difficult to assess sustainability of potential initiatives over time.</w:t>
      </w:r>
    </w:p>
    <w:p w14:paraId="258D1299" w14:textId="00326C2D" w:rsidR="003A0B93" w:rsidRPr="007F6332" w:rsidRDefault="003A0B93" w:rsidP="003A0B93">
      <w:pPr>
        <w:pStyle w:val="FSRnormal"/>
        <w:rPr>
          <w:rFonts w:cs="Arial"/>
          <w:bCs/>
          <w:iCs/>
        </w:rPr>
      </w:pPr>
      <w:r w:rsidRPr="007F6332">
        <w:rPr>
          <w:rFonts w:cs="Arial"/>
          <w:bCs/>
          <w:iCs/>
        </w:rPr>
        <w:lastRenderedPageBreak/>
        <w:t>The Agency has undertaken extensive analysis during 2022-23, investigating:</w:t>
      </w:r>
    </w:p>
    <w:p w14:paraId="300F3865" w14:textId="79F275ED" w:rsidR="003A0B93" w:rsidRPr="007F6332" w:rsidRDefault="0066690C" w:rsidP="00CE7E91">
      <w:pPr>
        <w:pStyle w:val="FSRnormal"/>
        <w:numPr>
          <w:ilvl w:val="0"/>
          <w:numId w:val="31"/>
        </w:numPr>
        <w:spacing w:before="120" w:after="120"/>
        <w:ind w:left="777" w:hanging="357"/>
        <w:rPr>
          <w:rFonts w:cs="Arial"/>
          <w:bCs/>
          <w:iCs/>
        </w:rPr>
      </w:pPr>
      <w:r w:rsidRPr="007F6332">
        <w:rPr>
          <w:rFonts w:cs="Arial"/>
          <w:bCs/>
          <w:iCs/>
        </w:rPr>
        <w:t xml:space="preserve">The time </w:t>
      </w:r>
      <w:r w:rsidR="003A0B93" w:rsidRPr="007F6332">
        <w:rPr>
          <w:rFonts w:cs="Arial"/>
          <w:bCs/>
          <w:iCs/>
        </w:rPr>
        <w:t xml:space="preserve">from the point of </w:t>
      </w:r>
      <w:r w:rsidR="00DB76DB" w:rsidRPr="007F6332">
        <w:rPr>
          <w:rFonts w:cs="Arial"/>
          <w:bCs/>
          <w:iCs/>
        </w:rPr>
        <w:t>H</w:t>
      </w:r>
      <w:r w:rsidR="003A0B93" w:rsidRPr="007F6332">
        <w:rPr>
          <w:rFonts w:cs="Arial"/>
          <w:bCs/>
          <w:iCs/>
        </w:rPr>
        <w:t xml:space="preserve">ome and </w:t>
      </w:r>
      <w:r w:rsidR="00DB76DB" w:rsidRPr="007F6332">
        <w:rPr>
          <w:rFonts w:cs="Arial"/>
          <w:bCs/>
          <w:iCs/>
        </w:rPr>
        <w:t>L</w:t>
      </w:r>
      <w:r w:rsidR="003A0B93" w:rsidRPr="007F6332">
        <w:rPr>
          <w:rFonts w:cs="Arial"/>
          <w:bCs/>
          <w:iCs/>
        </w:rPr>
        <w:t xml:space="preserve">iving SIL eligibility decisions being made, to the first time participants access SIL supports: to understand the link between numbers of home and living SIL eligibility decisions, as a leading indicator, and the timing and expected numbers of participants transitioning to SIL arrangements. </w:t>
      </w:r>
    </w:p>
    <w:p w14:paraId="52F3591A" w14:textId="77777777" w:rsidR="003A0B93" w:rsidRPr="007F6332" w:rsidRDefault="003A0B93" w:rsidP="00CE7E91">
      <w:pPr>
        <w:pStyle w:val="FSRnormal"/>
        <w:numPr>
          <w:ilvl w:val="0"/>
          <w:numId w:val="31"/>
        </w:numPr>
        <w:spacing w:before="120" w:after="120"/>
        <w:ind w:left="777" w:hanging="357"/>
        <w:rPr>
          <w:rFonts w:cs="Arial"/>
          <w:bCs/>
          <w:iCs/>
        </w:rPr>
      </w:pPr>
      <w:r w:rsidRPr="007F6332">
        <w:rPr>
          <w:rFonts w:cs="Arial"/>
          <w:bCs/>
          <w:iCs/>
        </w:rPr>
        <w:t xml:space="preserve">Triggers/reasons for participants transitioning into SIL arrangements: to understand and build a potential pipeline of expected numbers of participants transitioning to SIL arrangements.  </w:t>
      </w:r>
    </w:p>
    <w:p w14:paraId="5CAE0F30" w14:textId="53D03135" w:rsidR="003A0B93" w:rsidRPr="007F6332" w:rsidRDefault="0066690C" w:rsidP="00CE7E91">
      <w:pPr>
        <w:pStyle w:val="FSRnormal"/>
        <w:numPr>
          <w:ilvl w:val="0"/>
          <w:numId w:val="31"/>
        </w:numPr>
        <w:spacing w:before="120" w:after="120"/>
        <w:ind w:left="777" w:hanging="357"/>
        <w:rPr>
          <w:rFonts w:cs="Arial"/>
          <w:bCs/>
          <w:iCs/>
        </w:rPr>
      </w:pPr>
      <w:r w:rsidRPr="007F6332">
        <w:rPr>
          <w:rFonts w:cs="Arial"/>
          <w:bCs/>
          <w:iCs/>
        </w:rPr>
        <w:t xml:space="preserve">The profile </w:t>
      </w:r>
      <w:r w:rsidR="003A0B93" w:rsidRPr="007F6332">
        <w:rPr>
          <w:rFonts w:cs="Arial"/>
          <w:bCs/>
          <w:iCs/>
        </w:rPr>
        <w:t xml:space="preserve">of participants transitioning to SIL arrangements, by primary disability group, level of function and age group: to establish a robust set of transition rates for participants new to SIL. </w:t>
      </w:r>
    </w:p>
    <w:p w14:paraId="1C898EFD" w14:textId="7B4B73E2" w:rsidR="003A0B93" w:rsidRPr="007F6332" w:rsidRDefault="003A0B93" w:rsidP="00CE7E91">
      <w:pPr>
        <w:pStyle w:val="FSRnormal"/>
        <w:numPr>
          <w:ilvl w:val="0"/>
          <w:numId w:val="31"/>
        </w:numPr>
        <w:spacing w:before="120" w:after="120"/>
        <w:ind w:left="777" w:hanging="357"/>
        <w:rPr>
          <w:rFonts w:cs="Arial"/>
          <w:bCs/>
          <w:iCs/>
        </w:rPr>
      </w:pPr>
      <w:r w:rsidRPr="007F6332">
        <w:rPr>
          <w:rFonts w:cs="Arial"/>
          <w:bCs/>
          <w:iCs/>
        </w:rPr>
        <w:t>Impact</w:t>
      </w:r>
      <w:r w:rsidR="0066690C" w:rsidRPr="007F6332">
        <w:rPr>
          <w:rFonts w:cs="Arial"/>
          <w:bCs/>
          <w:iCs/>
        </w:rPr>
        <w:t>s</w:t>
      </w:r>
      <w:r w:rsidRPr="007F6332">
        <w:rPr>
          <w:rFonts w:cs="Arial"/>
          <w:bCs/>
          <w:iCs/>
        </w:rPr>
        <w:t xml:space="preserve"> of change</w:t>
      </w:r>
      <w:r w:rsidR="0066690C" w:rsidRPr="007F6332">
        <w:rPr>
          <w:rFonts w:cs="Arial"/>
          <w:bCs/>
          <w:iCs/>
        </w:rPr>
        <w:t>s</w:t>
      </w:r>
      <w:r w:rsidRPr="007F6332">
        <w:rPr>
          <w:rFonts w:cs="Arial"/>
          <w:bCs/>
          <w:iCs/>
        </w:rPr>
        <w:t xml:space="preserve"> in </w:t>
      </w:r>
      <w:r w:rsidR="00DB76DB" w:rsidRPr="007F6332">
        <w:rPr>
          <w:rFonts w:cs="Arial"/>
          <w:bCs/>
          <w:iCs/>
        </w:rPr>
        <w:t>H</w:t>
      </w:r>
      <w:r w:rsidRPr="007F6332">
        <w:rPr>
          <w:rFonts w:cs="Arial"/>
          <w:bCs/>
          <w:iCs/>
        </w:rPr>
        <w:t xml:space="preserve">ome and </w:t>
      </w:r>
      <w:r w:rsidR="00DB76DB" w:rsidRPr="007F6332">
        <w:rPr>
          <w:rFonts w:cs="Arial"/>
          <w:bCs/>
          <w:iCs/>
        </w:rPr>
        <w:t>L</w:t>
      </w:r>
      <w:r w:rsidRPr="007F6332">
        <w:rPr>
          <w:rFonts w:cs="Arial"/>
          <w:bCs/>
          <w:iCs/>
        </w:rPr>
        <w:t>iving operational processes, introduced to drive consistency SIL eligibility decisions, on future expected numbers of participants transitioning to SIL.</w:t>
      </w:r>
    </w:p>
    <w:p w14:paraId="643F3EA0" w14:textId="403E9F78" w:rsidR="003A0B93" w:rsidRPr="007F6332" w:rsidRDefault="0066690C" w:rsidP="00CE7E91">
      <w:pPr>
        <w:pStyle w:val="FSRnormal"/>
        <w:numPr>
          <w:ilvl w:val="0"/>
          <w:numId w:val="31"/>
        </w:numPr>
        <w:spacing w:before="120" w:after="120"/>
        <w:ind w:left="777" w:hanging="357"/>
        <w:rPr>
          <w:rFonts w:cs="Arial"/>
          <w:bCs/>
          <w:iCs/>
        </w:rPr>
      </w:pPr>
      <w:r w:rsidRPr="007F6332">
        <w:rPr>
          <w:rFonts w:cs="Arial"/>
          <w:bCs/>
          <w:iCs/>
        </w:rPr>
        <w:t xml:space="preserve">The volume and types of participants who are not currently in SIL arrangements but might be </w:t>
      </w:r>
      <w:r w:rsidR="003A0B93" w:rsidRPr="007F6332">
        <w:rPr>
          <w:rFonts w:cs="Arial"/>
          <w:bCs/>
          <w:iCs/>
        </w:rPr>
        <w:t>expected to transition into SIL supports</w:t>
      </w:r>
      <w:r w:rsidRPr="007F6332">
        <w:rPr>
          <w:rFonts w:cs="Arial"/>
          <w:bCs/>
          <w:iCs/>
        </w:rPr>
        <w:t xml:space="preserve"> at some point</w:t>
      </w:r>
      <w:r w:rsidR="003A0B93" w:rsidRPr="007F6332">
        <w:rPr>
          <w:rFonts w:cs="Arial"/>
          <w:bCs/>
          <w:iCs/>
        </w:rPr>
        <w:t xml:space="preserve">. This modelling has focused on participants who have similar characteristics and support needs to those who are already in SIL, and the pace at which those participants may transition into SIL arrangements in the future. The outputs from the modelling have been used </w:t>
      </w:r>
      <w:r w:rsidRPr="007F6332">
        <w:rPr>
          <w:rFonts w:cs="Arial"/>
          <w:bCs/>
          <w:iCs/>
        </w:rPr>
        <w:t xml:space="preserve">as a reasonableness check on </w:t>
      </w:r>
      <w:r w:rsidR="003A0B93" w:rsidRPr="007F6332">
        <w:rPr>
          <w:rFonts w:cs="Arial"/>
          <w:bCs/>
          <w:iCs/>
        </w:rPr>
        <w:t>assumptions underlying the June 2023 projections and expected trajectory of the number of participants with SIL.</w:t>
      </w:r>
    </w:p>
    <w:p w14:paraId="69525B3C" w14:textId="77777777" w:rsidR="003A0B93" w:rsidRPr="007F6332" w:rsidRDefault="003A0B93" w:rsidP="003A0B93">
      <w:pPr>
        <w:pStyle w:val="FSRnormal"/>
        <w:spacing w:before="120" w:after="120"/>
        <w:rPr>
          <w:rFonts w:cs="Arial"/>
          <w:bCs/>
          <w:iCs/>
        </w:rPr>
      </w:pPr>
      <w:r w:rsidRPr="007F6332">
        <w:rPr>
          <w:rFonts w:cs="Arial"/>
          <w:bCs/>
          <w:iCs/>
        </w:rPr>
        <w:t>While this work has provided valuable insight into the experience of participants with SIL and other complex/ high support needs, it also provides the basis for further investigations to support better decision making going forward.</w:t>
      </w:r>
    </w:p>
    <w:p w14:paraId="498A026E" w14:textId="49F398BC" w:rsidR="006D1A97" w:rsidRPr="007F6332" w:rsidRDefault="003A0B93" w:rsidP="003A0B93">
      <w:pPr>
        <w:rPr>
          <w:rFonts w:cs="Arial"/>
          <w:i/>
          <w:iCs/>
        </w:rPr>
      </w:pPr>
      <w:r w:rsidRPr="007F6332">
        <w:rPr>
          <w:rFonts w:cs="Arial"/>
          <w:b/>
          <w:bCs/>
          <w:i/>
          <w:iCs/>
        </w:rPr>
        <w:t xml:space="preserve">Recommendation 4: </w:t>
      </w:r>
      <w:r w:rsidRPr="007F6332">
        <w:rPr>
          <w:rFonts w:cs="Arial"/>
          <w:i/>
          <w:iCs/>
        </w:rPr>
        <w:t xml:space="preserve">The Agency should continue to better understand the drivers/reasons for participants with complex/ high support needs to move into different types of living arrangements. Specifically, to understand the pathways and pace which participants move into Supported Independent Living, and other Home and Living arrangements. This will help the Agency make better decisions, and </w:t>
      </w:r>
      <w:r w:rsidR="00625B2C" w:rsidRPr="007F6332">
        <w:rPr>
          <w:rFonts w:cs="Arial"/>
          <w:i/>
          <w:iCs/>
        </w:rPr>
        <w:t xml:space="preserve">has the </w:t>
      </w:r>
      <w:r w:rsidRPr="007F6332">
        <w:rPr>
          <w:rFonts w:cs="Arial"/>
          <w:i/>
          <w:iCs/>
        </w:rPr>
        <w:t>potential to provide innovative solutions for participants with complex/ high support needs.</w:t>
      </w:r>
    </w:p>
    <w:p w14:paraId="2FB9AAE9" w14:textId="77777777" w:rsidR="00B37B2B" w:rsidRPr="007F6332" w:rsidRDefault="00B37B2B" w:rsidP="003A0B93">
      <w:pPr>
        <w:rPr>
          <w:rFonts w:cs="Arial"/>
          <w:i/>
          <w:iCs/>
        </w:rPr>
        <w:sectPr w:rsidR="00B37B2B" w:rsidRPr="007F6332" w:rsidSect="00CE7E91">
          <w:pgSz w:w="11906" w:h="16838"/>
          <w:pgMar w:top="1440" w:right="1440" w:bottom="1440" w:left="1440" w:header="708" w:footer="850" w:gutter="0"/>
          <w:cols w:space="708"/>
          <w:docGrid w:linePitch="360"/>
        </w:sectPr>
      </w:pPr>
    </w:p>
    <w:p w14:paraId="18DE92F4" w14:textId="49FAAB78" w:rsidR="003A0B93" w:rsidRPr="007F6332" w:rsidRDefault="003A0B93" w:rsidP="0070708A">
      <w:pPr>
        <w:pStyle w:val="FSRHeading4"/>
      </w:pPr>
      <w:r w:rsidRPr="007F6332">
        <w:lastRenderedPageBreak/>
        <w:t>Participants with psychosocial disability in the Scheme</w:t>
      </w:r>
    </w:p>
    <w:p w14:paraId="2DB848DF" w14:textId="77777777" w:rsidR="003A0B93" w:rsidRPr="007F6332" w:rsidRDefault="003A0B93" w:rsidP="003A0B93">
      <w:pPr>
        <w:pStyle w:val="FSRnormal"/>
        <w:rPr>
          <w:rFonts w:cs="Arial"/>
        </w:rPr>
      </w:pPr>
      <w:r w:rsidRPr="007F6332">
        <w:rPr>
          <w:rFonts w:cs="Arial"/>
        </w:rPr>
        <w:t>The number of participants accepted into the Scheme, with psychosocial disability as their primary disability, remains considerably lower than the original expectations when the Scheme was designed. Previous investigations into new entrants indicates there is a higher proportion of participants entering the Scheme with a psychosocial disability that have a previously unmet need (PUN)</w:t>
      </w:r>
      <w:r w:rsidRPr="007F6332">
        <w:rPr>
          <w:rStyle w:val="FootnoteReference"/>
          <w:rFonts w:cs="Arial"/>
        </w:rPr>
        <w:footnoteReference w:id="166"/>
      </w:r>
      <w:r w:rsidRPr="007F6332">
        <w:rPr>
          <w:rFonts w:cs="Arial"/>
        </w:rPr>
        <w:t xml:space="preserve">, compared with other disability types. </w:t>
      </w:r>
    </w:p>
    <w:p w14:paraId="11D06FA0" w14:textId="17EB0F90" w:rsidR="003A0B93" w:rsidRPr="007F6332" w:rsidRDefault="007B60AB" w:rsidP="003A0B93">
      <w:pPr>
        <w:pStyle w:val="FSRnormal"/>
        <w:rPr>
          <w:rFonts w:cs="Arial"/>
        </w:rPr>
      </w:pPr>
      <w:r w:rsidRPr="007F6332">
        <w:rPr>
          <w:rFonts w:cs="Arial"/>
        </w:rPr>
        <w:t>Investigations</w:t>
      </w:r>
      <w:r w:rsidR="003A0B93" w:rsidRPr="007F6332">
        <w:rPr>
          <w:rFonts w:cs="Arial"/>
        </w:rPr>
        <w:t xml:space="preserve"> into new entrants, to distinguish participants entering the Scheme with a genuine new incidence or on-set of disability, compared to those with a PUN, suggests that new entrants with psychosocial disability have previously tried to gain access to the Scheme and been denied, or had a previous diagnosis and accessing the Scheme for the first time, as their level of function has deteriorated over time. Where access has previously been denied, this has related to the episodic nature of mental health illnesses such that it has not been considered a permanent disablement.</w:t>
      </w:r>
    </w:p>
    <w:p w14:paraId="04571416" w14:textId="2FC0B35F" w:rsidR="003A0B93" w:rsidRPr="007F6332" w:rsidRDefault="007B60AB" w:rsidP="003A0B93">
      <w:pPr>
        <w:pStyle w:val="FSRnormal"/>
        <w:rPr>
          <w:rFonts w:cs="Arial"/>
        </w:rPr>
      </w:pPr>
      <w:r w:rsidRPr="007F6332">
        <w:rPr>
          <w:rFonts w:cs="Arial"/>
        </w:rPr>
        <w:t>The extent to which participants with PUN</w:t>
      </w:r>
      <w:r w:rsidR="00102E44" w:rsidRPr="007F6332">
        <w:rPr>
          <w:rFonts w:cs="Arial"/>
        </w:rPr>
        <w:t xml:space="preserve"> will continue to enter the Scheme is highly uncertain and </w:t>
      </w:r>
      <w:r w:rsidR="003A0B93" w:rsidRPr="007F6332">
        <w:rPr>
          <w:rFonts w:cs="Arial"/>
        </w:rPr>
        <w:t xml:space="preserve">the time </w:t>
      </w:r>
      <w:r w:rsidR="00102E44" w:rsidRPr="007F6332">
        <w:rPr>
          <w:rFonts w:cs="Arial"/>
        </w:rPr>
        <w:t xml:space="preserve">from when </w:t>
      </w:r>
      <w:r w:rsidR="003A0B93" w:rsidRPr="007F6332">
        <w:rPr>
          <w:rFonts w:cs="Arial"/>
        </w:rPr>
        <w:t>reasonable and necessary supports are required, to when they are likely to access the Scheme</w:t>
      </w:r>
      <w:r w:rsidR="00102E44" w:rsidRPr="007F6332">
        <w:rPr>
          <w:rFonts w:cs="Arial"/>
        </w:rPr>
        <w:t xml:space="preserve"> is unpredictable</w:t>
      </w:r>
      <w:r w:rsidR="003A0B93" w:rsidRPr="007F6332">
        <w:rPr>
          <w:rFonts w:cs="Arial"/>
        </w:rPr>
        <w:t>. This is seen in the variability of the numbers of new entrants with psychosocial disability from year-to-year, making it difficult to determine assumptions about future expected number of new entrants with psychosocial disability.</w:t>
      </w:r>
    </w:p>
    <w:p w14:paraId="1BAA43FF" w14:textId="0EAE15DC" w:rsidR="003A0B93" w:rsidRPr="007F6332" w:rsidRDefault="003A0B93" w:rsidP="003A0B93">
      <w:pPr>
        <w:pStyle w:val="FSRnormal"/>
        <w:rPr>
          <w:rFonts w:cs="Arial"/>
        </w:rPr>
      </w:pPr>
      <w:r w:rsidRPr="007F6332">
        <w:rPr>
          <w:rFonts w:cs="Arial"/>
          <w:b/>
          <w:i/>
        </w:rPr>
        <w:t>Recommendation 5:</w:t>
      </w:r>
      <w:r w:rsidRPr="007F6332">
        <w:rPr>
          <w:rFonts w:cs="Arial"/>
          <w:i/>
        </w:rPr>
        <w:t xml:space="preserve"> The Agency should seek to better understand the reasons why individuals with a psychosocial disability may not approach the Scheme or may not meet the eligibility criteria when applying for access to the Scheme. This will also inform estimates of longer-term rates of new entrants with a psychosocial disability to the Scheme.</w:t>
      </w:r>
    </w:p>
    <w:p w14:paraId="6DFF435C" w14:textId="74FC958B" w:rsidR="003A0B93" w:rsidRPr="007F6332" w:rsidRDefault="002D6881" w:rsidP="0070708A">
      <w:pPr>
        <w:pStyle w:val="FSRHeading4"/>
      </w:pPr>
      <w:r w:rsidRPr="007F6332">
        <w:t>Budget initiatives</w:t>
      </w:r>
    </w:p>
    <w:p w14:paraId="74C80353" w14:textId="1901E6CA" w:rsidR="003A0B93" w:rsidRPr="007F6332" w:rsidRDefault="003A0B93" w:rsidP="003A0B93">
      <w:pPr>
        <w:rPr>
          <w:rFonts w:cs="Arial"/>
        </w:rPr>
      </w:pPr>
      <w:r w:rsidRPr="007F6332">
        <w:rPr>
          <w:rFonts w:cs="Arial"/>
        </w:rPr>
        <w:t>A</w:t>
      </w:r>
      <w:r w:rsidRPr="007F6332" w:rsidDel="00B54BCA">
        <w:rPr>
          <w:rFonts w:cs="Arial"/>
        </w:rPr>
        <w:t xml:space="preserve">s part of the Federal Budget delivered on 9 May 2023 (“the Budget”), the Government announced it will provide funding to the NDIS, over four years from 2023-24, to implement </w:t>
      </w:r>
      <w:r w:rsidRPr="007F6332">
        <w:rPr>
          <w:rFonts w:cs="Arial"/>
        </w:rPr>
        <w:t>initiatives</w:t>
      </w:r>
      <w:r w:rsidRPr="007F6332" w:rsidDel="00B54BCA">
        <w:rPr>
          <w:rFonts w:cs="Arial"/>
        </w:rPr>
        <w:t xml:space="preserve"> (“</w:t>
      </w:r>
      <w:r w:rsidR="002D6881" w:rsidRPr="007F6332">
        <w:rPr>
          <w:rFonts w:cs="Arial"/>
        </w:rPr>
        <w:t>Budget initiatives</w:t>
      </w:r>
      <w:r w:rsidRPr="007F6332" w:rsidDel="00B54BCA">
        <w:rPr>
          <w:rFonts w:cs="Arial"/>
        </w:rPr>
        <w:t xml:space="preserve">”) </w:t>
      </w:r>
      <w:r w:rsidRPr="007F6332">
        <w:rPr>
          <w:rFonts w:cs="Arial"/>
        </w:rPr>
        <w:t xml:space="preserve">aimed to support </w:t>
      </w:r>
      <w:r w:rsidRPr="007F6332" w:rsidDel="00B54BCA">
        <w:rPr>
          <w:rFonts w:cs="Arial"/>
        </w:rPr>
        <w:t>participant outcomes and address the effective and sustainable operat</w:t>
      </w:r>
      <w:r w:rsidRPr="007F6332">
        <w:rPr>
          <w:rFonts w:cs="Arial"/>
        </w:rPr>
        <w:t>ion</w:t>
      </w:r>
      <w:r w:rsidRPr="007F6332" w:rsidDel="00B54BCA">
        <w:rPr>
          <w:rFonts w:cs="Arial"/>
        </w:rPr>
        <w:t xml:space="preserve"> of the Scheme</w:t>
      </w:r>
      <w:r w:rsidRPr="007F6332">
        <w:rPr>
          <w:rFonts w:cs="Arial"/>
        </w:rPr>
        <w:t xml:space="preserve">. </w:t>
      </w:r>
    </w:p>
    <w:p w14:paraId="38347E5D" w14:textId="77777777" w:rsidR="003A0B93" w:rsidRPr="007F6332" w:rsidRDefault="003A0B93" w:rsidP="003A0B93">
      <w:pPr>
        <w:rPr>
          <w:rFonts w:cs="Arial"/>
        </w:rPr>
      </w:pPr>
      <w:r w:rsidRPr="007F6332">
        <w:rPr>
          <w:rFonts w:cs="Arial"/>
        </w:rPr>
        <w:t>The NDIA is using a co-design approach to develop initiatives, working closely with participants, the Independent Advisory Council, Disability Representative and Carer Organisations and the disability sector more broadly. The initiatives are expected to drive moderated numbers of participants with developmental delay, greater participant trust in the NDIS supporting them over time, in turn leading to a moderation of future growth in participant plans, and stabilisation of numbers of participants with Supported Independent Living arrangements. Further, initiatives to mitigate from, or reduce fraudulent and non-</w:t>
      </w:r>
      <w:r w:rsidRPr="007F6332">
        <w:rPr>
          <w:rFonts w:cs="Arial"/>
        </w:rPr>
        <w:lastRenderedPageBreak/>
        <w:t xml:space="preserve">compliant payments will help to alleviate pressures of additional growth on Scheme expenses. </w:t>
      </w:r>
    </w:p>
    <w:p w14:paraId="50E08F53" w14:textId="05A74027" w:rsidR="003A0B93" w:rsidRPr="007F6332" w:rsidRDefault="003A0B93" w:rsidP="003A0B93">
      <w:pPr>
        <w:rPr>
          <w:rFonts w:cs="Arial"/>
          <w:b/>
          <w:bCs/>
          <w:i/>
          <w:iCs/>
        </w:rPr>
      </w:pPr>
      <w:r w:rsidRPr="007F6332">
        <w:rPr>
          <w:rFonts w:cs="Arial"/>
        </w:rPr>
        <w:t xml:space="preserve">An allowance </w:t>
      </w:r>
      <w:r w:rsidR="00102E44" w:rsidRPr="007F6332">
        <w:rPr>
          <w:rFonts w:cs="Arial"/>
        </w:rPr>
        <w:t xml:space="preserve">has been </w:t>
      </w:r>
      <w:r w:rsidRPr="007F6332">
        <w:rPr>
          <w:rFonts w:cs="Arial"/>
        </w:rPr>
        <w:t xml:space="preserve">made in the June 2023 Scheme projections, for the expected impact of the </w:t>
      </w:r>
      <w:r w:rsidR="002D6881" w:rsidRPr="007F6332">
        <w:rPr>
          <w:rFonts w:cs="Arial"/>
        </w:rPr>
        <w:t>Budget initiatives</w:t>
      </w:r>
      <w:r w:rsidRPr="007F6332">
        <w:rPr>
          <w:rFonts w:cs="Arial"/>
        </w:rPr>
        <w:t xml:space="preserve">, which was in line with the December 2022 Scheme projections used as the basis for the 2023-24 Budget. It is important the outcomes of the </w:t>
      </w:r>
      <w:r w:rsidR="002D6881" w:rsidRPr="007F6332">
        <w:rPr>
          <w:rFonts w:cs="Arial"/>
        </w:rPr>
        <w:t>Budget initiatives</w:t>
      </w:r>
      <w:r w:rsidRPr="007F6332">
        <w:rPr>
          <w:rFonts w:cs="Arial"/>
        </w:rPr>
        <w:t xml:space="preserve"> can be measured, with progress tracked relative to the estimated impacts allowed for in the Scheme projections. Regular and timely reporting of progress is essential for </w:t>
      </w:r>
      <w:r w:rsidR="000F2A24" w:rsidRPr="007F6332">
        <w:rPr>
          <w:rFonts w:cs="Arial"/>
        </w:rPr>
        <w:t>m</w:t>
      </w:r>
      <w:r w:rsidRPr="007F6332">
        <w:rPr>
          <w:rFonts w:cs="Arial"/>
        </w:rPr>
        <w:t xml:space="preserve">anagement to make informed decisions about the overall effectiveness of the design and implementation of initiatives, and ultimately to drive the desired outcomes. </w:t>
      </w:r>
    </w:p>
    <w:p w14:paraId="51E73F50" w14:textId="59B65362" w:rsidR="003A0B93" w:rsidRPr="007F6332" w:rsidRDefault="003A0B93" w:rsidP="003A0B93">
      <w:pPr>
        <w:rPr>
          <w:rFonts w:cs="Arial"/>
          <w:i/>
          <w:iCs/>
        </w:rPr>
      </w:pPr>
      <w:r w:rsidRPr="007F6332">
        <w:rPr>
          <w:rFonts w:cs="Arial"/>
          <w:b/>
          <w:bCs/>
          <w:i/>
          <w:iCs/>
        </w:rPr>
        <w:t xml:space="preserve">Recommendation 6: </w:t>
      </w:r>
      <w:r w:rsidRPr="007F6332">
        <w:rPr>
          <w:rFonts w:cs="Arial"/>
          <w:i/>
          <w:iCs/>
        </w:rPr>
        <w:t xml:space="preserve">The Agency should develop and embed a framework and governance structure to effectively monitor the implementation of the </w:t>
      </w:r>
      <w:r w:rsidR="002D6881" w:rsidRPr="007F6332">
        <w:rPr>
          <w:rFonts w:cs="Arial"/>
          <w:i/>
          <w:iCs/>
        </w:rPr>
        <w:t>Budget initiatives</w:t>
      </w:r>
      <w:r w:rsidRPr="007F6332">
        <w:rPr>
          <w:rFonts w:cs="Arial"/>
          <w:i/>
          <w:iCs/>
        </w:rPr>
        <w:t xml:space="preserve">, and to measure and report on the overall effectiveness of the </w:t>
      </w:r>
      <w:r w:rsidR="002D6881" w:rsidRPr="007F6332">
        <w:rPr>
          <w:rFonts w:cs="Arial"/>
          <w:i/>
          <w:iCs/>
        </w:rPr>
        <w:t>Budget initiatives</w:t>
      </w:r>
      <w:r w:rsidRPr="007F6332">
        <w:rPr>
          <w:rFonts w:cs="Arial"/>
          <w:i/>
          <w:iCs/>
        </w:rPr>
        <w:t xml:space="preserve">. This will help the Agency make informed decisions, in a timely manner, to optimise the success of the </w:t>
      </w:r>
      <w:r w:rsidR="002D6881" w:rsidRPr="007F6332">
        <w:rPr>
          <w:rFonts w:cs="Arial"/>
          <w:i/>
          <w:iCs/>
        </w:rPr>
        <w:t>Budget initiatives</w:t>
      </w:r>
      <w:r w:rsidRPr="007F6332">
        <w:rPr>
          <w:rFonts w:cs="Arial"/>
          <w:i/>
          <w:iCs/>
        </w:rPr>
        <w:t xml:space="preserve"> on improving the effectiveness and sustainability of the Scheme.</w:t>
      </w:r>
    </w:p>
    <w:p w14:paraId="2F74C9F0" w14:textId="184B40EF" w:rsidR="003A0B93" w:rsidRPr="007F6332" w:rsidRDefault="003A0B93" w:rsidP="0070708A">
      <w:pPr>
        <w:pStyle w:val="FSRHeading4"/>
      </w:pPr>
      <w:r w:rsidRPr="007F6332">
        <w:t>Long term Scheme projections and maturity</w:t>
      </w:r>
    </w:p>
    <w:p w14:paraId="2E73C8EA" w14:textId="77777777" w:rsidR="003A0B93" w:rsidRPr="007F6332" w:rsidRDefault="003A0B93" w:rsidP="003A0B93">
      <w:pPr>
        <w:spacing w:before="240"/>
        <w:rPr>
          <w:rFonts w:cs="Arial"/>
          <w:bCs/>
          <w:iCs/>
        </w:rPr>
      </w:pPr>
      <w:r w:rsidRPr="007F6332">
        <w:rPr>
          <w:rFonts w:cs="Arial"/>
          <w:bCs/>
          <w:iCs/>
        </w:rPr>
        <w:t>The AFSR sets out results of Scheme projections for a period of 10 years from 30 June 2023 to 30 June 2033. Over the 10-year period, the number of participants in the Scheme are projected to grow on average by 5.4% per annum, with Scheme expenses projected to grow on average by 8.4% per annum. As a percentage of GDP, projected Scheme expenses increase from 1.61% at June 2023 to 2.33% at June 2033, with Scheme expenses increasing at a greater rate than nominal GDP over the medium term. Applying the AFSR assumptions beyond 10 years, the rate of growth in participant numbers and Scheme expenses slows but does not stabilise over the foreseeable future.</w:t>
      </w:r>
    </w:p>
    <w:p w14:paraId="2AEF92D9" w14:textId="7CD9AD78" w:rsidR="003A0B93" w:rsidRPr="007F6332" w:rsidRDefault="003A0B93" w:rsidP="003A0B93">
      <w:pPr>
        <w:spacing w:before="240"/>
        <w:rPr>
          <w:rFonts w:cs="Arial"/>
          <w:bCs/>
          <w:iCs/>
        </w:rPr>
      </w:pPr>
      <w:r w:rsidRPr="007F6332">
        <w:rPr>
          <w:rFonts w:cs="Arial"/>
          <w:bCs/>
          <w:iCs/>
        </w:rPr>
        <w:t>Since the previous review, modelling of Scheme expenses beyond 10 years has been replicated using statistical modelling programs, which has improved robustness of projections used for the calculation of the Lifetime Cost Estimates in Section 5.10 of this AFSR. Additionally, this enabled the NDIA to provide Scheme expense projections over a 40-year period to Treasury, which have been used as input into the 2023 Intergenerational Report (IGR)</w:t>
      </w:r>
      <w:r w:rsidRPr="007F6332">
        <w:rPr>
          <w:rStyle w:val="FootnoteReference"/>
          <w:rFonts w:cs="Arial"/>
          <w:bCs/>
        </w:rPr>
        <w:footnoteReference w:id="167"/>
      </w:r>
      <w:r w:rsidRPr="007F6332">
        <w:rPr>
          <w:rFonts w:cs="Arial"/>
          <w:bCs/>
          <w:iCs/>
        </w:rPr>
        <w:t xml:space="preserve">. The IGR projections of Scheme expenses are </w:t>
      </w:r>
      <w:r w:rsidR="00102E44" w:rsidRPr="007F6332">
        <w:rPr>
          <w:rFonts w:cs="Arial"/>
          <w:bCs/>
          <w:iCs/>
        </w:rPr>
        <w:t xml:space="preserve">consistent with </w:t>
      </w:r>
      <w:r w:rsidRPr="007F6332">
        <w:rPr>
          <w:rFonts w:cs="Arial"/>
          <w:bCs/>
          <w:iCs/>
        </w:rPr>
        <w:t xml:space="preserve">the NDIS Financial Sustainability Framework committed to by National Cabinet in April 2023, factoring in an annual growth target of 8% in 2026-27, moderating as the Scheme matures. The IGR defines Scheme maturity being the time when </w:t>
      </w:r>
      <w:r w:rsidRPr="007F6332">
        <w:rPr>
          <w:rFonts w:cs="Arial"/>
          <w:bCs/>
          <w:i/>
        </w:rPr>
        <w:t>“</w:t>
      </w:r>
      <w:r w:rsidRPr="007F6332">
        <w:rPr>
          <w:rFonts w:cs="Arial"/>
          <w:i/>
        </w:rPr>
        <w:t>NDIS participants are expected to grow in line with overall population growth and average support package costs would rise in line with broad-based wage and price rises”</w:t>
      </w:r>
      <w:r w:rsidRPr="007F6332">
        <w:rPr>
          <w:rFonts w:cs="Arial"/>
        </w:rPr>
        <w:t xml:space="preserve">. On this basis, </w:t>
      </w:r>
      <w:r w:rsidRPr="007F6332">
        <w:rPr>
          <w:rFonts w:cs="Arial"/>
          <w:bCs/>
          <w:iCs/>
        </w:rPr>
        <w:t>the IGR projects the Scheme will reach maturity by 2043 at 2.5% of nominal GDP.</w:t>
      </w:r>
    </w:p>
    <w:p w14:paraId="43E16081" w14:textId="158E17DA" w:rsidR="003A0B93" w:rsidRPr="007F6332" w:rsidRDefault="003A0B93" w:rsidP="003A0B93">
      <w:pPr>
        <w:spacing w:before="240"/>
        <w:rPr>
          <w:rFonts w:cs="Arial"/>
          <w:bCs/>
          <w:iCs/>
        </w:rPr>
      </w:pPr>
      <w:r w:rsidRPr="007F6332">
        <w:rPr>
          <w:rFonts w:cs="Arial"/>
          <w:bCs/>
          <w:iCs/>
        </w:rPr>
        <w:t xml:space="preserve">Numbers of participants entering the Scheme continue to increase year-on-year, particularly numbers of children (aged 0-14) with developmental delay and autism, and older children and adults with autism (aged 15+), with no signs of new entrant rates for those cohorts </w:t>
      </w:r>
      <w:r w:rsidRPr="007F6332">
        <w:rPr>
          <w:rFonts w:cs="Arial"/>
          <w:bCs/>
          <w:iCs/>
        </w:rPr>
        <w:lastRenderedPageBreak/>
        <w:t xml:space="preserve">stabilising in the short-to-medium term. Also, additional growth in participant plan budgets is expected to remain in excess of normal inflation. The high degree of unpredictability relating to both additional growth experience and numbers of new entrants, which drives uncertainty in setting assumptions, makes it is challenging to </w:t>
      </w:r>
      <w:r w:rsidR="00095472" w:rsidRPr="007F6332">
        <w:rPr>
          <w:rFonts w:cs="Arial"/>
          <w:bCs/>
          <w:iCs/>
        </w:rPr>
        <w:t xml:space="preserve">estimate when </w:t>
      </w:r>
      <w:r w:rsidRPr="007F6332">
        <w:rPr>
          <w:rFonts w:cs="Arial"/>
          <w:bCs/>
          <w:iCs/>
        </w:rPr>
        <w:t>the Scheme</w:t>
      </w:r>
      <w:r w:rsidR="00095472" w:rsidRPr="007F6332">
        <w:rPr>
          <w:rFonts w:cs="Arial"/>
          <w:bCs/>
          <w:iCs/>
        </w:rPr>
        <w:t xml:space="preserve"> will reach maturity</w:t>
      </w:r>
      <w:r w:rsidRPr="007F6332">
        <w:rPr>
          <w:rFonts w:cs="Arial"/>
          <w:bCs/>
          <w:iCs/>
        </w:rPr>
        <w:t>.</w:t>
      </w:r>
    </w:p>
    <w:p w14:paraId="38400E41" w14:textId="42A9BD1B" w:rsidR="003A0B93" w:rsidRPr="007F6332" w:rsidRDefault="003A0B93" w:rsidP="003A0B93">
      <w:pPr>
        <w:spacing w:before="240"/>
        <w:rPr>
          <w:rFonts w:cs="Arial"/>
          <w:bCs/>
          <w:iCs/>
        </w:rPr>
      </w:pPr>
      <w:r w:rsidRPr="007F6332">
        <w:rPr>
          <w:rFonts w:cs="Arial"/>
          <w:bCs/>
          <w:iCs/>
        </w:rPr>
        <w:t>Further work is needed to derive more robust long-term assumptions to use beyond 10 years, in particular related to new entrants to the Scheme, including ageing impacts of the Australian population and likelihood of entering the Scheme as functional</w:t>
      </w:r>
      <w:r w:rsidR="00102E44" w:rsidRPr="007F6332">
        <w:rPr>
          <w:rFonts w:cs="Arial"/>
          <w:bCs/>
          <w:iCs/>
        </w:rPr>
        <w:t xml:space="preserve"> capacity </w:t>
      </w:r>
      <w:r w:rsidRPr="007F6332">
        <w:rPr>
          <w:rFonts w:cs="Arial"/>
          <w:bCs/>
          <w:iCs/>
        </w:rPr>
        <w:t xml:space="preserve">deteriorates with age, to better understand the trajectory of the Scheme and when it can reasonably be expected to reach a mature state. This in turn will enable the NDIA and other </w:t>
      </w:r>
      <w:r w:rsidR="000F2A24" w:rsidRPr="007F6332">
        <w:rPr>
          <w:rFonts w:cs="Arial"/>
          <w:bCs/>
          <w:iCs/>
        </w:rPr>
        <w:t>g</w:t>
      </w:r>
      <w:r w:rsidRPr="007F6332">
        <w:rPr>
          <w:rFonts w:cs="Arial"/>
          <w:bCs/>
          <w:iCs/>
        </w:rPr>
        <w:t>overnment agencies to make more informed decisions, and better understand how changes in projected nominal GDP and growth in Australian population might impact the longer-term financial sustainability of the Scheme.</w:t>
      </w:r>
    </w:p>
    <w:p w14:paraId="0C6FA1D8" w14:textId="77777777" w:rsidR="003A0B93" w:rsidRPr="007F6332" w:rsidRDefault="003A0B93" w:rsidP="003A0B93">
      <w:pPr>
        <w:rPr>
          <w:rFonts w:cs="Arial"/>
          <w:bCs/>
          <w:i/>
        </w:rPr>
      </w:pPr>
      <w:r w:rsidRPr="007F6332">
        <w:rPr>
          <w:rFonts w:cs="Arial"/>
          <w:b/>
          <w:i/>
        </w:rPr>
        <w:t>Recommendation 7:</w:t>
      </w:r>
      <w:r w:rsidRPr="007F6332">
        <w:rPr>
          <w:rFonts w:cs="Arial"/>
          <w:bCs/>
          <w:i/>
        </w:rPr>
        <w:t xml:space="preserve"> The Agency should undertake investigations into the Scheme participation rates implied by the AFSR model and develop a better understanding of the long-term trajectory of the proportions of the Australian population who are supported by the NDIS. The scope of the investigation should also include Scheme expenses as a proportion of national GDP, the level at which the proportion stabilises and the point in time when it stabilises, depending on the assumptions underlying longer-term projections of the Scheme.</w:t>
      </w:r>
    </w:p>
    <w:p w14:paraId="31A080DC" w14:textId="274FCFA5" w:rsidR="003A0B93" w:rsidRPr="007F6332" w:rsidRDefault="003A0B93" w:rsidP="0070708A">
      <w:pPr>
        <w:pStyle w:val="FSRHeading4"/>
      </w:pPr>
      <w:r w:rsidRPr="007F6332">
        <w:t>Compliance and Fraud</w:t>
      </w:r>
    </w:p>
    <w:p w14:paraId="757C43E5" w14:textId="04C87ADF" w:rsidR="003A0B93" w:rsidRPr="007F6332" w:rsidRDefault="003A0B93" w:rsidP="003A0B93">
      <w:pPr>
        <w:pStyle w:val="NormalWeb"/>
        <w:spacing w:before="240" w:beforeAutospacing="0" w:after="200" w:afterAutospacing="0" w:line="288" w:lineRule="auto"/>
        <w:rPr>
          <w:rFonts w:ascii="Arial" w:hAnsi="Arial" w:cs="Arial"/>
          <w:bCs/>
          <w:iCs/>
          <w:color w:val="000000" w:themeColor="text1"/>
          <w:kern w:val="2"/>
          <w:sz w:val="22"/>
          <w:szCs w:val="22"/>
          <w:lang w:eastAsia="en-US"/>
          <w14:ligatures w14:val="standardContextual"/>
        </w:rPr>
      </w:pPr>
      <w:r w:rsidRPr="007F6332">
        <w:rPr>
          <w:rFonts w:ascii="Arial" w:hAnsi="Arial" w:cs="Arial"/>
          <w:bCs/>
          <w:iCs/>
          <w:color w:val="000000" w:themeColor="text1"/>
          <w:kern w:val="2"/>
          <w:sz w:val="22"/>
          <w:szCs w:val="22"/>
          <w:lang w:eastAsia="en-US"/>
          <w14:ligatures w14:val="standardContextual"/>
        </w:rPr>
        <w:t>The NDIA's Claims &amp; Payments Integrity (</w:t>
      </w:r>
      <w:r w:rsidR="008312F7" w:rsidRPr="007F6332">
        <w:rPr>
          <w:rFonts w:ascii="Arial" w:hAnsi="Arial" w:cs="Arial"/>
          <w:bCs/>
          <w:iCs/>
          <w:color w:val="000000" w:themeColor="text1"/>
          <w:kern w:val="2"/>
          <w:sz w:val="22"/>
          <w:szCs w:val="22"/>
          <w:lang w:eastAsia="en-US"/>
          <w14:ligatures w14:val="standardContextual"/>
        </w:rPr>
        <w:t>C&amp;PI</w:t>
      </w:r>
      <w:r w:rsidRPr="007F6332">
        <w:rPr>
          <w:rFonts w:ascii="Arial" w:hAnsi="Arial" w:cs="Arial"/>
          <w:bCs/>
          <w:iCs/>
          <w:color w:val="000000" w:themeColor="text1"/>
          <w:kern w:val="2"/>
          <w:sz w:val="22"/>
          <w:szCs w:val="22"/>
          <w:lang w:eastAsia="en-US"/>
          <w14:ligatures w14:val="standardContextual"/>
        </w:rPr>
        <w:t>) team conduct regular payment assurance sampling to estimate the underlying error rate within the Scheme and undertake measures to mitigate, cancel and recover non-compliant payments. In 2022-23, 2,241 payments were reviewed as part of the payment assurance error rate sampling, which implied an underlying error rate of 4.17%. The processes followed by the C&amp;PI team are increasingly mature and robust, and allow for a better understanding of trends, drivers and the financial impact of underlying non-compliance within the Scheme.</w:t>
      </w:r>
    </w:p>
    <w:p w14:paraId="3B45AF70" w14:textId="77777777" w:rsidR="003A0B93" w:rsidRPr="007F6332" w:rsidRDefault="003A0B93" w:rsidP="003A0B93">
      <w:pPr>
        <w:pStyle w:val="NormalWeb"/>
        <w:spacing w:before="240" w:beforeAutospacing="0" w:after="200" w:afterAutospacing="0" w:line="288" w:lineRule="auto"/>
        <w:rPr>
          <w:rFonts w:ascii="Arial" w:hAnsi="Arial" w:cs="Arial"/>
          <w:bCs/>
          <w:iCs/>
          <w:color w:val="000000" w:themeColor="text1"/>
          <w:kern w:val="2"/>
          <w:sz w:val="22"/>
          <w:szCs w:val="22"/>
          <w:lang w:eastAsia="en-US"/>
          <w14:ligatures w14:val="standardContextual"/>
        </w:rPr>
      </w:pPr>
      <w:r w:rsidRPr="007F6332">
        <w:rPr>
          <w:rFonts w:ascii="Arial" w:hAnsi="Arial" w:cs="Arial"/>
          <w:bCs/>
          <w:iCs/>
          <w:color w:val="000000" w:themeColor="text1"/>
          <w:kern w:val="2"/>
          <w:sz w:val="22"/>
          <w:szCs w:val="22"/>
          <w:lang w:eastAsia="en-US"/>
          <w14:ligatures w14:val="standardContextual"/>
        </w:rPr>
        <w:t>However, the reliance on highly manual processes for all pre- and post-payment validation means that only 0.02% of total Scheme expenses are reviewed pre-payment each year and 0.04% are reviewed post-payment. Significant investment is therefore required to scale up to a whole-of-Scheme solution, in particular investment in ICT capabilities and policy and legislative reform.</w:t>
      </w:r>
    </w:p>
    <w:p w14:paraId="6EB8289B" w14:textId="7E8D5073" w:rsidR="004F512C" w:rsidRPr="007F6332" w:rsidRDefault="004F512C" w:rsidP="003A0B93">
      <w:pPr>
        <w:pStyle w:val="NormalWeb"/>
        <w:spacing w:before="240" w:beforeAutospacing="0" w:after="200" w:afterAutospacing="0" w:line="288" w:lineRule="auto"/>
        <w:rPr>
          <w:rFonts w:ascii="Arial" w:hAnsi="Arial" w:cs="Arial"/>
          <w:bCs/>
          <w:iCs/>
          <w:color w:val="000000" w:themeColor="text1"/>
          <w:kern w:val="2"/>
          <w:sz w:val="22"/>
          <w:szCs w:val="22"/>
          <w:lang w:eastAsia="en-US"/>
          <w14:ligatures w14:val="standardContextual"/>
        </w:rPr>
      </w:pPr>
      <w:bookmarkStart w:id="294" w:name="_Hlk150704909"/>
      <w:r w:rsidRPr="007F6332">
        <w:rPr>
          <w:rFonts w:ascii="Arial" w:hAnsi="Arial" w:cs="Arial"/>
          <w:bCs/>
          <w:iCs/>
          <w:color w:val="000000" w:themeColor="text1"/>
          <w:kern w:val="2"/>
          <w:sz w:val="22"/>
          <w:szCs w:val="22"/>
          <w:lang w:eastAsia="en-US"/>
          <w14:ligatures w14:val="standardContextual"/>
        </w:rPr>
        <w:t>The review process also relies on independent information provided by participants and providers in relation to payment compliance, and hence it is reasonable to assume that few genuinely fraudulent payments are identified via this sampling.</w:t>
      </w:r>
    </w:p>
    <w:bookmarkEnd w:id="294"/>
    <w:p w14:paraId="7B683047" w14:textId="670E3E6E" w:rsidR="003A0B93" w:rsidRPr="007F6332" w:rsidRDefault="003A0B93" w:rsidP="003A0B93">
      <w:pPr>
        <w:rPr>
          <w:rFonts w:cs="Arial"/>
          <w:b/>
          <w:bCs/>
          <w:i/>
          <w:iCs/>
        </w:rPr>
      </w:pPr>
      <w:r w:rsidRPr="007F6332">
        <w:rPr>
          <w:rFonts w:cs="Arial"/>
          <w:b/>
          <w:bCs/>
          <w:i/>
          <w:iCs/>
        </w:rPr>
        <w:t xml:space="preserve">Recommendation 8: </w:t>
      </w:r>
      <w:r w:rsidRPr="007F6332">
        <w:rPr>
          <w:rFonts w:cs="Arial"/>
          <w:i/>
          <w:iCs/>
        </w:rPr>
        <w:t xml:space="preserve">Further investment should be made to enable the Agency to actively detect and address </w:t>
      </w:r>
      <w:r w:rsidR="00FF2761" w:rsidRPr="007F6332">
        <w:rPr>
          <w:rFonts w:cs="Arial"/>
          <w:i/>
          <w:iCs/>
        </w:rPr>
        <w:t>behavio</w:t>
      </w:r>
      <w:r w:rsidR="00C51EAB" w:rsidRPr="007F6332">
        <w:rPr>
          <w:rFonts w:cs="Arial"/>
          <w:i/>
          <w:iCs/>
        </w:rPr>
        <w:t>u</w:t>
      </w:r>
      <w:r w:rsidR="00FF2761" w:rsidRPr="007F6332">
        <w:rPr>
          <w:rFonts w:cs="Arial"/>
          <w:i/>
          <w:iCs/>
        </w:rPr>
        <w:t>rs</w:t>
      </w:r>
      <w:r w:rsidRPr="007F6332">
        <w:rPr>
          <w:rFonts w:cs="Arial"/>
          <w:i/>
          <w:iCs/>
        </w:rPr>
        <w:t xml:space="preserve"> that are non-compliant and/ or fraudulent. This will help participants more effectively utilise their funding to meet their needs, potentially improving better outcomes. Reducing fraudulent </w:t>
      </w:r>
      <w:r w:rsidR="00FF2761" w:rsidRPr="007F6332">
        <w:rPr>
          <w:rFonts w:cs="Arial"/>
          <w:i/>
          <w:iCs/>
        </w:rPr>
        <w:t>behavio</w:t>
      </w:r>
      <w:r w:rsidR="00C51EAB" w:rsidRPr="007F6332">
        <w:rPr>
          <w:rFonts w:cs="Arial"/>
          <w:i/>
          <w:iCs/>
        </w:rPr>
        <w:t>u</w:t>
      </w:r>
      <w:r w:rsidR="00FF2761" w:rsidRPr="007F6332">
        <w:rPr>
          <w:rFonts w:cs="Arial"/>
          <w:i/>
          <w:iCs/>
        </w:rPr>
        <w:t>rs</w:t>
      </w:r>
      <w:r w:rsidRPr="007F6332">
        <w:rPr>
          <w:rFonts w:cs="Arial"/>
          <w:i/>
          <w:iCs/>
        </w:rPr>
        <w:t xml:space="preserve"> also helps improve the sustainability of the Scheme.  </w:t>
      </w:r>
    </w:p>
    <w:p w14:paraId="671116C4" w14:textId="380D5F5C" w:rsidR="003A0B93" w:rsidRPr="007F6332" w:rsidRDefault="003A0B93" w:rsidP="0070708A">
      <w:pPr>
        <w:pStyle w:val="FSRHeading4"/>
      </w:pPr>
      <w:r w:rsidRPr="007F6332">
        <w:lastRenderedPageBreak/>
        <w:t xml:space="preserve">Information systems and Scheme data </w:t>
      </w:r>
    </w:p>
    <w:p w14:paraId="15A34A87" w14:textId="575516AE" w:rsidR="003A0B93" w:rsidRPr="007F6332" w:rsidRDefault="003A0B93" w:rsidP="003A0B93">
      <w:pPr>
        <w:pStyle w:val="FSRnormal"/>
        <w:rPr>
          <w:rFonts w:cs="Arial"/>
          <w:iCs/>
        </w:rPr>
      </w:pPr>
      <w:r w:rsidRPr="007F6332">
        <w:rPr>
          <w:rFonts w:cs="Arial"/>
          <w:iCs/>
        </w:rPr>
        <w:t>The full implementation of the new participant Customer Relationship Management (CRM) system (PACE) is still two years away, with the national roll-out planned to start by the end of 2023. Once fully implemented and integrated with other NDIS data in the Enterprise Data Warehouse (EDW), PACE will enable the NDIA to conduct deeper investigations, to better understand participant support needs over their lifecycle: the type of supports and how support needs change over time, the volume and frequency of supports, and help the NDIA better manage Scheme expenses.</w:t>
      </w:r>
    </w:p>
    <w:p w14:paraId="346ED10B" w14:textId="1A1E6A1F" w:rsidR="003A0B93" w:rsidRPr="007F6332" w:rsidRDefault="003A0B93" w:rsidP="003A0B93">
      <w:pPr>
        <w:pStyle w:val="FSRnormal"/>
        <w:rPr>
          <w:rFonts w:cs="Arial"/>
          <w:iCs/>
        </w:rPr>
      </w:pPr>
      <w:r w:rsidRPr="007F6332">
        <w:rPr>
          <w:rFonts w:cs="Arial"/>
          <w:iCs/>
        </w:rPr>
        <w:t xml:space="preserve">It is important the integrity of Scheme data in the EDW is maintained during the period of national roll-out of PACE, which requires data across two participant CRM systems to be integrated with other operational </w:t>
      </w:r>
      <w:r w:rsidR="008312F7" w:rsidRPr="007F6332">
        <w:rPr>
          <w:rFonts w:cs="Arial"/>
          <w:iCs/>
        </w:rPr>
        <w:t>b</w:t>
      </w:r>
      <w:r w:rsidRPr="007F6332">
        <w:rPr>
          <w:rFonts w:cs="Arial"/>
          <w:iCs/>
        </w:rPr>
        <w:t xml:space="preserve">usiness systems, to support legislated reporting, business operational reporting and analytical, deep dive analysis and ad-hoc reporting services. Reporting on Scheme expenses, participants and outcomes, is imperative to the operation and sustainability of the Scheme. </w:t>
      </w:r>
    </w:p>
    <w:p w14:paraId="1A566F16" w14:textId="77777777" w:rsidR="003A0B93" w:rsidRPr="007F6332" w:rsidRDefault="003A0B93" w:rsidP="003A0B93">
      <w:pPr>
        <w:pStyle w:val="FSRnormal"/>
        <w:rPr>
          <w:rFonts w:cs="Arial"/>
          <w:iCs/>
        </w:rPr>
      </w:pPr>
      <w:r w:rsidRPr="007F6332">
        <w:rPr>
          <w:rFonts w:cs="Arial"/>
          <w:iCs/>
        </w:rPr>
        <w:t>The EDW environment, including the integrity and quality of data, governance processes and data ownership, and efficiency of the platform for end-users, needs to continually evolve and improve over time. With increased focus on the effectiveness and sustainability of the Scheme, accuracy and integrity of data used to make decisions, undertake analyses for the NDIA to respond to requests for information in a timely manner, needs to uphold this higher level of scrutiny.</w:t>
      </w:r>
    </w:p>
    <w:p w14:paraId="00F05B8A" w14:textId="77777777" w:rsidR="003A0B93" w:rsidRPr="007F6332" w:rsidRDefault="003A0B93" w:rsidP="003A0B93">
      <w:pPr>
        <w:pStyle w:val="FSRnormal"/>
        <w:rPr>
          <w:rFonts w:cs="Arial"/>
          <w:i/>
        </w:rPr>
      </w:pPr>
      <w:r w:rsidRPr="007F6332">
        <w:rPr>
          <w:rFonts w:cs="Arial"/>
          <w:b/>
          <w:i/>
        </w:rPr>
        <w:t>Recommendation 9:</w:t>
      </w:r>
      <w:r w:rsidRPr="007F6332">
        <w:rPr>
          <w:rFonts w:cs="Arial"/>
          <w:i/>
        </w:rPr>
        <w:t xml:space="preserve"> Further investments should be made in the Agency’s data assets and the quality of data collected including longer-term development of the EDW post national roll-out of the new PACE platform. This will enable more effective tracking of operational processes, monitoring of Scheme experience across participants, providers, the Agency, enabling consistency of decision making to address effectiveness of processes and longer-term sustainability of the Scheme. </w:t>
      </w:r>
    </w:p>
    <w:p w14:paraId="1FF4679F" w14:textId="492EA110" w:rsidR="003A0B93" w:rsidRPr="007F6332" w:rsidRDefault="003A0B93" w:rsidP="0070708A">
      <w:pPr>
        <w:pStyle w:val="FSRHeading4"/>
      </w:pPr>
      <w:r w:rsidRPr="007F6332">
        <w:t>Participant data</w:t>
      </w:r>
    </w:p>
    <w:p w14:paraId="7E37F1DC" w14:textId="77777777" w:rsidR="003A0B93" w:rsidRPr="007F6332" w:rsidRDefault="003A0B93" w:rsidP="003A0B93">
      <w:pPr>
        <w:pStyle w:val="FSRnormal"/>
        <w:rPr>
          <w:rFonts w:cs="Arial"/>
        </w:rPr>
      </w:pPr>
      <w:r w:rsidRPr="007F6332">
        <w:rPr>
          <w:rFonts w:cs="Arial"/>
        </w:rPr>
        <w:t xml:space="preserve">The type and quality of participant data collected is vital to building a robust evidence base, to monitor and track participant experience as it emerges, to analyse any emerging trends and outliers, to conduct deep dives to investigate causes/reasons to explain patterns seen in the data. Such an evidence basis is central to the management of the NDIS, providing an objective basis for the Agency to make informed decisions about policy design, how best to support participants and ultimately drive optimal outcomes for participants, whilst managing the sustainability of the Scheme. </w:t>
      </w:r>
    </w:p>
    <w:p w14:paraId="43468BFB" w14:textId="11A8FF51" w:rsidR="003A0B93" w:rsidRPr="007F6332" w:rsidRDefault="003A0B93" w:rsidP="003A0B93">
      <w:pPr>
        <w:pStyle w:val="FSRnormal"/>
        <w:rPr>
          <w:rFonts w:cs="Arial"/>
        </w:rPr>
      </w:pPr>
      <w:r w:rsidRPr="007F6332">
        <w:rPr>
          <w:rFonts w:cs="Arial"/>
        </w:rPr>
        <w:t xml:space="preserve">Data collected from participants, captured in the existing Customer Relationship Management system (SAP_CRM), is dependent on the existing processes and the extent of the information requested from participants, and subsequently provided. Participant data generally is limited to mandatory information collected on participants accessing the Scheme and during the planning process, used to set up and manage participant plans. Information is </w:t>
      </w:r>
      <w:r w:rsidRPr="007F6332">
        <w:rPr>
          <w:rFonts w:cs="Arial"/>
        </w:rPr>
        <w:lastRenderedPageBreak/>
        <w:t xml:space="preserve">limited, or not currently captured, where participants have a change in circumstance, their functioning deteriorates over time with age, or related to </w:t>
      </w:r>
      <w:r w:rsidR="008312F7" w:rsidRPr="007F6332">
        <w:rPr>
          <w:rFonts w:cs="Arial"/>
        </w:rPr>
        <w:t>H</w:t>
      </w:r>
      <w:r w:rsidRPr="007F6332">
        <w:rPr>
          <w:rFonts w:cs="Arial"/>
        </w:rPr>
        <w:t xml:space="preserve">ome and </w:t>
      </w:r>
      <w:r w:rsidR="008312F7" w:rsidRPr="007F6332">
        <w:rPr>
          <w:rFonts w:cs="Arial"/>
        </w:rPr>
        <w:t>L</w:t>
      </w:r>
      <w:r w:rsidRPr="007F6332">
        <w:rPr>
          <w:rFonts w:cs="Arial"/>
        </w:rPr>
        <w:t>iving arrangements.</w:t>
      </w:r>
    </w:p>
    <w:p w14:paraId="0474F294" w14:textId="77777777" w:rsidR="003A0B93" w:rsidRPr="007F6332" w:rsidRDefault="003A0B93" w:rsidP="003A0B93">
      <w:pPr>
        <w:pStyle w:val="FSRnormal"/>
        <w:rPr>
          <w:rFonts w:cs="Arial"/>
        </w:rPr>
      </w:pPr>
      <w:r w:rsidRPr="007F6332">
        <w:rPr>
          <w:rFonts w:cs="Arial"/>
        </w:rPr>
        <w:t>There is an opportunity with the national roll-out of the new CRM system (PACE) to implement a new Agency process, referred to as a “control cycle”, identify new participant data items, build a case for capturing new data, through to implementing/ enabling capture of participant data, and ultimately to use the new data to deepen analyses and understanding of key drivers of participant pathways across their lifecycle in the Scheme.</w:t>
      </w:r>
    </w:p>
    <w:p w14:paraId="158ADBCE" w14:textId="77777777" w:rsidR="003A0B93" w:rsidRPr="007F6332" w:rsidRDefault="003A0B93" w:rsidP="003A0B93">
      <w:pPr>
        <w:rPr>
          <w:rFonts w:cs="Arial"/>
        </w:rPr>
      </w:pPr>
      <w:r w:rsidRPr="007F6332">
        <w:rPr>
          <w:rFonts w:cs="Arial"/>
        </w:rPr>
        <w:t>Some examples of data improvements, to capture information/ data in the participants CRM related to:</w:t>
      </w:r>
    </w:p>
    <w:p w14:paraId="0B1F1E9E" w14:textId="77777777" w:rsidR="003A0B93" w:rsidRPr="007F6332" w:rsidRDefault="003A0B93" w:rsidP="00CE7E91">
      <w:pPr>
        <w:pStyle w:val="ListParagraph"/>
        <w:numPr>
          <w:ilvl w:val="0"/>
          <w:numId w:val="12"/>
        </w:numPr>
        <w:spacing w:before="120" w:after="120" w:line="259" w:lineRule="auto"/>
        <w:ind w:left="714" w:hanging="357"/>
        <w:contextualSpacing w:val="0"/>
        <w:rPr>
          <w:rFonts w:cs="Arial"/>
          <w:i/>
          <w:iCs/>
        </w:rPr>
      </w:pPr>
      <w:r w:rsidRPr="007F6332">
        <w:rPr>
          <w:rFonts w:cs="Arial"/>
          <w:b/>
          <w:bCs/>
        </w:rPr>
        <w:t>Change in circumstance</w:t>
      </w:r>
      <w:r w:rsidRPr="007F6332">
        <w:rPr>
          <w:rFonts w:cs="Arial"/>
        </w:rPr>
        <w:t xml:space="preserve"> – help better understand reason for change in needs and what is fair and reasonable.</w:t>
      </w:r>
    </w:p>
    <w:p w14:paraId="43E65064" w14:textId="77777777" w:rsidR="003A0B93" w:rsidRPr="007F6332" w:rsidRDefault="003A0B93" w:rsidP="00CE7E91">
      <w:pPr>
        <w:pStyle w:val="ListParagraph"/>
        <w:numPr>
          <w:ilvl w:val="0"/>
          <w:numId w:val="12"/>
        </w:numPr>
        <w:spacing w:before="120" w:after="120" w:line="259" w:lineRule="auto"/>
        <w:ind w:left="714" w:hanging="357"/>
        <w:contextualSpacing w:val="0"/>
        <w:rPr>
          <w:rFonts w:cs="Arial"/>
          <w:i/>
          <w:iCs/>
        </w:rPr>
      </w:pPr>
      <w:r w:rsidRPr="007F6332">
        <w:rPr>
          <w:rFonts w:cs="Arial"/>
          <w:b/>
          <w:bCs/>
        </w:rPr>
        <w:t>Change in level of function</w:t>
      </w:r>
      <w:r w:rsidRPr="007F6332">
        <w:rPr>
          <w:rFonts w:cs="Arial"/>
        </w:rPr>
        <w:t xml:space="preserve"> – better understand how level of function changes with age, which in turn may lead to a change in needs and also could impact the reason for entry into the Scheme as functionality deteriorates.</w:t>
      </w:r>
    </w:p>
    <w:p w14:paraId="75A6E09F" w14:textId="77777777" w:rsidR="003A0B93" w:rsidRPr="007F6332" w:rsidRDefault="003A0B93" w:rsidP="00CE7E91">
      <w:pPr>
        <w:pStyle w:val="ListParagraph"/>
        <w:numPr>
          <w:ilvl w:val="0"/>
          <w:numId w:val="12"/>
        </w:numPr>
        <w:spacing w:before="120" w:after="120" w:line="259" w:lineRule="auto"/>
        <w:ind w:left="714" w:hanging="357"/>
        <w:contextualSpacing w:val="0"/>
        <w:rPr>
          <w:rFonts w:cs="Arial"/>
          <w:i/>
          <w:iCs/>
        </w:rPr>
      </w:pPr>
      <w:r w:rsidRPr="007F6332">
        <w:rPr>
          <w:rFonts w:cs="Arial"/>
          <w:b/>
          <w:bCs/>
        </w:rPr>
        <w:t>Secondary disability</w:t>
      </w:r>
      <w:r w:rsidRPr="007F6332">
        <w:rPr>
          <w:rFonts w:cs="Arial"/>
        </w:rPr>
        <w:t xml:space="preserve"> – help better understand and gain insight into barriers to entry to Scheme, for example, potential participants with psychosocial disability are more likely to have multiple disabilities.</w:t>
      </w:r>
    </w:p>
    <w:p w14:paraId="1E041ADE" w14:textId="77777777" w:rsidR="003A0B93" w:rsidRPr="007F6332" w:rsidRDefault="003A0B93" w:rsidP="00CE7E91">
      <w:pPr>
        <w:pStyle w:val="ListParagraph"/>
        <w:numPr>
          <w:ilvl w:val="0"/>
          <w:numId w:val="12"/>
        </w:numPr>
        <w:spacing w:before="120" w:after="120" w:line="259" w:lineRule="auto"/>
        <w:ind w:left="714" w:hanging="357"/>
        <w:contextualSpacing w:val="0"/>
        <w:rPr>
          <w:rFonts w:cs="Arial"/>
          <w:b/>
          <w:bCs/>
          <w:i/>
          <w:iCs/>
        </w:rPr>
      </w:pPr>
      <w:r w:rsidRPr="007F6332">
        <w:rPr>
          <w:rFonts w:cs="Arial"/>
          <w:b/>
          <w:bCs/>
        </w:rPr>
        <w:t xml:space="preserve">Informal supports – </w:t>
      </w:r>
      <w:r w:rsidRPr="007F6332">
        <w:rPr>
          <w:rFonts w:cs="Arial"/>
        </w:rPr>
        <w:t>help to understand what other supports participants have access to, and what is fair and reasonable supports.</w:t>
      </w:r>
    </w:p>
    <w:p w14:paraId="1E8767BB" w14:textId="77777777" w:rsidR="003A0B93" w:rsidRPr="007F6332" w:rsidRDefault="003A0B93" w:rsidP="00CE7E91">
      <w:pPr>
        <w:pStyle w:val="FSRnormal"/>
        <w:numPr>
          <w:ilvl w:val="0"/>
          <w:numId w:val="12"/>
        </w:numPr>
        <w:rPr>
          <w:rFonts w:cs="Arial"/>
        </w:rPr>
      </w:pPr>
      <w:r w:rsidRPr="007F6332">
        <w:rPr>
          <w:rFonts w:cs="Arial"/>
          <w:b/>
          <w:bCs/>
        </w:rPr>
        <w:t xml:space="preserve">Living arrangements – </w:t>
      </w:r>
      <w:r w:rsidRPr="007F6332">
        <w:rPr>
          <w:rFonts w:cs="Arial"/>
        </w:rPr>
        <w:t>help better understand the different types of living arrangements, across the different participants cohorts and gain insight into what is most effective in achieving desired outcomes.</w:t>
      </w:r>
    </w:p>
    <w:p w14:paraId="4BA3236F" w14:textId="77777777" w:rsidR="003A0B93" w:rsidRPr="007F6332" w:rsidRDefault="003A0B93" w:rsidP="003A0B93">
      <w:pPr>
        <w:rPr>
          <w:rFonts w:cs="Arial"/>
          <w:i/>
          <w:iCs/>
        </w:rPr>
      </w:pPr>
      <w:r w:rsidRPr="007F6332">
        <w:rPr>
          <w:rFonts w:cs="Arial"/>
          <w:b/>
          <w:bCs/>
          <w:i/>
          <w:iCs/>
        </w:rPr>
        <w:t xml:space="preserve">Recommendation 10: </w:t>
      </w:r>
      <w:r w:rsidRPr="007F6332">
        <w:rPr>
          <w:rFonts w:cs="Arial"/>
          <w:i/>
          <w:iCs/>
        </w:rPr>
        <w:t>With the planned national roll-out of PACE, the Agency should seek to implement a control-cycle, to improve the quality and type of participant data collected on the participant CRM system. This will enable a deeper analysis and understanding of drivers of participant needs over their lifetime, leading to improved insights and decision making, and reduce uncertainty in setting assumptions for Scheme projections.</w:t>
      </w:r>
    </w:p>
    <w:p w14:paraId="4C93437F" w14:textId="2A32151C" w:rsidR="003A0B93" w:rsidRPr="007F6332" w:rsidRDefault="003A0B93" w:rsidP="0070708A">
      <w:pPr>
        <w:pStyle w:val="FSRHeading4"/>
      </w:pPr>
      <w:r w:rsidRPr="007F6332">
        <w:t>Investment Effectiveness Program</w:t>
      </w:r>
    </w:p>
    <w:p w14:paraId="489147BD" w14:textId="284F663F" w:rsidR="003A0B93" w:rsidRPr="007F6332" w:rsidRDefault="003A0B93" w:rsidP="003A0B93">
      <w:pPr>
        <w:pStyle w:val="FSRnormal"/>
        <w:rPr>
          <w:rFonts w:cs="Arial"/>
        </w:rPr>
      </w:pPr>
      <w:r w:rsidRPr="007F6332">
        <w:rPr>
          <w:rFonts w:cs="Arial"/>
        </w:rPr>
        <w:t>The overarching objective set out in previous AFSR’s is to continue to develop understanding of links between NDIS funding and participant outcomes through the Investment Effectiveness Program (IEP). Understanding these links can better inform participants on how their decisions regarding potential supports impact their individual needs and help their ongoing choices under the Scheme.</w:t>
      </w:r>
    </w:p>
    <w:p w14:paraId="0879E705" w14:textId="77777777" w:rsidR="003A0B93" w:rsidRPr="007F6332" w:rsidRDefault="003A0B93" w:rsidP="003A0B93">
      <w:pPr>
        <w:spacing w:before="240"/>
        <w:rPr>
          <w:rFonts w:cs="Arial"/>
        </w:rPr>
      </w:pPr>
      <w:r w:rsidRPr="007F6332">
        <w:rPr>
          <w:rFonts w:cs="Arial"/>
        </w:rPr>
        <w:t>The IEP commenced in early 2022 to better understand and establish links between funding and participant outcomes. This is a multi-year project and is being undertaken in consultation with participants, academics, and stakeholders from the disability sector, as well as the Department of Social Services.</w:t>
      </w:r>
    </w:p>
    <w:p w14:paraId="47A057A0" w14:textId="77777777" w:rsidR="003A0B93" w:rsidRPr="007F6332" w:rsidRDefault="003A0B93" w:rsidP="003A0B93">
      <w:pPr>
        <w:spacing w:before="240"/>
        <w:rPr>
          <w:rFonts w:cs="Arial"/>
        </w:rPr>
      </w:pPr>
      <w:r w:rsidRPr="007F6332">
        <w:rPr>
          <w:rFonts w:cs="Arial"/>
        </w:rPr>
        <w:lastRenderedPageBreak/>
        <w:t xml:space="preserve">Since the previous review, preliminary analysis has been undertaken, of a pilot cohort of participants aged 15 to 24 with an intellectual disability including Down Syndrome. Several positive relationships, where funding has resulted in improved participant outcomes have been identified and measured. The focus of the IEP in 2023-24 is to: </w:t>
      </w:r>
    </w:p>
    <w:p w14:paraId="6D4E606D" w14:textId="77777777" w:rsidR="003A0B93" w:rsidRPr="007F6332" w:rsidRDefault="003A0B93" w:rsidP="00CE7E91">
      <w:pPr>
        <w:pStyle w:val="ListParagraph"/>
        <w:numPr>
          <w:ilvl w:val="0"/>
          <w:numId w:val="30"/>
        </w:numPr>
        <w:spacing w:before="120" w:after="120"/>
        <w:ind w:left="714" w:hanging="357"/>
        <w:contextualSpacing w:val="0"/>
        <w:rPr>
          <w:rFonts w:cs="Arial"/>
        </w:rPr>
      </w:pPr>
      <w:r w:rsidRPr="007F6332">
        <w:rPr>
          <w:rFonts w:cs="Arial"/>
        </w:rPr>
        <w:t xml:space="preserve">Verify positive relationships through various methods, including peer review by internal subject matter experts, post-hoc statistical techniques enabling causal inference, and qualitative investigation with participants, sector practitioners and experts. </w:t>
      </w:r>
    </w:p>
    <w:p w14:paraId="72D6247D" w14:textId="77777777" w:rsidR="003A0B93" w:rsidRPr="007F6332" w:rsidRDefault="003A0B93" w:rsidP="00CE7E91">
      <w:pPr>
        <w:pStyle w:val="ListParagraph"/>
        <w:numPr>
          <w:ilvl w:val="0"/>
          <w:numId w:val="30"/>
        </w:numPr>
        <w:spacing w:before="120" w:after="120"/>
        <w:ind w:left="714" w:hanging="357"/>
        <w:contextualSpacing w:val="0"/>
        <w:rPr>
          <w:rFonts w:cs="Arial"/>
        </w:rPr>
      </w:pPr>
      <w:r w:rsidRPr="007F6332">
        <w:rPr>
          <w:rFonts w:cs="Arial"/>
        </w:rPr>
        <w:t>Investigate negative relationships, where funding does not impact/ or detracts from participant outcomes, using data beyond the NDIS’ own. E.g., data from other federal government agencies (through the Multi-Agency Data Integration Project) may also shed more light on such relationships.</w:t>
      </w:r>
    </w:p>
    <w:p w14:paraId="1C42C905" w14:textId="77777777" w:rsidR="003A0B93" w:rsidRPr="007F6332" w:rsidRDefault="003A0B93" w:rsidP="00CE7E91">
      <w:pPr>
        <w:pStyle w:val="ListParagraph"/>
        <w:numPr>
          <w:ilvl w:val="0"/>
          <w:numId w:val="30"/>
        </w:numPr>
        <w:spacing w:before="120" w:after="120"/>
        <w:ind w:left="714" w:hanging="357"/>
        <w:contextualSpacing w:val="0"/>
        <w:rPr>
          <w:rFonts w:cs="Arial"/>
        </w:rPr>
      </w:pPr>
      <w:r w:rsidRPr="007F6332">
        <w:rPr>
          <w:rFonts w:cs="Arial"/>
        </w:rPr>
        <w:t>Expand the IEP analysis to all participants within the Scheme.</w:t>
      </w:r>
    </w:p>
    <w:p w14:paraId="4926972A" w14:textId="77777777" w:rsidR="003A0B93" w:rsidRPr="007F6332" w:rsidRDefault="003A0B93" w:rsidP="00CE7E91">
      <w:pPr>
        <w:pStyle w:val="FSRnormal"/>
        <w:numPr>
          <w:ilvl w:val="0"/>
          <w:numId w:val="30"/>
        </w:numPr>
        <w:spacing w:before="120" w:after="120"/>
        <w:ind w:left="714" w:hanging="357"/>
        <w:rPr>
          <w:rFonts w:cs="Arial"/>
        </w:rPr>
      </w:pPr>
      <w:r w:rsidRPr="007F6332">
        <w:rPr>
          <w:rFonts w:cs="Arial"/>
        </w:rPr>
        <w:t>Explore other methodologies to best articulate the relationships between funding types and outcomes (or strengthen their causality) and understand the benefits of having the NDIS in the wider economy through counterfactuals.</w:t>
      </w:r>
    </w:p>
    <w:p w14:paraId="6881F1A2" w14:textId="77777777" w:rsidR="003A0B93" w:rsidRPr="007F6332" w:rsidRDefault="003A0B93" w:rsidP="00CE7E91">
      <w:pPr>
        <w:pStyle w:val="FSRnormal"/>
        <w:numPr>
          <w:ilvl w:val="0"/>
          <w:numId w:val="30"/>
        </w:numPr>
        <w:spacing w:before="120" w:after="120"/>
        <w:ind w:left="714" w:hanging="357"/>
        <w:rPr>
          <w:rFonts w:cs="Arial"/>
        </w:rPr>
      </w:pPr>
      <w:r w:rsidRPr="007F6332">
        <w:rPr>
          <w:rFonts w:cs="Arial"/>
        </w:rPr>
        <w:t>Publish findings on the pilot cohort of participants aged 15 to 24 with an intellectual disability including Down Syndrome.</w:t>
      </w:r>
    </w:p>
    <w:p w14:paraId="5C1FC9B6" w14:textId="77777777" w:rsidR="003A0B93" w:rsidRPr="007F6332" w:rsidRDefault="003A0B93" w:rsidP="003A0B93">
      <w:pPr>
        <w:rPr>
          <w:rFonts w:cs="Arial"/>
        </w:rPr>
      </w:pPr>
      <w:r w:rsidRPr="007F6332">
        <w:rPr>
          <w:rStyle w:val="normaltextrun"/>
          <w:rFonts w:cs="Arial"/>
          <w:b/>
          <w:bCs/>
          <w:i/>
          <w:iCs/>
          <w:color w:val="000000"/>
          <w:shd w:val="clear" w:color="auto" w:fill="FFFFFF"/>
        </w:rPr>
        <w:t>Recommendation 11:</w:t>
      </w:r>
      <w:r w:rsidRPr="007F6332">
        <w:rPr>
          <w:rStyle w:val="normaltextrun"/>
          <w:rFonts w:cs="Arial"/>
          <w:i/>
          <w:iCs/>
          <w:color w:val="000000"/>
          <w:shd w:val="clear" w:color="auto" w:fill="FFFFFF"/>
        </w:rPr>
        <w:t xml:space="preserve"> The NDIA should continue work on measuring the impact of funding on participant outcomes through the IEP, to better support the Agency’s and other stakeholders’ understanding of the link between funding and participant outcomes, and its impact on the long-term effectiveness of the Scheme.</w:t>
      </w:r>
    </w:p>
    <w:p w14:paraId="20185E1F" w14:textId="77777777" w:rsidR="003A0B93" w:rsidRPr="007F6332" w:rsidRDefault="003A0B93" w:rsidP="003A0B93">
      <w:pPr>
        <w:rPr>
          <w:rFonts w:cs="Arial"/>
        </w:rPr>
        <w:sectPr w:rsidR="003A0B93" w:rsidRPr="007F6332" w:rsidSect="00CE7E91">
          <w:pgSz w:w="11906" w:h="16838"/>
          <w:pgMar w:top="1440" w:right="1440" w:bottom="1440" w:left="1440" w:header="708" w:footer="850" w:gutter="0"/>
          <w:cols w:space="708"/>
          <w:docGrid w:linePitch="360"/>
        </w:sectPr>
      </w:pPr>
    </w:p>
    <w:p w14:paraId="0643F3AB" w14:textId="5DDFDCFC" w:rsidR="002E7F61" w:rsidRPr="007F6332" w:rsidRDefault="00067AF7" w:rsidP="00514723">
      <w:pPr>
        <w:pStyle w:val="Heading2"/>
        <w:numPr>
          <w:ilvl w:val="0"/>
          <w:numId w:val="0"/>
        </w:numPr>
        <w:rPr>
          <w:rFonts w:cs="Arial"/>
        </w:rPr>
      </w:pPr>
      <w:bookmarkStart w:id="295" w:name="_Toc152615017"/>
      <w:r w:rsidRPr="007F6332">
        <w:rPr>
          <w:rFonts w:cs="Arial"/>
        </w:rPr>
        <w:lastRenderedPageBreak/>
        <w:t>Appendix</w:t>
      </w:r>
      <w:bookmarkEnd w:id="295"/>
    </w:p>
    <w:p w14:paraId="4E4B9443" w14:textId="139AFB32" w:rsidR="00067AF7" w:rsidRPr="007F6332" w:rsidRDefault="00067AF7" w:rsidP="00AD33D4">
      <w:pPr>
        <w:rPr>
          <w:rFonts w:cs="Arial"/>
        </w:rPr>
      </w:pPr>
      <w:bookmarkStart w:id="296" w:name="_Hlk150375591"/>
      <w:r w:rsidRPr="007F6332">
        <w:rPr>
          <w:rFonts w:cs="Arial"/>
        </w:rPr>
        <w:t>Appendix A</w:t>
      </w:r>
      <w:r w:rsidRPr="007F6332">
        <w:rPr>
          <w:rFonts w:cs="Arial"/>
        </w:rPr>
        <w:tab/>
      </w:r>
      <w:r w:rsidRPr="007F6332">
        <w:rPr>
          <w:rFonts w:cs="Arial"/>
          <w:szCs w:val="22"/>
        </w:rPr>
        <w:t>Comparison to previous review</w:t>
      </w:r>
      <w:r w:rsidRPr="007F6332">
        <w:rPr>
          <w:rFonts w:cs="Arial"/>
        </w:rPr>
        <w:t xml:space="preserve"> </w:t>
      </w:r>
      <w:r w:rsidR="006F0BCE" w:rsidRPr="007F6332">
        <w:rPr>
          <w:rFonts w:cs="Arial"/>
        </w:rPr>
        <w:t xml:space="preserve">– detailed tables </w:t>
      </w:r>
    </w:p>
    <w:p w14:paraId="0AFA1153" w14:textId="38456089" w:rsidR="00067AF7" w:rsidRPr="007F6332" w:rsidRDefault="00067AF7" w:rsidP="00AD33D4">
      <w:pPr>
        <w:rPr>
          <w:rFonts w:cs="Arial"/>
        </w:rPr>
      </w:pPr>
      <w:r w:rsidRPr="007F6332">
        <w:rPr>
          <w:rFonts w:cs="Arial"/>
        </w:rPr>
        <w:t>Appendix B</w:t>
      </w:r>
      <w:r w:rsidR="006F0BCE" w:rsidRPr="007F6332">
        <w:rPr>
          <w:rFonts w:cs="Arial"/>
        </w:rPr>
        <w:tab/>
        <w:t>Reconciliation to previous review</w:t>
      </w:r>
    </w:p>
    <w:p w14:paraId="5B94C6B6" w14:textId="31E27C18" w:rsidR="006F0BCE" w:rsidRPr="007F6332" w:rsidRDefault="006F0BCE" w:rsidP="00AD33D4">
      <w:pPr>
        <w:rPr>
          <w:rFonts w:cs="Arial"/>
        </w:rPr>
      </w:pPr>
      <w:r w:rsidRPr="007F6332">
        <w:rPr>
          <w:rFonts w:cs="Arial"/>
        </w:rPr>
        <w:t>Appendix C</w:t>
      </w:r>
      <w:r w:rsidRPr="007F6332">
        <w:rPr>
          <w:rFonts w:cs="Arial"/>
        </w:rPr>
        <w:tab/>
        <w:t>State and territory breakdown</w:t>
      </w:r>
    </w:p>
    <w:p w14:paraId="6BF0ED5D" w14:textId="62679F4D" w:rsidR="006F0BCE" w:rsidRPr="007F6332" w:rsidRDefault="006F0BCE" w:rsidP="00AD33D4">
      <w:pPr>
        <w:rPr>
          <w:rFonts w:cs="Arial"/>
        </w:rPr>
      </w:pPr>
      <w:r w:rsidRPr="007F6332">
        <w:rPr>
          <w:rFonts w:cs="Arial"/>
        </w:rPr>
        <w:t>Appendix D</w:t>
      </w:r>
      <w:r w:rsidRPr="007F6332">
        <w:rPr>
          <w:rFonts w:cs="Arial"/>
        </w:rPr>
        <w:tab/>
        <w:t>Scheme experience - participants</w:t>
      </w:r>
    </w:p>
    <w:p w14:paraId="67A72394" w14:textId="1F4CFDF6" w:rsidR="006F0BCE" w:rsidRPr="007F6332" w:rsidRDefault="006F0BCE" w:rsidP="00AD33D4">
      <w:pPr>
        <w:rPr>
          <w:rFonts w:cs="Arial"/>
        </w:rPr>
      </w:pPr>
      <w:r w:rsidRPr="007F6332">
        <w:rPr>
          <w:rFonts w:cs="Arial"/>
        </w:rPr>
        <w:t>Appendix E</w:t>
      </w:r>
      <w:r w:rsidRPr="007F6332">
        <w:rPr>
          <w:rFonts w:cs="Arial"/>
        </w:rPr>
        <w:tab/>
        <w:t>Scheme experience – p</w:t>
      </w:r>
      <w:r w:rsidR="007566B2" w:rsidRPr="007F6332">
        <w:rPr>
          <w:rFonts w:cs="Arial"/>
        </w:rPr>
        <w:t>ayments</w:t>
      </w:r>
    </w:p>
    <w:p w14:paraId="05F237D3" w14:textId="0EF4DE1B" w:rsidR="007566B2" w:rsidRPr="007F6332" w:rsidRDefault="007566B2" w:rsidP="00AD33D4">
      <w:pPr>
        <w:rPr>
          <w:rFonts w:cs="Arial"/>
        </w:rPr>
      </w:pPr>
      <w:r w:rsidRPr="007F6332">
        <w:rPr>
          <w:rFonts w:cs="Arial"/>
        </w:rPr>
        <w:t>Appendix F</w:t>
      </w:r>
      <w:r w:rsidRPr="007F6332">
        <w:rPr>
          <w:rFonts w:cs="Arial"/>
        </w:rPr>
        <w:tab/>
        <w:t>Scheme experience – plan budgets</w:t>
      </w:r>
    </w:p>
    <w:p w14:paraId="2A35C98E" w14:textId="50D3DBAA" w:rsidR="006F0BCE" w:rsidRPr="007F6332" w:rsidRDefault="006F0BCE" w:rsidP="00AD33D4">
      <w:pPr>
        <w:rPr>
          <w:rFonts w:cs="Arial"/>
        </w:rPr>
      </w:pPr>
      <w:r w:rsidRPr="007F6332">
        <w:rPr>
          <w:rFonts w:cs="Arial"/>
        </w:rPr>
        <w:t>Appendix G</w:t>
      </w:r>
      <w:r w:rsidRPr="007F6332">
        <w:rPr>
          <w:rFonts w:cs="Arial"/>
        </w:rPr>
        <w:tab/>
        <w:t>Analysis of Scheme new entrant rates</w:t>
      </w:r>
    </w:p>
    <w:p w14:paraId="209C6776" w14:textId="2F8B5C09" w:rsidR="006F0BCE" w:rsidRPr="007F6332" w:rsidRDefault="006F0BCE" w:rsidP="00AD33D4">
      <w:pPr>
        <w:rPr>
          <w:rFonts w:cs="Arial"/>
        </w:rPr>
      </w:pPr>
      <w:r w:rsidRPr="007F6332">
        <w:rPr>
          <w:rFonts w:cs="Arial"/>
        </w:rPr>
        <w:t>Appendix H</w:t>
      </w:r>
      <w:r w:rsidRPr="007F6332">
        <w:rPr>
          <w:rFonts w:cs="Arial"/>
        </w:rPr>
        <w:tab/>
        <w:t xml:space="preserve">Review of Scheme mortality </w:t>
      </w:r>
    </w:p>
    <w:p w14:paraId="1DB98C56" w14:textId="434DFE3C" w:rsidR="006F0BCE" w:rsidRPr="007F6332" w:rsidRDefault="006F0BCE" w:rsidP="00AD33D4">
      <w:pPr>
        <w:rPr>
          <w:rFonts w:cs="Arial"/>
        </w:rPr>
      </w:pPr>
      <w:r w:rsidRPr="007F6332">
        <w:rPr>
          <w:rFonts w:cs="Arial"/>
        </w:rPr>
        <w:t xml:space="preserve">Appendix I </w:t>
      </w:r>
      <w:r w:rsidRPr="007F6332">
        <w:rPr>
          <w:rFonts w:cs="Arial"/>
        </w:rPr>
        <w:tab/>
        <w:t>Participants with SIL supports</w:t>
      </w:r>
    </w:p>
    <w:p w14:paraId="1DD232A0" w14:textId="3EC76A7B" w:rsidR="006F0BCE" w:rsidRPr="007F6332" w:rsidRDefault="006F0BCE" w:rsidP="00AD33D4">
      <w:pPr>
        <w:rPr>
          <w:rFonts w:cs="Arial"/>
        </w:rPr>
      </w:pPr>
      <w:r w:rsidRPr="007F6332">
        <w:rPr>
          <w:rFonts w:cs="Arial"/>
        </w:rPr>
        <w:t>Appendix J</w:t>
      </w:r>
      <w:r w:rsidRPr="007F6332">
        <w:rPr>
          <w:rFonts w:cs="Arial"/>
        </w:rPr>
        <w:tab/>
        <w:t>Average payment assumption setting details</w:t>
      </w:r>
    </w:p>
    <w:p w14:paraId="35BFD44F" w14:textId="66D7DEB2" w:rsidR="006F0BCE" w:rsidRPr="007F6332" w:rsidRDefault="006F0BCE" w:rsidP="00AD33D4">
      <w:pPr>
        <w:rPr>
          <w:rFonts w:cs="Arial"/>
        </w:rPr>
      </w:pPr>
      <w:r w:rsidRPr="007F6332">
        <w:rPr>
          <w:rFonts w:cs="Arial"/>
        </w:rPr>
        <w:t>Appendix K</w:t>
      </w:r>
      <w:r w:rsidRPr="007F6332">
        <w:rPr>
          <w:rFonts w:cs="Arial"/>
        </w:rPr>
        <w:tab/>
      </w:r>
      <w:r w:rsidR="00060638" w:rsidRPr="007F6332">
        <w:rPr>
          <w:rFonts w:cs="Arial"/>
        </w:rPr>
        <w:t>Projections – Plan budgets</w:t>
      </w:r>
    </w:p>
    <w:p w14:paraId="56344A44" w14:textId="695A60AE" w:rsidR="00E25270" w:rsidRPr="007F6332" w:rsidRDefault="006F0BCE" w:rsidP="00AD33D4">
      <w:pPr>
        <w:rPr>
          <w:rFonts w:cs="Arial"/>
        </w:rPr>
      </w:pPr>
      <w:r w:rsidRPr="007F6332">
        <w:rPr>
          <w:rFonts w:cs="Arial"/>
        </w:rPr>
        <w:t>Appendix L</w:t>
      </w:r>
      <w:r w:rsidRPr="007F6332">
        <w:rPr>
          <w:rFonts w:cs="Arial"/>
        </w:rPr>
        <w:tab/>
        <w:t xml:space="preserve">Scenario analysis </w:t>
      </w:r>
      <w:r w:rsidR="00C97FE5" w:rsidRPr="007F6332">
        <w:rPr>
          <w:rFonts w:cs="Arial"/>
        </w:rPr>
        <w:t>from previous AFSRs</w:t>
      </w:r>
    </w:p>
    <w:p w14:paraId="14F58C92" w14:textId="313931FE" w:rsidR="00E25270" w:rsidRPr="007F6332" w:rsidRDefault="00E25270" w:rsidP="00AD33D4">
      <w:pPr>
        <w:rPr>
          <w:rFonts w:cs="Arial"/>
        </w:rPr>
      </w:pPr>
      <w:r w:rsidRPr="007F6332">
        <w:rPr>
          <w:rFonts w:cs="Arial"/>
        </w:rPr>
        <w:t>Appendix M</w:t>
      </w:r>
      <w:r w:rsidRPr="007F6332">
        <w:rPr>
          <w:rFonts w:cs="Arial"/>
        </w:rPr>
        <w:tab/>
      </w:r>
      <w:r w:rsidR="00C97FE5" w:rsidRPr="007F6332">
        <w:rPr>
          <w:rFonts w:cs="Arial"/>
        </w:rPr>
        <w:t>Scenario analysis of participant numbers</w:t>
      </w:r>
    </w:p>
    <w:p w14:paraId="5B5C1614" w14:textId="39277AC9" w:rsidR="006F0BCE" w:rsidRPr="007F6332" w:rsidRDefault="00E25270" w:rsidP="00AD33D4">
      <w:pPr>
        <w:rPr>
          <w:rFonts w:cs="Arial"/>
        </w:rPr>
      </w:pPr>
      <w:r w:rsidRPr="007F6332">
        <w:rPr>
          <w:rFonts w:cs="Arial"/>
        </w:rPr>
        <w:t xml:space="preserve">Appendix </w:t>
      </w:r>
      <w:r w:rsidR="00F634DD" w:rsidRPr="007F6332">
        <w:rPr>
          <w:rFonts w:cs="Arial"/>
        </w:rPr>
        <w:t>N</w:t>
      </w:r>
      <w:r w:rsidR="00F634DD" w:rsidRPr="007F6332">
        <w:rPr>
          <w:rFonts w:cs="Arial"/>
        </w:rPr>
        <w:tab/>
      </w:r>
      <w:r w:rsidR="00C97FE5" w:rsidRPr="007F6332">
        <w:rPr>
          <w:rFonts w:cs="Arial"/>
        </w:rPr>
        <w:t>Historic average participant payments by SIL type</w:t>
      </w:r>
    </w:p>
    <w:bookmarkEnd w:id="296"/>
    <w:p w14:paraId="6062A554" w14:textId="1EFDB11A" w:rsidR="00F634DD" w:rsidRPr="007F6332" w:rsidRDefault="00F634DD">
      <w:pPr>
        <w:spacing w:line="276" w:lineRule="auto"/>
        <w:rPr>
          <w:rFonts w:cs="Arial"/>
        </w:rPr>
      </w:pPr>
      <w:r w:rsidRPr="007F6332">
        <w:rPr>
          <w:rFonts w:cs="Arial"/>
        </w:rPr>
        <w:br w:type="page"/>
      </w:r>
    </w:p>
    <w:p w14:paraId="3AC3E57F" w14:textId="6D247F7C" w:rsidR="00067AF7" w:rsidRPr="007F6332" w:rsidRDefault="00AD33D4" w:rsidP="008B34A8">
      <w:pPr>
        <w:pStyle w:val="FSRHeading3"/>
      </w:pPr>
      <w:bookmarkStart w:id="297" w:name="_Toc152615018"/>
      <w:r w:rsidRPr="007F6332">
        <w:lastRenderedPageBreak/>
        <w:t>Appendix A</w:t>
      </w:r>
      <w:r w:rsidR="004804C4" w:rsidRPr="007F6332">
        <w:tab/>
      </w:r>
      <w:r w:rsidR="007A7CBF" w:rsidRPr="007F6332">
        <w:rPr>
          <w:szCs w:val="22"/>
        </w:rPr>
        <w:t>Comparison to previous review</w:t>
      </w:r>
      <w:r w:rsidR="007A7CBF" w:rsidRPr="007F6332">
        <w:t xml:space="preserve"> – detailed tables</w:t>
      </w:r>
      <w:bookmarkEnd w:id="297"/>
    </w:p>
    <w:p w14:paraId="5E03C34C" w14:textId="77777777" w:rsidR="005A6405" w:rsidRPr="007F6332" w:rsidRDefault="005A6405" w:rsidP="00B45B70">
      <w:pPr>
        <w:pStyle w:val="FSRHeading4"/>
        <w:rPr>
          <w:rFonts w:eastAsiaTheme="minorHAnsi"/>
          <w:lang w:eastAsia="en-US"/>
        </w:rPr>
      </w:pPr>
      <w:r w:rsidRPr="007F6332">
        <w:t>Scheme expenses</w:t>
      </w:r>
    </w:p>
    <w:p w14:paraId="3A98061E" w14:textId="2C93E537" w:rsidR="00653D3D" w:rsidRPr="007F6332" w:rsidRDefault="00653D3D" w:rsidP="00B45B70">
      <w:pPr>
        <w:pStyle w:val="FiguresandTablesHeading5"/>
      </w:pPr>
      <w:r w:rsidRPr="007F6332">
        <w:t>Table A.1</w:t>
      </w:r>
      <w:r w:rsidR="006C6D15" w:rsidRPr="007F6332">
        <w:t>:</w:t>
      </w:r>
      <w:r w:rsidRPr="007F6332">
        <w:t xml:space="preserve"> Projection of Scheme expenses (cash basis) – compared to the previous review</w:t>
      </w:r>
    </w:p>
    <w:tbl>
      <w:tblPr>
        <w:tblW w:w="5000" w:type="pct"/>
        <w:tblLayout w:type="fixed"/>
        <w:tblLook w:val="04A0" w:firstRow="1" w:lastRow="0" w:firstColumn="1" w:lastColumn="0" w:noHBand="0" w:noVBand="1"/>
      </w:tblPr>
      <w:tblGrid>
        <w:gridCol w:w="2552"/>
        <w:gridCol w:w="1079"/>
        <w:gridCol w:w="1079"/>
        <w:gridCol w:w="1080"/>
        <w:gridCol w:w="1080"/>
        <w:gridCol w:w="1080"/>
        <w:gridCol w:w="1076"/>
      </w:tblGrid>
      <w:tr w:rsidR="00411CE4" w:rsidRPr="007F6332" w14:paraId="66697F97" w14:textId="77777777" w:rsidTr="00CD33D0">
        <w:trPr>
          <w:trHeight w:val="204"/>
        </w:trPr>
        <w:tc>
          <w:tcPr>
            <w:tcW w:w="1414" w:type="pct"/>
            <w:shd w:val="clear" w:color="000000" w:fill="6B2F76"/>
            <w:vAlign w:val="center"/>
            <w:hideMark/>
          </w:tcPr>
          <w:p w14:paraId="752F8BAE" w14:textId="77777777" w:rsidR="00653D3D" w:rsidRPr="007F6332" w:rsidRDefault="00653D3D" w:rsidP="00FF77CD">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Projected Scheme expenses ($m)</w:t>
            </w:r>
          </w:p>
        </w:tc>
        <w:tc>
          <w:tcPr>
            <w:tcW w:w="598" w:type="pct"/>
            <w:shd w:val="clear" w:color="000000" w:fill="6B2F76"/>
            <w:noWrap/>
            <w:vAlign w:val="center"/>
            <w:hideMark/>
          </w:tcPr>
          <w:p w14:paraId="14C92D0E" w14:textId="7E3A5DD7" w:rsidR="00653D3D" w:rsidRPr="007F6332" w:rsidRDefault="00653D3D" w:rsidP="008F1C3E">
            <w:pPr>
              <w:spacing w:after="0" w:line="240" w:lineRule="auto"/>
              <w:ind w:left="-106"/>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 xml:space="preserve"> 2023-24</w:t>
            </w:r>
          </w:p>
        </w:tc>
        <w:tc>
          <w:tcPr>
            <w:tcW w:w="598" w:type="pct"/>
            <w:shd w:val="clear" w:color="000000" w:fill="6B2F76"/>
            <w:noWrap/>
            <w:vAlign w:val="center"/>
            <w:hideMark/>
          </w:tcPr>
          <w:p w14:paraId="7D21BDCD" w14:textId="202F0BF3" w:rsidR="00653D3D" w:rsidRPr="007F6332" w:rsidRDefault="00653D3D" w:rsidP="008F1C3E">
            <w:pPr>
              <w:spacing w:after="0" w:line="240" w:lineRule="auto"/>
              <w:ind w:left="-106"/>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 xml:space="preserve"> 2024-25</w:t>
            </w:r>
          </w:p>
        </w:tc>
        <w:tc>
          <w:tcPr>
            <w:tcW w:w="598" w:type="pct"/>
            <w:shd w:val="clear" w:color="000000" w:fill="6B2F76"/>
            <w:noWrap/>
            <w:vAlign w:val="center"/>
            <w:hideMark/>
          </w:tcPr>
          <w:p w14:paraId="3D4917D1" w14:textId="47EA3315" w:rsidR="00653D3D" w:rsidRPr="007F6332" w:rsidRDefault="00653D3D" w:rsidP="008F1C3E">
            <w:pPr>
              <w:spacing w:after="0" w:line="240" w:lineRule="auto"/>
              <w:ind w:left="-106"/>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 xml:space="preserve"> 2025-26</w:t>
            </w:r>
          </w:p>
        </w:tc>
        <w:tc>
          <w:tcPr>
            <w:tcW w:w="598" w:type="pct"/>
            <w:tcBorders>
              <w:right w:val="dashSmallGap" w:sz="4" w:space="0" w:color="auto"/>
            </w:tcBorders>
            <w:shd w:val="clear" w:color="000000" w:fill="6B2F76"/>
            <w:noWrap/>
            <w:vAlign w:val="center"/>
            <w:hideMark/>
          </w:tcPr>
          <w:p w14:paraId="7317D1F9" w14:textId="77777777" w:rsidR="00653D3D" w:rsidRPr="007F6332" w:rsidRDefault="00653D3D" w:rsidP="003B643B">
            <w:pPr>
              <w:spacing w:after="0" w:line="240" w:lineRule="auto"/>
              <w:ind w:left="-106"/>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2026-27</w:t>
            </w:r>
          </w:p>
        </w:tc>
        <w:tc>
          <w:tcPr>
            <w:tcW w:w="598" w:type="pct"/>
            <w:tcBorders>
              <w:left w:val="dashSmallGap" w:sz="4" w:space="0" w:color="auto"/>
              <w:right w:val="single" w:sz="4" w:space="0" w:color="auto"/>
            </w:tcBorders>
            <w:shd w:val="clear" w:color="000000" w:fill="6B2F76"/>
            <w:noWrap/>
            <w:vAlign w:val="center"/>
            <w:hideMark/>
          </w:tcPr>
          <w:p w14:paraId="6CF6B46C" w14:textId="77777777" w:rsidR="00653D3D" w:rsidRPr="007F6332" w:rsidRDefault="00653D3D" w:rsidP="003B643B">
            <w:pPr>
              <w:spacing w:after="0" w:line="240" w:lineRule="auto"/>
              <w:ind w:left="-106"/>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2032-33</w:t>
            </w:r>
          </w:p>
        </w:tc>
        <w:tc>
          <w:tcPr>
            <w:tcW w:w="598" w:type="pct"/>
            <w:tcBorders>
              <w:left w:val="single" w:sz="4" w:space="0" w:color="auto"/>
            </w:tcBorders>
            <w:shd w:val="clear" w:color="000000" w:fill="6B2F76"/>
            <w:noWrap/>
            <w:vAlign w:val="center"/>
            <w:hideMark/>
          </w:tcPr>
          <w:p w14:paraId="4F748713" w14:textId="77777777" w:rsidR="00653D3D" w:rsidRPr="007F6332" w:rsidRDefault="00653D3D" w:rsidP="003B643B">
            <w:pPr>
              <w:spacing w:after="0" w:line="240" w:lineRule="auto"/>
              <w:ind w:left="-106"/>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Total</w:t>
            </w:r>
          </w:p>
          <w:p w14:paraId="446EB6D9" w14:textId="77777777" w:rsidR="00653D3D" w:rsidRPr="007F6332" w:rsidRDefault="00653D3D" w:rsidP="003B643B">
            <w:pPr>
              <w:spacing w:after="0" w:line="240" w:lineRule="auto"/>
              <w:ind w:left="-106"/>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2023-27</w:t>
            </w:r>
          </w:p>
        </w:tc>
      </w:tr>
      <w:tr w:rsidR="003C7D2A" w:rsidRPr="007F6332" w14:paraId="70895B12" w14:textId="77777777" w:rsidTr="00CD33D0">
        <w:trPr>
          <w:trHeight w:val="397"/>
        </w:trPr>
        <w:tc>
          <w:tcPr>
            <w:tcW w:w="1414" w:type="pct"/>
            <w:shd w:val="clear" w:color="auto" w:fill="BFBFBF" w:themeFill="background1" w:themeFillShade="BF"/>
            <w:noWrap/>
            <w:vAlign w:val="center"/>
            <w:hideMark/>
          </w:tcPr>
          <w:p w14:paraId="4CC08DA8" w14:textId="3A5AF626" w:rsidR="00653D3D" w:rsidRPr="007F6332" w:rsidRDefault="00B724CC"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 xml:space="preserve">June 2023 projections </w:t>
            </w:r>
            <w:r w:rsidR="002E7774" w:rsidRPr="007F6332">
              <w:rPr>
                <w:rFonts w:eastAsia="Times New Roman" w:cs="Arial"/>
                <w:color w:val="000000"/>
                <w:sz w:val="20"/>
                <w:szCs w:val="20"/>
                <w:lang w:eastAsia="en-AU"/>
              </w:rPr>
              <w:t>(cash basis)</w:t>
            </w:r>
            <w:r w:rsidR="00903FA7"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0-64 years</w:t>
            </w:r>
          </w:p>
        </w:tc>
        <w:tc>
          <w:tcPr>
            <w:tcW w:w="598" w:type="pct"/>
            <w:shd w:val="clear" w:color="auto" w:fill="BFBFBF" w:themeFill="background1" w:themeFillShade="BF"/>
            <w:noWrap/>
            <w:vAlign w:val="center"/>
            <w:hideMark/>
          </w:tcPr>
          <w:p w14:paraId="120742DF"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37,229</w:t>
            </w:r>
          </w:p>
        </w:tc>
        <w:tc>
          <w:tcPr>
            <w:tcW w:w="598" w:type="pct"/>
            <w:shd w:val="clear" w:color="auto" w:fill="BFBFBF" w:themeFill="background1" w:themeFillShade="BF"/>
            <w:noWrap/>
            <w:vAlign w:val="center"/>
            <w:hideMark/>
          </w:tcPr>
          <w:p w14:paraId="3B9D1A83"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41,228</w:t>
            </w:r>
          </w:p>
        </w:tc>
        <w:tc>
          <w:tcPr>
            <w:tcW w:w="598" w:type="pct"/>
            <w:shd w:val="clear" w:color="auto" w:fill="BFBFBF" w:themeFill="background1" w:themeFillShade="BF"/>
            <w:noWrap/>
            <w:vAlign w:val="center"/>
            <w:hideMark/>
          </w:tcPr>
          <w:p w14:paraId="150EE19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44,645</w:t>
            </w:r>
          </w:p>
        </w:tc>
        <w:tc>
          <w:tcPr>
            <w:tcW w:w="598" w:type="pct"/>
            <w:tcBorders>
              <w:right w:val="dashSmallGap" w:sz="4" w:space="0" w:color="auto"/>
            </w:tcBorders>
            <w:shd w:val="clear" w:color="auto" w:fill="BFBFBF" w:themeFill="background1" w:themeFillShade="BF"/>
            <w:noWrap/>
            <w:vAlign w:val="center"/>
            <w:hideMark/>
          </w:tcPr>
          <w:p w14:paraId="76F13B1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48,026</w:t>
            </w:r>
          </w:p>
        </w:tc>
        <w:tc>
          <w:tcPr>
            <w:tcW w:w="598" w:type="pct"/>
            <w:tcBorders>
              <w:left w:val="dashSmallGap" w:sz="4" w:space="0" w:color="auto"/>
              <w:right w:val="single" w:sz="4" w:space="0" w:color="auto"/>
            </w:tcBorders>
            <w:shd w:val="clear" w:color="auto" w:fill="BFBFBF" w:themeFill="background1" w:themeFillShade="BF"/>
            <w:noWrap/>
            <w:vAlign w:val="center"/>
            <w:hideMark/>
          </w:tcPr>
          <w:p w14:paraId="1F73D385"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77,991</w:t>
            </w:r>
          </w:p>
        </w:tc>
        <w:tc>
          <w:tcPr>
            <w:tcW w:w="598" w:type="pct"/>
            <w:tcBorders>
              <w:left w:val="single" w:sz="4" w:space="0" w:color="auto"/>
            </w:tcBorders>
            <w:shd w:val="clear" w:color="auto" w:fill="BFBFBF" w:themeFill="background1" w:themeFillShade="BF"/>
            <w:noWrap/>
            <w:vAlign w:val="center"/>
            <w:hideMark/>
          </w:tcPr>
          <w:p w14:paraId="39864EC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171,127</w:t>
            </w:r>
          </w:p>
        </w:tc>
      </w:tr>
      <w:tr w:rsidR="00653D3D" w:rsidRPr="007F6332" w14:paraId="1BA8EDDB" w14:textId="77777777" w:rsidTr="00CD33D0">
        <w:trPr>
          <w:trHeight w:val="397"/>
        </w:trPr>
        <w:tc>
          <w:tcPr>
            <w:tcW w:w="1414" w:type="pct"/>
            <w:shd w:val="clear" w:color="auto" w:fill="auto"/>
            <w:noWrap/>
            <w:vAlign w:val="center"/>
            <w:hideMark/>
          </w:tcPr>
          <w:p w14:paraId="6077AA83" w14:textId="5B12E8E7" w:rsidR="00653D3D" w:rsidRPr="007F6332" w:rsidRDefault="00B724CC"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June 2023 projections</w:t>
            </w:r>
            <w:r w:rsidR="002E7774" w:rsidRPr="007F6332">
              <w:rPr>
                <w:rFonts w:eastAsia="Times New Roman" w:cs="Arial"/>
                <w:color w:val="000000"/>
                <w:sz w:val="20"/>
                <w:szCs w:val="20"/>
                <w:lang w:eastAsia="en-AU"/>
              </w:rPr>
              <w:t xml:space="preserve"> (cash basis)</w:t>
            </w:r>
            <w:r w:rsidR="00903FA7"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65+ years</w:t>
            </w:r>
          </w:p>
        </w:tc>
        <w:tc>
          <w:tcPr>
            <w:tcW w:w="598" w:type="pct"/>
            <w:shd w:val="clear" w:color="auto" w:fill="auto"/>
            <w:noWrap/>
            <w:vAlign w:val="center"/>
            <w:hideMark/>
          </w:tcPr>
          <w:p w14:paraId="69D54FDC"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3,685</w:t>
            </w:r>
          </w:p>
        </w:tc>
        <w:tc>
          <w:tcPr>
            <w:tcW w:w="598" w:type="pct"/>
            <w:shd w:val="clear" w:color="auto" w:fill="auto"/>
            <w:noWrap/>
            <w:vAlign w:val="center"/>
            <w:hideMark/>
          </w:tcPr>
          <w:p w14:paraId="376596D2"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4,647</w:t>
            </w:r>
          </w:p>
        </w:tc>
        <w:tc>
          <w:tcPr>
            <w:tcW w:w="598" w:type="pct"/>
            <w:shd w:val="clear" w:color="auto" w:fill="auto"/>
            <w:noWrap/>
            <w:vAlign w:val="center"/>
            <w:hideMark/>
          </w:tcPr>
          <w:p w14:paraId="4F57BF5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5,594</w:t>
            </w:r>
          </w:p>
        </w:tc>
        <w:tc>
          <w:tcPr>
            <w:tcW w:w="598" w:type="pct"/>
            <w:tcBorders>
              <w:right w:val="dashSmallGap" w:sz="4" w:space="0" w:color="auto"/>
            </w:tcBorders>
            <w:shd w:val="clear" w:color="auto" w:fill="auto"/>
            <w:noWrap/>
            <w:vAlign w:val="center"/>
            <w:hideMark/>
          </w:tcPr>
          <w:p w14:paraId="745470A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6,584</w:t>
            </w:r>
          </w:p>
        </w:tc>
        <w:tc>
          <w:tcPr>
            <w:tcW w:w="598" w:type="pct"/>
            <w:tcBorders>
              <w:left w:val="dashSmallGap" w:sz="4" w:space="0" w:color="auto"/>
              <w:right w:val="single" w:sz="4" w:space="0" w:color="auto"/>
            </w:tcBorders>
            <w:shd w:val="clear" w:color="auto" w:fill="auto"/>
            <w:noWrap/>
            <w:vAlign w:val="center"/>
            <w:hideMark/>
          </w:tcPr>
          <w:p w14:paraId="6671AC4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13,331</w:t>
            </w:r>
          </w:p>
        </w:tc>
        <w:tc>
          <w:tcPr>
            <w:tcW w:w="598" w:type="pct"/>
            <w:tcBorders>
              <w:left w:val="single" w:sz="4" w:space="0" w:color="auto"/>
            </w:tcBorders>
            <w:shd w:val="clear" w:color="auto" w:fill="auto"/>
            <w:noWrap/>
            <w:vAlign w:val="center"/>
            <w:hideMark/>
          </w:tcPr>
          <w:p w14:paraId="31EAE6E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20,510</w:t>
            </w:r>
          </w:p>
        </w:tc>
      </w:tr>
      <w:tr w:rsidR="00411CE4" w:rsidRPr="007F6332" w14:paraId="0766E82E" w14:textId="77777777" w:rsidTr="00CD33D0">
        <w:trPr>
          <w:trHeight w:val="397"/>
        </w:trPr>
        <w:tc>
          <w:tcPr>
            <w:tcW w:w="1414" w:type="pct"/>
            <w:shd w:val="clear" w:color="auto" w:fill="B499B7"/>
            <w:noWrap/>
            <w:vAlign w:val="center"/>
            <w:hideMark/>
          </w:tcPr>
          <w:p w14:paraId="3AB9BE67" w14:textId="2C71E0A2"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 (cash basis)</w:t>
            </w:r>
          </w:p>
        </w:tc>
        <w:tc>
          <w:tcPr>
            <w:tcW w:w="598" w:type="pct"/>
            <w:shd w:val="clear" w:color="auto" w:fill="B499B7"/>
            <w:noWrap/>
            <w:vAlign w:val="center"/>
            <w:hideMark/>
          </w:tcPr>
          <w:p w14:paraId="02CA5914"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40,914</w:t>
            </w:r>
          </w:p>
        </w:tc>
        <w:tc>
          <w:tcPr>
            <w:tcW w:w="598" w:type="pct"/>
            <w:shd w:val="clear" w:color="auto" w:fill="B499B7"/>
            <w:noWrap/>
            <w:vAlign w:val="center"/>
            <w:hideMark/>
          </w:tcPr>
          <w:p w14:paraId="27C7F7B5"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45,875</w:t>
            </w:r>
          </w:p>
        </w:tc>
        <w:tc>
          <w:tcPr>
            <w:tcW w:w="598" w:type="pct"/>
            <w:shd w:val="clear" w:color="auto" w:fill="B499B7"/>
            <w:noWrap/>
            <w:vAlign w:val="center"/>
            <w:hideMark/>
          </w:tcPr>
          <w:p w14:paraId="3D76B160"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50,239</w:t>
            </w:r>
          </w:p>
        </w:tc>
        <w:tc>
          <w:tcPr>
            <w:tcW w:w="598" w:type="pct"/>
            <w:tcBorders>
              <w:right w:val="dashSmallGap" w:sz="4" w:space="0" w:color="auto"/>
            </w:tcBorders>
            <w:shd w:val="clear" w:color="auto" w:fill="B499B7"/>
            <w:noWrap/>
            <w:vAlign w:val="center"/>
            <w:hideMark/>
          </w:tcPr>
          <w:p w14:paraId="0D7F7975"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54,609</w:t>
            </w:r>
          </w:p>
        </w:tc>
        <w:tc>
          <w:tcPr>
            <w:tcW w:w="598" w:type="pct"/>
            <w:tcBorders>
              <w:left w:val="dashSmallGap" w:sz="4" w:space="0" w:color="auto"/>
              <w:right w:val="single" w:sz="4" w:space="0" w:color="auto"/>
            </w:tcBorders>
            <w:shd w:val="clear" w:color="auto" w:fill="B499B7"/>
            <w:noWrap/>
            <w:vAlign w:val="center"/>
            <w:hideMark/>
          </w:tcPr>
          <w:p w14:paraId="6E633F37"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91,322</w:t>
            </w:r>
          </w:p>
        </w:tc>
        <w:tc>
          <w:tcPr>
            <w:tcW w:w="598" w:type="pct"/>
            <w:tcBorders>
              <w:left w:val="single" w:sz="4" w:space="0" w:color="auto"/>
            </w:tcBorders>
            <w:shd w:val="clear" w:color="auto" w:fill="B499B7"/>
            <w:noWrap/>
            <w:vAlign w:val="center"/>
            <w:hideMark/>
          </w:tcPr>
          <w:p w14:paraId="707D0648"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191,638</w:t>
            </w:r>
          </w:p>
        </w:tc>
      </w:tr>
      <w:tr w:rsidR="003C7D2A" w:rsidRPr="007F6332" w14:paraId="0F456C7E" w14:textId="77777777" w:rsidTr="00CD33D0">
        <w:trPr>
          <w:trHeight w:val="397"/>
        </w:trPr>
        <w:tc>
          <w:tcPr>
            <w:tcW w:w="1414" w:type="pct"/>
            <w:shd w:val="clear" w:color="auto" w:fill="BFBFBF" w:themeFill="background1" w:themeFillShade="BF"/>
            <w:noWrap/>
            <w:vAlign w:val="center"/>
            <w:hideMark/>
          </w:tcPr>
          <w:p w14:paraId="38470099" w14:textId="22E56B6D" w:rsidR="00653D3D" w:rsidRPr="007F6332" w:rsidRDefault="00B724CC" w:rsidP="00903FA7">
            <w:pPr>
              <w:spacing w:after="0" w:line="240" w:lineRule="auto"/>
              <w:ind w:right="-117"/>
              <w:rPr>
                <w:rFonts w:eastAsia="Times New Roman" w:cs="Arial"/>
                <w:color w:val="000000"/>
                <w:sz w:val="20"/>
                <w:szCs w:val="20"/>
                <w:lang w:eastAsia="en-AU"/>
              </w:rPr>
            </w:pPr>
            <w:r w:rsidRPr="007F6332">
              <w:rPr>
                <w:rFonts w:eastAsia="Times New Roman" w:cs="Arial"/>
                <w:b/>
                <w:bCs/>
                <w:color w:val="000000"/>
                <w:sz w:val="20"/>
                <w:szCs w:val="20"/>
                <w:lang w:eastAsia="en-AU"/>
              </w:rPr>
              <w:t>June 2022 projections</w:t>
            </w:r>
            <w:r w:rsidR="002E7774" w:rsidRPr="007F6332">
              <w:rPr>
                <w:rFonts w:eastAsia="Times New Roman" w:cs="Arial"/>
                <w:color w:val="000000"/>
                <w:sz w:val="20"/>
                <w:szCs w:val="20"/>
                <w:lang w:eastAsia="en-AU"/>
              </w:rPr>
              <w:t xml:space="preserve"> (cash basis)</w:t>
            </w:r>
            <w:r w:rsidR="009B7072"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0-64 years</w:t>
            </w:r>
          </w:p>
        </w:tc>
        <w:tc>
          <w:tcPr>
            <w:tcW w:w="598" w:type="pct"/>
            <w:shd w:val="clear" w:color="auto" w:fill="BFBFBF" w:themeFill="background1" w:themeFillShade="BF"/>
            <w:noWrap/>
            <w:vAlign w:val="center"/>
            <w:hideMark/>
          </w:tcPr>
          <w:p w14:paraId="16EEB37E"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34,357</w:t>
            </w:r>
          </w:p>
        </w:tc>
        <w:tc>
          <w:tcPr>
            <w:tcW w:w="598" w:type="pct"/>
            <w:shd w:val="clear" w:color="auto" w:fill="BFBFBF" w:themeFill="background1" w:themeFillShade="BF"/>
            <w:noWrap/>
            <w:vAlign w:val="center"/>
            <w:hideMark/>
          </w:tcPr>
          <w:p w14:paraId="5E68AE4E"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39,364</w:t>
            </w:r>
          </w:p>
        </w:tc>
        <w:tc>
          <w:tcPr>
            <w:tcW w:w="598" w:type="pct"/>
            <w:shd w:val="clear" w:color="auto" w:fill="BFBFBF" w:themeFill="background1" w:themeFillShade="BF"/>
            <w:noWrap/>
            <w:vAlign w:val="center"/>
            <w:hideMark/>
          </w:tcPr>
          <w:p w14:paraId="70F3D5C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44,519</w:t>
            </w:r>
          </w:p>
        </w:tc>
        <w:tc>
          <w:tcPr>
            <w:tcW w:w="598" w:type="pct"/>
            <w:tcBorders>
              <w:right w:val="dashSmallGap" w:sz="4" w:space="0" w:color="auto"/>
            </w:tcBorders>
            <w:shd w:val="clear" w:color="auto" w:fill="BFBFBF" w:themeFill="background1" w:themeFillShade="BF"/>
            <w:noWrap/>
            <w:vAlign w:val="center"/>
            <w:hideMark/>
          </w:tcPr>
          <w:p w14:paraId="555C2AC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48,689</w:t>
            </w:r>
          </w:p>
        </w:tc>
        <w:tc>
          <w:tcPr>
            <w:tcW w:w="598" w:type="pct"/>
            <w:tcBorders>
              <w:left w:val="dashSmallGap" w:sz="4" w:space="0" w:color="auto"/>
              <w:right w:val="single" w:sz="4" w:space="0" w:color="auto"/>
            </w:tcBorders>
            <w:shd w:val="clear" w:color="auto" w:fill="BFBFBF" w:themeFill="background1" w:themeFillShade="BF"/>
            <w:noWrap/>
            <w:vAlign w:val="center"/>
            <w:hideMark/>
          </w:tcPr>
          <w:p w14:paraId="4BE1C9DE"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83,056</w:t>
            </w:r>
          </w:p>
        </w:tc>
        <w:tc>
          <w:tcPr>
            <w:tcW w:w="598" w:type="pct"/>
            <w:tcBorders>
              <w:left w:val="single" w:sz="4" w:space="0" w:color="auto"/>
            </w:tcBorders>
            <w:shd w:val="clear" w:color="auto" w:fill="BFBFBF" w:themeFill="background1" w:themeFillShade="BF"/>
            <w:noWrap/>
            <w:vAlign w:val="center"/>
            <w:hideMark/>
          </w:tcPr>
          <w:p w14:paraId="300A1E9E"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166,928</w:t>
            </w:r>
          </w:p>
        </w:tc>
      </w:tr>
      <w:tr w:rsidR="00653D3D" w:rsidRPr="007F6332" w14:paraId="557B1015" w14:textId="77777777" w:rsidTr="00CD33D0">
        <w:trPr>
          <w:trHeight w:val="397"/>
        </w:trPr>
        <w:tc>
          <w:tcPr>
            <w:tcW w:w="1414" w:type="pct"/>
            <w:shd w:val="clear" w:color="auto" w:fill="auto"/>
            <w:noWrap/>
            <w:vAlign w:val="center"/>
            <w:hideMark/>
          </w:tcPr>
          <w:p w14:paraId="755FD01F" w14:textId="318839F6" w:rsidR="00653D3D" w:rsidRPr="007F6332" w:rsidRDefault="00B724CC" w:rsidP="00903FA7">
            <w:pPr>
              <w:spacing w:after="0" w:line="240" w:lineRule="auto"/>
              <w:ind w:right="-117"/>
              <w:rPr>
                <w:rFonts w:eastAsia="Times New Roman" w:cs="Arial"/>
                <w:color w:val="000000"/>
                <w:sz w:val="20"/>
                <w:szCs w:val="20"/>
                <w:lang w:eastAsia="en-AU"/>
              </w:rPr>
            </w:pPr>
            <w:r w:rsidRPr="007F6332">
              <w:rPr>
                <w:rFonts w:eastAsia="Times New Roman" w:cs="Arial"/>
                <w:b/>
                <w:bCs/>
                <w:color w:val="000000"/>
                <w:sz w:val="20"/>
                <w:szCs w:val="20"/>
                <w:lang w:eastAsia="en-AU"/>
              </w:rPr>
              <w:t>June 2022 projections</w:t>
            </w:r>
            <w:r w:rsidR="002E7774" w:rsidRPr="007F6332">
              <w:rPr>
                <w:rFonts w:eastAsia="Times New Roman" w:cs="Arial"/>
                <w:color w:val="000000"/>
                <w:sz w:val="20"/>
                <w:szCs w:val="20"/>
                <w:lang w:eastAsia="en-AU"/>
              </w:rPr>
              <w:t xml:space="preserve"> (cash basis)</w:t>
            </w:r>
            <w:r w:rsidR="00903FA7"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65+ years</w:t>
            </w:r>
          </w:p>
        </w:tc>
        <w:tc>
          <w:tcPr>
            <w:tcW w:w="598" w:type="pct"/>
            <w:shd w:val="clear" w:color="auto" w:fill="auto"/>
            <w:noWrap/>
            <w:vAlign w:val="center"/>
            <w:hideMark/>
          </w:tcPr>
          <w:p w14:paraId="77C037DC"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3,211</w:t>
            </w:r>
          </w:p>
        </w:tc>
        <w:tc>
          <w:tcPr>
            <w:tcW w:w="598" w:type="pct"/>
            <w:shd w:val="clear" w:color="auto" w:fill="auto"/>
            <w:noWrap/>
            <w:vAlign w:val="center"/>
            <w:hideMark/>
          </w:tcPr>
          <w:p w14:paraId="242BE3D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4,099</w:t>
            </w:r>
          </w:p>
        </w:tc>
        <w:tc>
          <w:tcPr>
            <w:tcW w:w="598" w:type="pct"/>
            <w:shd w:val="clear" w:color="auto" w:fill="auto"/>
            <w:noWrap/>
            <w:vAlign w:val="center"/>
            <w:hideMark/>
          </w:tcPr>
          <w:p w14:paraId="42D07EC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5,081</w:t>
            </w:r>
          </w:p>
        </w:tc>
        <w:tc>
          <w:tcPr>
            <w:tcW w:w="598" w:type="pct"/>
            <w:tcBorders>
              <w:right w:val="dashSmallGap" w:sz="4" w:space="0" w:color="auto"/>
            </w:tcBorders>
            <w:shd w:val="clear" w:color="auto" w:fill="auto"/>
            <w:noWrap/>
            <w:vAlign w:val="center"/>
            <w:hideMark/>
          </w:tcPr>
          <w:p w14:paraId="539B8F2C"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6,001</w:t>
            </w:r>
          </w:p>
        </w:tc>
        <w:tc>
          <w:tcPr>
            <w:tcW w:w="598" w:type="pct"/>
            <w:tcBorders>
              <w:left w:val="dashSmallGap" w:sz="4" w:space="0" w:color="auto"/>
              <w:right w:val="single" w:sz="4" w:space="0" w:color="auto"/>
            </w:tcBorders>
            <w:shd w:val="clear" w:color="auto" w:fill="auto"/>
            <w:noWrap/>
            <w:vAlign w:val="center"/>
            <w:hideMark/>
          </w:tcPr>
          <w:p w14:paraId="11D07BC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12,481</w:t>
            </w:r>
          </w:p>
        </w:tc>
        <w:tc>
          <w:tcPr>
            <w:tcW w:w="598" w:type="pct"/>
            <w:tcBorders>
              <w:left w:val="single" w:sz="4" w:space="0" w:color="auto"/>
            </w:tcBorders>
            <w:shd w:val="clear" w:color="auto" w:fill="auto"/>
            <w:noWrap/>
            <w:vAlign w:val="center"/>
            <w:hideMark/>
          </w:tcPr>
          <w:p w14:paraId="06285CC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18,391</w:t>
            </w:r>
          </w:p>
        </w:tc>
      </w:tr>
      <w:tr w:rsidR="00411CE4" w:rsidRPr="007F6332" w14:paraId="50E554E8" w14:textId="77777777" w:rsidTr="00CD33D0">
        <w:trPr>
          <w:trHeight w:val="397"/>
        </w:trPr>
        <w:tc>
          <w:tcPr>
            <w:tcW w:w="1414" w:type="pct"/>
            <w:shd w:val="clear" w:color="auto" w:fill="B499B7"/>
            <w:noWrap/>
            <w:vAlign w:val="center"/>
            <w:hideMark/>
          </w:tcPr>
          <w:p w14:paraId="6D24E9C4" w14:textId="27C3693D"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 (cash basis)</w:t>
            </w:r>
          </w:p>
        </w:tc>
        <w:tc>
          <w:tcPr>
            <w:tcW w:w="598" w:type="pct"/>
            <w:shd w:val="clear" w:color="auto" w:fill="B499B7"/>
            <w:noWrap/>
            <w:vAlign w:val="center"/>
            <w:hideMark/>
          </w:tcPr>
          <w:p w14:paraId="3C28F2DF"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37,568</w:t>
            </w:r>
          </w:p>
        </w:tc>
        <w:tc>
          <w:tcPr>
            <w:tcW w:w="598" w:type="pct"/>
            <w:shd w:val="clear" w:color="auto" w:fill="B499B7"/>
            <w:noWrap/>
            <w:vAlign w:val="center"/>
            <w:hideMark/>
          </w:tcPr>
          <w:p w14:paraId="09FA39CB"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43,463</w:t>
            </w:r>
          </w:p>
        </w:tc>
        <w:tc>
          <w:tcPr>
            <w:tcW w:w="598" w:type="pct"/>
            <w:shd w:val="clear" w:color="auto" w:fill="B499B7"/>
            <w:noWrap/>
            <w:vAlign w:val="center"/>
            <w:hideMark/>
          </w:tcPr>
          <w:p w14:paraId="5F87DFFC"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49,599</w:t>
            </w:r>
          </w:p>
        </w:tc>
        <w:tc>
          <w:tcPr>
            <w:tcW w:w="598" w:type="pct"/>
            <w:tcBorders>
              <w:right w:val="dashSmallGap" w:sz="4" w:space="0" w:color="auto"/>
            </w:tcBorders>
            <w:shd w:val="clear" w:color="auto" w:fill="B499B7"/>
            <w:noWrap/>
            <w:vAlign w:val="center"/>
            <w:hideMark/>
          </w:tcPr>
          <w:p w14:paraId="7AA8AC12"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54,690</w:t>
            </w:r>
          </w:p>
        </w:tc>
        <w:tc>
          <w:tcPr>
            <w:tcW w:w="598" w:type="pct"/>
            <w:tcBorders>
              <w:left w:val="dashSmallGap" w:sz="4" w:space="0" w:color="auto"/>
              <w:right w:val="single" w:sz="4" w:space="0" w:color="auto"/>
            </w:tcBorders>
            <w:shd w:val="clear" w:color="auto" w:fill="B499B7"/>
            <w:noWrap/>
            <w:vAlign w:val="center"/>
            <w:hideMark/>
          </w:tcPr>
          <w:p w14:paraId="33DE3377"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95,536</w:t>
            </w:r>
          </w:p>
        </w:tc>
        <w:tc>
          <w:tcPr>
            <w:tcW w:w="598" w:type="pct"/>
            <w:tcBorders>
              <w:left w:val="single" w:sz="4" w:space="0" w:color="auto"/>
            </w:tcBorders>
            <w:shd w:val="clear" w:color="auto" w:fill="B499B7"/>
            <w:noWrap/>
            <w:vAlign w:val="center"/>
            <w:hideMark/>
          </w:tcPr>
          <w:p w14:paraId="6E6918B2"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185,319</w:t>
            </w:r>
          </w:p>
        </w:tc>
      </w:tr>
      <w:tr w:rsidR="003C7D2A" w:rsidRPr="007F6332" w14:paraId="0376C310" w14:textId="77777777" w:rsidTr="00CD33D0">
        <w:trPr>
          <w:trHeight w:val="397"/>
        </w:trPr>
        <w:tc>
          <w:tcPr>
            <w:tcW w:w="1414" w:type="pct"/>
            <w:shd w:val="clear" w:color="auto" w:fill="BFBFBF" w:themeFill="background1" w:themeFillShade="BF"/>
            <w:noWrap/>
            <w:vAlign w:val="center"/>
            <w:hideMark/>
          </w:tcPr>
          <w:p w14:paraId="0C7A4A36" w14:textId="0FE0B403" w:rsidR="00653D3D" w:rsidRPr="007F6332" w:rsidRDefault="002E7774"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Difference</w:t>
            </w:r>
            <w:r w:rsidRPr="007F6332">
              <w:rPr>
                <w:rFonts w:eastAsia="Times New Roman" w:cs="Arial"/>
                <w:color w:val="000000"/>
                <w:sz w:val="20"/>
                <w:szCs w:val="20"/>
                <w:lang w:eastAsia="en-AU"/>
              </w:rPr>
              <w:t xml:space="preserve"> (cash basis) </w:t>
            </w:r>
            <w:r w:rsidR="00653D3D" w:rsidRPr="007F6332">
              <w:rPr>
                <w:rFonts w:eastAsia="Times New Roman" w:cs="Arial"/>
                <w:color w:val="000000"/>
                <w:sz w:val="20"/>
                <w:szCs w:val="20"/>
                <w:lang w:eastAsia="en-AU"/>
              </w:rPr>
              <w:t>0-64 years</w:t>
            </w:r>
          </w:p>
        </w:tc>
        <w:tc>
          <w:tcPr>
            <w:tcW w:w="598" w:type="pct"/>
            <w:shd w:val="clear" w:color="auto" w:fill="BFBFBF" w:themeFill="background1" w:themeFillShade="BF"/>
            <w:noWrap/>
            <w:vAlign w:val="center"/>
            <w:hideMark/>
          </w:tcPr>
          <w:p w14:paraId="4A7DBC8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2,872</w:t>
            </w:r>
          </w:p>
        </w:tc>
        <w:tc>
          <w:tcPr>
            <w:tcW w:w="598" w:type="pct"/>
            <w:shd w:val="clear" w:color="auto" w:fill="BFBFBF" w:themeFill="background1" w:themeFillShade="BF"/>
            <w:noWrap/>
            <w:vAlign w:val="center"/>
            <w:hideMark/>
          </w:tcPr>
          <w:p w14:paraId="54B668C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1,864</w:t>
            </w:r>
          </w:p>
        </w:tc>
        <w:tc>
          <w:tcPr>
            <w:tcW w:w="598" w:type="pct"/>
            <w:shd w:val="clear" w:color="auto" w:fill="BFBFBF" w:themeFill="background1" w:themeFillShade="BF"/>
            <w:noWrap/>
            <w:vAlign w:val="center"/>
            <w:hideMark/>
          </w:tcPr>
          <w:p w14:paraId="74DD623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126</w:t>
            </w:r>
          </w:p>
        </w:tc>
        <w:tc>
          <w:tcPr>
            <w:tcW w:w="598" w:type="pct"/>
            <w:tcBorders>
              <w:right w:val="dashSmallGap" w:sz="4" w:space="0" w:color="auto"/>
            </w:tcBorders>
            <w:shd w:val="clear" w:color="auto" w:fill="BFBFBF" w:themeFill="background1" w:themeFillShade="BF"/>
            <w:noWrap/>
            <w:vAlign w:val="center"/>
            <w:hideMark/>
          </w:tcPr>
          <w:p w14:paraId="6C0CE6D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-663</w:t>
            </w:r>
          </w:p>
        </w:tc>
        <w:tc>
          <w:tcPr>
            <w:tcW w:w="598" w:type="pct"/>
            <w:tcBorders>
              <w:left w:val="dashSmallGap" w:sz="4" w:space="0" w:color="auto"/>
              <w:right w:val="single" w:sz="4" w:space="0" w:color="auto"/>
            </w:tcBorders>
            <w:shd w:val="clear" w:color="auto" w:fill="BFBFBF" w:themeFill="background1" w:themeFillShade="BF"/>
            <w:noWrap/>
            <w:vAlign w:val="center"/>
            <w:hideMark/>
          </w:tcPr>
          <w:p w14:paraId="46009574"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-5,065</w:t>
            </w:r>
          </w:p>
        </w:tc>
        <w:tc>
          <w:tcPr>
            <w:tcW w:w="598" w:type="pct"/>
            <w:tcBorders>
              <w:left w:val="single" w:sz="4" w:space="0" w:color="auto"/>
            </w:tcBorders>
            <w:shd w:val="clear" w:color="auto" w:fill="BFBFBF" w:themeFill="background1" w:themeFillShade="BF"/>
            <w:noWrap/>
            <w:vAlign w:val="center"/>
            <w:hideMark/>
          </w:tcPr>
          <w:p w14:paraId="1F726AC5"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4,199</w:t>
            </w:r>
          </w:p>
        </w:tc>
      </w:tr>
      <w:tr w:rsidR="00653D3D" w:rsidRPr="007F6332" w14:paraId="42780479" w14:textId="77777777" w:rsidTr="00CD33D0">
        <w:trPr>
          <w:trHeight w:val="397"/>
        </w:trPr>
        <w:tc>
          <w:tcPr>
            <w:tcW w:w="1414" w:type="pct"/>
            <w:shd w:val="clear" w:color="auto" w:fill="auto"/>
            <w:noWrap/>
            <w:vAlign w:val="center"/>
            <w:hideMark/>
          </w:tcPr>
          <w:p w14:paraId="7E25F8D4" w14:textId="7F7DC18D" w:rsidR="00653D3D" w:rsidRPr="007F6332" w:rsidRDefault="002E7774"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Difference</w:t>
            </w:r>
            <w:r w:rsidRPr="007F6332">
              <w:rPr>
                <w:rFonts w:eastAsia="Times New Roman" w:cs="Arial"/>
                <w:color w:val="000000"/>
                <w:sz w:val="20"/>
                <w:szCs w:val="20"/>
                <w:lang w:eastAsia="en-AU"/>
              </w:rPr>
              <w:t xml:space="preserve"> (cash basis</w:t>
            </w:r>
            <w:r w:rsidR="00903FA7" w:rsidRPr="007F6332">
              <w:rPr>
                <w:rFonts w:eastAsia="Times New Roman" w:cs="Arial"/>
                <w:color w:val="000000"/>
                <w:sz w:val="20"/>
                <w:szCs w:val="20"/>
                <w:lang w:eastAsia="en-AU"/>
              </w:rPr>
              <w:t>)</w:t>
            </w:r>
            <w:r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65+ years</w:t>
            </w:r>
          </w:p>
        </w:tc>
        <w:tc>
          <w:tcPr>
            <w:tcW w:w="598" w:type="pct"/>
            <w:shd w:val="clear" w:color="auto" w:fill="auto"/>
            <w:noWrap/>
            <w:vAlign w:val="center"/>
            <w:hideMark/>
          </w:tcPr>
          <w:p w14:paraId="11C7C9D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475</w:t>
            </w:r>
          </w:p>
        </w:tc>
        <w:tc>
          <w:tcPr>
            <w:tcW w:w="598" w:type="pct"/>
            <w:shd w:val="clear" w:color="auto" w:fill="auto"/>
            <w:noWrap/>
            <w:vAlign w:val="center"/>
            <w:hideMark/>
          </w:tcPr>
          <w:p w14:paraId="38960083"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549</w:t>
            </w:r>
          </w:p>
        </w:tc>
        <w:tc>
          <w:tcPr>
            <w:tcW w:w="598" w:type="pct"/>
            <w:shd w:val="clear" w:color="auto" w:fill="auto"/>
            <w:noWrap/>
            <w:vAlign w:val="center"/>
            <w:hideMark/>
          </w:tcPr>
          <w:p w14:paraId="6D9E742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514</w:t>
            </w:r>
          </w:p>
        </w:tc>
        <w:tc>
          <w:tcPr>
            <w:tcW w:w="598" w:type="pct"/>
            <w:tcBorders>
              <w:right w:val="dashSmallGap" w:sz="4" w:space="0" w:color="auto"/>
            </w:tcBorders>
            <w:shd w:val="clear" w:color="auto" w:fill="auto"/>
            <w:noWrap/>
            <w:vAlign w:val="center"/>
            <w:hideMark/>
          </w:tcPr>
          <w:p w14:paraId="72DB292D"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582</w:t>
            </w:r>
          </w:p>
        </w:tc>
        <w:tc>
          <w:tcPr>
            <w:tcW w:w="598" w:type="pct"/>
            <w:tcBorders>
              <w:left w:val="dashSmallGap" w:sz="4" w:space="0" w:color="auto"/>
              <w:right w:val="single" w:sz="4" w:space="0" w:color="auto"/>
            </w:tcBorders>
            <w:shd w:val="clear" w:color="auto" w:fill="auto"/>
            <w:noWrap/>
            <w:vAlign w:val="center"/>
            <w:hideMark/>
          </w:tcPr>
          <w:p w14:paraId="5CC78CEC"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851</w:t>
            </w:r>
          </w:p>
        </w:tc>
        <w:tc>
          <w:tcPr>
            <w:tcW w:w="598" w:type="pct"/>
            <w:tcBorders>
              <w:left w:val="single" w:sz="4" w:space="0" w:color="auto"/>
            </w:tcBorders>
            <w:shd w:val="clear" w:color="auto" w:fill="auto"/>
            <w:noWrap/>
            <w:vAlign w:val="center"/>
            <w:hideMark/>
          </w:tcPr>
          <w:p w14:paraId="6E76110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2,119</w:t>
            </w:r>
          </w:p>
        </w:tc>
      </w:tr>
      <w:tr w:rsidR="00411CE4" w:rsidRPr="007F6332" w14:paraId="36C5034A" w14:textId="77777777" w:rsidTr="00CD33D0">
        <w:trPr>
          <w:trHeight w:val="397"/>
        </w:trPr>
        <w:tc>
          <w:tcPr>
            <w:tcW w:w="1414" w:type="pct"/>
            <w:shd w:val="clear" w:color="auto" w:fill="B499B7"/>
            <w:noWrap/>
            <w:vAlign w:val="center"/>
            <w:hideMark/>
          </w:tcPr>
          <w:p w14:paraId="11506203" w14:textId="0EA92074"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 (cash basis)</w:t>
            </w:r>
          </w:p>
        </w:tc>
        <w:tc>
          <w:tcPr>
            <w:tcW w:w="598" w:type="pct"/>
            <w:shd w:val="clear" w:color="auto" w:fill="B499B7"/>
            <w:noWrap/>
            <w:vAlign w:val="center"/>
            <w:hideMark/>
          </w:tcPr>
          <w:p w14:paraId="53CCCE94"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3,346</w:t>
            </w:r>
          </w:p>
        </w:tc>
        <w:tc>
          <w:tcPr>
            <w:tcW w:w="598" w:type="pct"/>
            <w:shd w:val="clear" w:color="auto" w:fill="B499B7"/>
            <w:noWrap/>
            <w:vAlign w:val="center"/>
            <w:hideMark/>
          </w:tcPr>
          <w:p w14:paraId="731DD429"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2,413</w:t>
            </w:r>
          </w:p>
        </w:tc>
        <w:tc>
          <w:tcPr>
            <w:tcW w:w="598" w:type="pct"/>
            <w:shd w:val="clear" w:color="auto" w:fill="B499B7"/>
            <w:noWrap/>
            <w:vAlign w:val="center"/>
            <w:hideMark/>
          </w:tcPr>
          <w:p w14:paraId="5A612546"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640</w:t>
            </w:r>
          </w:p>
        </w:tc>
        <w:tc>
          <w:tcPr>
            <w:tcW w:w="598" w:type="pct"/>
            <w:tcBorders>
              <w:right w:val="dashSmallGap" w:sz="4" w:space="0" w:color="auto"/>
            </w:tcBorders>
            <w:shd w:val="clear" w:color="auto" w:fill="B499B7"/>
            <w:noWrap/>
            <w:vAlign w:val="center"/>
            <w:hideMark/>
          </w:tcPr>
          <w:p w14:paraId="5BDFDC59"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-80</w:t>
            </w:r>
          </w:p>
        </w:tc>
        <w:tc>
          <w:tcPr>
            <w:tcW w:w="598" w:type="pct"/>
            <w:tcBorders>
              <w:left w:val="dashSmallGap" w:sz="4" w:space="0" w:color="auto"/>
              <w:right w:val="single" w:sz="4" w:space="0" w:color="auto"/>
            </w:tcBorders>
            <w:shd w:val="clear" w:color="auto" w:fill="B499B7"/>
            <w:noWrap/>
            <w:vAlign w:val="center"/>
            <w:hideMark/>
          </w:tcPr>
          <w:p w14:paraId="36152E14"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-4,214</w:t>
            </w:r>
          </w:p>
        </w:tc>
        <w:tc>
          <w:tcPr>
            <w:tcW w:w="598" w:type="pct"/>
            <w:tcBorders>
              <w:left w:val="single" w:sz="4" w:space="0" w:color="auto"/>
            </w:tcBorders>
            <w:shd w:val="clear" w:color="auto" w:fill="B499B7"/>
            <w:noWrap/>
            <w:vAlign w:val="center"/>
            <w:hideMark/>
          </w:tcPr>
          <w:p w14:paraId="659596BF"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6,319</w:t>
            </w:r>
          </w:p>
        </w:tc>
      </w:tr>
      <w:tr w:rsidR="00411CE4" w:rsidRPr="007F6332" w14:paraId="64C18CD5" w14:textId="77777777" w:rsidTr="00CD33D0">
        <w:trPr>
          <w:trHeight w:val="397"/>
        </w:trPr>
        <w:tc>
          <w:tcPr>
            <w:tcW w:w="1414" w:type="pct"/>
            <w:shd w:val="clear" w:color="auto" w:fill="BFBFBF" w:themeFill="background1" w:themeFillShade="BF"/>
            <w:noWrap/>
            <w:vAlign w:val="center"/>
            <w:hideMark/>
          </w:tcPr>
          <w:p w14:paraId="318F13D0" w14:textId="6AF24EE5" w:rsidR="00653D3D" w:rsidRPr="007F6332" w:rsidRDefault="002E7774" w:rsidP="00903FA7">
            <w:pPr>
              <w:spacing w:after="0" w:line="240" w:lineRule="auto"/>
              <w:ind w:right="-117"/>
              <w:rPr>
                <w:rFonts w:eastAsia="Times New Roman" w:cs="Arial"/>
                <w:color w:val="000000"/>
                <w:sz w:val="20"/>
                <w:szCs w:val="20"/>
                <w:lang w:eastAsia="en-AU"/>
              </w:rPr>
            </w:pPr>
            <w:r w:rsidRPr="007F6332">
              <w:rPr>
                <w:rFonts w:eastAsia="Times New Roman" w:cs="Arial"/>
                <w:b/>
                <w:bCs/>
                <w:color w:val="000000"/>
                <w:sz w:val="20"/>
                <w:szCs w:val="20"/>
                <w:lang w:eastAsia="en-AU"/>
              </w:rPr>
              <w:t>% Difference</w:t>
            </w:r>
            <w:r w:rsidRPr="007F6332">
              <w:rPr>
                <w:rFonts w:eastAsia="Times New Roman" w:cs="Arial"/>
                <w:color w:val="000000"/>
                <w:sz w:val="20"/>
                <w:szCs w:val="20"/>
                <w:lang w:eastAsia="en-AU"/>
              </w:rPr>
              <w:t xml:space="preserve"> (cash</w:t>
            </w:r>
            <w:r w:rsidR="00903FA7" w:rsidRPr="007F6332">
              <w:rPr>
                <w:rFonts w:eastAsia="Times New Roman" w:cs="Arial"/>
                <w:color w:val="000000"/>
                <w:sz w:val="20"/>
                <w:szCs w:val="20"/>
                <w:lang w:eastAsia="en-AU"/>
              </w:rPr>
              <w:t xml:space="preserve"> </w:t>
            </w:r>
            <w:r w:rsidRPr="007F6332">
              <w:rPr>
                <w:rFonts w:eastAsia="Times New Roman" w:cs="Arial"/>
                <w:color w:val="000000"/>
                <w:sz w:val="20"/>
                <w:szCs w:val="20"/>
                <w:lang w:eastAsia="en-AU"/>
              </w:rPr>
              <w:t>basis)</w:t>
            </w:r>
            <w:r w:rsidR="00594365"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0-64 years</w:t>
            </w:r>
          </w:p>
        </w:tc>
        <w:tc>
          <w:tcPr>
            <w:tcW w:w="598" w:type="pct"/>
            <w:shd w:val="clear" w:color="auto" w:fill="BFBFBF" w:themeFill="background1" w:themeFillShade="BF"/>
            <w:noWrap/>
            <w:vAlign w:val="center"/>
            <w:hideMark/>
          </w:tcPr>
          <w:p w14:paraId="58F7D06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w:t>
            </w:r>
          </w:p>
        </w:tc>
        <w:tc>
          <w:tcPr>
            <w:tcW w:w="598" w:type="pct"/>
            <w:shd w:val="clear" w:color="auto" w:fill="BFBFBF" w:themeFill="background1" w:themeFillShade="BF"/>
            <w:noWrap/>
            <w:vAlign w:val="center"/>
            <w:hideMark/>
          </w:tcPr>
          <w:p w14:paraId="3601ED75"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w:t>
            </w:r>
          </w:p>
        </w:tc>
        <w:tc>
          <w:tcPr>
            <w:tcW w:w="598" w:type="pct"/>
            <w:shd w:val="clear" w:color="auto" w:fill="BFBFBF" w:themeFill="background1" w:themeFillShade="BF"/>
            <w:noWrap/>
            <w:vAlign w:val="center"/>
            <w:hideMark/>
          </w:tcPr>
          <w:p w14:paraId="02FF81A4"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0%</w:t>
            </w:r>
          </w:p>
        </w:tc>
        <w:tc>
          <w:tcPr>
            <w:tcW w:w="598" w:type="pct"/>
            <w:tcBorders>
              <w:right w:val="dashSmallGap" w:sz="4" w:space="0" w:color="auto"/>
            </w:tcBorders>
            <w:shd w:val="clear" w:color="auto" w:fill="BFBFBF" w:themeFill="background1" w:themeFillShade="BF"/>
            <w:noWrap/>
            <w:vAlign w:val="center"/>
            <w:hideMark/>
          </w:tcPr>
          <w:p w14:paraId="1F1D25C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w:t>
            </w:r>
          </w:p>
        </w:tc>
        <w:tc>
          <w:tcPr>
            <w:tcW w:w="598" w:type="pct"/>
            <w:tcBorders>
              <w:left w:val="dashSmallGap" w:sz="4" w:space="0" w:color="auto"/>
              <w:right w:val="single" w:sz="4" w:space="0" w:color="auto"/>
            </w:tcBorders>
            <w:shd w:val="clear" w:color="auto" w:fill="BFBFBF" w:themeFill="background1" w:themeFillShade="BF"/>
            <w:noWrap/>
            <w:vAlign w:val="center"/>
            <w:hideMark/>
          </w:tcPr>
          <w:p w14:paraId="3C3F1BC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w:t>
            </w:r>
          </w:p>
        </w:tc>
        <w:tc>
          <w:tcPr>
            <w:tcW w:w="598" w:type="pct"/>
            <w:tcBorders>
              <w:left w:val="single" w:sz="4" w:space="0" w:color="auto"/>
            </w:tcBorders>
            <w:shd w:val="clear" w:color="auto" w:fill="BFBFBF" w:themeFill="background1" w:themeFillShade="BF"/>
            <w:noWrap/>
            <w:vAlign w:val="center"/>
            <w:hideMark/>
          </w:tcPr>
          <w:p w14:paraId="5C19CC5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w:t>
            </w:r>
          </w:p>
        </w:tc>
      </w:tr>
      <w:tr w:rsidR="00653D3D" w:rsidRPr="007F6332" w14:paraId="5457779F" w14:textId="77777777" w:rsidTr="00CD33D0">
        <w:trPr>
          <w:trHeight w:val="397"/>
        </w:trPr>
        <w:tc>
          <w:tcPr>
            <w:tcW w:w="1414" w:type="pct"/>
            <w:shd w:val="clear" w:color="auto" w:fill="auto"/>
            <w:noWrap/>
            <w:vAlign w:val="center"/>
            <w:hideMark/>
          </w:tcPr>
          <w:p w14:paraId="7044B60C" w14:textId="0C6A3EFF" w:rsidR="00653D3D" w:rsidRPr="007F6332" w:rsidRDefault="002E7774" w:rsidP="00903FA7">
            <w:pPr>
              <w:spacing w:after="0" w:line="240" w:lineRule="auto"/>
              <w:ind w:right="-117"/>
              <w:rPr>
                <w:rFonts w:eastAsia="Times New Roman" w:cs="Arial"/>
                <w:color w:val="000000"/>
                <w:sz w:val="20"/>
                <w:szCs w:val="20"/>
                <w:lang w:eastAsia="en-AU"/>
              </w:rPr>
            </w:pPr>
            <w:r w:rsidRPr="007F6332">
              <w:rPr>
                <w:rFonts w:eastAsia="Times New Roman" w:cs="Arial"/>
                <w:b/>
                <w:bCs/>
                <w:color w:val="000000"/>
                <w:sz w:val="20"/>
                <w:szCs w:val="20"/>
                <w:lang w:eastAsia="en-AU"/>
              </w:rPr>
              <w:t>% Difference</w:t>
            </w:r>
            <w:r w:rsidRPr="007F6332">
              <w:rPr>
                <w:rFonts w:eastAsia="Times New Roman" w:cs="Arial"/>
                <w:color w:val="000000"/>
                <w:sz w:val="20"/>
                <w:szCs w:val="20"/>
                <w:lang w:eastAsia="en-AU"/>
              </w:rPr>
              <w:t xml:space="preserve"> (cash basis)</w:t>
            </w:r>
            <w:r w:rsidR="00594365"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65+ years</w:t>
            </w:r>
          </w:p>
        </w:tc>
        <w:tc>
          <w:tcPr>
            <w:tcW w:w="598" w:type="pct"/>
            <w:shd w:val="clear" w:color="auto" w:fill="auto"/>
            <w:noWrap/>
            <w:vAlign w:val="center"/>
            <w:hideMark/>
          </w:tcPr>
          <w:p w14:paraId="1708CF1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15%</w:t>
            </w:r>
          </w:p>
        </w:tc>
        <w:tc>
          <w:tcPr>
            <w:tcW w:w="598" w:type="pct"/>
            <w:shd w:val="clear" w:color="auto" w:fill="auto"/>
            <w:noWrap/>
            <w:vAlign w:val="center"/>
            <w:hideMark/>
          </w:tcPr>
          <w:p w14:paraId="47FC7772"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13%</w:t>
            </w:r>
          </w:p>
        </w:tc>
        <w:tc>
          <w:tcPr>
            <w:tcW w:w="598" w:type="pct"/>
            <w:shd w:val="clear" w:color="auto" w:fill="auto"/>
            <w:noWrap/>
            <w:vAlign w:val="center"/>
            <w:hideMark/>
          </w:tcPr>
          <w:p w14:paraId="3B7F3A1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10%</w:t>
            </w:r>
          </w:p>
        </w:tc>
        <w:tc>
          <w:tcPr>
            <w:tcW w:w="598" w:type="pct"/>
            <w:tcBorders>
              <w:right w:val="dashSmallGap" w:sz="4" w:space="0" w:color="auto"/>
            </w:tcBorders>
            <w:shd w:val="clear" w:color="auto" w:fill="auto"/>
            <w:noWrap/>
            <w:vAlign w:val="center"/>
            <w:hideMark/>
          </w:tcPr>
          <w:p w14:paraId="1AE3560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10%</w:t>
            </w:r>
          </w:p>
        </w:tc>
        <w:tc>
          <w:tcPr>
            <w:tcW w:w="598" w:type="pct"/>
            <w:tcBorders>
              <w:left w:val="dashSmallGap" w:sz="4" w:space="0" w:color="auto"/>
              <w:right w:val="single" w:sz="4" w:space="0" w:color="auto"/>
            </w:tcBorders>
            <w:shd w:val="clear" w:color="auto" w:fill="auto"/>
            <w:noWrap/>
            <w:vAlign w:val="center"/>
            <w:hideMark/>
          </w:tcPr>
          <w:p w14:paraId="1E66FDD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7%</w:t>
            </w:r>
          </w:p>
        </w:tc>
        <w:tc>
          <w:tcPr>
            <w:tcW w:w="598" w:type="pct"/>
            <w:tcBorders>
              <w:left w:val="single" w:sz="4" w:space="0" w:color="auto"/>
            </w:tcBorders>
            <w:shd w:val="clear" w:color="auto" w:fill="auto"/>
            <w:noWrap/>
            <w:vAlign w:val="center"/>
            <w:hideMark/>
          </w:tcPr>
          <w:p w14:paraId="7024F1A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12%</w:t>
            </w:r>
          </w:p>
        </w:tc>
      </w:tr>
      <w:tr w:rsidR="00411CE4" w:rsidRPr="007F6332" w14:paraId="035BB31C" w14:textId="77777777" w:rsidTr="00CD33D0">
        <w:trPr>
          <w:trHeight w:val="397"/>
        </w:trPr>
        <w:tc>
          <w:tcPr>
            <w:tcW w:w="1414" w:type="pct"/>
            <w:tcBorders>
              <w:bottom w:val="single" w:sz="4" w:space="0" w:color="auto"/>
            </w:tcBorders>
            <w:shd w:val="clear" w:color="auto" w:fill="B499B7"/>
            <w:noWrap/>
            <w:vAlign w:val="center"/>
            <w:hideMark/>
          </w:tcPr>
          <w:p w14:paraId="3A94F497" w14:textId="094ECD13" w:rsidR="00653D3D" w:rsidRPr="007F6332" w:rsidRDefault="00653D3D" w:rsidP="00903FA7">
            <w:pPr>
              <w:spacing w:after="0" w:line="240" w:lineRule="auto"/>
              <w:ind w:right="-117"/>
              <w:rPr>
                <w:rFonts w:eastAsia="Times New Roman" w:cs="Arial"/>
                <w:b/>
                <w:bCs/>
                <w:color w:val="000000"/>
                <w:sz w:val="20"/>
                <w:szCs w:val="20"/>
                <w:lang w:eastAsia="en-AU"/>
              </w:rPr>
            </w:pPr>
            <w:r w:rsidRPr="007F6332">
              <w:rPr>
                <w:rFonts w:eastAsia="Times New Roman" w:cs="Arial"/>
                <w:b/>
                <w:bCs/>
                <w:color w:val="000000"/>
                <w:sz w:val="20"/>
                <w:szCs w:val="20"/>
                <w:lang w:eastAsia="en-AU"/>
              </w:rPr>
              <w:t>Total (cash basis)</w:t>
            </w:r>
          </w:p>
        </w:tc>
        <w:tc>
          <w:tcPr>
            <w:tcW w:w="598" w:type="pct"/>
            <w:tcBorders>
              <w:bottom w:val="single" w:sz="4" w:space="0" w:color="auto"/>
            </w:tcBorders>
            <w:shd w:val="clear" w:color="auto" w:fill="B499B7"/>
            <w:noWrap/>
            <w:vAlign w:val="center"/>
            <w:hideMark/>
          </w:tcPr>
          <w:p w14:paraId="7F7818EC"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9%</w:t>
            </w:r>
          </w:p>
        </w:tc>
        <w:tc>
          <w:tcPr>
            <w:tcW w:w="598" w:type="pct"/>
            <w:tcBorders>
              <w:bottom w:val="single" w:sz="4" w:space="0" w:color="auto"/>
            </w:tcBorders>
            <w:shd w:val="clear" w:color="auto" w:fill="B499B7"/>
            <w:noWrap/>
            <w:vAlign w:val="center"/>
            <w:hideMark/>
          </w:tcPr>
          <w:p w14:paraId="3D610E4B"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6%</w:t>
            </w:r>
          </w:p>
        </w:tc>
        <w:tc>
          <w:tcPr>
            <w:tcW w:w="598" w:type="pct"/>
            <w:tcBorders>
              <w:bottom w:val="single" w:sz="4" w:space="0" w:color="auto"/>
            </w:tcBorders>
            <w:shd w:val="clear" w:color="auto" w:fill="B499B7"/>
            <w:noWrap/>
            <w:vAlign w:val="center"/>
            <w:hideMark/>
          </w:tcPr>
          <w:p w14:paraId="4F6E3720"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1%</w:t>
            </w:r>
          </w:p>
        </w:tc>
        <w:tc>
          <w:tcPr>
            <w:tcW w:w="598" w:type="pct"/>
            <w:tcBorders>
              <w:bottom w:val="single" w:sz="4" w:space="0" w:color="auto"/>
            </w:tcBorders>
            <w:shd w:val="clear" w:color="auto" w:fill="B499B7"/>
            <w:noWrap/>
            <w:vAlign w:val="center"/>
            <w:hideMark/>
          </w:tcPr>
          <w:p w14:paraId="5245A555"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0%</w:t>
            </w:r>
          </w:p>
        </w:tc>
        <w:tc>
          <w:tcPr>
            <w:tcW w:w="598" w:type="pct"/>
            <w:tcBorders>
              <w:bottom w:val="single" w:sz="4" w:space="0" w:color="auto"/>
            </w:tcBorders>
            <w:shd w:val="clear" w:color="auto" w:fill="B499B7"/>
            <w:noWrap/>
            <w:vAlign w:val="center"/>
            <w:hideMark/>
          </w:tcPr>
          <w:p w14:paraId="54E49E7F"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w:t>
            </w:r>
          </w:p>
        </w:tc>
        <w:tc>
          <w:tcPr>
            <w:tcW w:w="598" w:type="pct"/>
            <w:tcBorders>
              <w:bottom w:val="single" w:sz="4" w:space="0" w:color="auto"/>
            </w:tcBorders>
            <w:shd w:val="clear" w:color="auto" w:fill="B499B7"/>
            <w:noWrap/>
            <w:vAlign w:val="center"/>
            <w:hideMark/>
          </w:tcPr>
          <w:p w14:paraId="61A14833"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w:t>
            </w:r>
          </w:p>
        </w:tc>
      </w:tr>
    </w:tbl>
    <w:p w14:paraId="6FF2DFD5" w14:textId="211CD58C" w:rsidR="00653D3D" w:rsidRPr="007F6332" w:rsidRDefault="00653D3D" w:rsidP="00B45B70">
      <w:pPr>
        <w:pStyle w:val="FiguresandTablesHeading5"/>
      </w:pPr>
      <w:r w:rsidRPr="007F6332">
        <w:t>Table A.2</w:t>
      </w:r>
      <w:r w:rsidR="006C6D15" w:rsidRPr="007F6332">
        <w:t>:</w:t>
      </w:r>
      <w:r w:rsidRPr="007F6332">
        <w:t xml:space="preserve"> Projection of Scheme expenses (accrual basis) – compared to the previous review</w:t>
      </w:r>
    </w:p>
    <w:tbl>
      <w:tblPr>
        <w:tblW w:w="5000" w:type="pct"/>
        <w:tblLayout w:type="fixed"/>
        <w:tblLook w:val="04A0" w:firstRow="1" w:lastRow="0" w:firstColumn="1" w:lastColumn="0" w:noHBand="0" w:noVBand="1"/>
      </w:tblPr>
      <w:tblGrid>
        <w:gridCol w:w="2545"/>
        <w:gridCol w:w="1079"/>
        <w:gridCol w:w="1079"/>
        <w:gridCol w:w="1079"/>
        <w:gridCol w:w="1078"/>
        <w:gridCol w:w="1078"/>
        <w:gridCol w:w="1078"/>
      </w:tblGrid>
      <w:tr w:rsidR="00061783" w:rsidRPr="007F6332" w14:paraId="24504860" w14:textId="77777777" w:rsidTr="00061783">
        <w:trPr>
          <w:trHeight w:val="204"/>
        </w:trPr>
        <w:tc>
          <w:tcPr>
            <w:tcW w:w="1410" w:type="pct"/>
            <w:tcBorders>
              <w:top w:val="nil"/>
              <w:left w:val="single" w:sz="4" w:space="0" w:color="auto"/>
              <w:right w:val="nil"/>
            </w:tcBorders>
            <w:shd w:val="clear" w:color="000000" w:fill="6B2976"/>
            <w:noWrap/>
            <w:vAlign w:val="center"/>
            <w:hideMark/>
          </w:tcPr>
          <w:p w14:paraId="5381E417" w14:textId="77777777" w:rsidR="00653D3D" w:rsidRPr="007F6332" w:rsidRDefault="00653D3D" w:rsidP="00FF77CD">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Projected Scheme expenses ($m)</w:t>
            </w:r>
          </w:p>
        </w:tc>
        <w:tc>
          <w:tcPr>
            <w:tcW w:w="598" w:type="pct"/>
            <w:tcBorders>
              <w:top w:val="nil"/>
              <w:left w:val="nil"/>
              <w:right w:val="nil"/>
            </w:tcBorders>
            <w:shd w:val="clear" w:color="000000" w:fill="6B2976"/>
            <w:noWrap/>
            <w:vAlign w:val="center"/>
            <w:hideMark/>
          </w:tcPr>
          <w:p w14:paraId="6FA8D80A" w14:textId="77777777" w:rsidR="00653D3D" w:rsidRPr="007F6332" w:rsidRDefault="00653D3D" w:rsidP="00FF77CD">
            <w:pPr>
              <w:spacing w:after="0" w:line="240" w:lineRule="auto"/>
              <w:ind w:right="-153"/>
              <w:jc w:val="center"/>
              <w:rPr>
                <w:rFonts w:eastAsia="Times New Roman" w:cs="Arial"/>
                <w:b/>
                <w:bCs/>
                <w:i/>
                <w:iCs/>
                <w:color w:val="FFFFFF"/>
                <w:sz w:val="20"/>
                <w:szCs w:val="20"/>
                <w:lang w:eastAsia="en-AU"/>
              </w:rPr>
            </w:pPr>
            <w:r w:rsidRPr="007F6332">
              <w:rPr>
                <w:rFonts w:eastAsia="Times New Roman" w:cs="Arial"/>
                <w:b/>
                <w:bCs/>
                <w:color w:val="FFFFFF"/>
                <w:sz w:val="20"/>
                <w:szCs w:val="20"/>
                <w:lang w:eastAsia="en-AU"/>
              </w:rPr>
              <w:t>2023-24</w:t>
            </w:r>
          </w:p>
        </w:tc>
        <w:tc>
          <w:tcPr>
            <w:tcW w:w="598" w:type="pct"/>
            <w:tcBorders>
              <w:top w:val="nil"/>
              <w:left w:val="nil"/>
              <w:right w:val="nil"/>
            </w:tcBorders>
            <w:shd w:val="clear" w:color="000000" w:fill="6B2976"/>
            <w:noWrap/>
            <w:vAlign w:val="center"/>
            <w:hideMark/>
          </w:tcPr>
          <w:p w14:paraId="04D8614A" w14:textId="77777777" w:rsidR="00653D3D" w:rsidRPr="007F6332" w:rsidRDefault="00653D3D" w:rsidP="00FF77CD">
            <w:pPr>
              <w:spacing w:after="0" w:line="240" w:lineRule="auto"/>
              <w:jc w:val="center"/>
              <w:rPr>
                <w:rFonts w:eastAsia="Times New Roman" w:cs="Arial"/>
                <w:b/>
                <w:bCs/>
                <w:i/>
                <w:iCs/>
                <w:color w:val="FFFFFF"/>
                <w:sz w:val="20"/>
                <w:szCs w:val="20"/>
                <w:lang w:eastAsia="en-AU"/>
              </w:rPr>
            </w:pPr>
            <w:r w:rsidRPr="007F6332">
              <w:rPr>
                <w:rFonts w:eastAsia="Times New Roman" w:cs="Arial"/>
                <w:b/>
                <w:bCs/>
                <w:color w:val="FFFFFF"/>
                <w:sz w:val="20"/>
                <w:szCs w:val="20"/>
                <w:lang w:eastAsia="en-AU"/>
              </w:rPr>
              <w:t>2024-25</w:t>
            </w:r>
          </w:p>
        </w:tc>
        <w:tc>
          <w:tcPr>
            <w:tcW w:w="598" w:type="pct"/>
            <w:tcBorders>
              <w:top w:val="nil"/>
              <w:left w:val="nil"/>
              <w:right w:val="nil"/>
            </w:tcBorders>
            <w:shd w:val="clear" w:color="000000" w:fill="6B2976"/>
            <w:noWrap/>
            <w:vAlign w:val="center"/>
            <w:hideMark/>
          </w:tcPr>
          <w:p w14:paraId="0FBF60E1" w14:textId="77777777" w:rsidR="00653D3D" w:rsidRPr="007F6332" w:rsidRDefault="00653D3D" w:rsidP="00FF77CD">
            <w:pPr>
              <w:spacing w:after="0" w:line="240" w:lineRule="auto"/>
              <w:jc w:val="center"/>
              <w:rPr>
                <w:rFonts w:eastAsia="Times New Roman" w:cs="Arial"/>
                <w:b/>
                <w:bCs/>
                <w:i/>
                <w:iCs/>
                <w:color w:val="FFFFFF"/>
                <w:sz w:val="20"/>
                <w:szCs w:val="20"/>
                <w:lang w:eastAsia="en-AU"/>
              </w:rPr>
            </w:pPr>
            <w:r w:rsidRPr="007F6332">
              <w:rPr>
                <w:rFonts w:eastAsia="Times New Roman" w:cs="Arial"/>
                <w:b/>
                <w:bCs/>
                <w:color w:val="FFFFFF"/>
                <w:sz w:val="20"/>
                <w:szCs w:val="20"/>
                <w:lang w:eastAsia="en-AU"/>
              </w:rPr>
              <w:t>2025-26</w:t>
            </w:r>
          </w:p>
        </w:tc>
        <w:tc>
          <w:tcPr>
            <w:tcW w:w="598" w:type="pct"/>
            <w:tcBorders>
              <w:top w:val="nil"/>
              <w:left w:val="nil"/>
              <w:right w:val="dashSmallGap" w:sz="4" w:space="0" w:color="auto"/>
            </w:tcBorders>
            <w:shd w:val="clear" w:color="000000" w:fill="6B2976"/>
            <w:noWrap/>
            <w:vAlign w:val="center"/>
            <w:hideMark/>
          </w:tcPr>
          <w:p w14:paraId="08583BCF" w14:textId="77777777" w:rsidR="00653D3D" w:rsidRPr="007F6332" w:rsidRDefault="00653D3D" w:rsidP="00FF77CD">
            <w:pPr>
              <w:spacing w:after="0" w:line="240" w:lineRule="auto"/>
              <w:jc w:val="center"/>
              <w:rPr>
                <w:rFonts w:eastAsia="Times New Roman" w:cs="Arial"/>
                <w:b/>
                <w:bCs/>
                <w:i/>
                <w:iCs/>
                <w:color w:val="FFFFFF"/>
                <w:sz w:val="20"/>
                <w:szCs w:val="20"/>
                <w:lang w:eastAsia="en-AU"/>
              </w:rPr>
            </w:pPr>
            <w:r w:rsidRPr="007F6332">
              <w:rPr>
                <w:rFonts w:eastAsia="Times New Roman" w:cs="Arial"/>
                <w:b/>
                <w:bCs/>
                <w:color w:val="FFFFFF"/>
                <w:sz w:val="20"/>
                <w:szCs w:val="20"/>
                <w:lang w:eastAsia="en-AU"/>
              </w:rPr>
              <w:t>2026-27</w:t>
            </w:r>
          </w:p>
        </w:tc>
        <w:tc>
          <w:tcPr>
            <w:tcW w:w="598" w:type="pct"/>
            <w:tcBorders>
              <w:top w:val="nil"/>
              <w:left w:val="dashSmallGap" w:sz="4" w:space="0" w:color="auto"/>
              <w:right w:val="single" w:sz="4" w:space="0" w:color="auto"/>
            </w:tcBorders>
            <w:shd w:val="clear" w:color="000000" w:fill="6B2976"/>
            <w:noWrap/>
            <w:vAlign w:val="center"/>
            <w:hideMark/>
          </w:tcPr>
          <w:p w14:paraId="49FB1453" w14:textId="77777777" w:rsidR="00653D3D" w:rsidRPr="007F6332" w:rsidRDefault="00653D3D" w:rsidP="00FF77CD">
            <w:pPr>
              <w:spacing w:after="0" w:line="240" w:lineRule="auto"/>
              <w:jc w:val="center"/>
              <w:rPr>
                <w:rFonts w:eastAsia="Times New Roman" w:cs="Arial"/>
                <w:b/>
                <w:bCs/>
                <w:i/>
                <w:iCs/>
                <w:color w:val="FFFFFF"/>
                <w:sz w:val="20"/>
                <w:szCs w:val="20"/>
                <w:lang w:eastAsia="en-AU"/>
              </w:rPr>
            </w:pPr>
            <w:r w:rsidRPr="007F6332">
              <w:rPr>
                <w:rFonts w:eastAsia="Times New Roman" w:cs="Arial"/>
                <w:b/>
                <w:bCs/>
                <w:color w:val="FFFFFF"/>
                <w:sz w:val="20"/>
                <w:szCs w:val="20"/>
                <w:lang w:eastAsia="en-AU"/>
              </w:rPr>
              <w:t>2032-33</w:t>
            </w:r>
          </w:p>
        </w:tc>
        <w:tc>
          <w:tcPr>
            <w:tcW w:w="598" w:type="pct"/>
            <w:tcBorders>
              <w:top w:val="nil"/>
              <w:left w:val="single" w:sz="4" w:space="0" w:color="auto"/>
              <w:right w:val="single" w:sz="4" w:space="0" w:color="auto"/>
            </w:tcBorders>
            <w:shd w:val="clear" w:color="000000" w:fill="6B2976"/>
            <w:noWrap/>
            <w:vAlign w:val="center"/>
            <w:hideMark/>
          </w:tcPr>
          <w:p w14:paraId="40477E2F" w14:textId="77777777" w:rsidR="00653D3D" w:rsidRPr="007F6332" w:rsidRDefault="00653D3D" w:rsidP="00FF77CD">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Total</w:t>
            </w:r>
          </w:p>
          <w:p w14:paraId="11C0963C" w14:textId="77777777" w:rsidR="00653D3D" w:rsidRPr="007F6332" w:rsidRDefault="00653D3D" w:rsidP="00FF77CD">
            <w:pPr>
              <w:spacing w:after="0" w:line="240" w:lineRule="auto"/>
              <w:jc w:val="center"/>
              <w:rPr>
                <w:rFonts w:eastAsia="Times New Roman" w:cs="Arial"/>
                <w:b/>
                <w:bCs/>
                <w:i/>
                <w:iCs/>
                <w:color w:val="FFFFFF"/>
                <w:sz w:val="20"/>
                <w:szCs w:val="20"/>
                <w:lang w:eastAsia="en-AU"/>
              </w:rPr>
            </w:pPr>
            <w:r w:rsidRPr="007F6332">
              <w:rPr>
                <w:rFonts w:eastAsia="Times New Roman" w:cs="Arial"/>
                <w:b/>
                <w:bCs/>
                <w:color w:val="FFFFFF"/>
                <w:sz w:val="20"/>
                <w:szCs w:val="20"/>
                <w:lang w:eastAsia="en-AU"/>
              </w:rPr>
              <w:t>2023-27</w:t>
            </w:r>
          </w:p>
        </w:tc>
      </w:tr>
      <w:tr w:rsidR="00061783" w:rsidRPr="007F6332" w14:paraId="4CDFD006" w14:textId="77777777" w:rsidTr="00061783">
        <w:trPr>
          <w:trHeight w:val="204"/>
        </w:trPr>
        <w:tc>
          <w:tcPr>
            <w:tcW w:w="1410" w:type="pct"/>
            <w:tcBorders>
              <w:top w:val="nil"/>
              <w:bottom w:val="nil"/>
            </w:tcBorders>
            <w:shd w:val="clear" w:color="auto" w:fill="BFBFBF" w:themeFill="background1" w:themeFillShade="BF"/>
            <w:noWrap/>
            <w:vAlign w:val="center"/>
            <w:hideMark/>
          </w:tcPr>
          <w:p w14:paraId="7D0EEA34" w14:textId="1068F176" w:rsidR="00653D3D" w:rsidRPr="007F6332" w:rsidRDefault="003757C9" w:rsidP="00903FA7">
            <w:pPr>
              <w:spacing w:after="0" w:line="240" w:lineRule="auto"/>
              <w:ind w:right="-117"/>
              <w:rPr>
                <w:rFonts w:eastAsia="Times New Roman" w:cs="Arial"/>
                <w:color w:val="000000"/>
                <w:sz w:val="20"/>
                <w:szCs w:val="20"/>
                <w:lang w:eastAsia="en-AU"/>
              </w:rPr>
            </w:pPr>
            <w:r w:rsidRPr="007F6332">
              <w:rPr>
                <w:rFonts w:eastAsia="Times New Roman" w:cs="Arial"/>
                <w:b/>
                <w:bCs/>
                <w:color w:val="000000"/>
                <w:sz w:val="20"/>
                <w:szCs w:val="20"/>
                <w:lang w:eastAsia="en-AU"/>
              </w:rPr>
              <w:t xml:space="preserve">June 2023 projections </w:t>
            </w:r>
            <w:r w:rsidR="00EF740A" w:rsidRPr="007F6332">
              <w:rPr>
                <w:rFonts w:eastAsia="Times New Roman" w:cs="Arial"/>
                <w:color w:val="000000"/>
                <w:sz w:val="20"/>
                <w:szCs w:val="20"/>
                <w:lang w:eastAsia="en-AU"/>
              </w:rPr>
              <w:t xml:space="preserve">(accrual basis) </w:t>
            </w:r>
            <w:r w:rsidR="00653D3D" w:rsidRPr="007F6332">
              <w:rPr>
                <w:rFonts w:eastAsia="Times New Roman" w:cs="Arial"/>
                <w:color w:val="000000"/>
                <w:sz w:val="20"/>
                <w:szCs w:val="20"/>
                <w:lang w:eastAsia="en-AU"/>
              </w:rPr>
              <w:t>0-64 years</w:t>
            </w:r>
          </w:p>
        </w:tc>
        <w:tc>
          <w:tcPr>
            <w:tcW w:w="598" w:type="pct"/>
            <w:tcBorders>
              <w:top w:val="nil"/>
              <w:bottom w:val="nil"/>
            </w:tcBorders>
            <w:shd w:val="clear" w:color="auto" w:fill="BFBFBF" w:themeFill="background1" w:themeFillShade="BF"/>
            <w:noWrap/>
            <w:vAlign w:val="center"/>
            <w:hideMark/>
          </w:tcPr>
          <w:p w14:paraId="403BCBE5"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37,635</w:t>
            </w:r>
          </w:p>
        </w:tc>
        <w:tc>
          <w:tcPr>
            <w:tcW w:w="598" w:type="pct"/>
            <w:tcBorders>
              <w:top w:val="nil"/>
              <w:bottom w:val="nil"/>
            </w:tcBorders>
            <w:shd w:val="clear" w:color="auto" w:fill="BFBFBF" w:themeFill="background1" w:themeFillShade="BF"/>
            <w:noWrap/>
            <w:vAlign w:val="center"/>
            <w:hideMark/>
          </w:tcPr>
          <w:p w14:paraId="5109E58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41,678</w:t>
            </w:r>
          </w:p>
        </w:tc>
        <w:tc>
          <w:tcPr>
            <w:tcW w:w="598" w:type="pct"/>
            <w:tcBorders>
              <w:top w:val="nil"/>
              <w:bottom w:val="nil"/>
            </w:tcBorders>
            <w:shd w:val="clear" w:color="auto" w:fill="BFBFBF" w:themeFill="background1" w:themeFillShade="BF"/>
            <w:noWrap/>
            <w:vAlign w:val="center"/>
            <w:hideMark/>
          </w:tcPr>
          <w:p w14:paraId="03B78E5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45,133</w:t>
            </w:r>
          </w:p>
        </w:tc>
        <w:tc>
          <w:tcPr>
            <w:tcW w:w="598" w:type="pct"/>
            <w:tcBorders>
              <w:top w:val="nil"/>
              <w:bottom w:val="nil"/>
              <w:right w:val="dashSmallGap" w:sz="4" w:space="0" w:color="auto"/>
            </w:tcBorders>
            <w:shd w:val="clear" w:color="auto" w:fill="BFBFBF" w:themeFill="background1" w:themeFillShade="BF"/>
            <w:noWrap/>
            <w:vAlign w:val="center"/>
            <w:hideMark/>
          </w:tcPr>
          <w:p w14:paraId="33DC63B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48,553</w:t>
            </w:r>
          </w:p>
        </w:tc>
        <w:tc>
          <w:tcPr>
            <w:tcW w:w="598" w:type="pct"/>
            <w:tcBorders>
              <w:top w:val="nil"/>
              <w:left w:val="dashSmallGap" w:sz="4" w:space="0" w:color="auto"/>
              <w:bottom w:val="nil"/>
              <w:right w:val="single" w:sz="4" w:space="0" w:color="auto"/>
            </w:tcBorders>
            <w:shd w:val="clear" w:color="auto" w:fill="BFBFBF" w:themeFill="background1" w:themeFillShade="BF"/>
            <w:noWrap/>
            <w:vAlign w:val="center"/>
            <w:hideMark/>
          </w:tcPr>
          <w:p w14:paraId="28EA419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78,865</w:t>
            </w:r>
          </w:p>
        </w:tc>
        <w:tc>
          <w:tcPr>
            <w:tcW w:w="598" w:type="pct"/>
            <w:tcBorders>
              <w:top w:val="nil"/>
              <w:left w:val="single" w:sz="4" w:space="0" w:color="auto"/>
              <w:bottom w:val="nil"/>
            </w:tcBorders>
            <w:shd w:val="clear" w:color="auto" w:fill="BFBFBF" w:themeFill="background1" w:themeFillShade="BF"/>
            <w:noWrap/>
            <w:vAlign w:val="center"/>
            <w:hideMark/>
          </w:tcPr>
          <w:p w14:paraId="3DE31D1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172,999</w:t>
            </w:r>
          </w:p>
        </w:tc>
      </w:tr>
      <w:tr w:rsidR="00061783" w:rsidRPr="007F6332" w14:paraId="3E0A18E5" w14:textId="77777777" w:rsidTr="00061783">
        <w:trPr>
          <w:trHeight w:val="204"/>
        </w:trPr>
        <w:tc>
          <w:tcPr>
            <w:tcW w:w="1410" w:type="pct"/>
            <w:tcBorders>
              <w:top w:val="nil"/>
            </w:tcBorders>
            <w:shd w:val="clear" w:color="auto" w:fill="auto"/>
            <w:noWrap/>
            <w:vAlign w:val="center"/>
            <w:hideMark/>
          </w:tcPr>
          <w:p w14:paraId="413C59C2" w14:textId="048D5C66" w:rsidR="00653D3D" w:rsidRPr="007F6332" w:rsidRDefault="00EF740A" w:rsidP="00903FA7">
            <w:pPr>
              <w:spacing w:after="0" w:line="240" w:lineRule="auto"/>
              <w:ind w:right="-117"/>
              <w:rPr>
                <w:rFonts w:eastAsia="Times New Roman" w:cs="Arial"/>
                <w:color w:val="000000"/>
                <w:sz w:val="20"/>
                <w:szCs w:val="20"/>
                <w:lang w:eastAsia="en-AU"/>
              </w:rPr>
            </w:pPr>
            <w:r w:rsidRPr="007F6332">
              <w:rPr>
                <w:rFonts w:eastAsia="Times New Roman" w:cs="Arial"/>
                <w:b/>
                <w:bCs/>
                <w:color w:val="000000"/>
                <w:sz w:val="20"/>
                <w:szCs w:val="20"/>
                <w:lang w:eastAsia="en-AU"/>
              </w:rPr>
              <w:t xml:space="preserve">June 2023 projections </w:t>
            </w:r>
            <w:r w:rsidRPr="007F6332">
              <w:rPr>
                <w:rFonts w:eastAsia="Times New Roman" w:cs="Arial"/>
                <w:color w:val="000000"/>
                <w:sz w:val="20"/>
                <w:szCs w:val="20"/>
                <w:lang w:eastAsia="en-AU"/>
              </w:rPr>
              <w:t>(accrual basis</w:t>
            </w:r>
            <w:r w:rsidR="009B7072" w:rsidRPr="007F6332">
              <w:rPr>
                <w:rFonts w:eastAsia="Times New Roman" w:cs="Arial"/>
                <w:color w:val="000000"/>
                <w:sz w:val="20"/>
                <w:szCs w:val="20"/>
                <w:lang w:eastAsia="en-AU"/>
              </w:rPr>
              <w:t>)</w:t>
            </w:r>
            <w:r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65+ years</w:t>
            </w:r>
          </w:p>
        </w:tc>
        <w:tc>
          <w:tcPr>
            <w:tcW w:w="598" w:type="pct"/>
            <w:tcBorders>
              <w:top w:val="nil"/>
            </w:tcBorders>
            <w:shd w:val="clear" w:color="auto" w:fill="auto"/>
            <w:noWrap/>
            <w:vAlign w:val="center"/>
            <w:hideMark/>
          </w:tcPr>
          <w:p w14:paraId="434C50AD"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3,725</w:t>
            </w:r>
          </w:p>
        </w:tc>
        <w:tc>
          <w:tcPr>
            <w:tcW w:w="598" w:type="pct"/>
            <w:tcBorders>
              <w:top w:val="nil"/>
            </w:tcBorders>
            <w:shd w:val="clear" w:color="auto" w:fill="auto"/>
            <w:noWrap/>
            <w:vAlign w:val="center"/>
            <w:hideMark/>
          </w:tcPr>
          <w:p w14:paraId="61BFD79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4,698</w:t>
            </w:r>
          </w:p>
        </w:tc>
        <w:tc>
          <w:tcPr>
            <w:tcW w:w="598" w:type="pct"/>
            <w:tcBorders>
              <w:top w:val="nil"/>
            </w:tcBorders>
            <w:shd w:val="clear" w:color="auto" w:fill="auto"/>
            <w:noWrap/>
            <w:vAlign w:val="center"/>
            <w:hideMark/>
          </w:tcPr>
          <w:p w14:paraId="17BE6E0F"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5,655</w:t>
            </w:r>
          </w:p>
        </w:tc>
        <w:tc>
          <w:tcPr>
            <w:tcW w:w="598" w:type="pct"/>
            <w:tcBorders>
              <w:top w:val="nil"/>
              <w:right w:val="dashSmallGap" w:sz="4" w:space="0" w:color="auto"/>
            </w:tcBorders>
            <w:shd w:val="clear" w:color="auto" w:fill="auto"/>
            <w:noWrap/>
            <w:vAlign w:val="center"/>
            <w:hideMark/>
          </w:tcPr>
          <w:p w14:paraId="7F9103BF"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6,655</w:t>
            </w:r>
          </w:p>
        </w:tc>
        <w:tc>
          <w:tcPr>
            <w:tcW w:w="598" w:type="pct"/>
            <w:tcBorders>
              <w:top w:val="nil"/>
              <w:left w:val="dashSmallGap" w:sz="4" w:space="0" w:color="auto"/>
              <w:right w:val="single" w:sz="4" w:space="0" w:color="auto"/>
            </w:tcBorders>
            <w:shd w:val="clear" w:color="auto" w:fill="auto"/>
            <w:noWrap/>
            <w:vAlign w:val="center"/>
            <w:hideMark/>
          </w:tcPr>
          <w:p w14:paraId="7949AF7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13,476</w:t>
            </w:r>
          </w:p>
        </w:tc>
        <w:tc>
          <w:tcPr>
            <w:tcW w:w="598" w:type="pct"/>
            <w:tcBorders>
              <w:top w:val="nil"/>
              <w:left w:val="single" w:sz="4" w:space="0" w:color="auto"/>
            </w:tcBorders>
            <w:shd w:val="clear" w:color="auto" w:fill="auto"/>
            <w:noWrap/>
            <w:vAlign w:val="center"/>
            <w:hideMark/>
          </w:tcPr>
          <w:p w14:paraId="1ADD7CD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20,732</w:t>
            </w:r>
          </w:p>
        </w:tc>
      </w:tr>
      <w:tr w:rsidR="00061783" w:rsidRPr="007F6332" w14:paraId="57B715A3" w14:textId="77777777" w:rsidTr="00061783">
        <w:trPr>
          <w:trHeight w:val="204"/>
        </w:trPr>
        <w:tc>
          <w:tcPr>
            <w:tcW w:w="1410" w:type="pct"/>
            <w:shd w:val="clear" w:color="auto" w:fill="B499B7"/>
            <w:noWrap/>
            <w:vAlign w:val="center"/>
            <w:hideMark/>
          </w:tcPr>
          <w:p w14:paraId="2469E129" w14:textId="2F1DF798"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 (accrual basis)</w:t>
            </w:r>
          </w:p>
        </w:tc>
        <w:tc>
          <w:tcPr>
            <w:tcW w:w="598" w:type="pct"/>
            <w:shd w:val="clear" w:color="auto" w:fill="B499B7"/>
            <w:noWrap/>
            <w:vAlign w:val="center"/>
            <w:hideMark/>
          </w:tcPr>
          <w:p w14:paraId="0CEF9ED1"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41,360</w:t>
            </w:r>
          </w:p>
        </w:tc>
        <w:tc>
          <w:tcPr>
            <w:tcW w:w="598" w:type="pct"/>
            <w:shd w:val="clear" w:color="auto" w:fill="B499B7"/>
            <w:noWrap/>
            <w:vAlign w:val="center"/>
            <w:hideMark/>
          </w:tcPr>
          <w:p w14:paraId="5FAC5EE3"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46,376</w:t>
            </w:r>
          </w:p>
        </w:tc>
        <w:tc>
          <w:tcPr>
            <w:tcW w:w="598" w:type="pct"/>
            <w:shd w:val="clear" w:color="auto" w:fill="B499B7"/>
            <w:noWrap/>
            <w:vAlign w:val="center"/>
            <w:hideMark/>
          </w:tcPr>
          <w:p w14:paraId="72C115AF"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50,788</w:t>
            </w:r>
          </w:p>
        </w:tc>
        <w:tc>
          <w:tcPr>
            <w:tcW w:w="598" w:type="pct"/>
            <w:tcBorders>
              <w:right w:val="dashSmallGap" w:sz="4" w:space="0" w:color="auto"/>
            </w:tcBorders>
            <w:shd w:val="clear" w:color="auto" w:fill="B499B7"/>
            <w:noWrap/>
            <w:vAlign w:val="center"/>
            <w:hideMark/>
          </w:tcPr>
          <w:p w14:paraId="7469D800"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55,207</w:t>
            </w:r>
          </w:p>
        </w:tc>
        <w:tc>
          <w:tcPr>
            <w:tcW w:w="598" w:type="pct"/>
            <w:tcBorders>
              <w:left w:val="dashSmallGap" w:sz="4" w:space="0" w:color="auto"/>
              <w:right w:val="single" w:sz="4" w:space="0" w:color="auto"/>
            </w:tcBorders>
            <w:shd w:val="clear" w:color="auto" w:fill="B499B7"/>
            <w:noWrap/>
            <w:vAlign w:val="center"/>
            <w:hideMark/>
          </w:tcPr>
          <w:p w14:paraId="1B907AE7"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92,341</w:t>
            </w:r>
          </w:p>
        </w:tc>
        <w:tc>
          <w:tcPr>
            <w:tcW w:w="598" w:type="pct"/>
            <w:tcBorders>
              <w:left w:val="single" w:sz="4" w:space="0" w:color="auto"/>
            </w:tcBorders>
            <w:shd w:val="clear" w:color="auto" w:fill="B499B7"/>
            <w:noWrap/>
            <w:vAlign w:val="center"/>
            <w:hideMark/>
          </w:tcPr>
          <w:p w14:paraId="10C7AFFC"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193,731</w:t>
            </w:r>
          </w:p>
        </w:tc>
      </w:tr>
      <w:tr w:rsidR="00061783" w:rsidRPr="007F6332" w14:paraId="2F4B773E" w14:textId="77777777" w:rsidTr="00061783">
        <w:trPr>
          <w:trHeight w:val="204"/>
        </w:trPr>
        <w:tc>
          <w:tcPr>
            <w:tcW w:w="1410" w:type="pct"/>
            <w:tcBorders>
              <w:top w:val="nil"/>
              <w:bottom w:val="nil"/>
            </w:tcBorders>
            <w:shd w:val="clear" w:color="auto" w:fill="BFBFBF" w:themeFill="background1" w:themeFillShade="BF"/>
            <w:noWrap/>
            <w:vAlign w:val="center"/>
            <w:hideMark/>
          </w:tcPr>
          <w:p w14:paraId="340DF6A3" w14:textId="1807F3ED" w:rsidR="00653D3D" w:rsidRPr="007F6332" w:rsidRDefault="00653D3D" w:rsidP="009B7072">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 xml:space="preserve"> </w:t>
            </w:r>
            <w:r w:rsidR="00FF4F93" w:rsidRPr="007F6332">
              <w:rPr>
                <w:rFonts w:eastAsia="Times New Roman" w:cs="Arial"/>
                <w:b/>
                <w:bCs/>
                <w:color w:val="000000"/>
                <w:sz w:val="20"/>
                <w:szCs w:val="20"/>
                <w:lang w:eastAsia="en-AU"/>
              </w:rPr>
              <w:t>June 2022 projections</w:t>
            </w:r>
            <w:r w:rsidR="00FF4F93" w:rsidRPr="007F6332">
              <w:rPr>
                <w:rFonts w:eastAsia="Times New Roman" w:cs="Arial"/>
                <w:color w:val="000000"/>
                <w:sz w:val="20"/>
                <w:szCs w:val="20"/>
                <w:lang w:eastAsia="en-AU"/>
              </w:rPr>
              <w:t xml:space="preserve"> (accrual basis)</w:t>
            </w:r>
            <w:r w:rsidR="009B7072" w:rsidRPr="007F6332">
              <w:rPr>
                <w:rFonts w:eastAsia="Times New Roman" w:cs="Arial"/>
                <w:color w:val="000000"/>
                <w:sz w:val="20"/>
                <w:szCs w:val="20"/>
                <w:lang w:eastAsia="en-AU"/>
              </w:rPr>
              <w:t xml:space="preserve"> </w:t>
            </w:r>
            <w:r w:rsidRPr="007F6332">
              <w:rPr>
                <w:rFonts w:eastAsia="Times New Roman" w:cs="Arial"/>
                <w:color w:val="000000"/>
                <w:sz w:val="20"/>
                <w:szCs w:val="20"/>
                <w:lang w:eastAsia="en-AU"/>
              </w:rPr>
              <w:t>0-64 years</w:t>
            </w:r>
          </w:p>
        </w:tc>
        <w:tc>
          <w:tcPr>
            <w:tcW w:w="598" w:type="pct"/>
            <w:tcBorders>
              <w:top w:val="nil"/>
              <w:bottom w:val="nil"/>
            </w:tcBorders>
            <w:shd w:val="clear" w:color="auto" w:fill="BFBFBF" w:themeFill="background1" w:themeFillShade="BF"/>
            <w:noWrap/>
            <w:vAlign w:val="center"/>
            <w:hideMark/>
          </w:tcPr>
          <w:p w14:paraId="16BBAD2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34,874</w:t>
            </w:r>
          </w:p>
        </w:tc>
        <w:tc>
          <w:tcPr>
            <w:tcW w:w="598" w:type="pct"/>
            <w:tcBorders>
              <w:top w:val="nil"/>
              <w:bottom w:val="nil"/>
            </w:tcBorders>
            <w:shd w:val="clear" w:color="auto" w:fill="BFBFBF" w:themeFill="background1" w:themeFillShade="BF"/>
            <w:noWrap/>
            <w:vAlign w:val="center"/>
            <w:hideMark/>
          </w:tcPr>
          <w:p w14:paraId="38EE4DCB"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39,955</w:t>
            </w:r>
          </w:p>
        </w:tc>
        <w:tc>
          <w:tcPr>
            <w:tcW w:w="598" w:type="pct"/>
            <w:tcBorders>
              <w:top w:val="nil"/>
              <w:bottom w:val="nil"/>
            </w:tcBorders>
            <w:shd w:val="clear" w:color="auto" w:fill="BFBFBF" w:themeFill="background1" w:themeFillShade="BF"/>
            <w:noWrap/>
            <w:vAlign w:val="center"/>
            <w:hideMark/>
          </w:tcPr>
          <w:p w14:paraId="292B270F"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45,187</w:t>
            </w:r>
          </w:p>
        </w:tc>
        <w:tc>
          <w:tcPr>
            <w:tcW w:w="598" w:type="pct"/>
            <w:tcBorders>
              <w:top w:val="nil"/>
              <w:bottom w:val="nil"/>
              <w:right w:val="dashSmallGap" w:sz="4" w:space="0" w:color="auto"/>
            </w:tcBorders>
            <w:shd w:val="clear" w:color="auto" w:fill="BFBFBF" w:themeFill="background1" w:themeFillShade="BF"/>
            <w:noWrap/>
            <w:vAlign w:val="center"/>
            <w:hideMark/>
          </w:tcPr>
          <w:p w14:paraId="77863AC5"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49,419</w:t>
            </w:r>
          </w:p>
        </w:tc>
        <w:tc>
          <w:tcPr>
            <w:tcW w:w="598" w:type="pct"/>
            <w:tcBorders>
              <w:top w:val="nil"/>
              <w:left w:val="dashSmallGap" w:sz="4" w:space="0" w:color="auto"/>
              <w:bottom w:val="nil"/>
              <w:right w:val="single" w:sz="4" w:space="0" w:color="auto"/>
            </w:tcBorders>
            <w:shd w:val="clear" w:color="auto" w:fill="BFBFBF" w:themeFill="background1" w:themeFillShade="BF"/>
            <w:noWrap/>
            <w:vAlign w:val="center"/>
            <w:hideMark/>
          </w:tcPr>
          <w:p w14:paraId="73898CF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84,297</w:t>
            </w:r>
          </w:p>
        </w:tc>
        <w:tc>
          <w:tcPr>
            <w:tcW w:w="598" w:type="pct"/>
            <w:tcBorders>
              <w:top w:val="nil"/>
              <w:left w:val="single" w:sz="4" w:space="0" w:color="auto"/>
              <w:bottom w:val="nil"/>
            </w:tcBorders>
            <w:shd w:val="clear" w:color="auto" w:fill="BFBFBF" w:themeFill="background1" w:themeFillShade="BF"/>
            <w:noWrap/>
            <w:vAlign w:val="center"/>
            <w:hideMark/>
          </w:tcPr>
          <w:p w14:paraId="7EF244EF"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169,435</w:t>
            </w:r>
          </w:p>
        </w:tc>
      </w:tr>
      <w:tr w:rsidR="00061783" w:rsidRPr="007F6332" w14:paraId="564D5DC3" w14:textId="77777777" w:rsidTr="00061783">
        <w:trPr>
          <w:trHeight w:val="204"/>
        </w:trPr>
        <w:tc>
          <w:tcPr>
            <w:tcW w:w="1410" w:type="pct"/>
            <w:tcBorders>
              <w:top w:val="nil"/>
            </w:tcBorders>
            <w:shd w:val="clear" w:color="auto" w:fill="auto"/>
            <w:noWrap/>
            <w:vAlign w:val="center"/>
            <w:hideMark/>
          </w:tcPr>
          <w:p w14:paraId="7D2A4715" w14:textId="62D63088" w:rsidR="00653D3D" w:rsidRPr="007F6332" w:rsidRDefault="00FF4F93"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June 2022 projections</w:t>
            </w:r>
            <w:r w:rsidRPr="007F6332">
              <w:rPr>
                <w:rFonts w:eastAsia="Times New Roman" w:cs="Arial"/>
                <w:color w:val="000000"/>
                <w:sz w:val="20"/>
                <w:szCs w:val="20"/>
                <w:lang w:eastAsia="en-AU"/>
              </w:rPr>
              <w:t xml:space="preserve"> (accrual basis)</w:t>
            </w:r>
            <w:r w:rsidR="009B7072" w:rsidRPr="007F6332">
              <w:rPr>
                <w:rFonts w:eastAsia="Times New Roman" w:cs="Arial"/>
                <w:color w:val="000000"/>
                <w:sz w:val="20"/>
                <w:szCs w:val="20"/>
                <w:lang w:eastAsia="en-AU"/>
              </w:rPr>
              <w:t xml:space="preserve"> </w:t>
            </w:r>
            <w:r w:rsidR="00653D3D" w:rsidRPr="007F6332">
              <w:rPr>
                <w:rFonts w:eastAsia="Times New Roman" w:cs="Arial"/>
                <w:color w:val="000000"/>
                <w:sz w:val="20"/>
                <w:szCs w:val="20"/>
                <w:lang w:eastAsia="en-AU"/>
              </w:rPr>
              <w:t>65+ years</w:t>
            </w:r>
          </w:p>
        </w:tc>
        <w:tc>
          <w:tcPr>
            <w:tcW w:w="598" w:type="pct"/>
            <w:tcBorders>
              <w:top w:val="nil"/>
            </w:tcBorders>
            <w:shd w:val="clear" w:color="auto" w:fill="auto"/>
            <w:noWrap/>
            <w:vAlign w:val="center"/>
            <w:hideMark/>
          </w:tcPr>
          <w:p w14:paraId="59F5EE5B"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3,259</w:t>
            </w:r>
          </w:p>
        </w:tc>
        <w:tc>
          <w:tcPr>
            <w:tcW w:w="598" w:type="pct"/>
            <w:tcBorders>
              <w:top w:val="nil"/>
            </w:tcBorders>
            <w:shd w:val="clear" w:color="auto" w:fill="auto"/>
            <w:noWrap/>
            <w:vAlign w:val="center"/>
            <w:hideMark/>
          </w:tcPr>
          <w:p w14:paraId="4AC6117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4,160</w:t>
            </w:r>
          </w:p>
        </w:tc>
        <w:tc>
          <w:tcPr>
            <w:tcW w:w="598" w:type="pct"/>
            <w:tcBorders>
              <w:top w:val="nil"/>
            </w:tcBorders>
            <w:shd w:val="clear" w:color="auto" w:fill="auto"/>
            <w:noWrap/>
            <w:vAlign w:val="center"/>
            <w:hideMark/>
          </w:tcPr>
          <w:p w14:paraId="2B98FE7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5,157</w:t>
            </w:r>
          </w:p>
        </w:tc>
        <w:tc>
          <w:tcPr>
            <w:tcW w:w="598" w:type="pct"/>
            <w:tcBorders>
              <w:top w:val="nil"/>
              <w:right w:val="dashSmallGap" w:sz="4" w:space="0" w:color="auto"/>
            </w:tcBorders>
            <w:shd w:val="clear" w:color="auto" w:fill="auto"/>
            <w:noWrap/>
            <w:vAlign w:val="center"/>
            <w:hideMark/>
          </w:tcPr>
          <w:p w14:paraId="2766D4D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6,091</w:t>
            </w:r>
          </w:p>
        </w:tc>
        <w:tc>
          <w:tcPr>
            <w:tcW w:w="598" w:type="pct"/>
            <w:tcBorders>
              <w:top w:val="nil"/>
              <w:left w:val="dashSmallGap" w:sz="4" w:space="0" w:color="auto"/>
              <w:right w:val="single" w:sz="4" w:space="0" w:color="auto"/>
            </w:tcBorders>
            <w:shd w:val="clear" w:color="auto" w:fill="auto"/>
            <w:noWrap/>
            <w:vAlign w:val="center"/>
            <w:hideMark/>
          </w:tcPr>
          <w:p w14:paraId="2F007CD3"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12,668</w:t>
            </w:r>
          </w:p>
        </w:tc>
        <w:tc>
          <w:tcPr>
            <w:tcW w:w="598" w:type="pct"/>
            <w:tcBorders>
              <w:top w:val="nil"/>
              <w:left w:val="single" w:sz="4" w:space="0" w:color="auto"/>
            </w:tcBorders>
            <w:shd w:val="clear" w:color="auto" w:fill="auto"/>
            <w:noWrap/>
            <w:vAlign w:val="center"/>
            <w:hideMark/>
          </w:tcPr>
          <w:p w14:paraId="40C1650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18,667</w:t>
            </w:r>
          </w:p>
        </w:tc>
      </w:tr>
      <w:tr w:rsidR="00061783" w:rsidRPr="007F6332" w14:paraId="033635E6" w14:textId="77777777" w:rsidTr="00061783">
        <w:trPr>
          <w:trHeight w:val="95"/>
        </w:trPr>
        <w:tc>
          <w:tcPr>
            <w:tcW w:w="1410" w:type="pct"/>
            <w:shd w:val="clear" w:color="auto" w:fill="B499B7"/>
            <w:noWrap/>
            <w:vAlign w:val="center"/>
            <w:hideMark/>
          </w:tcPr>
          <w:p w14:paraId="7112DFB9" w14:textId="39708328"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 (accrual basis)</w:t>
            </w:r>
          </w:p>
        </w:tc>
        <w:tc>
          <w:tcPr>
            <w:tcW w:w="598" w:type="pct"/>
            <w:shd w:val="clear" w:color="auto" w:fill="B499B7"/>
            <w:noWrap/>
            <w:vAlign w:val="center"/>
            <w:hideMark/>
          </w:tcPr>
          <w:p w14:paraId="7C1DACE5"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38,133</w:t>
            </w:r>
          </w:p>
        </w:tc>
        <w:tc>
          <w:tcPr>
            <w:tcW w:w="598" w:type="pct"/>
            <w:shd w:val="clear" w:color="auto" w:fill="B499B7"/>
            <w:noWrap/>
            <w:vAlign w:val="center"/>
            <w:hideMark/>
          </w:tcPr>
          <w:p w14:paraId="197ED497"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44,116</w:t>
            </w:r>
          </w:p>
        </w:tc>
        <w:tc>
          <w:tcPr>
            <w:tcW w:w="598" w:type="pct"/>
            <w:shd w:val="clear" w:color="auto" w:fill="B499B7"/>
            <w:noWrap/>
            <w:vAlign w:val="center"/>
            <w:hideMark/>
          </w:tcPr>
          <w:p w14:paraId="31AE6106"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50,344</w:t>
            </w:r>
          </w:p>
        </w:tc>
        <w:tc>
          <w:tcPr>
            <w:tcW w:w="598" w:type="pct"/>
            <w:tcBorders>
              <w:right w:val="dashSmallGap" w:sz="4" w:space="0" w:color="auto"/>
            </w:tcBorders>
            <w:shd w:val="clear" w:color="auto" w:fill="B499B7"/>
            <w:noWrap/>
            <w:vAlign w:val="center"/>
            <w:hideMark/>
          </w:tcPr>
          <w:p w14:paraId="09CCF78D"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55,510</w:t>
            </w:r>
          </w:p>
        </w:tc>
        <w:tc>
          <w:tcPr>
            <w:tcW w:w="598" w:type="pct"/>
            <w:tcBorders>
              <w:left w:val="dashSmallGap" w:sz="4" w:space="0" w:color="auto"/>
              <w:right w:val="single" w:sz="4" w:space="0" w:color="auto"/>
            </w:tcBorders>
            <w:shd w:val="clear" w:color="auto" w:fill="B499B7"/>
            <w:noWrap/>
            <w:vAlign w:val="center"/>
            <w:hideMark/>
          </w:tcPr>
          <w:p w14:paraId="1741A3EF"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96,966</w:t>
            </w:r>
          </w:p>
        </w:tc>
        <w:tc>
          <w:tcPr>
            <w:tcW w:w="598" w:type="pct"/>
            <w:tcBorders>
              <w:left w:val="single" w:sz="4" w:space="0" w:color="auto"/>
            </w:tcBorders>
            <w:shd w:val="clear" w:color="auto" w:fill="B499B7"/>
            <w:noWrap/>
            <w:vAlign w:val="center"/>
            <w:hideMark/>
          </w:tcPr>
          <w:p w14:paraId="4C3AB4C8"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188,103</w:t>
            </w:r>
          </w:p>
        </w:tc>
      </w:tr>
      <w:tr w:rsidR="00061783" w:rsidRPr="007F6332" w14:paraId="14004031" w14:textId="77777777" w:rsidTr="00061783">
        <w:trPr>
          <w:trHeight w:val="204"/>
        </w:trPr>
        <w:tc>
          <w:tcPr>
            <w:tcW w:w="1410" w:type="pct"/>
            <w:tcBorders>
              <w:top w:val="nil"/>
              <w:bottom w:val="nil"/>
            </w:tcBorders>
            <w:shd w:val="clear" w:color="auto" w:fill="BFBFBF" w:themeFill="background1" w:themeFillShade="BF"/>
            <w:noWrap/>
            <w:vAlign w:val="center"/>
            <w:hideMark/>
          </w:tcPr>
          <w:p w14:paraId="51BE78D8" w14:textId="042578CF" w:rsidR="00653D3D" w:rsidRPr="007F6332" w:rsidRDefault="00653D3D"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Difference</w:t>
            </w:r>
            <w:r w:rsidRPr="007F6332">
              <w:rPr>
                <w:rFonts w:eastAsia="Times New Roman" w:cs="Arial"/>
                <w:color w:val="000000"/>
                <w:sz w:val="20"/>
                <w:szCs w:val="20"/>
                <w:lang w:eastAsia="en-AU"/>
              </w:rPr>
              <w:t xml:space="preserve"> (accrual basis)</w:t>
            </w:r>
            <w:r w:rsidR="00FF4F93" w:rsidRPr="007F6332">
              <w:rPr>
                <w:rFonts w:eastAsia="Times New Roman" w:cs="Arial"/>
                <w:color w:val="000000"/>
                <w:sz w:val="20"/>
                <w:szCs w:val="20"/>
                <w:lang w:eastAsia="en-AU"/>
              </w:rPr>
              <w:t xml:space="preserve"> 0</w:t>
            </w:r>
            <w:r w:rsidR="009B7072" w:rsidRPr="007F6332">
              <w:rPr>
                <w:rFonts w:eastAsia="Times New Roman" w:cs="Arial"/>
                <w:color w:val="000000"/>
                <w:sz w:val="20"/>
                <w:szCs w:val="20"/>
                <w:lang w:eastAsia="en-AU"/>
              </w:rPr>
              <w:t>-</w:t>
            </w:r>
            <w:r w:rsidR="00FF4F93" w:rsidRPr="007F6332">
              <w:rPr>
                <w:rFonts w:eastAsia="Times New Roman" w:cs="Arial"/>
                <w:color w:val="000000"/>
                <w:sz w:val="20"/>
                <w:szCs w:val="20"/>
                <w:lang w:eastAsia="en-AU"/>
              </w:rPr>
              <w:t>64 years</w:t>
            </w:r>
          </w:p>
        </w:tc>
        <w:tc>
          <w:tcPr>
            <w:tcW w:w="598" w:type="pct"/>
            <w:tcBorders>
              <w:top w:val="nil"/>
              <w:bottom w:val="nil"/>
            </w:tcBorders>
            <w:shd w:val="clear" w:color="auto" w:fill="BFBFBF" w:themeFill="background1" w:themeFillShade="BF"/>
            <w:noWrap/>
            <w:vAlign w:val="center"/>
            <w:hideMark/>
          </w:tcPr>
          <w:p w14:paraId="132ECA7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2,761</w:t>
            </w:r>
          </w:p>
        </w:tc>
        <w:tc>
          <w:tcPr>
            <w:tcW w:w="598" w:type="pct"/>
            <w:tcBorders>
              <w:top w:val="nil"/>
              <w:bottom w:val="nil"/>
            </w:tcBorders>
            <w:shd w:val="clear" w:color="auto" w:fill="BFBFBF" w:themeFill="background1" w:themeFillShade="BF"/>
            <w:noWrap/>
            <w:vAlign w:val="center"/>
            <w:hideMark/>
          </w:tcPr>
          <w:p w14:paraId="051A197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1,723</w:t>
            </w:r>
          </w:p>
        </w:tc>
        <w:tc>
          <w:tcPr>
            <w:tcW w:w="598" w:type="pct"/>
            <w:tcBorders>
              <w:top w:val="nil"/>
              <w:bottom w:val="nil"/>
            </w:tcBorders>
            <w:shd w:val="clear" w:color="auto" w:fill="BFBFBF" w:themeFill="background1" w:themeFillShade="BF"/>
            <w:noWrap/>
            <w:vAlign w:val="center"/>
            <w:hideMark/>
          </w:tcPr>
          <w:p w14:paraId="554FA2B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-54</w:t>
            </w:r>
          </w:p>
        </w:tc>
        <w:tc>
          <w:tcPr>
            <w:tcW w:w="598" w:type="pct"/>
            <w:tcBorders>
              <w:top w:val="nil"/>
              <w:bottom w:val="nil"/>
              <w:right w:val="dashSmallGap" w:sz="4" w:space="0" w:color="auto"/>
            </w:tcBorders>
            <w:shd w:val="clear" w:color="auto" w:fill="BFBFBF" w:themeFill="background1" w:themeFillShade="BF"/>
            <w:noWrap/>
            <w:vAlign w:val="center"/>
            <w:hideMark/>
          </w:tcPr>
          <w:p w14:paraId="6B2291C2"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-866</w:t>
            </w:r>
          </w:p>
        </w:tc>
        <w:tc>
          <w:tcPr>
            <w:tcW w:w="598" w:type="pct"/>
            <w:tcBorders>
              <w:top w:val="nil"/>
              <w:left w:val="dashSmallGap" w:sz="4" w:space="0" w:color="auto"/>
              <w:bottom w:val="nil"/>
              <w:right w:val="single" w:sz="4" w:space="0" w:color="auto"/>
            </w:tcBorders>
            <w:shd w:val="clear" w:color="auto" w:fill="BFBFBF" w:themeFill="background1" w:themeFillShade="BF"/>
            <w:noWrap/>
            <w:vAlign w:val="center"/>
            <w:hideMark/>
          </w:tcPr>
          <w:p w14:paraId="283EB7A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-5,432</w:t>
            </w:r>
          </w:p>
        </w:tc>
        <w:tc>
          <w:tcPr>
            <w:tcW w:w="598" w:type="pct"/>
            <w:tcBorders>
              <w:top w:val="nil"/>
              <w:left w:val="single" w:sz="4" w:space="0" w:color="auto"/>
              <w:bottom w:val="nil"/>
            </w:tcBorders>
            <w:shd w:val="clear" w:color="auto" w:fill="BFBFBF" w:themeFill="background1" w:themeFillShade="BF"/>
            <w:noWrap/>
            <w:vAlign w:val="center"/>
            <w:hideMark/>
          </w:tcPr>
          <w:p w14:paraId="0918B5B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3,563</w:t>
            </w:r>
          </w:p>
        </w:tc>
      </w:tr>
      <w:tr w:rsidR="00061783" w:rsidRPr="007F6332" w14:paraId="3D2BDF8C" w14:textId="77777777" w:rsidTr="00061783">
        <w:trPr>
          <w:trHeight w:val="204"/>
        </w:trPr>
        <w:tc>
          <w:tcPr>
            <w:tcW w:w="1410" w:type="pct"/>
            <w:tcBorders>
              <w:top w:val="nil"/>
            </w:tcBorders>
            <w:shd w:val="clear" w:color="auto" w:fill="auto"/>
            <w:noWrap/>
            <w:vAlign w:val="center"/>
            <w:hideMark/>
          </w:tcPr>
          <w:p w14:paraId="68AB644D" w14:textId="46437551" w:rsidR="00653D3D" w:rsidRPr="007F6332" w:rsidRDefault="009C3194"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Difference</w:t>
            </w:r>
            <w:r w:rsidRPr="007F6332">
              <w:rPr>
                <w:rFonts w:eastAsia="Times New Roman" w:cs="Arial"/>
                <w:color w:val="000000"/>
                <w:sz w:val="20"/>
                <w:szCs w:val="20"/>
                <w:lang w:eastAsia="en-AU"/>
              </w:rPr>
              <w:t xml:space="preserve"> (accrual basis) </w:t>
            </w:r>
            <w:r w:rsidR="00653D3D" w:rsidRPr="007F6332">
              <w:rPr>
                <w:rFonts w:eastAsia="Times New Roman" w:cs="Arial"/>
                <w:color w:val="000000"/>
                <w:sz w:val="20"/>
                <w:szCs w:val="20"/>
                <w:lang w:eastAsia="en-AU"/>
              </w:rPr>
              <w:t>65+ years</w:t>
            </w:r>
          </w:p>
        </w:tc>
        <w:tc>
          <w:tcPr>
            <w:tcW w:w="598" w:type="pct"/>
            <w:tcBorders>
              <w:top w:val="nil"/>
            </w:tcBorders>
            <w:shd w:val="clear" w:color="auto" w:fill="auto"/>
            <w:noWrap/>
            <w:vAlign w:val="center"/>
            <w:hideMark/>
          </w:tcPr>
          <w:p w14:paraId="1233C94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466</w:t>
            </w:r>
          </w:p>
        </w:tc>
        <w:tc>
          <w:tcPr>
            <w:tcW w:w="598" w:type="pct"/>
            <w:tcBorders>
              <w:top w:val="nil"/>
            </w:tcBorders>
            <w:shd w:val="clear" w:color="auto" w:fill="auto"/>
            <w:noWrap/>
            <w:vAlign w:val="center"/>
            <w:hideMark/>
          </w:tcPr>
          <w:p w14:paraId="67BD3A1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537</w:t>
            </w:r>
          </w:p>
        </w:tc>
        <w:tc>
          <w:tcPr>
            <w:tcW w:w="598" w:type="pct"/>
            <w:tcBorders>
              <w:top w:val="nil"/>
            </w:tcBorders>
            <w:shd w:val="clear" w:color="auto" w:fill="auto"/>
            <w:noWrap/>
            <w:vAlign w:val="center"/>
            <w:hideMark/>
          </w:tcPr>
          <w:p w14:paraId="616ACFB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498</w:t>
            </w:r>
          </w:p>
        </w:tc>
        <w:tc>
          <w:tcPr>
            <w:tcW w:w="598" w:type="pct"/>
            <w:tcBorders>
              <w:top w:val="nil"/>
              <w:right w:val="dashSmallGap" w:sz="4" w:space="0" w:color="auto"/>
            </w:tcBorders>
            <w:shd w:val="clear" w:color="auto" w:fill="auto"/>
            <w:noWrap/>
            <w:vAlign w:val="center"/>
            <w:hideMark/>
          </w:tcPr>
          <w:p w14:paraId="59AF51E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563</w:t>
            </w:r>
          </w:p>
        </w:tc>
        <w:tc>
          <w:tcPr>
            <w:tcW w:w="598" w:type="pct"/>
            <w:tcBorders>
              <w:top w:val="nil"/>
              <w:left w:val="dashSmallGap" w:sz="4" w:space="0" w:color="auto"/>
              <w:right w:val="single" w:sz="4" w:space="0" w:color="auto"/>
            </w:tcBorders>
            <w:shd w:val="clear" w:color="auto" w:fill="auto"/>
            <w:noWrap/>
            <w:vAlign w:val="center"/>
            <w:hideMark/>
          </w:tcPr>
          <w:p w14:paraId="35E6147D"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808</w:t>
            </w:r>
          </w:p>
        </w:tc>
        <w:tc>
          <w:tcPr>
            <w:tcW w:w="598" w:type="pct"/>
            <w:tcBorders>
              <w:top w:val="nil"/>
              <w:left w:val="single" w:sz="4" w:space="0" w:color="auto"/>
            </w:tcBorders>
            <w:shd w:val="clear" w:color="auto" w:fill="auto"/>
            <w:noWrap/>
            <w:vAlign w:val="center"/>
            <w:hideMark/>
          </w:tcPr>
          <w:p w14:paraId="56ACC5C4"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2,065</w:t>
            </w:r>
          </w:p>
        </w:tc>
      </w:tr>
      <w:tr w:rsidR="00061783" w:rsidRPr="007F6332" w14:paraId="30E8A790" w14:textId="77777777" w:rsidTr="00061783">
        <w:trPr>
          <w:trHeight w:val="204"/>
        </w:trPr>
        <w:tc>
          <w:tcPr>
            <w:tcW w:w="1410" w:type="pct"/>
            <w:shd w:val="clear" w:color="auto" w:fill="B499B7"/>
            <w:noWrap/>
            <w:vAlign w:val="center"/>
            <w:hideMark/>
          </w:tcPr>
          <w:p w14:paraId="572BD48D" w14:textId="2C647225"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 (accrual basis)</w:t>
            </w:r>
          </w:p>
        </w:tc>
        <w:tc>
          <w:tcPr>
            <w:tcW w:w="598" w:type="pct"/>
            <w:shd w:val="clear" w:color="auto" w:fill="B499B7"/>
            <w:noWrap/>
            <w:vAlign w:val="center"/>
            <w:hideMark/>
          </w:tcPr>
          <w:p w14:paraId="47860521"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3,227</w:t>
            </w:r>
          </w:p>
        </w:tc>
        <w:tc>
          <w:tcPr>
            <w:tcW w:w="598" w:type="pct"/>
            <w:shd w:val="clear" w:color="auto" w:fill="B499B7"/>
            <w:noWrap/>
            <w:vAlign w:val="center"/>
            <w:hideMark/>
          </w:tcPr>
          <w:p w14:paraId="7B7FB001"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2,260</w:t>
            </w:r>
          </w:p>
        </w:tc>
        <w:tc>
          <w:tcPr>
            <w:tcW w:w="598" w:type="pct"/>
            <w:shd w:val="clear" w:color="auto" w:fill="B499B7"/>
            <w:noWrap/>
            <w:vAlign w:val="center"/>
            <w:hideMark/>
          </w:tcPr>
          <w:p w14:paraId="6C902194"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444</w:t>
            </w:r>
          </w:p>
        </w:tc>
        <w:tc>
          <w:tcPr>
            <w:tcW w:w="598" w:type="pct"/>
            <w:tcBorders>
              <w:right w:val="dashSmallGap" w:sz="4" w:space="0" w:color="auto"/>
            </w:tcBorders>
            <w:shd w:val="clear" w:color="auto" w:fill="B499B7"/>
            <w:noWrap/>
            <w:vAlign w:val="center"/>
            <w:hideMark/>
          </w:tcPr>
          <w:p w14:paraId="7065177C"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-303</w:t>
            </w:r>
          </w:p>
        </w:tc>
        <w:tc>
          <w:tcPr>
            <w:tcW w:w="598" w:type="pct"/>
            <w:tcBorders>
              <w:left w:val="dashSmallGap" w:sz="4" w:space="0" w:color="auto"/>
              <w:right w:val="single" w:sz="4" w:space="0" w:color="auto"/>
            </w:tcBorders>
            <w:shd w:val="clear" w:color="auto" w:fill="B499B7"/>
            <w:noWrap/>
            <w:vAlign w:val="center"/>
            <w:hideMark/>
          </w:tcPr>
          <w:p w14:paraId="7142DF76"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-4,625</w:t>
            </w:r>
          </w:p>
        </w:tc>
        <w:tc>
          <w:tcPr>
            <w:tcW w:w="598" w:type="pct"/>
            <w:tcBorders>
              <w:left w:val="single" w:sz="4" w:space="0" w:color="auto"/>
            </w:tcBorders>
            <w:shd w:val="clear" w:color="auto" w:fill="B499B7"/>
            <w:noWrap/>
            <w:vAlign w:val="center"/>
            <w:hideMark/>
          </w:tcPr>
          <w:p w14:paraId="2D83B5F8"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5,628</w:t>
            </w:r>
          </w:p>
        </w:tc>
      </w:tr>
      <w:tr w:rsidR="00061783" w:rsidRPr="007F6332" w14:paraId="306F65FC" w14:textId="77777777" w:rsidTr="00061783">
        <w:trPr>
          <w:trHeight w:val="204"/>
        </w:trPr>
        <w:tc>
          <w:tcPr>
            <w:tcW w:w="1410" w:type="pct"/>
            <w:tcBorders>
              <w:top w:val="nil"/>
              <w:bottom w:val="nil"/>
            </w:tcBorders>
            <w:shd w:val="clear" w:color="auto" w:fill="BFBFBF" w:themeFill="background1" w:themeFillShade="BF"/>
            <w:noWrap/>
            <w:vAlign w:val="center"/>
            <w:hideMark/>
          </w:tcPr>
          <w:p w14:paraId="68710931" w14:textId="5A0CACEB" w:rsidR="00653D3D" w:rsidRPr="007F6332" w:rsidRDefault="00FF4F93"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 Difference</w:t>
            </w:r>
            <w:r w:rsidRPr="007F6332">
              <w:rPr>
                <w:rFonts w:eastAsia="Times New Roman" w:cs="Arial"/>
                <w:color w:val="000000"/>
                <w:sz w:val="20"/>
                <w:szCs w:val="20"/>
                <w:lang w:eastAsia="en-AU"/>
              </w:rPr>
              <w:t xml:space="preserve"> (accrual basis) </w:t>
            </w:r>
            <w:r w:rsidR="00653D3D" w:rsidRPr="007F6332">
              <w:rPr>
                <w:rFonts w:eastAsia="Times New Roman" w:cs="Arial"/>
                <w:color w:val="000000"/>
                <w:sz w:val="20"/>
                <w:szCs w:val="20"/>
                <w:lang w:eastAsia="en-AU"/>
              </w:rPr>
              <w:t>0-64 years</w:t>
            </w:r>
          </w:p>
        </w:tc>
        <w:tc>
          <w:tcPr>
            <w:tcW w:w="598" w:type="pct"/>
            <w:tcBorders>
              <w:top w:val="nil"/>
              <w:bottom w:val="nil"/>
            </w:tcBorders>
            <w:shd w:val="clear" w:color="auto" w:fill="BFBFBF" w:themeFill="background1" w:themeFillShade="BF"/>
            <w:noWrap/>
            <w:vAlign w:val="center"/>
            <w:hideMark/>
          </w:tcPr>
          <w:p w14:paraId="537A7A63"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w:t>
            </w:r>
          </w:p>
        </w:tc>
        <w:tc>
          <w:tcPr>
            <w:tcW w:w="598" w:type="pct"/>
            <w:tcBorders>
              <w:top w:val="nil"/>
              <w:bottom w:val="nil"/>
            </w:tcBorders>
            <w:shd w:val="clear" w:color="auto" w:fill="BFBFBF" w:themeFill="background1" w:themeFillShade="BF"/>
            <w:noWrap/>
            <w:vAlign w:val="center"/>
            <w:hideMark/>
          </w:tcPr>
          <w:p w14:paraId="1CB5FCC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w:t>
            </w:r>
          </w:p>
        </w:tc>
        <w:tc>
          <w:tcPr>
            <w:tcW w:w="598" w:type="pct"/>
            <w:tcBorders>
              <w:top w:val="nil"/>
              <w:bottom w:val="nil"/>
            </w:tcBorders>
            <w:shd w:val="clear" w:color="auto" w:fill="BFBFBF" w:themeFill="background1" w:themeFillShade="BF"/>
            <w:noWrap/>
            <w:vAlign w:val="center"/>
            <w:hideMark/>
          </w:tcPr>
          <w:p w14:paraId="0CAF762D"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0%</w:t>
            </w:r>
          </w:p>
        </w:tc>
        <w:tc>
          <w:tcPr>
            <w:tcW w:w="598" w:type="pct"/>
            <w:tcBorders>
              <w:top w:val="nil"/>
              <w:bottom w:val="nil"/>
              <w:right w:val="dashSmallGap" w:sz="4" w:space="0" w:color="auto"/>
            </w:tcBorders>
            <w:shd w:val="clear" w:color="auto" w:fill="BFBFBF" w:themeFill="background1" w:themeFillShade="BF"/>
            <w:noWrap/>
            <w:vAlign w:val="center"/>
            <w:hideMark/>
          </w:tcPr>
          <w:p w14:paraId="425556F1"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w:t>
            </w:r>
          </w:p>
        </w:tc>
        <w:tc>
          <w:tcPr>
            <w:tcW w:w="598" w:type="pct"/>
            <w:tcBorders>
              <w:top w:val="nil"/>
              <w:left w:val="dashSmallGap" w:sz="4" w:space="0" w:color="auto"/>
              <w:bottom w:val="nil"/>
              <w:right w:val="single" w:sz="4" w:space="0" w:color="auto"/>
            </w:tcBorders>
            <w:shd w:val="clear" w:color="auto" w:fill="BFBFBF" w:themeFill="background1" w:themeFillShade="BF"/>
            <w:noWrap/>
            <w:vAlign w:val="center"/>
            <w:hideMark/>
          </w:tcPr>
          <w:p w14:paraId="5EF5370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w:t>
            </w:r>
          </w:p>
        </w:tc>
        <w:tc>
          <w:tcPr>
            <w:tcW w:w="598" w:type="pct"/>
            <w:tcBorders>
              <w:top w:val="nil"/>
              <w:left w:val="single" w:sz="4" w:space="0" w:color="auto"/>
              <w:bottom w:val="nil"/>
            </w:tcBorders>
            <w:shd w:val="clear" w:color="auto" w:fill="BFBFBF" w:themeFill="background1" w:themeFillShade="BF"/>
            <w:noWrap/>
            <w:vAlign w:val="center"/>
            <w:hideMark/>
          </w:tcPr>
          <w:p w14:paraId="004D4C2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w:t>
            </w:r>
          </w:p>
        </w:tc>
      </w:tr>
      <w:tr w:rsidR="00061783" w:rsidRPr="007F6332" w14:paraId="6E40C083" w14:textId="77777777" w:rsidTr="00061783">
        <w:trPr>
          <w:trHeight w:val="204"/>
        </w:trPr>
        <w:tc>
          <w:tcPr>
            <w:tcW w:w="1410" w:type="pct"/>
            <w:tcBorders>
              <w:top w:val="nil"/>
              <w:bottom w:val="nil"/>
            </w:tcBorders>
            <w:shd w:val="clear" w:color="auto" w:fill="auto"/>
            <w:noWrap/>
            <w:vAlign w:val="center"/>
            <w:hideMark/>
          </w:tcPr>
          <w:p w14:paraId="3CA84B04" w14:textId="23D5AD16" w:rsidR="00653D3D" w:rsidRPr="007F6332" w:rsidRDefault="00FF4F93"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 Difference</w:t>
            </w:r>
            <w:r w:rsidRPr="007F6332">
              <w:rPr>
                <w:rFonts w:eastAsia="Times New Roman" w:cs="Arial"/>
                <w:color w:val="000000"/>
                <w:sz w:val="20"/>
                <w:szCs w:val="20"/>
                <w:lang w:eastAsia="en-AU"/>
              </w:rPr>
              <w:t xml:space="preserve"> (accrual basis) </w:t>
            </w:r>
            <w:r w:rsidR="00653D3D" w:rsidRPr="007F6332">
              <w:rPr>
                <w:rFonts w:eastAsia="Times New Roman" w:cs="Arial"/>
                <w:color w:val="000000"/>
                <w:sz w:val="20"/>
                <w:szCs w:val="20"/>
                <w:lang w:eastAsia="en-AU"/>
              </w:rPr>
              <w:t>65+ years</w:t>
            </w:r>
          </w:p>
        </w:tc>
        <w:tc>
          <w:tcPr>
            <w:tcW w:w="598" w:type="pct"/>
            <w:tcBorders>
              <w:top w:val="nil"/>
              <w:bottom w:val="nil"/>
            </w:tcBorders>
            <w:shd w:val="clear" w:color="auto" w:fill="auto"/>
            <w:noWrap/>
            <w:vAlign w:val="center"/>
            <w:hideMark/>
          </w:tcPr>
          <w:p w14:paraId="1F52B1D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14%</w:t>
            </w:r>
          </w:p>
        </w:tc>
        <w:tc>
          <w:tcPr>
            <w:tcW w:w="598" w:type="pct"/>
            <w:tcBorders>
              <w:top w:val="nil"/>
              <w:bottom w:val="nil"/>
            </w:tcBorders>
            <w:shd w:val="clear" w:color="auto" w:fill="auto"/>
            <w:noWrap/>
            <w:vAlign w:val="center"/>
            <w:hideMark/>
          </w:tcPr>
          <w:p w14:paraId="427D79B2"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13%</w:t>
            </w:r>
          </w:p>
        </w:tc>
        <w:tc>
          <w:tcPr>
            <w:tcW w:w="598" w:type="pct"/>
            <w:tcBorders>
              <w:top w:val="nil"/>
              <w:bottom w:val="nil"/>
            </w:tcBorders>
            <w:shd w:val="clear" w:color="auto" w:fill="auto"/>
            <w:noWrap/>
            <w:vAlign w:val="center"/>
            <w:hideMark/>
          </w:tcPr>
          <w:p w14:paraId="62B26D6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10%</w:t>
            </w:r>
          </w:p>
        </w:tc>
        <w:tc>
          <w:tcPr>
            <w:tcW w:w="598" w:type="pct"/>
            <w:tcBorders>
              <w:top w:val="nil"/>
              <w:bottom w:val="nil"/>
              <w:right w:val="dashSmallGap" w:sz="4" w:space="0" w:color="auto"/>
            </w:tcBorders>
            <w:shd w:val="clear" w:color="auto" w:fill="auto"/>
            <w:noWrap/>
            <w:vAlign w:val="center"/>
            <w:hideMark/>
          </w:tcPr>
          <w:p w14:paraId="721C6DD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9%</w:t>
            </w:r>
          </w:p>
        </w:tc>
        <w:tc>
          <w:tcPr>
            <w:tcW w:w="598" w:type="pct"/>
            <w:tcBorders>
              <w:top w:val="nil"/>
              <w:left w:val="dashSmallGap" w:sz="4" w:space="0" w:color="auto"/>
              <w:bottom w:val="nil"/>
              <w:right w:val="single" w:sz="4" w:space="0" w:color="auto"/>
            </w:tcBorders>
            <w:shd w:val="clear" w:color="auto" w:fill="auto"/>
            <w:noWrap/>
            <w:vAlign w:val="center"/>
            <w:hideMark/>
          </w:tcPr>
          <w:p w14:paraId="47AEFEB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w:t>
            </w:r>
          </w:p>
        </w:tc>
        <w:tc>
          <w:tcPr>
            <w:tcW w:w="598" w:type="pct"/>
            <w:tcBorders>
              <w:top w:val="nil"/>
              <w:left w:val="single" w:sz="4" w:space="0" w:color="auto"/>
              <w:bottom w:val="nil"/>
            </w:tcBorders>
            <w:shd w:val="clear" w:color="auto" w:fill="auto"/>
            <w:noWrap/>
            <w:vAlign w:val="center"/>
            <w:hideMark/>
          </w:tcPr>
          <w:p w14:paraId="1F6E8714"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11%</w:t>
            </w:r>
          </w:p>
        </w:tc>
      </w:tr>
      <w:tr w:rsidR="00061783" w:rsidRPr="007F6332" w14:paraId="5E6A5F97" w14:textId="77777777" w:rsidTr="00CD33D0">
        <w:trPr>
          <w:trHeight w:val="204"/>
        </w:trPr>
        <w:tc>
          <w:tcPr>
            <w:tcW w:w="1410" w:type="pct"/>
            <w:tcBorders>
              <w:bottom w:val="single" w:sz="4" w:space="0" w:color="auto"/>
            </w:tcBorders>
            <w:shd w:val="clear" w:color="auto" w:fill="B499B7"/>
            <w:noWrap/>
            <w:vAlign w:val="center"/>
            <w:hideMark/>
          </w:tcPr>
          <w:p w14:paraId="45264EE9" w14:textId="2C986009" w:rsidR="00653D3D" w:rsidRPr="007F6332" w:rsidRDefault="00653D3D" w:rsidP="00CD33D0">
            <w:pPr>
              <w:spacing w:after="0" w:line="240" w:lineRule="auto"/>
              <w:ind w:right="-117"/>
              <w:rPr>
                <w:rFonts w:eastAsia="Times New Roman" w:cs="Arial"/>
                <w:b/>
                <w:bCs/>
                <w:color w:val="000000"/>
                <w:sz w:val="20"/>
                <w:szCs w:val="20"/>
                <w:lang w:eastAsia="en-AU"/>
              </w:rPr>
            </w:pPr>
            <w:r w:rsidRPr="007F6332">
              <w:rPr>
                <w:rFonts w:eastAsia="Times New Roman" w:cs="Arial"/>
                <w:b/>
                <w:bCs/>
                <w:color w:val="000000"/>
                <w:sz w:val="20"/>
                <w:szCs w:val="20"/>
                <w:lang w:eastAsia="en-AU"/>
              </w:rPr>
              <w:t>Total (accrual basis)</w:t>
            </w:r>
          </w:p>
        </w:tc>
        <w:tc>
          <w:tcPr>
            <w:tcW w:w="598" w:type="pct"/>
            <w:tcBorders>
              <w:bottom w:val="single" w:sz="4" w:space="0" w:color="auto"/>
            </w:tcBorders>
            <w:shd w:val="clear" w:color="auto" w:fill="B499B7"/>
            <w:noWrap/>
            <w:vAlign w:val="center"/>
            <w:hideMark/>
          </w:tcPr>
          <w:p w14:paraId="69AE1B15" w14:textId="6C212FC8" w:rsidR="00653D3D" w:rsidRPr="007F6332" w:rsidRDefault="00061783" w:rsidP="00CD33D0">
            <w:pPr>
              <w:spacing w:after="0" w:line="240" w:lineRule="auto"/>
              <w:ind w:right="-117"/>
              <w:jc w:val="center"/>
              <w:rPr>
                <w:rFonts w:eastAsia="Times New Roman" w:cs="Arial"/>
                <w:b/>
                <w:bCs/>
                <w:color w:val="000000"/>
                <w:sz w:val="20"/>
                <w:szCs w:val="20"/>
                <w:lang w:eastAsia="en-AU"/>
              </w:rPr>
            </w:pPr>
            <w:r w:rsidRPr="007F6332">
              <w:rPr>
                <w:rFonts w:eastAsia="Times New Roman" w:cs="Arial"/>
                <w:b/>
                <w:bCs/>
                <w:color w:val="000000"/>
                <w:sz w:val="20"/>
                <w:szCs w:val="20"/>
                <w:lang w:eastAsia="en-AU"/>
              </w:rPr>
              <w:t xml:space="preserve">        </w:t>
            </w:r>
            <w:r w:rsidR="00653D3D" w:rsidRPr="007F6332">
              <w:rPr>
                <w:rFonts w:eastAsia="Times New Roman" w:cs="Arial"/>
                <w:b/>
                <w:bCs/>
                <w:color w:val="000000"/>
                <w:sz w:val="20"/>
                <w:szCs w:val="20"/>
                <w:lang w:eastAsia="en-AU"/>
              </w:rPr>
              <w:t>8%</w:t>
            </w:r>
          </w:p>
        </w:tc>
        <w:tc>
          <w:tcPr>
            <w:tcW w:w="598" w:type="pct"/>
            <w:tcBorders>
              <w:bottom w:val="single" w:sz="4" w:space="0" w:color="auto"/>
            </w:tcBorders>
            <w:shd w:val="clear" w:color="auto" w:fill="B499B7"/>
            <w:noWrap/>
            <w:vAlign w:val="center"/>
            <w:hideMark/>
          </w:tcPr>
          <w:p w14:paraId="5751D7AF" w14:textId="7FEAECA1" w:rsidR="00653D3D" w:rsidRPr="007F6332" w:rsidRDefault="00061783" w:rsidP="00CD33D0">
            <w:pPr>
              <w:spacing w:after="0" w:line="240" w:lineRule="auto"/>
              <w:ind w:right="-117"/>
              <w:jc w:val="center"/>
              <w:rPr>
                <w:rFonts w:eastAsia="Times New Roman" w:cs="Arial"/>
                <w:b/>
                <w:bCs/>
                <w:color w:val="000000"/>
                <w:sz w:val="20"/>
                <w:szCs w:val="20"/>
                <w:lang w:eastAsia="en-AU"/>
              </w:rPr>
            </w:pPr>
            <w:r w:rsidRPr="007F6332">
              <w:rPr>
                <w:rFonts w:eastAsia="Times New Roman" w:cs="Arial"/>
                <w:b/>
                <w:bCs/>
                <w:color w:val="000000"/>
                <w:sz w:val="20"/>
                <w:szCs w:val="20"/>
                <w:lang w:eastAsia="en-AU"/>
              </w:rPr>
              <w:t xml:space="preserve">         </w:t>
            </w:r>
            <w:r w:rsidR="00653D3D" w:rsidRPr="007F6332">
              <w:rPr>
                <w:rFonts w:eastAsia="Times New Roman" w:cs="Arial"/>
                <w:b/>
                <w:bCs/>
                <w:color w:val="000000"/>
                <w:sz w:val="20"/>
                <w:szCs w:val="20"/>
                <w:lang w:eastAsia="en-AU"/>
              </w:rPr>
              <w:t>5%</w:t>
            </w:r>
          </w:p>
        </w:tc>
        <w:tc>
          <w:tcPr>
            <w:tcW w:w="598" w:type="pct"/>
            <w:tcBorders>
              <w:bottom w:val="single" w:sz="4" w:space="0" w:color="auto"/>
            </w:tcBorders>
            <w:shd w:val="clear" w:color="auto" w:fill="B499B7"/>
            <w:noWrap/>
            <w:vAlign w:val="center"/>
            <w:hideMark/>
          </w:tcPr>
          <w:p w14:paraId="79CC335B" w14:textId="2803BDD1" w:rsidR="00653D3D" w:rsidRPr="007F6332" w:rsidRDefault="00061783" w:rsidP="00CD33D0">
            <w:pPr>
              <w:spacing w:after="0" w:line="240" w:lineRule="auto"/>
              <w:ind w:right="-117"/>
              <w:jc w:val="center"/>
              <w:rPr>
                <w:rFonts w:eastAsia="Times New Roman" w:cs="Arial"/>
                <w:b/>
                <w:bCs/>
                <w:color w:val="000000"/>
                <w:sz w:val="20"/>
                <w:szCs w:val="20"/>
                <w:lang w:eastAsia="en-AU"/>
              </w:rPr>
            </w:pPr>
            <w:r w:rsidRPr="007F6332">
              <w:rPr>
                <w:rFonts w:eastAsia="Times New Roman" w:cs="Arial"/>
                <w:b/>
                <w:bCs/>
                <w:color w:val="000000"/>
                <w:sz w:val="20"/>
                <w:szCs w:val="20"/>
                <w:lang w:eastAsia="en-AU"/>
              </w:rPr>
              <w:t xml:space="preserve">         </w:t>
            </w:r>
            <w:r w:rsidR="00653D3D" w:rsidRPr="007F6332">
              <w:rPr>
                <w:rFonts w:eastAsia="Times New Roman" w:cs="Arial"/>
                <w:b/>
                <w:bCs/>
                <w:color w:val="000000"/>
                <w:sz w:val="20"/>
                <w:szCs w:val="20"/>
                <w:lang w:eastAsia="en-AU"/>
              </w:rPr>
              <w:t>1%</w:t>
            </w:r>
          </w:p>
        </w:tc>
        <w:tc>
          <w:tcPr>
            <w:tcW w:w="598" w:type="pct"/>
            <w:tcBorders>
              <w:bottom w:val="single" w:sz="4" w:space="0" w:color="auto"/>
              <w:right w:val="dashSmallGap" w:sz="4" w:space="0" w:color="auto"/>
            </w:tcBorders>
            <w:shd w:val="clear" w:color="auto" w:fill="B499B7"/>
            <w:noWrap/>
            <w:vAlign w:val="center"/>
            <w:hideMark/>
          </w:tcPr>
          <w:p w14:paraId="29DB21A5" w14:textId="4AD9F7F5" w:rsidR="00653D3D" w:rsidRPr="007F6332" w:rsidRDefault="00061783" w:rsidP="00CD33D0">
            <w:pPr>
              <w:spacing w:after="0" w:line="240" w:lineRule="auto"/>
              <w:ind w:right="-117"/>
              <w:jc w:val="center"/>
              <w:rPr>
                <w:rFonts w:eastAsia="Times New Roman" w:cs="Arial"/>
                <w:b/>
                <w:bCs/>
                <w:color w:val="000000"/>
                <w:sz w:val="20"/>
                <w:szCs w:val="20"/>
                <w:lang w:eastAsia="en-AU"/>
              </w:rPr>
            </w:pPr>
            <w:r w:rsidRPr="007F6332">
              <w:rPr>
                <w:rFonts w:eastAsia="Times New Roman" w:cs="Arial"/>
                <w:b/>
                <w:bCs/>
                <w:color w:val="000000"/>
                <w:sz w:val="20"/>
                <w:szCs w:val="20"/>
                <w:lang w:eastAsia="en-AU"/>
              </w:rPr>
              <w:t xml:space="preserve">       </w:t>
            </w:r>
            <w:r w:rsidR="00653D3D" w:rsidRPr="007F6332">
              <w:rPr>
                <w:rFonts w:eastAsia="Times New Roman" w:cs="Arial"/>
                <w:b/>
                <w:bCs/>
                <w:color w:val="000000"/>
                <w:sz w:val="20"/>
                <w:szCs w:val="20"/>
                <w:lang w:eastAsia="en-AU"/>
              </w:rPr>
              <w:t>-1%</w:t>
            </w:r>
          </w:p>
        </w:tc>
        <w:tc>
          <w:tcPr>
            <w:tcW w:w="598" w:type="pct"/>
            <w:tcBorders>
              <w:left w:val="dashSmallGap" w:sz="4" w:space="0" w:color="auto"/>
              <w:bottom w:val="single" w:sz="4" w:space="0" w:color="auto"/>
              <w:right w:val="single" w:sz="4" w:space="0" w:color="auto"/>
            </w:tcBorders>
            <w:shd w:val="clear" w:color="auto" w:fill="B499B7"/>
            <w:noWrap/>
            <w:vAlign w:val="center"/>
            <w:hideMark/>
          </w:tcPr>
          <w:p w14:paraId="56A68CE2" w14:textId="79F085B7" w:rsidR="00653D3D" w:rsidRPr="007F6332" w:rsidRDefault="00061783" w:rsidP="00CD33D0">
            <w:pPr>
              <w:spacing w:after="0" w:line="240" w:lineRule="auto"/>
              <w:ind w:right="-117"/>
              <w:jc w:val="center"/>
              <w:rPr>
                <w:rFonts w:eastAsia="Times New Roman" w:cs="Arial"/>
                <w:b/>
                <w:bCs/>
                <w:color w:val="000000"/>
                <w:sz w:val="20"/>
                <w:szCs w:val="20"/>
                <w:lang w:eastAsia="en-AU"/>
              </w:rPr>
            </w:pPr>
            <w:r w:rsidRPr="007F6332">
              <w:rPr>
                <w:rFonts w:eastAsia="Times New Roman" w:cs="Arial"/>
                <w:b/>
                <w:bCs/>
                <w:color w:val="000000"/>
                <w:sz w:val="20"/>
                <w:szCs w:val="20"/>
                <w:lang w:eastAsia="en-AU"/>
              </w:rPr>
              <w:t xml:space="preserve">        </w:t>
            </w:r>
            <w:r w:rsidR="00653D3D" w:rsidRPr="007F6332">
              <w:rPr>
                <w:rFonts w:eastAsia="Times New Roman" w:cs="Arial"/>
                <w:b/>
                <w:bCs/>
                <w:color w:val="000000"/>
                <w:sz w:val="20"/>
                <w:szCs w:val="20"/>
                <w:lang w:eastAsia="en-AU"/>
              </w:rPr>
              <w:t>-5%</w:t>
            </w:r>
          </w:p>
        </w:tc>
        <w:tc>
          <w:tcPr>
            <w:tcW w:w="598" w:type="pct"/>
            <w:tcBorders>
              <w:left w:val="single" w:sz="4" w:space="0" w:color="auto"/>
              <w:bottom w:val="single" w:sz="4" w:space="0" w:color="auto"/>
            </w:tcBorders>
            <w:shd w:val="clear" w:color="auto" w:fill="B499B7"/>
            <w:noWrap/>
            <w:vAlign w:val="center"/>
            <w:hideMark/>
          </w:tcPr>
          <w:p w14:paraId="4E77A10D" w14:textId="2D3EE51A" w:rsidR="00653D3D" w:rsidRPr="007F6332" w:rsidRDefault="00061783" w:rsidP="00CD33D0">
            <w:pPr>
              <w:spacing w:after="0" w:line="240" w:lineRule="auto"/>
              <w:ind w:right="-117"/>
              <w:jc w:val="center"/>
              <w:rPr>
                <w:rFonts w:eastAsia="Times New Roman" w:cs="Arial"/>
                <w:b/>
                <w:bCs/>
                <w:color w:val="000000"/>
                <w:sz w:val="20"/>
                <w:szCs w:val="20"/>
                <w:lang w:eastAsia="en-AU"/>
              </w:rPr>
            </w:pPr>
            <w:r w:rsidRPr="007F6332">
              <w:rPr>
                <w:rFonts w:eastAsia="Times New Roman" w:cs="Arial"/>
                <w:b/>
                <w:bCs/>
                <w:color w:val="000000"/>
                <w:sz w:val="20"/>
                <w:szCs w:val="20"/>
                <w:lang w:eastAsia="en-AU"/>
              </w:rPr>
              <w:t xml:space="preserve">        </w:t>
            </w:r>
            <w:r w:rsidR="00653D3D" w:rsidRPr="007F6332">
              <w:rPr>
                <w:rFonts w:eastAsia="Times New Roman" w:cs="Arial"/>
                <w:b/>
                <w:bCs/>
                <w:color w:val="000000"/>
                <w:sz w:val="20"/>
                <w:szCs w:val="20"/>
                <w:lang w:eastAsia="en-AU"/>
              </w:rPr>
              <w:t>3%</w:t>
            </w:r>
          </w:p>
        </w:tc>
      </w:tr>
    </w:tbl>
    <w:p w14:paraId="31E204F7" w14:textId="77777777" w:rsidR="00653D3D" w:rsidRPr="007F6332" w:rsidRDefault="00653D3D" w:rsidP="00653D3D">
      <w:pPr>
        <w:rPr>
          <w:rFonts w:cs="Arial"/>
        </w:rPr>
        <w:sectPr w:rsidR="00653D3D" w:rsidRPr="007F6332" w:rsidSect="00CE7E91">
          <w:pgSz w:w="11906" w:h="16838"/>
          <w:pgMar w:top="1440" w:right="1440" w:bottom="1440" w:left="1440" w:header="708" w:footer="850" w:gutter="0"/>
          <w:cols w:space="708"/>
          <w:docGrid w:linePitch="360"/>
        </w:sectPr>
      </w:pPr>
    </w:p>
    <w:p w14:paraId="46E53ACB" w14:textId="77777777" w:rsidR="00653D3D" w:rsidRPr="007F6332" w:rsidRDefault="00653D3D" w:rsidP="00B45B70">
      <w:pPr>
        <w:pStyle w:val="FSRHeading4"/>
      </w:pPr>
      <w:r w:rsidRPr="007F6332">
        <w:lastRenderedPageBreak/>
        <w:t>Scheme expenses by participants with SIL and without SIL</w:t>
      </w:r>
    </w:p>
    <w:p w14:paraId="630D4706" w14:textId="7FADA6CB" w:rsidR="00653D3D" w:rsidRPr="007F6332" w:rsidRDefault="00653D3D" w:rsidP="00B45B70">
      <w:pPr>
        <w:pStyle w:val="FiguresandTablesHeading5"/>
      </w:pPr>
      <w:r w:rsidRPr="007F6332">
        <w:rPr>
          <w:rStyle w:val="FiguresChar"/>
        </w:rPr>
        <w:t>Table A.3</w:t>
      </w:r>
      <w:r w:rsidR="006C6D15" w:rsidRPr="007F6332">
        <w:rPr>
          <w:rStyle w:val="FiguresChar"/>
        </w:rPr>
        <w:t>:</w:t>
      </w:r>
      <w:r w:rsidRPr="007F6332">
        <w:rPr>
          <w:rStyle w:val="FiguresChar"/>
        </w:rPr>
        <w:t xml:space="preserve"> </w:t>
      </w:r>
      <w:r w:rsidR="00332A4E" w:rsidRPr="007F6332">
        <w:rPr>
          <w:rStyle w:val="FiguresChar"/>
        </w:rPr>
        <w:t xml:space="preserve">Projection of </w:t>
      </w:r>
      <w:r w:rsidRPr="007F6332">
        <w:rPr>
          <w:rStyle w:val="FiguresChar"/>
        </w:rPr>
        <w:t>Scheme expenses by SIL status</w:t>
      </w:r>
      <w:r w:rsidR="00903FA7" w:rsidRPr="007F6332">
        <w:rPr>
          <w:rStyle w:val="FiguresChar"/>
        </w:rPr>
        <w:t xml:space="preserve"> </w:t>
      </w:r>
      <w:r w:rsidRPr="007F6332">
        <w:rPr>
          <w:rStyle w:val="FiguresChar"/>
        </w:rPr>
        <w:t>(cash basis</w:t>
      </w:r>
      <w:r w:rsidRPr="007F6332">
        <w:t>)</w:t>
      </w:r>
      <w:r w:rsidR="00332A4E" w:rsidRPr="007F6332">
        <w:t xml:space="preserve"> – compared to previous review</w:t>
      </w:r>
    </w:p>
    <w:tbl>
      <w:tblPr>
        <w:tblW w:w="5012" w:type="pct"/>
        <w:tblLayout w:type="fixed"/>
        <w:tblLook w:val="04A0" w:firstRow="1" w:lastRow="0" w:firstColumn="1" w:lastColumn="0" w:noHBand="0" w:noVBand="1"/>
      </w:tblPr>
      <w:tblGrid>
        <w:gridCol w:w="2118"/>
        <w:gridCol w:w="576"/>
        <w:gridCol w:w="557"/>
        <w:gridCol w:w="1150"/>
        <w:gridCol w:w="1188"/>
        <w:gridCol w:w="1217"/>
        <w:gridCol w:w="1170"/>
        <w:gridCol w:w="1096"/>
      </w:tblGrid>
      <w:tr w:rsidR="00A27D6B" w:rsidRPr="007F6332" w14:paraId="3C6E55E5" w14:textId="77777777" w:rsidTr="00C1755E">
        <w:trPr>
          <w:trHeight w:val="204"/>
        </w:trPr>
        <w:tc>
          <w:tcPr>
            <w:tcW w:w="1167" w:type="pct"/>
            <w:shd w:val="clear" w:color="000000" w:fill="6B2976"/>
            <w:noWrap/>
            <w:vAlign w:val="center"/>
          </w:tcPr>
          <w:p w14:paraId="0F6AA3C0" w14:textId="77777777" w:rsidR="00653D3D" w:rsidRPr="007F6332" w:rsidRDefault="00653D3D" w:rsidP="00FF77CD">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Scheme expenses ($m, cash basis)</w:t>
            </w:r>
          </w:p>
        </w:tc>
        <w:tc>
          <w:tcPr>
            <w:tcW w:w="623" w:type="pct"/>
            <w:gridSpan w:val="2"/>
            <w:shd w:val="clear" w:color="000000" w:fill="6B2F76"/>
            <w:noWrap/>
            <w:vAlign w:val="center"/>
          </w:tcPr>
          <w:p w14:paraId="715C3D9C" w14:textId="77777777" w:rsidR="00653D3D" w:rsidRPr="007F6332" w:rsidRDefault="00653D3D" w:rsidP="00FF77CD">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2023-24</w:t>
            </w:r>
          </w:p>
        </w:tc>
        <w:tc>
          <w:tcPr>
            <w:tcW w:w="634" w:type="pct"/>
            <w:shd w:val="clear" w:color="000000" w:fill="6B2F76"/>
            <w:noWrap/>
            <w:vAlign w:val="center"/>
          </w:tcPr>
          <w:p w14:paraId="1C8A3EA7" w14:textId="77777777" w:rsidR="00653D3D" w:rsidRPr="007F6332" w:rsidRDefault="00653D3D" w:rsidP="00FF77CD">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2024-25</w:t>
            </w:r>
          </w:p>
        </w:tc>
        <w:tc>
          <w:tcPr>
            <w:tcW w:w="655" w:type="pct"/>
            <w:shd w:val="clear" w:color="000000" w:fill="6B2F76"/>
            <w:noWrap/>
            <w:vAlign w:val="center"/>
          </w:tcPr>
          <w:p w14:paraId="032F5478" w14:textId="77777777" w:rsidR="00653D3D" w:rsidRPr="007F6332" w:rsidRDefault="00653D3D" w:rsidP="00903FA7">
            <w:pPr>
              <w:spacing w:after="0" w:line="240" w:lineRule="auto"/>
              <w:ind w:right="-145"/>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2025-26</w:t>
            </w:r>
          </w:p>
        </w:tc>
        <w:tc>
          <w:tcPr>
            <w:tcW w:w="671" w:type="pct"/>
            <w:tcBorders>
              <w:right w:val="dashSmallGap" w:sz="4" w:space="0" w:color="auto"/>
            </w:tcBorders>
            <w:shd w:val="clear" w:color="000000" w:fill="6B2F76"/>
            <w:noWrap/>
            <w:vAlign w:val="center"/>
          </w:tcPr>
          <w:p w14:paraId="60ADD99E" w14:textId="77777777" w:rsidR="00653D3D" w:rsidRPr="007F6332" w:rsidRDefault="00653D3D" w:rsidP="00FF77CD">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2026-27</w:t>
            </w:r>
          </w:p>
        </w:tc>
        <w:tc>
          <w:tcPr>
            <w:tcW w:w="645" w:type="pct"/>
            <w:tcBorders>
              <w:left w:val="dashSmallGap" w:sz="4" w:space="0" w:color="auto"/>
              <w:right w:val="single" w:sz="4" w:space="0" w:color="auto"/>
            </w:tcBorders>
            <w:shd w:val="clear" w:color="000000" w:fill="6B2F76"/>
            <w:noWrap/>
            <w:vAlign w:val="center"/>
          </w:tcPr>
          <w:p w14:paraId="3256BD05" w14:textId="77777777" w:rsidR="00653D3D" w:rsidRPr="007F6332" w:rsidRDefault="00653D3D" w:rsidP="00FF77CD">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2032-33</w:t>
            </w:r>
          </w:p>
        </w:tc>
        <w:tc>
          <w:tcPr>
            <w:tcW w:w="605" w:type="pct"/>
            <w:tcBorders>
              <w:left w:val="single" w:sz="4" w:space="0" w:color="auto"/>
            </w:tcBorders>
            <w:shd w:val="clear" w:color="000000" w:fill="6B2F76"/>
            <w:noWrap/>
            <w:vAlign w:val="center"/>
          </w:tcPr>
          <w:p w14:paraId="449E3013" w14:textId="77777777" w:rsidR="00653D3D" w:rsidRPr="007F6332" w:rsidRDefault="00653D3D" w:rsidP="00FF77CD">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Total</w:t>
            </w:r>
          </w:p>
          <w:p w14:paraId="03A718C8" w14:textId="77777777" w:rsidR="00653D3D" w:rsidRPr="007F6332" w:rsidRDefault="00653D3D" w:rsidP="00FF77CD">
            <w:pPr>
              <w:spacing w:after="0" w:line="240" w:lineRule="auto"/>
              <w:jc w:val="center"/>
              <w:rPr>
                <w:rFonts w:eastAsia="Times New Roman" w:cs="Arial"/>
                <w:b/>
                <w:bCs/>
                <w:color w:val="FFFFFF"/>
                <w:sz w:val="20"/>
                <w:szCs w:val="20"/>
                <w:lang w:eastAsia="en-AU"/>
              </w:rPr>
            </w:pPr>
            <w:r w:rsidRPr="007F6332">
              <w:rPr>
                <w:rFonts w:eastAsia="Times New Roman" w:cs="Arial"/>
                <w:b/>
                <w:bCs/>
                <w:color w:val="FFFFFF"/>
                <w:sz w:val="20"/>
                <w:szCs w:val="20"/>
                <w:lang w:eastAsia="en-AU"/>
              </w:rPr>
              <w:t>2023-27</w:t>
            </w:r>
          </w:p>
        </w:tc>
      </w:tr>
      <w:tr w:rsidR="003C7D2A" w:rsidRPr="007F6332" w14:paraId="3BD2C388" w14:textId="77777777" w:rsidTr="00C1755E">
        <w:trPr>
          <w:trHeight w:val="204"/>
        </w:trPr>
        <w:tc>
          <w:tcPr>
            <w:tcW w:w="1167" w:type="pct"/>
            <w:shd w:val="clear" w:color="auto" w:fill="BFBFBF" w:themeFill="background1" w:themeFillShade="BF"/>
            <w:noWrap/>
            <w:vAlign w:val="center"/>
            <w:hideMark/>
          </w:tcPr>
          <w:p w14:paraId="6FE21698" w14:textId="7BADD0BE" w:rsidR="00653D3D" w:rsidRPr="007F6332" w:rsidRDefault="00B724CC" w:rsidP="005D0F2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June 2023 projections</w:t>
            </w:r>
            <w:r w:rsidR="00653D3D" w:rsidRPr="007F6332">
              <w:rPr>
                <w:rFonts w:eastAsia="Times New Roman" w:cs="Arial"/>
                <w:b/>
                <w:bCs/>
                <w:color w:val="000000"/>
                <w:sz w:val="20"/>
                <w:szCs w:val="20"/>
                <w:lang w:eastAsia="en-AU"/>
              </w:rPr>
              <w:t xml:space="preserve"> </w:t>
            </w:r>
            <w:r w:rsidR="00653D3D" w:rsidRPr="007F6332">
              <w:rPr>
                <w:rFonts w:eastAsia="Times New Roman" w:cs="Arial"/>
                <w:color w:val="000000"/>
                <w:sz w:val="20"/>
                <w:szCs w:val="20"/>
                <w:lang w:eastAsia="en-AU"/>
              </w:rPr>
              <w:t>SIL</w:t>
            </w:r>
          </w:p>
        </w:tc>
        <w:tc>
          <w:tcPr>
            <w:tcW w:w="623" w:type="pct"/>
            <w:gridSpan w:val="2"/>
            <w:shd w:val="clear" w:color="auto" w:fill="BFBFBF" w:themeFill="background1" w:themeFillShade="BF"/>
            <w:noWrap/>
            <w:vAlign w:val="center"/>
            <w:hideMark/>
          </w:tcPr>
          <w:p w14:paraId="4F89AE58" w14:textId="102D6129" w:rsidR="00653D3D" w:rsidRPr="007F6332" w:rsidRDefault="00653D3D" w:rsidP="00FF77CD">
            <w:pPr>
              <w:spacing w:after="0" w:line="240" w:lineRule="auto"/>
              <w:jc w:val="right"/>
              <w:rPr>
                <w:rFonts w:eastAsia="Times New Roman" w:cs="Arial"/>
                <w:sz w:val="20"/>
                <w:szCs w:val="20"/>
                <w:lang w:eastAsia="en-AU"/>
              </w:rPr>
            </w:pPr>
            <w:r w:rsidRPr="007F6332">
              <w:rPr>
                <w:rFonts w:eastAsia="Times New Roman" w:cs="Arial"/>
                <w:sz w:val="20"/>
                <w:szCs w:val="20"/>
                <w:lang w:eastAsia="en-AU"/>
              </w:rPr>
              <w:t>14,141</w:t>
            </w:r>
          </w:p>
        </w:tc>
        <w:tc>
          <w:tcPr>
            <w:tcW w:w="634" w:type="pct"/>
            <w:shd w:val="clear" w:color="auto" w:fill="BFBFBF" w:themeFill="background1" w:themeFillShade="BF"/>
            <w:noWrap/>
            <w:vAlign w:val="center"/>
            <w:hideMark/>
          </w:tcPr>
          <w:p w14:paraId="6FF239D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16,375</w:t>
            </w:r>
          </w:p>
        </w:tc>
        <w:tc>
          <w:tcPr>
            <w:tcW w:w="655" w:type="pct"/>
            <w:shd w:val="clear" w:color="auto" w:fill="BFBFBF" w:themeFill="background1" w:themeFillShade="BF"/>
            <w:noWrap/>
            <w:vAlign w:val="center"/>
            <w:hideMark/>
          </w:tcPr>
          <w:p w14:paraId="3AA0C43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18,216</w:t>
            </w:r>
          </w:p>
        </w:tc>
        <w:tc>
          <w:tcPr>
            <w:tcW w:w="671" w:type="pct"/>
            <w:tcBorders>
              <w:right w:val="dashSmallGap" w:sz="4" w:space="0" w:color="auto"/>
            </w:tcBorders>
            <w:shd w:val="clear" w:color="auto" w:fill="BFBFBF" w:themeFill="background1" w:themeFillShade="BF"/>
            <w:noWrap/>
            <w:vAlign w:val="center"/>
            <w:hideMark/>
          </w:tcPr>
          <w:p w14:paraId="4494624C"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19,816</w:t>
            </w:r>
          </w:p>
        </w:tc>
        <w:tc>
          <w:tcPr>
            <w:tcW w:w="645" w:type="pct"/>
            <w:tcBorders>
              <w:left w:val="dashSmallGap" w:sz="4" w:space="0" w:color="auto"/>
              <w:right w:val="single" w:sz="4" w:space="0" w:color="auto"/>
            </w:tcBorders>
            <w:shd w:val="clear" w:color="auto" w:fill="BFBFBF" w:themeFill="background1" w:themeFillShade="BF"/>
            <w:noWrap/>
            <w:vAlign w:val="center"/>
            <w:hideMark/>
          </w:tcPr>
          <w:p w14:paraId="0B8BE22B"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32,436</w:t>
            </w:r>
          </w:p>
        </w:tc>
        <w:tc>
          <w:tcPr>
            <w:tcW w:w="605" w:type="pct"/>
            <w:tcBorders>
              <w:left w:val="single" w:sz="4" w:space="0" w:color="auto"/>
            </w:tcBorders>
            <w:shd w:val="clear" w:color="auto" w:fill="BFBFBF" w:themeFill="background1" w:themeFillShade="BF"/>
            <w:noWrap/>
            <w:vAlign w:val="center"/>
            <w:hideMark/>
          </w:tcPr>
          <w:p w14:paraId="107035F5"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68,549</w:t>
            </w:r>
          </w:p>
        </w:tc>
      </w:tr>
      <w:tr w:rsidR="00A27D6B" w:rsidRPr="007F6332" w14:paraId="64186140" w14:textId="77777777" w:rsidTr="00C1755E">
        <w:trPr>
          <w:trHeight w:val="204"/>
        </w:trPr>
        <w:tc>
          <w:tcPr>
            <w:tcW w:w="1167" w:type="pct"/>
            <w:shd w:val="clear" w:color="auto" w:fill="auto"/>
            <w:noWrap/>
            <w:vAlign w:val="center"/>
            <w:hideMark/>
          </w:tcPr>
          <w:p w14:paraId="1FA415D8" w14:textId="1CD2AA5D" w:rsidR="00653D3D" w:rsidRPr="007F6332" w:rsidRDefault="00B724CC" w:rsidP="005D0F2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June 2023 projections</w:t>
            </w:r>
            <w:r w:rsidR="00653D3D" w:rsidRPr="007F6332">
              <w:rPr>
                <w:rFonts w:eastAsia="Times New Roman" w:cs="Arial"/>
                <w:b/>
                <w:bCs/>
                <w:color w:val="000000"/>
                <w:sz w:val="20"/>
                <w:szCs w:val="20"/>
                <w:lang w:eastAsia="en-AU"/>
              </w:rPr>
              <w:t xml:space="preserve"> </w:t>
            </w:r>
            <w:r w:rsidR="00653D3D" w:rsidRPr="007F6332">
              <w:rPr>
                <w:rFonts w:eastAsia="Times New Roman" w:cs="Arial"/>
                <w:color w:val="000000"/>
                <w:sz w:val="20"/>
                <w:szCs w:val="20"/>
                <w:lang w:eastAsia="en-AU"/>
              </w:rPr>
              <w:t>Non-SIL</w:t>
            </w:r>
          </w:p>
        </w:tc>
        <w:tc>
          <w:tcPr>
            <w:tcW w:w="623" w:type="pct"/>
            <w:gridSpan w:val="2"/>
            <w:shd w:val="clear" w:color="auto" w:fill="auto"/>
            <w:noWrap/>
            <w:vAlign w:val="center"/>
            <w:hideMark/>
          </w:tcPr>
          <w:p w14:paraId="74E6C65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26,773</w:t>
            </w:r>
          </w:p>
        </w:tc>
        <w:tc>
          <w:tcPr>
            <w:tcW w:w="634" w:type="pct"/>
            <w:shd w:val="clear" w:color="auto" w:fill="auto"/>
            <w:noWrap/>
            <w:vAlign w:val="center"/>
            <w:hideMark/>
          </w:tcPr>
          <w:p w14:paraId="54543E1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29,500</w:t>
            </w:r>
          </w:p>
        </w:tc>
        <w:tc>
          <w:tcPr>
            <w:tcW w:w="655" w:type="pct"/>
            <w:shd w:val="clear" w:color="auto" w:fill="auto"/>
            <w:noWrap/>
            <w:vAlign w:val="center"/>
            <w:hideMark/>
          </w:tcPr>
          <w:p w14:paraId="3EDED8A4" w14:textId="77777777" w:rsidR="00653D3D" w:rsidRPr="007F6332" w:rsidRDefault="00653D3D" w:rsidP="00FF77CD">
            <w:pPr>
              <w:spacing w:after="0" w:line="240" w:lineRule="auto"/>
              <w:ind w:left="-73"/>
              <w:jc w:val="right"/>
              <w:rPr>
                <w:rFonts w:eastAsia="Times New Roman" w:cs="Arial"/>
                <w:color w:val="000000"/>
                <w:sz w:val="20"/>
                <w:szCs w:val="20"/>
                <w:lang w:eastAsia="en-AU"/>
              </w:rPr>
            </w:pPr>
            <w:r w:rsidRPr="007F6332">
              <w:rPr>
                <w:rFonts w:eastAsia="Times New Roman" w:cs="Arial"/>
                <w:color w:val="000000"/>
                <w:sz w:val="20"/>
                <w:szCs w:val="20"/>
                <w:lang w:eastAsia="en-AU"/>
              </w:rPr>
              <w:t>32,023</w:t>
            </w:r>
          </w:p>
        </w:tc>
        <w:tc>
          <w:tcPr>
            <w:tcW w:w="671" w:type="pct"/>
            <w:tcBorders>
              <w:right w:val="dashSmallGap" w:sz="4" w:space="0" w:color="auto"/>
            </w:tcBorders>
            <w:shd w:val="clear" w:color="auto" w:fill="auto"/>
            <w:noWrap/>
            <w:vAlign w:val="center"/>
            <w:hideMark/>
          </w:tcPr>
          <w:p w14:paraId="0629CEB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34,793</w:t>
            </w:r>
          </w:p>
        </w:tc>
        <w:tc>
          <w:tcPr>
            <w:tcW w:w="645" w:type="pct"/>
            <w:tcBorders>
              <w:left w:val="dashSmallGap" w:sz="4" w:space="0" w:color="auto"/>
              <w:right w:val="single" w:sz="4" w:space="0" w:color="auto"/>
            </w:tcBorders>
            <w:shd w:val="clear" w:color="auto" w:fill="auto"/>
            <w:noWrap/>
            <w:vAlign w:val="center"/>
            <w:hideMark/>
          </w:tcPr>
          <w:p w14:paraId="0CEC12BB"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58,886</w:t>
            </w:r>
          </w:p>
        </w:tc>
        <w:tc>
          <w:tcPr>
            <w:tcW w:w="605" w:type="pct"/>
            <w:tcBorders>
              <w:left w:val="single" w:sz="4" w:space="0" w:color="auto"/>
            </w:tcBorders>
            <w:shd w:val="clear" w:color="auto" w:fill="auto"/>
            <w:noWrap/>
            <w:vAlign w:val="center"/>
            <w:hideMark/>
          </w:tcPr>
          <w:p w14:paraId="57975803"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123,089</w:t>
            </w:r>
          </w:p>
        </w:tc>
      </w:tr>
      <w:tr w:rsidR="002E0D4A" w:rsidRPr="007F6332" w14:paraId="1D603DB0" w14:textId="77777777" w:rsidTr="00C1755E">
        <w:trPr>
          <w:trHeight w:val="204"/>
        </w:trPr>
        <w:tc>
          <w:tcPr>
            <w:tcW w:w="1167" w:type="pct"/>
            <w:shd w:val="clear" w:color="auto" w:fill="B499B7"/>
            <w:noWrap/>
            <w:vAlign w:val="center"/>
            <w:hideMark/>
          </w:tcPr>
          <w:p w14:paraId="1657BF40" w14:textId="77777777"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w:t>
            </w:r>
          </w:p>
        </w:tc>
        <w:tc>
          <w:tcPr>
            <w:tcW w:w="623" w:type="pct"/>
            <w:gridSpan w:val="2"/>
            <w:shd w:val="clear" w:color="auto" w:fill="B499B7"/>
            <w:noWrap/>
            <w:vAlign w:val="center"/>
            <w:hideMark/>
          </w:tcPr>
          <w:p w14:paraId="3F50BC69"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40,914</w:t>
            </w:r>
          </w:p>
        </w:tc>
        <w:tc>
          <w:tcPr>
            <w:tcW w:w="634" w:type="pct"/>
            <w:shd w:val="clear" w:color="auto" w:fill="B499B7"/>
            <w:noWrap/>
            <w:vAlign w:val="center"/>
            <w:hideMark/>
          </w:tcPr>
          <w:p w14:paraId="1758F0E6"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45,875</w:t>
            </w:r>
          </w:p>
        </w:tc>
        <w:tc>
          <w:tcPr>
            <w:tcW w:w="655" w:type="pct"/>
            <w:shd w:val="clear" w:color="auto" w:fill="B499B7"/>
            <w:noWrap/>
            <w:vAlign w:val="center"/>
            <w:hideMark/>
          </w:tcPr>
          <w:p w14:paraId="4A1E587C"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50,239</w:t>
            </w:r>
          </w:p>
        </w:tc>
        <w:tc>
          <w:tcPr>
            <w:tcW w:w="671" w:type="pct"/>
            <w:tcBorders>
              <w:right w:val="dashSmallGap" w:sz="4" w:space="0" w:color="auto"/>
            </w:tcBorders>
            <w:shd w:val="clear" w:color="auto" w:fill="B499B7"/>
            <w:noWrap/>
            <w:vAlign w:val="center"/>
            <w:hideMark/>
          </w:tcPr>
          <w:p w14:paraId="093557FB"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54,609</w:t>
            </w:r>
          </w:p>
        </w:tc>
        <w:tc>
          <w:tcPr>
            <w:tcW w:w="645" w:type="pct"/>
            <w:tcBorders>
              <w:left w:val="dashSmallGap" w:sz="4" w:space="0" w:color="auto"/>
              <w:right w:val="single" w:sz="4" w:space="0" w:color="auto"/>
            </w:tcBorders>
            <w:shd w:val="clear" w:color="auto" w:fill="B499B7"/>
            <w:noWrap/>
            <w:vAlign w:val="center"/>
            <w:hideMark/>
          </w:tcPr>
          <w:p w14:paraId="5E7CDDDF"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91,322</w:t>
            </w:r>
          </w:p>
        </w:tc>
        <w:tc>
          <w:tcPr>
            <w:tcW w:w="605" w:type="pct"/>
            <w:tcBorders>
              <w:left w:val="single" w:sz="4" w:space="0" w:color="auto"/>
            </w:tcBorders>
            <w:shd w:val="clear" w:color="auto" w:fill="B499B7"/>
            <w:noWrap/>
            <w:vAlign w:val="center"/>
            <w:hideMark/>
          </w:tcPr>
          <w:p w14:paraId="77589BDC"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191,638</w:t>
            </w:r>
          </w:p>
        </w:tc>
      </w:tr>
      <w:tr w:rsidR="003C7D2A" w:rsidRPr="007F6332" w14:paraId="0B111206" w14:textId="77777777" w:rsidTr="00C1755E">
        <w:trPr>
          <w:trHeight w:val="204"/>
        </w:trPr>
        <w:tc>
          <w:tcPr>
            <w:tcW w:w="1167" w:type="pct"/>
            <w:shd w:val="clear" w:color="auto" w:fill="BFBFBF" w:themeFill="background1" w:themeFillShade="BF"/>
            <w:noWrap/>
            <w:vAlign w:val="center"/>
            <w:hideMark/>
          </w:tcPr>
          <w:p w14:paraId="102B38AC" w14:textId="500A0E75" w:rsidR="00653D3D" w:rsidRPr="007F6332" w:rsidRDefault="00B724CC"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June 2022 projections</w:t>
            </w:r>
            <w:r w:rsidR="00653D3D" w:rsidRPr="007F6332">
              <w:rPr>
                <w:rFonts w:eastAsia="Times New Roman" w:cs="Arial"/>
                <w:color w:val="000000"/>
                <w:sz w:val="20"/>
                <w:szCs w:val="20"/>
                <w:lang w:eastAsia="en-AU"/>
              </w:rPr>
              <w:t xml:space="preserve"> SIL</w:t>
            </w:r>
          </w:p>
        </w:tc>
        <w:tc>
          <w:tcPr>
            <w:tcW w:w="623" w:type="pct"/>
            <w:gridSpan w:val="2"/>
            <w:shd w:val="clear" w:color="auto" w:fill="BFBFBF" w:themeFill="background1" w:themeFillShade="BF"/>
            <w:noWrap/>
            <w:vAlign w:val="center"/>
            <w:hideMark/>
          </w:tcPr>
          <w:p w14:paraId="7DBB389B" w14:textId="77777777" w:rsidR="005D0F2D" w:rsidRPr="007F6332" w:rsidRDefault="005D0F2D" w:rsidP="00FF77CD">
            <w:pPr>
              <w:spacing w:after="0" w:line="240" w:lineRule="auto"/>
              <w:jc w:val="right"/>
              <w:rPr>
                <w:rFonts w:eastAsia="Times New Roman" w:cs="Arial"/>
                <w:sz w:val="20"/>
                <w:szCs w:val="20"/>
                <w:lang w:eastAsia="en-AU"/>
              </w:rPr>
            </w:pPr>
          </w:p>
          <w:p w14:paraId="6529C6A5" w14:textId="7E50D2FD" w:rsidR="00653D3D" w:rsidRPr="007F6332" w:rsidRDefault="00653D3D" w:rsidP="00FF77CD">
            <w:pPr>
              <w:spacing w:after="0" w:line="240" w:lineRule="auto"/>
              <w:jc w:val="right"/>
              <w:rPr>
                <w:rFonts w:eastAsia="Times New Roman" w:cs="Arial"/>
                <w:sz w:val="20"/>
                <w:szCs w:val="20"/>
                <w:lang w:eastAsia="en-AU"/>
              </w:rPr>
            </w:pPr>
            <w:r w:rsidRPr="007F6332">
              <w:rPr>
                <w:rFonts w:eastAsia="Times New Roman" w:cs="Arial"/>
                <w:sz w:val="20"/>
                <w:szCs w:val="20"/>
                <w:lang w:eastAsia="en-AU"/>
              </w:rPr>
              <w:t>11,363</w:t>
            </w:r>
          </w:p>
        </w:tc>
        <w:tc>
          <w:tcPr>
            <w:tcW w:w="634" w:type="pct"/>
            <w:shd w:val="clear" w:color="auto" w:fill="BFBFBF" w:themeFill="background1" w:themeFillShade="BF"/>
            <w:noWrap/>
            <w:vAlign w:val="center"/>
            <w:hideMark/>
          </w:tcPr>
          <w:p w14:paraId="0EB68F92"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12,972</w:t>
            </w:r>
          </w:p>
        </w:tc>
        <w:tc>
          <w:tcPr>
            <w:tcW w:w="655" w:type="pct"/>
            <w:shd w:val="clear" w:color="auto" w:fill="BFBFBF" w:themeFill="background1" w:themeFillShade="BF"/>
            <w:noWrap/>
            <w:vAlign w:val="center"/>
            <w:hideMark/>
          </w:tcPr>
          <w:p w14:paraId="0CAE8F8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14,627</w:t>
            </w:r>
          </w:p>
        </w:tc>
        <w:tc>
          <w:tcPr>
            <w:tcW w:w="671" w:type="pct"/>
            <w:tcBorders>
              <w:right w:val="dashSmallGap" w:sz="4" w:space="0" w:color="auto"/>
            </w:tcBorders>
            <w:shd w:val="clear" w:color="auto" w:fill="BFBFBF" w:themeFill="background1" w:themeFillShade="BF"/>
            <w:noWrap/>
            <w:vAlign w:val="center"/>
            <w:hideMark/>
          </w:tcPr>
          <w:p w14:paraId="1FC536C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16,006</w:t>
            </w:r>
          </w:p>
        </w:tc>
        <w:tc>
          <w:tcPr>
            <w:tcW w:w="645" w:type="pct"/>
            <w:tcBorders>
              <w:left w:val="dashSmallGap" w:sz="4" w:space="0" w:color="auto"/>
              <w:right w:val="single" w:sz="4" w:space="0" w:color="auto"/>
            </w:tcBorders>
            <w:shd w:val="clear" w:color="auto" w:fill="BFBFBF" w:themeFill="background1" w:themeFillShade="BF"/>
            <w:noWrap/>
            <w:vAlign w:val="center"/>
            <w:hideMark/>
          </w:tcPr>
          <w:p w14:paraId="6BD3A9D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27,799</w:t>
            </w:r>
          </w:p>
        </w:tc>
        <w:tc>
          <w:tcPr>
            <w:tcW w:w="605" w:type="pct"/>
            <w:tcBorders>
              <w:left w:val="single" w:sz="4" w:space="0" w:color="auto"/>
            </w:tcBorders>
            <w:shd w:val="clear" w:color="auto" w:fill="BFBFBF" w:themeFill="background1" w:themeFillShade="BF"/>
            <w:noWrap/>
            <w:vAlign w:val="center"/>
            <w:hideMark/>
          </w:tcPr>
          <w:p w14:paraId="322686E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54,968</w:t>
            </w:r>
          </w:p>
        </w:tc>
      </w:tr>
      <w:tr w:rsidR="00A27D6B" w:rsidRPr="007F6332" w14:paraId="77E7AF5A" w14:textId="77777777" w:rsidTr="00C1755E">
        <w:trPr>
          <w:trHeight w:val="204"/>
        </w:trPr>
        <w:tc>
          <w:tcPr>
            <w:tcW w:w="1167" w:type="pct"/>
            <w:shd w:val="clear" w:color="auto" w:fill="auto"/>
            <w:noWrap/>
            <w:vAlign w:val="center"/>
            <w:hideMark/>
          </w:tcPr>
          <w:p w14:paraId="28ED3112" w14:textId="30070154" w:rsidR="00653D3D" w:rsidRPr="007F6332" w:rsidRDefault="00B724CC"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June 2022 projections</w:t>
            </w:r>
            <w:r w:rsidR="00653D3D" w:rsidRPr="007F6332">
              <w:rPr>
                <w:rFonts w:eastAsia="Times New Roman" w:cs="Arial"/>
                <w:color w:val="000000"/>
                <w:sz w:val="20"/>
                <w:szCs w:val="20"/>
                <w:lang w:eastAsia="en-AU"/>
              </w:rPr>
              <w:t xml:space="preserve"> Non-SIL</w:t>
            </w:r>
          </w:p>
        </w:tc>
        <w:tc>
          <w:tcPr>
            <w:tcW w:w="623" w:type="pct"/>
            <w:gridSpan w:val="2"/>
            <w:shd w:val="clear" w:color="auto" w:fill="auto"/>
            <w:noWrap/>
            <w:vAlign w:val="center"/>
            <w:hideMark/>
          </w:tcPr>
          <w:p w14:paraId="2E803E8E"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26,205</w:t>
            </w:r>
          </w:p>
        </w:tc>
        <w:tc>
          <w:tcPr>
            <w:tcW w:w="634" w:type="pct"/>
            <w:shd w:val="clear" w:color="auto" w:fill="auto"/>
            <w:noWrap/>
            <w:vAlign w:val="center"/>
            <w:hideMark/>
          </w:tcPr>
          <w:p w14:paraId="08EC9E3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30,491</w:t>
            </w:r>
          </w:p>
        </w:tc>
        <w:tc>
          <w:tcPr>
            <w:tcW w:w="655" w:type="pct"/>
            <w:shd w:val="clear" w:color="auto" w:fill="auto"/>
            <w:noWrap/>
            <w:vAlign w:val="center"/>
            <w:hideMark/>
          </w:tcPr>
          <w:p w14:paraId="787E422C"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34,972</w:t>
            </w:r>
          </w:p>
        </w:tc>
        <w:tc>
          <w:tcPr>
            <w:tcW w:w="671" w:type="pct"/>
            <w:tcBorders>
              <w:right w:val="dashSmallGap" w:sz="4" w:space="0" w:color="auto"/>
            </w:tcBorders>
            <w:shd w:val="clear" w:color="auto" w:fill="auto"/>
            <w:noWrap/>
            <w:vAlign w:val="center"/>
            <w:hideMark/>
          </w:tcPr>
          <w:p w14:paraId="1EBD99E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38,684</w:t>
            </w:r>
          </w:p>
        </w:tc>
        <w:tc>
          <w:tcPr>
            <w:tcW w:w="645" w:type="pct"/>
            <w:tcBorders>
              <w:left w:val="dashSmallGap" w:sz="4" w:space="0" w:color="auto"/>
              <w:right w:val="single" w:sz="4" w:space="0" w:color="auto"/>
            </w:tcBorders>
            <w:shd w:val="clear" w:color="auto" w:fill="auto"/>
            <w:noWrap/>
            <w:vAlign w:val="center"/>
            <w:hideMark/>
          </w:tcPr>
          <w:p w14:paraId="6AC61FF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67,737</w:t>
            </w:r>
          </w:p>
        </w:tc>
        <w:tc>
          <w:tcPr>
            <w:tcW w:w="605" w:type="pct"/>
            <w:tcBorders>
              <w:left w:val="single" w:sz="4" w:space="0" w:color="auto"/>
            </w:tcBorders>
            <w:shd w:val="clear" w:color="auto" w:fill="auto"/>
            <w:noWrap/>
            <w:vAlign w:val="center"/>
            <w:hideMark/>
          </w:tcPr>
          <w:p w14:paraId="4DC41F0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130,351</w:t>
            </w:r>
          </w:p>
        </w:tc>
      </w:tr>
      <w:tr w:rsidR="003C7D2A" w:rsidRPr="007F6332" w14:paraId="7FD7F663" w14:textId="77777777" w:rsidTr="00C1755E">
        <w:trPr>
          <w:trHeight w:val="204"/>
        </w:trPr>
        <w:tc>
          <w:tcPr>
            <w:tcW w:w="1167" w:type="pct"/>
            <w:shd w:val="clear" w:color="auto" w:fill="B499B7"/>
            <w:noWrap/>
            <w:vAlign w:val="center"/>
            <w:hideMark/>
          </w:tcPr>
          <w:p w14:paraId="0E3EFF0B" w14:textId="77777777"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w:t>
            </w:r>
          </w:p>
        </w:tc>
        <w:tc>
          <w:tcPr>
            <w:tcW w:w="623" w:type="pct"/>
            <w:gridSpan w:val="2"/>
            <w:shd w:val="clear" w:color="auto" w:fill="B499B7"/>
            <w:noWrap/>
            <w:vAlign w:val="center"/>
            <w:hideMark/>
          </w:tcPr>
          <w:p w14:paraId="21CAF97A"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37,568</w:t>
            </w:r>
          </w:p>
        </w:tc>
        <w:tc>
          <w:tcPr>
            <w:tcW w:w="634" w:type="pct"/>
            <w:shd w:val="clear" w:color="auto" w:fill="B499B7"/>
            <w:noWrap/>
            <w:vAlign w:val="center"/>
            <w:hideMark/>
          </w:tcPr>
          <w:p w14:paraId="02D184CE"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43,463</w:t>
            </w:r>
          </w:p>
        </w:tc>
        <w:tc>
          <w:tcPr>
            <w:tcW w:w="655" w:type="pct"/>
            <w:shd w:val="clear" w:color="auto" w:fill="B499B7"/>
            <w:noWrap/>
            <w:vAlign w:val="center"/>
            <w:hideMark/>
          </w:tcPr>
          <w:p w14:paraId="3AE09140"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49,599</w:t>
            </w:r>
          </w:p>
        </w:tc>
        <w:tc>
          <w:tcPr>
            <w:tcW w:w="671" w:type="pct"/>
            <w:tcBorders>
              <w:right w:val="dashSmallGap" w:sz="4" w:space="0" w:color="auto"/>
            </w:tcBorders>
            <w:shd w:val="clear" w:color="auto" w:fill="B499B7"/>
            <w:noWrap/>
            <w:vAlign w:val="center"/>
            <w:hideMark/>
          </w:tcPr>
          <w:p w14:paraId="543129DB"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54,690</w:t>
            </w:r>
          </w:p>
        </w:tc>
        <w:tc>
          <w:tcPr>
            <w:tcW w:w="645" w:type="pct"/>
            <w:tcBorders>
              <w:left w:val="dashSmallGap" w:sz="4" w:space="0" w:color="auto"/>
              <w:right w:val="single" w:sz="4" w:space="0" w:color="auto"/>
            </w:tcBorders>
            <w:shd w:val="clear" w:color="auto" w:fill="B499B7"/>
            <w:noWrap/>
            <w:vAlign w:val="center"/>
            <w:hideMark/>
          </w:tcPr>
          <w:p w14:paraId="7D1F8CB9"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95,536</w:t>
            </w:r>
          </w:p>
        </w:tc>
        <w:tc>
          <w:tcPr>
            <w:tcW w:w="605" w:type="pct"/>
            <w:tcBorders>
              <w:left w:val="single" w:sz="4" w:space="0" w:color="auto"/>
            </w:tcBorders>
            <w:shd w:val="clear" w:color="auto" w:fill="B499B7"/>
            <w:noWrap/>
            <w:vAlign w:val="center"/>
            <w:hideMark/>
          </w:tcPr>
          <w:p w14:paraId="3E669110"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185,319</w:t>
            </w:r>
          </w:p>
        </w:tc>
      </w:tr>
      <w:tr w:rsidR="003C7D2A" w:rsidRPr="007F6332" w14:paraId="7000E1E8" w14:textId="77777777" w:rsidTr="00C1755E">
        <w:trPr>
          <w:trHeight w:val="204"/>
        </w:trPr>
        <w:tc>
          <w:tcPr>
            <w:tcW w:w="1167" w:type="pct"/>
            <w:shd w:val="clear" w:color="auto" w:fill="BFBFBF" w:themeFill="background1" w:themeFillShade="BF"/>
            <w:noWrap/>
            <w:vAlign w:val="center"/>
            <w:hideMark/>
          </w:tcPr>
          <w:p w14:paraId="1B144388" w14:textId="77777777" w:rsidR="00653D3D" w:rsidRPr="007F6332" w:rsidRDefault="00653D3D"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Difference</w:t>
            </w:r>
            <w:r w:rsidRPr="007F6332">
              <w:rPr>
                <w:rFonts w:eastAsia="Times New Roman" w:cs="Arial"/>
                <w:color w:val="000000"/>
                <w:sz w:val="20"/>
                <w:szCs w:val="20"/>
                <w:lang w:eastAsia="en-AU"/>
              </w:rPr>
              <w:t xml:space="preserve"> SIL</w:t>
            </w:r>
          </w:p>
        </w:tc>
        <w:tc>
          <w:tcPr>
            <w:tcW w:w="623" w:type="pct"/>
            <w:gridSpan w:val="2"/>
            <w:shd w:val="clear" w:color="auto" w:fill="BFBFBF" w:themeFill="background1" w:themeFillShade="BF"/>
            <w:noWrap/>
            <w:vAlign w:val="center"/>
            <w:hideMark/>
          </w:tcPr>
          <w:p w14:paraId="736F6CC7" w14:textId="77777777" w:rsidR="00653D3D" w:rsidRPr="007F6332" w:rsidRDefault="00653D3D" w:rsidP="00FF77CD">
            <w:pPr>
              <w:spacing w:after="0" w:line="240" w:lineRule="auto"/>
              <w:jc w:val="right"/>
              <w:rPr>
                <w:rFonts w:eastAsia="Times New Roman" w:cs="Arial"/>
                <w:sz w:val="20"/>
                <w:szCs w:val="20"/>
                <w:lang w:eastAsia="en-AU"/>
              </w:rPr>
            </w:pPr>
            <w:r w:rsidRPr="007F6332">
              <w:rPr>
                <w:rFonts w:eastAsia="Times New Roman" w:cs="Arial"/>
                <w:sz w:val="20"/>
                <w:szCs w:val="20"/>
                <w:lang w:eastAsia="en-AU"/>
              </w:rPr>
              <w:t>2,778</w:t>
            </w:r>
          </w:p>
        </w:tc>
        <w:tc>
          <w:tcPr>
            <w:tcW w:w="634" w:type="pct"/>
            <w:shd w:val="clear" w:color="auto" w:fill="BFBFBF" w:themeFill="background1" w:themeFillShade="BF"/>
            <w:noWrap/>
            <w:vAlign w:val="center"/>
            <w:hideMark/>
          </w:tcPr>
          <w:p w14:paraId="14AD0D3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3,403</w:t>
            </w:r>
          </w:p>
        </w:tc>
        <w:tc>
          <w:tcPr>
            <w:tcW w:w="655" w:type="pct"/>
            <w:shd w:val="clear" w:color="auto" w:fill="BFBFBF" w:themeFill="background1" w:themeFillShade="BF"/>
            <w:noWrap/>
            <w:vAlign w:val="center"/>
            <w:hideMark/>
          </w:tcPr>
          <w:p w14:paraId="4DE1122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3,589</w:t>
            </w:r>
          </w:p>
        </w:tc>
        <w:tc>
          <w:tcPr>
            <w:tcW w:w="671" w:type="pct"/>
            <w:tcBorders>
              <w:right w:val="dashSmallGap" w:sz="4" w:space="0" w:color="auto"/>
            </w:tcBorders>
            <w:shd w:val="clear" w:color="auto" w:fill="BFBFBF" w:themeFill="background1" w:themeFillShade="BF"/>
            <w:noWrap/>
            <w:vAlign w:val="center"/>
            <w:hideMark/>
          </w:tcPr>
          <w:p w14:paraId="4E82693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3,811</w:t>
            </w:r>
          </w:p>
        </w:tc>
        <w:tc>
          <w:tcPr>
            <w:tcW w:w="645" w:type="pct"/>
            <w:tcBorders>
              <w:left w:val="dashSmallGap" w:sz="4" w:space="0" w:color="auto"/>
              <w:right w:val="single" w:sz="4" w:space="0" w:color="auto"/>
            </w:tcBorders>
            <w:shd w:val="clear" w:color="auto" w:fill="BFBFBF" w:themeFill="background1" w:themeFillShade="BF"/>
            <w:noWrap/>
            <w:vAlign w:val="center"/>
            <w:hideMark/>
          </w:tcPr>
          <w:p w14:paraId="7C0A3C6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4,637</w:t>
            </w:r>
          </w:p>
        </w:tc>
        <w:tc>
          <w:tcPr>
            <w:tcW w:w="605" w:type="pct"/>
            <w:tcBorders>
              <w:left w:val="single" w:sz="4" w:space="0" w:color="auto"/>
            </w:tcBorders>
            <w:shd w:val="clear" w:color="auto" w:fill="BFBFBF" w:themeFill="background1" w:themeFillShade="BF"/>
            <w:noWrap/>
            <w:vAlign w:val="center"/>
            <w:hideMark/>
          </w:tcPr>
          <w:p w14:paraId="2FBC9084"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13,580</w:t>
            </w:r>
          </w:p>
        </w:tc>
      </w:tr>
      <w:tr w:rsidR="00A27D6B" w:rsidRPr="007F6332" w14:paraId="4F20FD0F" w14:textId="77777777" w:rsidTr="00C1755E">
        <w:trPr>
          <w:trHeight w:val="204"/>
        </w:trPr>
        <w:tc>
          <w:tcPr>
            <w:tcW w:w="1167" w:type="pct"/>
            <w:shd w:val="clear" w:color="auto" w:fill="auto"/>
            <w:noWrap/>
            <w:vAlign w:val="center"/>
            <w:hideMark/>
          </w:tcPr>
          <w:p w14:paraId="6CE765D5" w14:textId="77777777" w:rsidR="00653D3D" w:rsidRPr="007F6332" w:rsidRDefault="00653D3D"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Difference</w:t>
            </w:r>
            <w:r w:rsidRPr="007F6332">
              <w:rPr>
                <w:rFonts w:eastAsia="Times New Roman" w:cs="Arial"/>
                <w:color w:val="000000"/>
                <w:sz w:val="20"/>
                <w:szCs w:val="20"/>
                <w:lang w:eastAsia="en-AU"/>
              </w:rPr>
              <w:t xml:space="preserve"> Non-SIL</w:t>
            </w:r>
          </w:p>
        </w:tc>
        <w:tc>
          <w:tcPr>
            <w:tcW w:w="623" w:type="pct"/>
            <w:gridSpan w:val="2"/>
            <w:shd w:val="clear" w:color="auto" w:fill="auto"/>
            <w:noWrap/>
            <w:vAlign w:val="center"/>
            <w:hideMark/>
          </w:tcPr>
          <w:p w14:paraId="043A9398"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568</w:t>
            </w:r>
          </w:p>
        </w:tc>
        <w:tc>
          <w:tcPr>
            <w:tcW w:w="634" w:type="pct"/>
            <w:shd w:val="clear" w:color="auto" w:fill="auto"/>
            <w:noWrap/>
            <w:vAlign w:val="center"/>
            <w:hideMark/>
          </w:tcPr>
          <w:p w14:paraId="563CE165"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-990</w:t>
            </w:r>
          </w:p>
        </w:tc>
        <w:tc>
          <w:tcPr>
            <w:tcW w:w="655" w:type="pct"/>
            <w:shd w:val="clear" w:color="auto" w:fill="auto"/>
            <w:noWrap/>
            <w:vAlign w:val="center"/>
            <w:hideMark/>
          </w:tcPr>
          <w:p w14:paraId="789FBBD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-2,949</w:t>
            </w:r>
          </w:p>
        </w:tc>
        <w:tc>
          <w:tcPr>
            <w:tcW w:w="671" w:type="pct"/>
            <w:tcBorders>
              <w:right w:val="dashSmallGap" w:sz="4" w:space="0" w:color="auto"/>
            </w:tcBorders>
            <w:shd w:val="clear" w:color="auto" w:fill="auto"/>
            <w:noWrap/>
            <w:vAlign w:val="center"/>
            <w:hideMark/>
          </w:tcPr>
          <w:p w14:paraId="22F68412"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-3,891</w:t>
            </w:r>
          </w:p>
        </w:tc>
        <w:tc>
          <w:tcPr>
            <w:tcW w:w="645" w:type="pct"/>
            <w:tcBorders>
              <w:left w:val="dashSmallGap" w:sz="4" w:space="0" w:color="auto"/>
              <w:right w:val="single" w:sz="4" w:space="0" w:color="auto"/>
            </w:tcBorders>
            <w:shd w:val="clear" w:color="auto" w:fill="auto"/>
            <w:noWrap/>
            <w:vAlign w:val="center"/>
            <w:hideMark/>
          </w:tcPr>
          <w:p w14:paraId="66357357"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-8,851</w:t>
            </w:r>
          </w:p>
        </w:tc>
        <w:tc>
          <w:tcPr>
            <w:tcW w:w="605" w:type="pct"/>
            <w:tcBorders>
              <w:left w:val="single" w:sz="4" w:space="0" w:color="auto"/>
            </w:tcBorders>
            <w:shd w:val="clear" w:color="auto" w:fill="auto"/>
            <w:noWrap/>
            <w:vAlign w:val="center"/>
            <w:hideMark/>
          </w:tcPr>
          <w:p w14:paraId="2B96B16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-7,262</w:t>
            </w:r>
          </w:p>
        </w:tc>
      </w:tr>
      <w:tr w:rsidR="002E0D4A" w:rsidRPr="007F6332" w14:paraId="6EB82084" w14:textId="77777777" w:rsidTr="00C1755E">
        <w:trPr>
          <w:trHeight w:val="204"/>
        </w:trPr>
        <w:tc>
          <w:tcPr>
            <w:tcW w:w="1167" w:type="pct"/>
            <w:shd w:val="clear" w:color="auto" w:fill="B499B7"/>
            <w:noWrap/>
            <w:vAlign w:val="center"/>
            <w:hideMark/>
          </w:tcPr>
          <w:p w14:paraId="3F990237" w14:textId="77777777"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w:t>
            </w:r>
          </w:p>
        </w:tc>
        <w:tc>
          <w:tcPr>
            <w:tcW w:w="623" w:type="pct"/>
            <w:gridSpan w:val="2"/>
            <w:shd w:val="clear" w:color="auto" w:fill="B499B7"/>
            <w:noWrap/>
            <w:vAlign w:val="center"/>
            <w:hideMark/>
          </w:tcPr>
          <w:p w14:paraId="6BF6C2AE"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3,346</w:t>
            </w:r>
          </w:p>
        </w:tc>
        <w:tc>
          <w:tcPr>
            <w:tcW w:w="634" w:type="pct"/>
            <w:shd w:val="clear" w:color="auto" w:fill="B499B7"/>
            <w:noWrap/>
            <w:vAlign w:val="center"/>
            <w:hideMark/>
          </w:tcPr>
          <w:p w14:paraId="74979115"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2,413</w:t>
            </w:r>
          </w:p>
        </w:tc>
        <w:tc>
          <w:tcPr>
            <w:tcW w:w="655" w:type="pct"/>
            <w:shd w:val="clear" w:color="auto" w:fill="B499B7"/>
            <w:noWrap/>
            <w:vAlign w:val="center"/>
            <w:hideMark/>
          </w:tcPr>
          <w:p w14:paraId="75A5C6D7"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640</w:t>
            </w:r>
          </w:p>
        </w:tc>
        <w:tc>
          <w:tcPr>
            <w:tcW w:w="671" w:type="pct"/>
            <w:tcBorders>
              <w:right w:val="dashSmallGap" w:sz="4" w:space="0" w:color="auto"/>
            </w:tcBorders>
            <w:shd w:val="clear" w:color="auto" w:fill="B499B7"/>
            <w:noWrap/>
            <w:vAlign w:val="center"/>
            <w:hideMark/>
          </w:tcPr>
          <w:p w14:paraId="73CA1BD1"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-80</w:t>
            </w:r>
          </w:p>
        </w:tc>
        <w:tc>
          <w:tcPr>
            <w:tcW w:w="645" w:type="pct"/>
            <w:tcBorders>
              <w:left w:val="dashSmallGap" w:sz="4" w:space="0" w:color="auto"/>
              <w:right w:val="single" w:sz="4" w:space="0" w:color="auto"/>
            </w:tcBorders>
            <w:shd w:val="clear" w:color="auto" w:fill="B499B7"/>
            <w:noWrap/>
            <w:vAlign w:val="center"/>
            <w:hideMark/>
          </w:tcPr>
          <w:p w14:paraId="2B9A088E"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-4,214</w:t>
            </w:r>
          </w:p>
        </w:tc>
        <w:tc>
          <w:tcPr>
            <w:tcW w:w="605" w:type="pct"/>
            <w:tcBorders>
              <w:left w:val="single" w:sz="4" w:space="0" w:color="auto"/>
            </w:tcBorders>
            <w:shd w:val="clear" w:color="auto" w:fill="B499B7"/>
            <w:noWrap/>
            <w:vAlign w:val="center"/>
            <w:hideMark/>
          </w:tcPr>
          <w:p w14:paraId="4F46EB27"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6,319</w:t>
            </w:r>
          </w:p>
        </w:tc>
      </w:tr>
      <w:tr w:rsidR="003C7D2A" w:rsidRPr="007F6332" w14:paraId="340BB6FD" w14:textId="77777777" w:rsidTr="00C1755E">
        <w:trPr>
          <w:trHeight w:val="204"/>
        </w:trPr>
        <w:tc>
          <w:tcPr>
            <w:tcW w:w="1167" w:type="pct"/>
            <w:shd w:val="clear" w:color="auto" w:fill="BFBFBF" w:themeFill="background1" w:themeFillShade="BF"/>
            <w:noWrap/>
            <w:vAlign w:val="center"/>
            <w:hideMark/>
          </w:tcPr>
          <w:p w14:paraId="28C450A1" w14:textId="77777777" w:rsidR="00653D3D" w:rsidRPr="007F6332" w:rsidRDefault="00653D3D"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 Difference</w:t>
            </w:r>
            <w:r w:rsidRPr="007F6332">
              <w:rPr>
                <w:rFonts w:eastAsia="Times New Roman" w:cs="Arial"/>
                <w:color w:val="000000"/>
                <w:sz w:val="20"/>
                <w:szCs w:val="20"/>
                <w:lang w:eastAsia="en-AU"/>
              </w:rPr>
              <w:t xml:space="preserve"> SIL</w:t>
            </w:r>
          </w:p>
        </w:tc>
        <w:tc>
          <w:tcPr>
            <w:tcW w:w="623" w:type="pct"/>
            <w:gridSpan w:val="2"/>
            <w:shd w:val="clear" w:color="auto" w:fill="BFBFBF" w:themeFill="background1" w:themeFillShade="BF"/>
            <w:noWrap/>
            <w:vAlign w:val="center"/>
            <w:hideMark/>
          </w:tcPr>
          <w:p w14:paraId="0E5600E4" w14:textId="77777777" w:rsidR="00653D3D" w:rsidRPr="007F6332" w:rsidRDefault="00653D3D" w:rsidP="00FF77CD">
            <w:pPr>
              <w:spacing w:after="0" w:line="240" w:lineRule="auto"/>
              <w:jc w:val="right"/>
              <w:rPr>
                <w:rFonts w:eastAsia="Times New Roman" w:cs="Arial"/>
                <w:sz w:val="20"/>
                <w:szCs w:val="20"/>
                <w:lang w:eastAsia="en-AU"/>
              </w:rPr>
            </w:pPr>
            <w:r w:rsidRPr="007F6332">
              <w:rPr>
                <w:rFonts w:eastAsia="Times New Roman" w:cs="Arial"/>
                <w:sz w:val="20"/>
                <w:szCs w:val="20"/>
                <w:lang w:eastAsia="en-AU"/>
              </w:rPr>
              <w:t>24%</w:t>
            </w:r>
          </w:p>
        </w:tc>
        <w:tc>
          <w:tcPr>
            <w:tcW w:w="634" w:type="pct"/>
            <w:shd w:val="clear" w:color="auto" w:fill="BFBFBF" w:themeFill="background1" w:themeFillShade="BF"/>
            <w:noWrap/>
            <w:vAlign w:val="center"/>
            <w:hideMark/>
          </w:tcPr>
          <w:p w14:paraId="146CDA7C"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26%</w:t>
            </w:r>
          </w:p>
        </w:tc>
        <w:tc>
          <w:tcPr>
            <w:tcW w:w="655" w:type="pct"/>
            <w:shd w:val="clear" w:color="auto" w:fill="BFBFBF" w:themeFill="background1" w:themeFillShade="BF"/>
            <w:noWrap/>
            <w:vAlign w:val="center"/>
            <w:hideMark/>
          </w:tcPr>
          <w:p w14:paraId="2F068E9B"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25%</w:t>
            </w:r>
          </w:p>
        </w:tc>
        <w:tc>
          <w:tcPr>
            <w:tcW w:w="671" w:type="pct"/>
            <w:tcBorders>
              <w:right w:val="dashSmallGap" w:sz="4" w:space="0" w:color="auto"/>
            </w:tcBorders>
            <w:shd w:val="clear" w:color="auto" w:fill="BFBFBF" w:themeFill="background1" w:themeFillShade="BF"/>
            <w:noWrap/>
            <w:vAlign w:val="center"/>
            <w:hideMark/>
          </w:tcPr>
          <w:p w14:paraId="299995B2"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24%</w:t>
            </w:r>
          </w:p>
        </w:tc>
        <w:tc>
          <w:tcPr>
            <w:tcW w:w="645" w:type="pct"/>
            <w:tcBorders>
              <w:left w:val="dashSmallGap" w:sz="4" w:space="0" w:color="auto"/>
              <w:right w:val="single" w:sz="4" w:space="0" w:color="auto"/>
            </w:tcBorders>
            <w:shd w:val="clear" w:color="auto" w:fill="BFBFBF" w:themeFill="background1" w:themeFillShade="BF"/>
            <w:noWrap/>
            <w:vAlign w:val="center"/>
            <w:hideMark/>
          </w:tcPr>
          <w:p w14:paraId="041088C9"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17%</w:t>
            </w:r>
          </w:p>
        </w:tc>
        <w:tc>
          <w:tcPr>
            <w:tcW w:w="605" w:type="pct"/>
            <w:tcBorders>
              <w:left w:val="single" w:sz="4" w:space="0" w:color="auto"/>
            </w:tcBorders>
            <w:shd w:val="clear" w:color="auto" w:fill="BFBFBF" w:themeFill="background1" w:themeFillShade="BF"/>
            <w:noWrap/>
            <w:vAlign w:val="center"/>
            <w:hideMark/>
          </w:tcPr>
          <w:p w14:paraId="095C4690"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25%</w:t>
            </w:r>
          </w:p>
        </w:tc>
      </w:tr>
      <w:tr w:rsidR="00A27D6B" w:rsidRPr="007F6332" w14:paraId="7843E1A9" w14:textId="77777777" w:rsidTr="00C1755E">
        <w:trPr>
          <w:trHeight w:val="204"/>
        </w:trPr>
        <w:tc>
          <w:tcPr>
            <w:tcW w:w="1167" w:type="pct"/>
            <w:shd w:val="clear" w:color="auto" w:fill="auto"/>
            <w:noWrap/>
            <w:vAlign w:val="center"/>
            <w:hideMark/>
          </w:tcPr>
          <w:p w14:paraId="4077D5FC" w14:textId="77777777" w:rsidR="00653D3D" w:rsidRPr="007F6332" w:rsidRDefault="00653D3D" w:rsidP="00FF77CD">
            <w:pPr>
              <w:spacing w:after="0" w:line="240" w:lineRule="auto"/>
              <w:rPr>
                <w:rFonts w:eastAsia="Times New Roman" w:cs="Arial"/>
                <w:color w:val="000000"/>
                <w:sz w:val="20"/>
                <w:szCs w:val="20"/>
                <w:lang w:eastAsia="en-AU"/>
              </w:rPr>
            </w:pPr>
            <w:r w:rsidRPr="007F6332">
              <w:rPr>
                <w:rFonts w:eastAsia="Times New Roman" w:cs="Arial"/>
                <w:b/>
                <w:bCs/>
                <w:color w:val="000000"/>
                <w:sz w:val="20"/>
                <w:szCs w:val="20"/>
                <w:lang w:eastAsia="en-AU"/>
              </w:rPr>
              <w:t>% Difference</w:t>
            </w:r>
            <w:r w:rsidRPr="007F6332">
              <w:rPr>
                <w:rFonts w:eastAsia="Times New Roman" w:cs="Arial"/>
                <w:color w:val="000000"/>
                <w:sz w:val="20"/>
                <w:szCs w:val="20"/>
                <w:lang w:eastAsia="en-AU"/>
              </w:rPr>
              <w:t xml:space="preserve"> Non-SIL</w:t>
            </w:r>
          </w:p>
        </w:tc>
        <w:tc>
          <w:tcPr>
            <w:tcW w:w="623" w:type="pct"/>
            <w:gridSpan w:val="2"/>
            <w:shd w:val="clear" w:color="auto" w:fill="auto"/>
            <w:noWrap/>
            <w:vAlign w:val="center"/>
            <w:hideMark/>
          </w:tcPr>
          <w:p w14:paraId="505908BA"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w:t>
            </w:r>
          </w:p>
        </w:tc>
        <w:tc>
          <w:tcPr>
            <w:tcW w:w="634" w:type="pct"/>
            <w:shd w:val="clear" w:color="auto" w:fill="auto"/>
            <w:noWrap/>
            <w:vAlign w:val="center"/>
            <w:hideMark/>
          </w:tcPr>
          <w:p w14:paraId="02B09BCB"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w:t>
            </w:r>
          </w:p>
        </w:tc>
        <w:tc>
          <w:tcPr>
            <w:tcW w:w="655" w:type="pct"/>
            <w:shd w:val="clear" w:color="auto" w:fill="auto"/>
            <w:noWrap/>
            <w:vAlign w:val="center"/>
            <w:hideMark/>
          </w:tcPr>
          <w:p w14:paraId="4C557484"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-8%</w:t>
            </w:r>
          </w:p>
        </w:tc>
        <w:tc>
          <w:tcPr>
            <w:tcW w:w="671" w:type="pct"/>
            <w:tcBorders>
              <w:right w:val="dashSmallGap" w:sz="4" w:space="0" w:color="auto"/>
            </w:tcBorders>
            <w:shd w:val="clear" w:color="auto" w:fill="auto"/>
            <w:noWrap/>
            <w:vAlign w:val="center"/>
            <w:hideMark/>
          </w:tcPr>
          <w:p w14:paraId="0563C786"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-10%</w:t>
            </w:r>
          </w:p>
        </w:tc>
        <w:tc>
          <w:tcPr>
            <w:tcW w:w="645" w:type="pct"/>
            <w:tcBorders>
              <w:left w:val="dashSmallGap" w:sz="4" w:space="0" w:color="auto"/>
              <w:right w:val="single" w:sz="4" w:space="0" w:color="auto"/>
            </w:tcBorders>
            <w:shd w:val="clear" w:color="auto" w:fill="auto"/>
            <w:noWrap/>
            <w:vAlign w:val="center"/>
            <w:hideMark/>
          </w:tcPr>
          <w:p w14:paraId="5FEA0272"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-13%</w:t>
            </w:r>
          </w:p>
        </w:tc>
        <w:tc>
          <w:tcPr>
            <w:tcW w:w="605" w:type="pct"/>
            <w:tcBorders>
              <w:left w:val="single" w:sz="4" w:space="0" w:color="auto"/>
            </w:tcBorders>
            <w:shd w:val="clear" w:color="auto" w:fill="auto"/>
            <w:noWrap/>
            <w:vAlign w:val="center"/>
            <w:hideMark/>
          </w:tcPr>
          <w:p w14:paraId="2F6CB40B" w14:textId="77777777" w:rsidR="00653D3D" w:rsidRPr="007F6332" w:rsidRDefault="00653D3D" w:rsidP="00FF77CD">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w:t>
            </w:r>
          </w:p>
        </w:tc>
      </w:tr>
      <w:tr w:rsidR="002E0D4A" w:rsidRPr="007F6332" w14:paraId="30EE5607" w14:textId="77777777" w:rsidTr="00C1755E">
        <w:trPr>
          <w:trHeight w:val="204"/>
        </w:trPr>
        <w:tc>
          <w:tcPr>
            <w:tcW w:w="1484" w:type="pct"/>
            <w:gridSpan w:val="2"/>
            <w:tcBorders>
              <w:bottom w:val="single" w:sz="4" w:space="0" w:color="auto"/>
            </w:tcBorders>
            <w:shd w:val="clear" w:color="auto" w:fill="B499B7"/>
            <w:noWrap/>
            <w:vAlign w:val="center"/>
            <w:hideMark/>
          </w:tcPr>
          <w:p w14:paraId="5F34FE2A" w14:textId="77777777" w:rsidR="00653D3D" w:rsidRPr="007F6332" w:rsidRDefault="00653D3D" w:rsidP="00FF77CD">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w:t>
            </w:r>
          </w:p>
        </w:tc>
        <w:tc>
          <w:tcPr>
            <w:tcW w:w="307" w:type="pct"/>
            <w:tcBorders>
              <w:bottom w:val="single" w:sz="4" w:space="0" w:color="auto"/>
            </w:tcBorders>
            <w:shd w:val="clear" w:color="auto" w:fill="B499B7"/>
            <w:noWrap/>
            <w:vAlign w:val="center"/>
            <w:hideMark/>
          </w:tcPr>
          <w:p w14:paraId="0F076F25" w14:textId="0CDD2865"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9%</w:t>
            </w:r>
          </w:p>
        </w:tc>
        <w:tc>
          <w:tcPr>
            <w:tcW w:w="634" w:type="pct"/>
            <w:tcBorders>
              <w:bottom w:val="single" w:sz="4" w:space="0" w:color="auto"/>
            </w:tcBorders>
            <w:shd w:val="clear" w:color="auto" w:fill="B499B7"/>
            <w:noWrap/>
            <w:vAlign w:val="center"/>
            <w:hideMark/>
          </w:tcPr>
          <w:p w14:paraId="2B3FA8C6"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6%</w:t>
            </w:r>
          </w:p>
        </w:tc>
        <w:tc>
          <w:tcPr>
            <w:tcW w:w="655" w:type="pct"/>
            <w:tcBorders>
              <w:bottom w:val="single" w:sz="4" w:space="0" w:color="auto"/>
            </w:tcBorders>
            <w:shd w:val="clear" w:color="auto" w:fill="B499B7"/>
            <w:noWrap/>
            <w:vAlign w:val="center"/>
            <w:hideMark/>
          </w:tcPr>
          <w:p w14:paraId="443A6E99" w14:textId="3BB21352" w:rsidR="00653D3D" w:rsidRPr="007F6332" w:rsidRDefault="007D4BBD" w:rsidP="00CE7E91">
            <w:pPr>
              <w:spacing w:after="0" w:line="240" w:lineRule="auto"/>
              <w:ind w:left="125"/>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 xml:space="preserve"> </w:t>
            </w:r>
            <w:r w:rsidR="00653D3D" w:rsidRPr="007F6332">
              <w:rPr>
                <w:rFonts w:eastAsia="Times New Roman" w:cs="Arial"/>
                <w:b/>
                <w:bCs/>
                <w:color w:val="000000"/>
                <w:sz w:val="20"/>
                <w:szCs w:val="20"/>
                <w:lang w:eastAsia="en-AU"/>
              </w:rPr>
              <w:t>1%</w:t>
            </w:r>
          </w:p>
        </w:tc>
        <w:tc>
          <w:tcPr>
            <w:tcW w:w="671" w:type="pct"/>
            <w:tcBorders>
              <w:bottom w:val="single" w:sz="4" w:space="0" w:color="auto"/>
              <w:right w:val="dashSmallGap" w:sz="4" w:space="0" w:color="auto"/>
            </w:tcBorders>
            <w:shd w:val="clear" w:color="auto" w:fill="B499B7"/>
            <w:noWrap/>
            <w:vAlign w:val="center"/>
            <w:hideMark/>
          </w:tcPr>
          <w:p w14:paraId="10B1C60B"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0%</w:t>
            </w:r>
          </w:p>
        </w:tc>
        <w:tc>
          <w:tcPr>
            <w:tcW w:w="645" w:type="pct"/>
            <w:tcBorders>
              <w:left w:val="dashSmallGap" w:sz="4" w:space="0" w:color="auto"/>
              <w:bottom w:val="single" w:sz="4" w:space="0" w:color="auto"/>
              <w:right w:val="single" w:sz="4" w:space="0" w:color="auto"/>
            </w:tcBorders>
            <w:shd w:val="clear" w:color="auto" w:fill="B499B7"/>
            <w:noWrap/>
            <w:vAlign w:val="center"/>
            <w:hideMark/>
          </w:tcPr>
          <w:p w14:paraId="0F073B09"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-4%</w:t>
            </w:r>
          </w:p>
        </w:tc>
        <w:tc>
          <w:tcPr>
            <w:tcW w:w="605" w:type="pct"/>
            <w:tcBorders>
              <w:left w:val="single" w:sz="4" w:space="0" w:color="auto"/>
              <w:bottom w:val="single" w:sz="4" w:space="0" w:color="auto"/>
            </w:tcBorders>
            <w:shd w:val="clear" w:color="auto" w:fill="B499B7"/>
            <w:noWrap/>
            <w:vAlign w:val="center"/>
            <w:hideMark/>
          </w:tcPr>
          <w:p w14:paraId="23709419" w14:textId="77777777" w:rsidR="00653D3D" w:rsidRPr="007F6332" w:rsidRDefault="00653D3D" w:rsidP="00FF77CD">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3%</w:t>
            </w:r>
          </w:p>
        </w:tc>
      </w:tr>
    </w:tbl>
    <w:p w14:paraId="387B7F91" w14:textId="77777777" w:rsidR="00F46BA1" w:rsidRPr="007F6332" w:rsidRDefault="00F46BA1" w:rsidP="003C7D2A">
      <w:pPr>
        <w:spacing w:after="120" w:line="240" w:lineRule="auto"/>
        <w:rPr>
          <w:rFonts w:cs="Arial"/>
          <w:b/>
          <w:bCs/>
          <w:color w:val="6B2976"/>
          <w:sz w:val="24"/>
        </w:rPr>
        <w:sectPr w:rsidR="00F46BA1" w:rsidRPr="007F6332" w:rsidSect="00CE7E91">
          <w:pgSz w:w="11906" w:h="16838"/>
          <w:pgMar w:top="1440" w:right="1416" w:bottom="1440" w:left="1440" w:header="708" w:footer="850" w:gutter="0"/>
          <w:cols w:space="708"/>
          <w:titlePg/>
          <w:docGrid w:linePitch="360"/>
        </w:sectPr>
      </w:pPr>
    </w:p>
    <w:p w14:paraId="4267274E" w14:textId="3BE13D08" w:rsidR="00653D3D" w:rsidRPr="007F6332" w:rsidRDefault="00653D3D" w:rsidP="00B45B70">
      <w:pPr>
        <w:pStyle w:val="FSRHeading4"/>
      </w:pPr>
      <w:r w:rsidRPr="007F6332">
        <w:lastRenderedPageBreak/>
        <w:t>Scheme expenses by age band</w:t>
      </w:r>
    </w:p>
    <w:p w14:paraId="0A5BB03C" w14:textId="43E4C69D" w:rsidR="00653D3D" w:rsidRPr="007F6332" w:rsidRDefault="00653D3D" w:rsidP="00B45B70">
      <w:pPr>
        <w:pStyle w:val="FiguresandTablesHeading5"/>
      </w:pPr>
      <w:r w:rsidRPr="007F6332">
        <w:t>Table A.4</w:t>
      </w:r>
      <w:r w:rsidR="006C6D15" w:rsidRPr="007F6332">
        <w:t>:</w:t>
      </w:r>
      <w:r w:rsidRPr="007F6332">
        <w:t xml:space="preserve"> </w:t>
      </w:r>
      <w:r w:rsidR="00332A4E" w:rsidRPr="007F6332">
        <w:t xml:space="preserve">Projection of </w:t>
      </w:r>
      <w:r w:rsidRPr="007F6332">
        <w:t>Scheme expenses by age group (cash basis)</w:t>
      </w:r>
      <w:r w:rsidR="00332A4E" w:rsidRPr="007F6332">
        <w:t xml:space="preserve"> – compared to previous review</w:t>
      </w:r>
    </w:p>
    <w:tbl>
      <w:tblPr>
        <w:tblW w:w="5000" w:type="pct"/>
        <w:tblLayout w:type="fixed"/>
        <w:tblLook w:val="04A0" w:firstRow="1" w:lastRow="0" w:firstColumn="1" w:lastColumn="0" w:noHBand="0" w:noVBand="1"/>
      </w:tblPr>
      <w:tblGrid>
        <w:gridCol w:w="2265"/>
        <w:gridCol w:w="1553"/>
        <w:gridCol w:w="851"/>
        <w:gridCol w:w="1171"/>
        <w:gridCol w:w="1003"/>
        <w:gridCol w:w="1117"/>
        <w:gridCol w:w="1090"/>
      </w:tblGrid>
      <w:tr w:rsidR="00594365" w:rsidRPr="007F6332" w14:paraId="044E32F0" w14:textId="77777777" w:rsidTr="00C1755E">
        <w:trPr>
          <w:trHeight w:val="204"/>
        </w:trPr>
        <w:tc>
          <w:tcPr>
            <w:tcW w:w="1252" w:type="pct"/>
            <w:shd w:val="clear" w:color="000000" w:fill="6B2976"/>
            <w:noWrap/>
            <w:vAlign w:val="center"/>
          </w:tcPr>
          <w:p w14:paraId="7A84998D" w14:textId="77777777" w:rsidR="00653D3D" w:rsidRPr="007F6332" w:rsidRDefault="00653D3D" w:rsidP="00FF77CD">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Scheme expenses ($m, cash basis)</w:t>
            </w:r>
          </w:p>
        </w:tc>
        <w:tc>
          <w:tcPr>
            <w:tcW w:w="858" w:type="pct"/>
            <w:shd w:val="clear" w:color="000000" w:fill="6B2F76"/>
            <w:noWrap/>
            <w:vAlign w:val="center"/>
          </w:tcPr>
          <w:p w14:paraId="39C3ACF4" w14:textId="77777777" w:rsidR="00653D3D" w:rsidRPr="007F6332" w:rsidRDefault="00653D3D" w:rsidP="00541B06">
            <w:pPr>
              <w:spacing w:after="0" w:line="240" w:lineRule="auto"/>
              <w:ind w:left="-185" w:right="-115"/>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470" w:type="pct"/>
            <w:shd w:val="clear" w:color="000000" w:fill="6B2F76"/>
            <w:noWrap/>
            <w:vAlign w:val="center"/>
          </w:tcPr>
          <w:p w14:paraId="78752F8A" w14:textId="77777777" w:rsidR="00653D3D" w:rsidRPr="007F6332" w:rsidRDefault="00653D3D" w:rsidP="00541B06">
            <w:pPr>
              <w:spacing w:after="0" w:line="240" w:lineRule="auto"/>
              <w:ind w:left="-185"/>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625" w:type="pct"/>
            <w:shd w:val="clear" w:color="000000" w:fill="6B2F76"/>
            <w:noWrap/>
            <w:vAlign w:val="center"/>
          </w:tcPr>
          <w:p w14:paraId="050E5594" w14:textId="77777777" w:rsidR="00653D3D" w:rsidRPr="007F6332" w:rsidRDefault="00653D3D" w:rsidP="00541B06">
            <w:pPr>
              <w:spacing w:after="0" w:line="240" w:lineRule="auto"/>
              <w:ind w:left="-265"/>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554" w:type="pct"/>
            <w:tcBorders>
              <w:right w:val="dashSmallGap" w:sz="4" w:space="0" w:color="auto"/>
            </w:tcBorders>
            <w:shd w:val="clear" w:color="000000" w:fill="6B2F76"/>
            <w:noWrap/>
            <w:vAlign w:val="center"/>
          </w:tcPr>
          <w:p w14:paraId="45CAA014" w14:textId="77777777" w:rsidR="00653D3D" w:rsidRPr="007F6332" w:rsidRDefault="00653D3D" w:rsidP="00541B06">
            <w:pPr>
              <w:spacing w:after="0" w:line="240" w:lineRule="auto"/>
              <w:ind w:left="-327"/>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617" w:type="pct"/>
            <w:tcBorders>
              <w:left w:val="dashSmallGap" w:sz="4" w:space="0" w:color="auto"/>
              <w:right w:val="single" w:sz="4" w:space="0" w:color="auto"/>
            </w:tcBorders>
            <w:shd w:val="clear" w:color="000000" w:fill="6B2F76"/>
            <w:noWrap/>
            <w:vAlign w:val="center"/>
          </w:tcPr>
          <w:p w14:paraId="7A6079AC" w14:textId="77777777" w:rsidR="00653D3D" w:rsidRPr="007F6332" w:rsidRDefault="00653D3D" w:rsidP="00541B06">
            <w:pPr>
              <w:spacing w:after="0" w:line="240" w:lineRule="auto"/>
              <w:ind w:left="-327"/>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c>
          <w:tcPr>
            <w:tcW w:w="624" w:type="pct"/>
            <w:tcBorders>
              <w:left w:val="single" w:sz="4" w:space="0" w:color="auto"/>
            </w:tcBorders>
            <w:shd w:val="clear" w:color="000000" w:fill="6B2F76"/>
            <w:noWrap/>
            <w:vAlign w:val="center"/>
          </w:tcPr>
          <w:p w14:paraId="6228C07B" w14:textId="77777777" w:rsidR="00653D3D" w:rsidRPr="007F6332" w:rsidRDefault="00653D3D" w:rsidP="00682F6D">
            <w:pPr>
              <w:spacing w:after="0" w:line="240" w:lineRule="auto"/>
              <w:ind w:left="-327"/>
              <w:jc w:val="right"/>
              <w:rPr>
                <w:rFonts w:eastAsia="Times New Roman" w:cs="Arial"/>
                <w:b/>
                <w:bCs/>
                <w:color w:val="FFFFFF"/>
                <w:szCs w:val="22"/>
                <w:lang w:eastAsia="en-AU"/>
              </w:rPr>
            </w:pPr>
            <w:r w:rsidRPr="007F6332">
              <w:rPr>
                <w:rFonts w:eastAsia="Times New Roman" w:cs="Arial"/>
                <w:b/>
                <w:bCs/>
                <w:color w:val="FFFFFF"/>
                <w:szCs w:val="22"/>
                <w:lang w:eastAsia="en-AU"/>
              </w:rPr>
              <w:t>Total</w:t>
            </w:r>
          </w:p>
          <w:p w14:paraId="506D1868" w14:textId="77777777" w:rsidR="00653D3D" w:rsidRPr="007F6332" w:rsidRDefault="00653D3D" w:rsidP="00682F6D">
            <w:pPr>
              <w:spacing w:after="0" w:line="240" w:lineRule="auto"/>
              <w:ind w:left="-327"/>
              <w:jc w:val="right"/>
              <w:rPr>
                <w:rFonts w:eastAsia="Times New Roman" w:cs="Arial"/>
                <w:b/>
                <w:bCs/>
                <w:color w:val="FFFFFF"/>
                <w:szCs w:val="22"/>
                <w:lang w:eastAsia="en-AU"/>
              </w:rPr>
            </w:pPr>
            <w:r w:rsidRPr="007F6332">
              <w:rPr>
                <w:rFonts w:eastAsia="Times New Roman" w:cs="Arial"/>
                <w:b/>
                <w:bCs/>
                <w:color w:val="FFFFFF"/>
                <w:szCs w:val="22"/>
                <w:lang w:eastAsia="en-AU"/>
              </w:rPr>
              <w:t>2023-27</w:t>
            </w:r>
          </w:p>
        </w:tc>
      </w:tr>
      <w:tr w:rsidR="00F46BA1" w:rsidRPr="007F6332" w14:paraId="7AB262F7" w14:textId="77777777" w:rsidTr="00C1755E">
        <w:trPr>
          <w:trHeight w:val="204"/>
        </w:trPr>
        <w:tc>
          <w:tcPr>
            <w:tcW w:w="1252" w:type="pct"/>
            <w:shd w:val="clear" w:color="auto" w:fill="BFBFBF" w:themeFill="background1" w:themeFillShade="BF"/>
            <w:noWrap/>
            <w:vAlign w:val="center"/>
            <w:hideMark/>
          </w:tcPr>
          <w:p w14:paraId="4704DCE8" w14:textId="1DCDAA14" w:rsidR="00653D3D" w:rsidRPr="007F6332" w:rsidRDefault="00B724CC"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June 2023 projections</w:t>
            </w:r>
            <w:r w:rsidR="00653D3D" w:rsidRPr="007F6332">
              <w:rPr>
                <w:rFonts w:eastAsia="Times New Roman" w:cs="Arial"/>
                <w:color w:val="000000"/>
                <w:szCs w:val="22"/>
                <w:lang w:eastAsia="en-AU"/>
              </w:rPr>
              <w:t xml:space="preserve"> Children (0 to 14)</w:t>
            </w:r>
          </w:p>
        </w:tc>
        <w:tc>
          <w:tcPr>
            <w:tcW w:w="858" w:type="pct"/>
            <w:shd w:val="clear" w:color="auto" w:fill="BFBFBF" w:themeFill="background1" w:themeFillShade="BF"/>
            <w:noWrap/>
            <w:vAlign w:val="center"/>
            <w:hideMark/>
          </w:tcPr>
          <w:p w14:paraId="209B8135"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5,376</w:t>
            </w:r>
          </w:p>
        </w:tc>
        <w:tc>
          <w:tcPr>
            <w:tcW w:w="470" w:type="pct"/>
            <w:shd w:val="clear" w:color="auto" w:fill="BFBFBF" w:themeFill="background1" w:themeFillShade="BF"/>
            <w:noWrap/>
            <w:vAlign w:val="center"/>
            <w:hideMark/>
          </w:tcPr>
          <w:p w14:paraId="08B88854"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5,782</w:t>
            </w:r>
          </w:p>
        </w:tc>
        <w:tc>
          <w:tcPr>
            <w:tcW w:w="625" w:type="pct"/>
            <w:shd w:val="clear" w:color="auto" w:fill="BFBFBF" w:themeFill="background1" w:themeFillShade="BF"/>
            <w:noWrap/>
            <w:vAlign w:val="center"/>
            <w:hideMark/>
          </w:tcPr>
          <w:p w14:paraId="2A52A93A"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6,114</w:t>
            </w:r>
          </w:p>
        </w:tc>
        <w:tc>
          <w:tcPr>
            <w:tcW w:w="554" w:type="pct"/>
            <w:tcBorders>
              <w:right w:val="dashSmallGap" w:sz="4" w:space="0" w:color="auto"/>
            </w:tcBorders>
            <w:shd w:val="clear" w:color="auto" w:fill="BFBFBF" w:themeFill="background1" w:themeFillShade="BF"/>
            <w:noWrap/>
            <w:vAlign w:val="center"/>
            <w:hideMark/>
          </w:tcPr>
          <w:p w14:paraId="4032DE14"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6,398</w:t>
            </w:r>
          </w:p>
        </w:tc>
        <w:tc>
          <w:tcPr>
            <w:tcW w:w="617" w:type="pct"/>
            <w:tcBorders>
              <w:left w:val="dashSmallGap" w:sz="4" w:space="0" w:color="auto"/>
              <w:right w:val="single" w:sz="4" w:space="0" w:color="auto"/>
            </w:tcBorders>
            <w:shd w:val="clear" w:color="auto" w:fill="BFBFBF" w:themeFill="background1" w:themeFillShade="BF"/>
            <w:noWrap/>
            <w:vAlign w:val="center"/>
            <w:hideMark/>
          </w:tcPr>
          <w:p w14:paraId="7A7E6E18"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8,242</w:t>
            </w:r>
          </w:p>
        </w:tc>
        <w:tc>
          <w:tcPr>
            <w:tcW w:w="624" w:type="pct"/>
            <w:tcBorders>
              <w:left w:val="single" w:sz="4" w:space="0" w:color="auto"/>
            </w:tcBorders>
            <w:shd w:val="clear" w:color="auto" w:fill="BFBFBF" w:themeFill="background1" w:themeFillShade="BF"/>
            <w:noWrap/>
            <w:vAlign w:val="center"/>
            <w:hideMark/>
          </w:tcPr>
          <w:p w14:paraId="5F527DD6"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23,669</w:t>
            </w:r>
          </w:p>
        </w:tc>
      </w:tr>
      <w:tr w:rsidR="00594365" w:rsidRPr="007F6332" w14:paraId="3E3287A0" w14:textId="77777777" w:rsidTr="00C1755E">
        <w:trPr>
          <w:trHeight w:val="204"/>
        </w:trPr>
        <w:tc>
          <w:tcPr>
            <w:tcW w:w="1252" w:type="pct"/>
            <w:shd w:val="clear" w:color="auto" w:fill="auto"/>
            <w:noWrap/>
            <w:vAlign w:val="center"/>
            <w:hideMark/>
          </w:tcPr>
          <w:p w14:paraId="288B90F9" w14:textId="587900DB" w:rsidR="00653D3D" w:rsidRPr="007F6332" w:rsidRDefault="00B724CC"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June 2023 projections</w:t>
            </w:r>
            <w:r w:rsidR="00653D3D" w:rsidRPr="007F6332">
              <w:rPr>
                <w:rFonts w:eastAsia="Times New Roman" w:cs="Arial"/>
                <w:color w:val="000000"/>
                <w:szCs w:val="22"/>
                <w:lang w:eastAsia="en-AU"/>
              </w:rPr>
              <w:t xml:space="preserve"> Young adults (15 to 24)</w:t>
            </w:r>
          </w:p>
        </w:tc>
        <w:tc>
          <w:tcPr>
            <w:tcW w:w="858" w:type="pct"/>
            <w:shd w:val="clear" w:color="auto" w:fill="auto"/>
            <w:noWrap/>
            <w:vAlign w:val="center"/>
            <w:hideMark/>
          </w:tcPr>
          <w:p w14:paraId="0D456206"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6,372</w:t>
            </w:r>
          </w:p>
        </w:tc>
        <w:tc>
          <w:tcPr>
            <w:tcW w:w="470" w:type="pct"/>
            <w:shd w:val="clear" w:color="auto" w:fill="auto"/>
            <w:noWrap/>
            <w:vAlign w:val="center"/>
            <w:hideMark/>
          </w:tcPr>
          <w:p w14:paraId="39CE312F"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7,325</w:t>
            </w:r>
          </w:p>
        </w:tc>
        <w:tc>
          <w:tcPr>
            <w:tcW w:w="625" w:type="pct"/>
            <w:shd w:val="clear" w:color="auto" w:fill="auto"/>
            <w:noWrap/>
            <w:vAlign w:val="center"/>
            <w:hideMark/>
          </w:tcPr>
          <w:p w14:paraId="3641A9F9"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8,231</w:t>
            </w:r>
          </w:p>
        </w:tc>
        <w:tc>
          <w:tcPr>
            <w:tcW w:w="554" w:type="pct"/>
            <w:tcBorders>
              <w:right w:val="dashSmallGap" w:sz="4" w:space="0" w:color="auto"/>
            </w:tcBorders>
            <w:shd w:val="clear" w:color="auto" w:fill="auto"/>
            <w:noWrap/>
            <w:vAlign w:val="center"/>
            <w:hideMark/>
          </w:tcPr>
          <w:p w14:paraId="10227D64"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9,221</w:t>
            </w:r>
          </w:p>
        </w:tc>
        <w:tc>
          <w:tcPr>
            <w:tcW w:w="617" w:type="pct"/>
            <w:tcBorders>
              <w:left w:val="dashSmallGap" w:sz="4" w:space="0" w:color="auto"/>
              <w:right w:val="single" w:sz="4" w:space="0" w:color="auto"/>
            </w:tcBorders>
            <w:shd w:val="clear" w:color="auto" w:fill="auto"/>
            <w:noWrap/>
            <w:vAlign w:val="center"/>
            <w:hideMark/>
          </w:tcPr>
          <w:p w14:paraId="16312731"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18,211</w:t>
            </w:r>
          </w:p>
        </w:tc>
        <w:tc>
          <w:tcPr>
            <w:tcW w:w="624" w:type="pct"/>
            <w:tcBorders>
              <w:left w:val="single" w:sz="4" w:space="0" w:color="auto"/>
            </w:tcBorders>
            <w:shd w:val="clear" w:color="auto" w:fill="auto"/>
            <w:noWrap/>
            <w:vAlign w:val="center"/>
            <w:hideMark/>
          </w:tcPr>
          <w:p w14:paraId="76B94FAD"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31,150</w:t>
            </w:r>
          </w:p>
        </w:tc>
      </w:tr>
      <w:tr w:rsidR="00F46BA1" w:rsidRPr="007F6332" w14:paraId="3F346F82" w14:textId="77777777" w:rsidTr="00C1755E">
        <w:trPr>
          <w:trHeight w:val="204"/>
        </w:trPr>
        <w:tc>
          <w:tcPr>
            <w:tcW w:w="1252" w:type="pct"/>
            <w:shd w:val="clear" w:color="auto" w:fill="BFBFBF" w:themeFill="background1" w:themeFillShade="BF"/>
            <w:noWrap/>
            <w:vAlign w:val="center"/>
            <w:hideMark/>
          </w:tcPr>
          <w:p w14:paraId="3389CEA1" w14:textId="10F058E2" w:rsidR="00653D3D" w:rsidRPr="007F6332" w:rsidRDefault="00B724CC"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June 2023 projections</w:t>
            </w:r>
            <w:r w:rsidR="00653D3D" w:rsidRPr="007F6332">
              <w:rPr>
                <w:rFonts w:eastAsia="Times New Roman" w:cs="Arial"/>
                <w:color w:val="000000"/>
                <w:szCs w:val="22"/>
                <w:lang w:eastAsia="en-AU"/>
              </w:rPr>
              <w:t xml:space="preserve"> Adults (25 to 64)</w:t>
            </w:r>
          </w:p>
        </w:tc>
        <w:tc>
          <w:tcPr>
            <w:tcW w:w="858" w:type="pct"/>
            <w:shd w:val="clear" w:color="auto" w:fill="BFBFBF" w:themeFill="background1" w:themeFillShade="BF"/>
            <w:noWrap/>
            <w:vAlign w:val="center"/>
            <w:hideMark/>
          </w:tcPr>
          <w:p w14:paraId="48C8D798"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25,481</w:t>
            </w:r>
          </w:p>
        </w:tc>
        <w:tc>
          <w:tcPr>
            <w:tcW w:w="470" w:type="pct"/>
            <w:shd w:val="clear" w:color="auto" w:fill="BFBFBF" w:themeFill="background1" w:themeFillShade="BF"/>
            <w:noWrap/>
            <w:vAlign w:val="center"/>
            <w:hideMark/>
          </w:tcPr>
          <w:p w14:paraId="5C03CBA4"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28,120</w:t>
            </w:r>
          </w:p>
        </w:tc>
        <w:tc>
          <w:tcPr>
            <w:tcW w:w="625" w:type="pct"/>
            <w:shd w:val="clear" w:color="auto" w:fill="BFBFBF" w:themeFill="background1" w:themeFillShade="BF"/>
            <w:noWrap/>
            <w:vAlign w:val="center"/>
            <w:hideMark/>
          </w:tcPr>
          <w:p w14:paraId="18A84239"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30,301</w:t>
            </w:r>
          </w:p>
        </w:tc>
        <w:tc>
          <w:tcPr>
            <w:tcW w:w="554" w:type="pct"/>
            <w:tcBorders>
              <w:right w:val="dashSmallGap" w:sz="4" w:space="0" w:color="auto"/>
            </w:tcBorders>
            <w:shd w:val="clear" w:color="auto" w:fill="BFBFBF" w:themeFill="background1" w:themeFillShade="BF"/>
            <w:noWrap/>
            <w:vAlign w:val="center"/>
            <w:hideMark/>
          </w:tcPr>
          <w:p w14:paraId="0A0150EA"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32,407</w:t>
            </w:r>
          </w:p>
        </w:tc>
        <w:tc>
          <w:tcPr>
            <w:tcW w:w="617" w:type="pct"/>
            <w:tcBorders>
              <w:left w:val="dashSmallGap" w:sz="4" w:space="0" w:color="auto"/>
              <w:right w:val="single" w:sz="4" w:space="0" w:color="auto"/>
            </w:tcBorders>
            <w:shd w:val="clear" w:color="auto" w:fill="BFBFBF" w:themeFill="background1" w:themeFillShade="BF"/>
            <w:noWrap/>
            <w:vAlign w:val="center"/>
            <w:hideMark/>
          </w:tcPr>
          <w:p w14:paraId="6F89CA11"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51,537</w:t>
            </w:r>
          </w:p>
        </w:tc>
        <w:tc>
          <w:tcPr>
            <w:tcW w:w="624" w:type="pct"/>
            <w:tcBorders>
              <w:left w:val="single" w:sz="4" w:space="0" w:color="auto"/>
            </w:tcBorders>
            <w:shd w:val="clear" w:color="auto" w:fill="BFBFBF" w:themeFill="background1" w:themeFillShade="BF"/>
            <w:noWrap/>
            <w:vAlign w:val="center"/>
            <w:hideMark/>
          </w:tcPr>
          <w:p w14:paraId="1419DCB3"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116,308</w:t>
            </w:r>
          </w:p>
        </w:tc>
      </w:tr>
      <w:tr w:rsidR="00594365" w:rsidRPr="007F6332" w14:paraId="7F8B71BB" w14:textId="77777777" w:rsidTr="00C1755E">
        <w:trPr>
          <w:trHeight w:val="204"/>
        </w:trPr>
        <w:tc>
          <w:tcPr>
            <w:tcW w:w="1252" w:type="pct"/>
            <w:shd w:val="clear" w:color="auto" w:fill="auto"/>
            <w:noWrap/>
            <w:vAlign w:val="center"/>
            <w:hideMark/>
          </w:tcPr>
          <w:p w14:paraId="59A695B5" w14:textId="488BD818" w:rsidR="00653D3D" w:rsidRPr="007F6332" w:rsidRDefault="00B724CC"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June 2023 projections</w:t>
            </w:r>
            <w:r w:rsidR="00653D3D" w:rsidRPr="007F6332">
              <w:rPr>
                <w:rFonts w:eastAsia="Times New Roman" w:cs="Arial"/>
                <w:color w:val="000000"/>
                <w:szCs w:val="22"/>
                <w:lang w:eastAsia="en-AU"/>
              </w:rPr>
              <w:t xml:space="preserve"> Older adults (65+)</w:t>
            </w:r>
          </w:p>
        </w:tc>
        <w:tc>
          <w:tcPr>
            <w:tcW w:w="858" w:type="pct"/>
            <w:shd w:val="clear" w:color="auto" w:fill="auto"/>
            <w:noWrap/>
            <w:vAlign w:val="center"/>
            <w:hideMark/>
          </w:tcPr>
          <w:p w14:paraId="66CA2588"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3,685</w:t>
            </w:r>
          </w:p>
        </w:tc>
        <w:tc>
          <w:tcPr>
            <w:tcW w:w="470" w:type="pct"/>
            <w:shd w:val="clear" w:color="auto" w:fill="auto"/>
            <w:noWrap/>
            <w:vAlign w:val="center"/>
            <w:hideMark/>
          </w:tcPr>
          <w:p w14:paraId="740EB802"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4,647</w:t>
            </w:r>
          </w:p>
        </w:tc>
        <w:tc>
          <w:tcPr>
            <w:tcW w:w="625" w:type="pct"/>
            <w:shd w:val="clear" w:color="auto" w:fill="auto"/>
            <w:noWrap/>
            <w:vAlign w:val="center"/>
            <w:hideMark/>
          </w:tcPr>
          <w:p w14:paraId="73B60A40"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5,594</w:t>
            </w:r>
          </w:p>
        </w:tc>
        <w:tc>
          <w:tcPr>
            <w:tcW w:w="554" w:type="pct"/>
            <w:tcBorders>
              <w:right w:val="dashSmallGap" w:sz="4" w:space="0" w:color="auto"/>
            </w:tcBorders>
            <w:shd w:val="clear" w:color="auto" w:fill="auto"/>
            <w:noWrap/>
            <w:vAlign w:val="center"/>
            <w:hideMark/>
          </w:tcPr>
          <w:p w14:paraId="29B43E40"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6,584</w:t>
            </w:r>
          </w:p>
        </w:tc>
        <w:tc>
          <w:tcPr>
            <w:tcW w:w="617" w:type="pct"/>
            <w:tcBorders>
              <w:left w:val="dashSmallGap" w:sz="4" w:space="0" w:color="auto"/>
              <w:right w:val="single" w:sz="4" w:space="0" w:color="auto"/>
            </w:tcBorders>
            <w:shd w:val="clear" w:color="auto" w:fill="auto"/>
            <w:noWrap/>
            <w:vAlign w:val="center"/>
            <w:hideMark/>
          </w:tcPr>
          <w:p w14:paraId="02C4E09D"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13,331</w:t>
            </w:r>
          </w:p>
        </w:tc>
        <w:tc>
          <w:tcPr>
            <w:tcW w:w="624" w:type="pct"/>
            <w:tcBorders>
              <w:left w:val="single" w:sz="4" w:space="0" w:color="auto"/>
            </w:tcBorders>
            <w:shd w:val="clear" w:color="auto" w:fill="auto"/>
            <w:noWrap/>
            <w:vAlign w:val="center"/>
            <w:hideMark/>
          </w:tcPr>
          <w:p w14:paraId="55E9A5D3"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20,510</w:t>
            </w:r>
          </w:p>
        </w:tc>
      </w:tr>
      <w:tr w:rsidR="00F46BA1" w:rsidRPr="007F6332" w14:paraId="3895F8B7" w14:textId="77777777" w:rsidTr="00C1755E">
        <w:trPr>
          <w:trHeight w:val="204"/>
        </w:trPr>
        <w:tc>
          <w:tcPr>
            <w:tcW w:w="1252" w:type="pct"/>
            <w:shd w:val="clear" w:color="auto" w:fill="B499B7"/>
            <w:noWrap/>
            <w:vAlign w:val="center"/>
            <w:hideMark/>
          </w:tcPr>
          <w:p w14:paraId="23972139" w14:textId="77777777" w:rsidR="00653D3D" w:rsidRPr="007F6332" w:rsidRDefault="00653D3D" w:rsidP="00FF77CD">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858" w:type="pct"/>
            <w:shd w:val="clear" w:color="auto" w:fill="B499B7"/>
            <w:noWrap/>
            <w:vAlign w:val="center"/>
            <w:hideMark/>
          </w:tcPr>
          <w:p w14:paraId="77E25F25" w14:textId="77777777" w:rsidR="00653D3D" w:rsidRPr="007F6332" w:rsidRDefault="00653D3D" w:rsidP="00682F6D">
            <w:pPr>
              <w:spacing w:after="0" w:line="240" w:lineRule="auto"/>
              <w:ind w:left="-185"/>
              <w:jc w:val="right"/>
              <w:rPr>
                <w:rFonts w:eastAsia="Times New Roman" w:cs="Arial"/>
                <w:b/>
                <w:bCs/>
                <w:color w:val="000000"/>
                <w:szCs w:val="22"/>
                <w:lang w:eastAsia="en-AU"/>
              </w:rPr>
            </w:pPr>
            <w:r w:rsidRPr="007F6332">
              <w:rPr>
                <w:rFonts w:eastAsia="Times New Roman" w:cs="Arial"/>
                <w:b/>
                <w:bCs/>
                <w:color w:val="000000"/>
                <w:szCs w:val="22"/>
                <w:lang w:eastAsia="en-AU"/>
              </w:rPr>
              <w:t>40,914</w:t>
            </w:r>
          </w:p>
        </w:tc>
        <w:tc>
          <w:tcPr>
            <w:tcW w:w="470" w:type="pct"/>
            <w:shd w:val="clear" w:color="auto" w:fill="B499B7"/>
            <w:noWrap/>
            <w:vAlign w:val="center"/>
            <w:hideMark/>
          </w:tcPr>
          <w:p w14:paraId="42690DAB" w14:textId="77777777" w:rsidR="00653D3D" w:rsidRPr="007F6332" w:rsidRDefault="00653D3D" w:rsidP="00682F6D">
            <w:pPr>
              <w:spacing w:after="0" w:line="240" w:lineRule="auto"/>
              <w:ind w:left="-185"/>
              <w:jc w:val="right"/>
              <w:rPr>
                <w:rFonts w:eastAsia="Times New Roman" w:cs="Arial"/>
                <w:b/>
                <w:bCs/>
                <w:color w:val="000000"/>
                <w:szCs w:val="22"/>
                <w:lang w:eastAsia="en-AU"/>
              </w:rPr>
            </w:pPr>
            <w:r w:rsidRPr="007F6332">
              <w:rPr>
                <w:rFonts w:eastAsia="Times New Roman" w:cs="Arial"/>
                <w:b/>
                <w:bCs/>
                <w:color w:val="000000"/>
                <w:szCs w:val="22"/>
                <w:lang w:eastAsia="en-AU"/>
              </w:rPr>
              <w:t>45,875</w:t>
            </w:r>
          </w:p>
        </w:tc>
        <w:tc>
          <w:tcPr>
            <w:tcW w:w="625" w:type="pct"/>
            <w:shd w:val="clear" w:color="auto" w:fill="B499B7"/>
            <w:noWrap/>
            <w:vAlign w:val="center"/>
            <w:hideMark/>
          </w:tcPr>
          <w:p w14:paraId="533E4372"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50,239</w:t>
            </w:r>
          </w:p>
        </w:tc>
        <w:tc>
          <w:tcPr>
            <w:tcW w:w="554" w:type="pct"/>
            <w:tcBorders>
              <w:right w:val="dashSmallGap" w:sz="4" w:space="0" w:color="auto"/>
            </w:tcBorders>
            <w:shd w:val="clear" w:color="auto" w:fill="B499B7"/>
            <w:noWrap/>
            <w:vAlign w:val="center"/>
            <w:hideMark/>
          </w:tcPr>
          <w:p w14:paraId="16AE3C97"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54,609</w:t>
            </w:r>
          </w:p>
        </w:tc>
        <w:tc>
          <w:tcPr>
            <w:tcW w:w="617" w:type="pct"/>
            <w:tcBorders>
              <w:left w:val="dashSmallGap" w:sz="4" w:space="0" w:color="auto"/>
              <w:right w:val="single" w:sz="4" w:space="0" w:color="auto"/>
            </w:tcBorders>
            <w:shd w:val="clear" w:color="auto" w:fill="B499B7"/>
            <w:noWrap/>
            <w:vAlign w:val="center"/>
            <w:hideMark/>
          </w:tcPr>
          <w:p w14:paraId="35572DF8"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91,322</w:t>
            </w:r>
          </w:p>
        </w:tc>
        <w:tc>
          <w:tcPr>
            <w:tcW w:w="624" w:type="pct"/>
            <w:tcBorders>
              <w:left w:val="single" w:sz="4" w:space="0" w:color="auto"/>
            </w:tcBorders>
            <w:shd w:val="clear" w:color="auto" w:fill="B499B7"/>
            <w:noWrap/>
            <w:vAlign w:val="center"/>
            <w:hideMark/>
          </w:tcPr>
          <w:p w14:paraId="6C8B5703"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191,638</w:t>
            </w:r>
          </w:p>
        </w:tc>
      </w:tr>
      <w:tr w:rsidR="00F46BA1" w:rsidRPr="007F6332" w14:paraId="20E5B68E" w14:textId="77777777" w:rsidTr="00C1755E">
        <w:trPr>
          <w:trHeight w:val="204"/>
        </w:trPr>
        <w:tc>
          <w:tcPr>
            <w:tcW w:w="1252" w:type="pct"/>
            <w:shd w:val="clear" w:color="auto" w:fill="BFBFBF" w:themeFill="background1" w:themeFillShade="BF"/>
            <w:noWrap/>
            <w:vAlign w:val="center"/>
            <w:hideMark/>
          </w:tcPr>
          <w:p w14:paraId="6C734A3C" w14:textId="59043B70" w:rsidR="00653D3D" w:rsidRPr="007F6332" w:rsidRDefault="00B724CC"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June 2022 projections</w:t>
            </w:r>
            <w:r w:rsidR="00653D3D" w:rsidRPr="007F6332">
              <w:rPr>
                <w:rFonts w:eastAsia="Times New Roman" w:cs="Arial"/>
                <w:color w:val="000000"/>
                <w:szCs w:val="22"/>
                <w:lang w:eastAsia="en-AU"/>
              </w:rPr>
              <w:t xml:space="preserve"> Children (0 to 14)</w:t>
            </w:r>
          </w:p>
        </w:tc>
        <w:tc>
          <w:tcPr>
            <w:tcW w:w="858" w:type="pct"/>
            <w:shd w:val="clear" w:color="auto" w:fill="BFBFBF" w:themeFill="background1" w:themeFillShade="BF"/>
            <w:noWrap/>
            <w:vAlign w:val="center"/>
            <w:hideMark/>
          </w:tcPr>
          <w:p w14:paraId="1DF3E41F"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5,161</w:t>
            </w:r>
          </w:p>
        </w:tc>
        <w:tc>
          <w:tcPr>
            <w:tcW w:w="470" w:type="pct"/>
            <w:shd w:val="clear" w:color="auto" w:fill="BFBFBF" w:themeFill="background1" w:themeFillShade="BF"/>
            <w:noWrap/>
            <w:vAlign w:val="center"/>
            <w:hideMark/>
          </w:tcPr>
          <w:p w14:paraId="30834AB6"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5,875</w:t>
            </w:r>
          </w:p>
        </w:tc>
        <w:tc>
          <w:tcPr>
            <w:tcW w:w="625" w:type="pct"/>
            <w:shd w:val="clear" w:color="auto" w:fill="BFBFBF" w:themeFill="background1" w:themeFillShade="BF"/>
            <w:noWrap/>
            <w:vAlign w:val="center"/>
            <w:hideMark/>
          </w:tcPr>
          <w:p w14:paraId="37D5EC9A"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6,557</w:t>
            </w:r>
          </w:p>
        </w:tc>
        <w:tc>
          <w:tcPr>
            <w:tcW w:w="554" w:type="pct"/>
            <w:tcBorders>
              <w:right w:val="dashSmallGap" w:sz="4" w:space="0" w:color="auto"/>
            </w:tcBorders>
            <w:shd w:val="clear" w:color="auto" w:fill="BFBFBF" w:themeFill="background1" w:themeFillShade="BF"/>
            <w:noWrap/>
            <w:vAlign w:val="center"/>
            <w:hideMark/>
          </w:tcPr>
          <w:p w14:paraId="24E2AA89"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7,019</w:t>
            </w:r>
          </w:p>
        </w:tc>
        <w:tc>
          <w:tcPr>
            <w:tcW w:w="617" w:type="pct"/>
            <w:tcBorders>
              <w:left w:val="dashSmallGap" w:sz="4" w:space="0" w:color="auto"/>
              <w:right w:val="single" w:sz="4" w:space="0" w:color="auto"/>
            </w:tcBorders>
            <w:shd w:val="clear" w:color="auto" w:fill="BFBFBF" w:themeFill="background1" w:themeFillShade="BF"/>
            <w:noWrap/>
            <w:vAlign w:val="center"/>
            <w:hideMark/>
          </w:tcPr>
          <w:p w14:paraId="26B51466"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9,495</w:t>
            </w:r>
          </w:p>
        </w:tc>
        <w:tc>
          <w:tcPr>
            <w:tcW w:w="624" w:type="pct"/>
            <w:tcBorders>
              <w:left w:val="single" w:sz="4" w:space="0" w:color="auto"/>
            </w:tcBorders>
            <w:shd w:val="clear" w:color="auto" w:fill="BFBFBF" w:themeFill="background1" w:themeFillShade="BF"/>
            <w:noWrap/>
            <w:vAlign w:val="center"/>
            <w:hideMark/>
          </w:tcPr>
          <w:p w14:paraId="0BDC639A"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24,612</w:t>
            </w:r>
          </w:p>
        </w:tc>
      </w:tr>
      <w:tr w:rsidR="00594365" w:rsidRPr="007F6332" w14:paraId="40A46593" w14:textId="77777777" w:rsidTr="00C1755E">
        <w:trPr>
          <w:trHeight w:val="670"/>
        </w:trPr>
        <w:tc>
          <w:tcPr>
            <w:tcW w:w="1252" w:type="pct"/>
            <w:shd w:val="clear" w:color="auto" w:fill="auto"/>
            <w:noWrap/>
            <w:vAlign w:val="center"/>
            <w:hideMark/>
          </w:tcPr>
          <w:p w14:paraId="2799347D" w14:textId="65FA20E2" w:rsidR="00653D3D" w:rsidRPr="007F6332" w:rsidRDefault="00B724CC"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June 2022 projections</w:t>
            </w:r>
            <w:r w:rsidR="00653D3D" w:rsidRPr="007F6332">
              <w:rPr>
                <w:rFonts w:eastAsia="Times New Roman" w:cs="Arial"/>
                <w:color w:val="000000"/>
                <w:szCs w:val="22"/>
                <w:lang w:eastAsia="en-AU"/>
              </w:rPr>
              <w:t xml:space="preserve"> Young adults (15 to 24)</w:t>
            </w:r>
          </w:p>
        </w:tc>
        <w:tc>
          <w:tcPr>
            <w:tcW w:w="858" w:type="pct"/>
            <w:shd w:val="clear" w:color="auto" w:fill="auto"/>
            <w:noWrap/>
            <w:vAlign w:val="center"/>
            <w:hideMark/>
          </w:tcPr>
          <w:p w14:paraId="3B7F5D27"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6,085</w:t>
            </w:r>
          </w:p>
        </w:tc>
        <w:tc>
          <w:tcPr>
            <w:tcW w:w="470" w:type="pct"/>
            <w:shd w:val="clear" w:color="auto" w:fill="auto"/>
            <w:noWrap/>
            <w:vAlign w:val="center"/>
            <w:hideMark/>
          </w:tcPr>
          <w:p w14:paraId="20256E6C"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7,261</w:t>
            </w:r>
          </w:p>
        </w:tc>
        <w:tc>
          <w:tcPr>
            <w:tcW w:w="625" w:type="pct"/>
            <w:shd w:val="clear" w:color="auto" w:fill="auto"/>
            <w:noWrap/>
            <w:vAlign w:val="center"/>
            <w:hideMark/>
          </w:tcPr>
          <w:p w14:paraId="5709E320"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8,591</w:t>
            </w:r>
          </w:p>
        </w:tc>
        <w:tc>
          <w:tcPr>
            <w:tcW w:w="554" w:type="pct"/>
            <w:tcBorders>
              <w:right w:val="dashSmallGap" w:sz="4" w:space="0" w:color="auto"/>
            </w:tcBorders>
            <w:shd w:val="clear" w:color="auto" w:fill="auto"/>
            <w:noWrap/>
            <w:vAlign w:val="center"/>
            <w:hideMark/>
          </w:tcPr>
          <w:p w14:paraId="315B1DD0"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9,861</w:t>
            </w:r>
          </w:p>
        </w:tc>
        <w:tc>
          <w:tcPr>
            <w:tcW w:w="617" w:type="pct"/>
            <w:tcBorders>
              <w:left w:val="dashSmallGap" w:sz="4" w:space="0" w:color="auto"/>
              <w:right w:val="single" w:sz="4" w:space="0" w:color="auto"/>
            </w:tcBorders>
            <w:shd w:val="clear" w:color="auto" w:fill="auto"/>
            <w:noWrap/>
            <w:vAlign w:val="center"/>
            <w:hideMark/>
          </w:tcPr>
          <w:p w14:paraId="0F939094"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20,625</w:t>
            </w:r>
          </w:p>
        </w:tc>
        <w:tc>
          <w:tcPr>
            <w:tcW w:w="624" w:type="pct"/>
            <w:tcBorders>
              <w:left w:val="single" w:sz="4" w:space="0" w:color="auto"/>
            </w:tcBorders>
            <w:shd w:val="clear" w:color="auto" w:fill="auto"/>
            <w:noWrap/>
            <w:vAlign w:val="center"/>
            <w:hideMark/>
          </w:tcPr>
          <w:p w14:paraId="2B1E3357"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31,799</w:t>
            </w:r>
          </w:p>
        </w:tc>
      </w:tr>
      <w:tr w:rsidR="00F46BA1" w:rsidRPr="007F6332" w14:paraId="6F4D8D55" w14:textId="77777777" w:rsidTr="00C1755E">
        <w:trPr>
          <w:trHeight w:val="204"/>
        </w:trPr>
        <w:tc>
          <w:tcPr>
            <w:tcW w:w="1252" w:type="pct"/>
            <w:shd w:val="clear" w:color="auto" w:fill="BFBFBF" w:themeFill="background1" w:themeFillShade="BF"/>
            <w:noWrap/>
            <w:vAlign w:val="center"/>
            <w:hideMark/>
          </w:tcPr>
          <w:p w14:paraId="7DD9917D" w14:textId="076D322C" w:rsidR="00653D3D" w:rsidRPr="007F6332" w:rsidRDefault="00B724CC"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June 2022 projections</w:t>
            </w:r>
            <w:r w:rsidR="00653D3D" w:rsidRPr="007F6332">
              <w:rPr>
                <w:rFonts w:eastAsia="Times New Roman" w:cs="Arial"/>
                <w:color w:val="000000"/>
                <w:szCs w:val="22"/>
                <w:lang w:eastAsia="en-AU"/>
              </w:rPr>
              <w:t xml:space="preserve"> Adults (25 to 64)</w:t>
            </w:r>
          </w:p>
        </w:tc>
        <w:tc>
          <w:tcPr>
            <w:tcW w:w="858" w:type="pct"/>
            <w:shd w:val="clear" w:color="auto" w:fill="BFBFBF" w:themeFill="background1" w:themeFillShade="BF"/>
            <w:noWrap/>
            <w:vAlign w:val="center"/>
            <w:hideMark/>
          </w:tcPr>
          <w:p w14:paraId="1EAF677E"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23,111</w:t>
            </w:r>
          </w:p>
        </w:tc>
        <w:tc>
          <w:tcPr>
            <w:tcW w:w="470" w:type="pct"/>
            <w:shd w:val="clear" w:color="auto" w:fill="BFBFBF" w:themeFill="background1" w:themeFillShade="BF"/>
            <w:noWrap/>
            <w:vAlign w:val="center"/>
            <w:hideMark/>
          </w:tcPr>
          <w:p w14:paraId="4A2202A6"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26,228</w:t>
            </w:r>
          </w:p>
        </w:tc>
        <w:tc>
          <w:tcPr>
            <w:tcW w:w="625" w:type="pct"/>
            <w:shd w:val="clear" w:color="auto" w:fill="BFBFBF" w:themeFill="background1" w:themeFillShade="BF"/>
            <w:noWrap/>
            <w:vAlign w:val="center"/>
            <w:hideMark/>
          </w:tcPr>
          <w:p w14:paraId="15CC64C9"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29,371</w:t>
            </w:r>
          </w:p>
        </w:tc>
        <w:tc>
          <w:tcPr>
            <w:tcW w:w="554" w:type="pct"/>
            <w:tcBorders>
              <w:right w:val="dashSmallGap" w:sz="4" w:space="0" w:color="auto"/>
            </w:tcBorders>
            <w:shd w:val="clear" w:color="auto" w:fill="BFBFBF" w:themeFill="background1" w:themeFillShade="BF"/>
            <w:noWrap/>
            <w:vAlign w:val="center"/>
            <w:hideMark/>
          </w:tcPr>
          <w:p w14:paraId="5D433BA0"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31,808</w:t>
            </w:r>
          </w:p>
        </w:tc>
        <w:tc>
          <w:tcPr>
            <w:tcW w:w="617" w:type="pct"/>
            <w:tcBorders>
              <w:left w:val="dashSmallGap" w:sz="4" w:space="0" w:color="auto"/>
              <w:right w:val="single" w:sz="4" w:space="0" w:color="auto"/>
            </w:tcBorders>
            <w:shd w:val="clear" w:color="auto" w:fill="BFBFBF" w:themeFill="background1" w:themeFillShade="BF"/>
            <w:noWrap/>
            <w:vAlign w:val="center"/>
            <w:hideMark/>
          </w:tcPr>
          <w:p w14:paraId="77534356"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52,936</w:t>
            </w:r>
          </w:p>
        </w:tc>
        <w:tc>
          <w:tcPr>
            <w:tcW w:w="624" w:type="pct"/>
            <w:tcBorders>
              <w:left w:val="single" w:sz="4" w:space="0" w:color="auto"/>
            </w:tcBorders>
            <w:shd w:val="clear" w:color="auto" w:fill="BFBFBF" w:themeFill="background1" w:themeFillShade="BF"/>
            <w:noWrap/>
            <w:vAlign w:val="center"/>
            <w:hideMark/>
          </w:tcPr>
          <w:p w14:paraId="504B2EC1"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110,517</w:t>
            </w:r>
          </w:p>
        </w:tc>
      </w:tr>
      <w:tr w:rsidR="00594365" w:rsidRPr="007F6332" w14:paraId="7C895A6E" w14:textId="77777777" w:rsidTr="00C1755E">
        <w:trPr>
          <w:trHeight w:val="204"/>
        </w:trPr>
        <w:tc>
          <w:tcPr>
            <w:tcW w:w="1252" w:type="pct"/>
            <w:shd w:val="clear" w:color="auto" w:fill="auto"/>
            <w:noWrap/>
            <w:vAlign w:val="center"/>
            <w:hideMark/>
          </w:tcPr>
          <w:p w14:paraId="0D33F350" w14:textId="0EF48106" w:rsidR="00653D3D" w:rsidRPr="007F6332" w:rsidRDefault="00B724CC"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June 2022 projections</w:t>
            </w:r>
            <w:r w:rsidR="00653D3D" w:rsidRPr="007F6332">
              <w:rPr>
                <w:rFonts w:eastAsia="Times New Roman" w:cs="Arial"/>
                <w:color w:val="000000"/>
                <w:szCs w:val="22"/>
                <w:lang w:eastAsia="en-AU"/>
              </w:rPr>
              <w:t xml:space="preserve"> Older adults (65+)</w:t>
            </w:r>
          </w:p>
        </w:tc>
        <w:tc>
          <w:tcPr>
            <w:tcW w:w="858" w:type="pct"/>
            <w:shd w:val="clear" w:color="auto" w:fill="auto"/>
            <w:noWrap/>
            <w:vAlign w:val="center"/>
            <w:hideMark/>
          </w:tcPr>
          <w:p w14:paraId="1D09FA3D"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3,211</w:t>
            </w:r>
          </w:p>
        </w:tc>
        <w:tc>
          <w:tcPr>
            <w:tcW w:w="470" w:type="pct"/>
            <w:shd w:val="clear" w:color="auto" w:fill="auto"/>
            <w:noWrap/>
            <w:vAlign w:val="center"/>
            <w:hideMark/>
          </w:tcPr>
          <w:p w14:paraId="22D1B627"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4,099</w:t>
            </w:r>
          </w:p>
        </w:tc>
        <w:tc>
          <w:tcPr>
            <w:tcW w:w="625" w:type="pct"/>
            <w:shd w:val="clear" w:color="auto" w:fill="auto"/>
            <w:noWrap/>
            <w:vAlign w:val="center"/>
            <w:hideMark/>
          </w:tcPr>
          <w:p w14:paraId="6245AE4A"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5,081</w:t>
            </w:r>
          </w:p>
        </w:tc>
        <w:tc>
          <w:tcPr>
            <w:tcW w:w="554" w:type="pct"/>
            <w:tcBorders>
              <w:right w:val="dashSmallGap" w:sz="4" w:space="0" w:color="auto"/>
            </w:tcBorders>
            <w:shd w:val="clear" w:color="auto" w:fill="auto"/>
            <w:noWrap/>
            <w:vAlign w:val="center"/>
            <w:hideMark/>
          </w:tcPr>
          <w:p w14:paraId="263C2899"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6,001</w:t>
            </w:r>
          </w:p>
        </w:tc>
        <w:tc>
          <w:tcPr>
            <w:tcW w:w="617" w:type="pct"/>
            <w:tcBorders>
              <w:left w:val="dashSmallGap" w:sz="4" w:space="0" w:color="auto"/>
              <w:right w:val="single" w:sz="4" w:space="0" w:color="auto"/>
            </w:tcBorders>
            <w:shd w:val="clear" w:color="auto" w:fill="auto"/>
            <w:noWrap/>
            <w:vAlign w:val="center"/>
            <w:hideMark/>
          </w:tcPr>
          <w:p w14:paraId="6CEE35A5"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12,481</w:t>
            </w:r>
          </w:p>
        </w:tc>
        <w:tc>
          <w:tcPr>
            <w:tcW w:w="624" w:type="pct"/>
            <w:tcBorders>
              <w:left w:val="single" w:sz="4" w:space="0" w:color="auto"/>
            </w:tcBorders>
            <w:shd w:val="clear" w:color="auto" w:fill="auto"/>
            <w:noWrap/>
            <w:vAlign w:val="center"/>
            <w:hideMark/>
          </w:tcPr>
          <w:p w14:paraId="098CE066"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18,391</w:t>
            </w:r>
          </w:p>
        </w:tc>
      </w:tr>
      <w:tr w:rsidR="00F46BA1" w:rsidRPr="007F6332" w14:paraId="15C91414" w14:textId="77777777" w:rsidTr="00C1755E">
        <w:trPr>
          <w:trHeight w:val="204"/>
        </w:trPr>
        <w:tc>
          <w:tcPr>
            <w:tcW w:w="1252" w:type="pct"/>
            <w:shd w:val="clear" w:color="auto" w:fill="B499B7"/>
            <w:noWrap/>
            <w:vAlign w:val="center"/>
            <w:hideMark/>
          </w:tcPr>
          <w:p w14:paraId="3C5F22B3" w14:textId="77777777" w:rsidR="00653D3D" w:rsidRPr="007F6332" w:rsidRDefault="00653D3D" w:rsidP="00FF77CD">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858" w:type="pct"/>
            <w:shd w:val="clear" w:color="auto" w:fill="B499B7"/>
            <w:noWrap/>
            <w:vAlign w:val="center"/>
            <w:hideMark/>
          </w:tcPr>
          <w:p w14:paraId="28C306DE" w14:textId="77777777" w:rsidR="00653D3D" w:rsidRPr="007F6332" w:rsidRDefault="00653D3D" w:rsidP="00682F6D">
            <w:pPr>
              <w:spacing w:after="0" w:line="240" w:lineRule="auto"/>
              <w:ind w:left="-185"/>
              <w:jc w:val="right"/>
              <w:rPr>
                <w:rFonts w:eastAsia="Times New Roman" w:cs="Arial"/>
                <w:b/>
                <w:bCs/>
                <w:color w:val="000000"/>
                <w:szCs w:val="22"/>
                <w:lang w:eastAsia="en-AU"/>
              </w:rPr>
            </w:pPr>
            <w:r w:rsidRPr="007F6332">
              <w:rPr>
                <w:rFonts w:eastAsia="Times New Roman" w:cs="Arial"/>
                <w:b/>
                <w:bCs/>
                <w:color w:val="000000"/>
                <w:szCs w:val="22"/>
                <w:lang w:eastAsia="en-AU"/>
              </w:rPr>
              <w:t>37,568</w:t>
            </w:r>
          </w:p>
        </w:tc>
        <w:tc>
          <w:tcPr>
            <w:tcW w:w="470" w:type="pct"/>
            <w:shd w:val="clear" w:color="auto" w:fill="B499B7"/>
            <w:noWrap/>
            <w:vAlign w:val="center"/>
            <w:hideMark/>
          </w:tcPr>
          <w:p w14:paraId="5CEB4452" w14:textId="77777777" w:rsidR="00653D3D" w:rsidRPr="007F6332" w:rsidRDefault="00653D3D" w:rsidP="00682F6D">
            <w:pPr>
              <w:spacing w:after="0" w:line="240" w:lineRule="auto"/>
              <w:ind w:left="-185"/>
              <w:jc w:val="right"/>
              <w:rPr>
                <w:rFonts w:eastAsia="Times New Roman" w:cs="Arial"/>
                <w:b/>
                <w:bCs/>
                <w:color w:val="000000"/>
                <w:szCs w:val="22"/>
                <w:lang w:eastAsia="en-AU"/>
              </w:rPr>
            </w:pPr>
            <w:r w:rsidRPr="007F6332">
              <w:rPr>
                <w:rFonts w:eastAsia="Times New Roman" w:cs="Arial"/>
                <w:b/>
                <w:bCs/>
                <w:color w:val="000000"/>
                <w:szCs w:val="22"/>
                <w:lang w:eastAsia="en-AU"/>
              </w:rPr>
              <w:t>43,463</w:t>
            </w:r>
          </w:p>
        </w:tc>
        <w:tc>
          <w:tcPr>
            <w:tcW w:w="625" w:type="pct"/>
            <w:shd w:val="clear" w:color="auto" w:fill="B499B7"/>
            <w:noWrap/>
            <w:vAlign w:val="center"/>
            <w:hideMark/>
          </w:tcPr>
          <w:p w14:paraId="48A8D72E"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49,599</w:t>
            </w:r>
          </w:p>
        </w:tc>
        <w:tc>
          <w:tcPr>
            <w:tcW w:w="554" w:type="pct"/>
            <w:tcBorders>
              <w:right w:val="dashSmallGap" w:sz="4" w:space="0" w:color="auto"/>
            </w:tcBorders>
            <w:shd w:val="clear" w:color="auto" w:fill="B499B7"/>
            <w:noWrap/>
            <w:vAlign w:val="center"/>
            <w:hideMark/>
          </w:tcPr>
          <w:p w14:paraId="1053CDF0"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54,690</w:t>
            </w:r>
          </w:p>
        </w:tc>
        <w:tc>
          <w:tcPr>
            <w:tcW w:w="617" w:type="pct"/>
            <w:tcBorders>
              <w:left w:val="dashSmallGap" w:sz="4" w:space="0" w:color="auto"/>
              <w:right w:val="single" w:sz="4" w:space="0" w:color="auto"/>
            </w:tcBorders>
            <w:shd w:val="clear" w:color="auto" w:fill="B499B7"/>
            <w:noWrap/>
            <w:vAlign w:val="center"/>
            <w:hideMark/>
          </w:tcPr>
          <w:p w14:paraId="7A103BF0"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95,536</w:t>
            </w:r>
          </w:p>
        </w:tc>
        <w:tc>
          <w:tcPr>
            <w:tcW w:w="624" w:type="pct"/>
            <w:tcBorders>
              <w:left w:val="single" w:sz="4" w:space="0" w:color="auto"/>
            </w:tcBorders>
            <w:shd w:val="clear" w:color="auto" w:fill="B499B7"/>
            <w:noWrap/>
            <w:vAlign w:val="center"/>
            <w:hideMark/>
          </w:tcPr>
          <w:p w14:paraId="5BD85887"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185,319</w:t>
            </w:r>
          </w:p>
        </w:tc>
      </w:tr>
      <w:tr w:rsidR="00F46BA1" w:rsidRPr="007F6332" w14:paraId="3FC59B05" w14:textId="77777777" w:rsidTr="00C1755E">
        <w:trPr>
          <w:trHeight w:val="204"/>
        </w:trPr>
        <w:tc>
          <w:tcPr>
            <w:tcW w:w="1252" w:type="pct"/>
            <w:shd w:val="clear" w:color="auto" w:fill="BFBFBF" w:themeFill="background1" w:themeFillShade="BF"/>
            <w:noWrap/>
            <w:vAlign w:val="center"/>
            <w:hideMark/>
          </w:tcPr>
          <w:p w14:paraId="4873A2C2" w14:textId="77777777" w:rsidR="00594365" w:rsidRPr="007F6332" w:rsidRDefault="00653D3D"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Difference</w:t>
            </w:r>
            <w:r w:rsidRPr="007F6332">
              <w:rPr>
                <w:rFonts w:eastAsia="Times New Roman" w:cs="Arial"/>
                <w:color w:val="000000"/>
                <w:szCs w:val="22"/>
                <w:lang w:eastAsia="en-AU"/>
              </w:rPr>
              <w:t xml:space="preserve"> Children </w:t>
            </w:r>
          </w:p>
          <w:p w14:paraId="5E13FF5B" w14:textId="51912635" w:rsidR="00653D3D" w:rsidRPr="007F6332" w:rsidRDefault="00653D3D" w:rsidP="00FF77CD">
            <w:pPr>
              <w:spacing w:after="0" w:line="240" w:lineRule="auto"/>
              <w:rPr>
                <w:rFonts w:eastAsia="Times New Roman" w:cs="Arial"/>
                <w:color w:val="000000"/>
                <w:szCs w:val="22"/>
                <w:lang w:eastAsia="en-AU"/>
              </w:rPr>
            </w:pPr>
            <w:r w:rsidRPr="007F6332">
              <w:rPr>
                <w:rFonts w:eastAsia="Times New Roman" w:cs="Arial"/>
                <w:color w:val="000000"/>
                <w:szCs w:val="22"/>
                <w:lang w:eastAsia="en-AU"/>
              </w:rPr>
              <w:t>(0 to 14)</w:t>
            </w:r>
          </w:p>
        </w:tc>
        <w:tc>
          <w:tcPr>
            <w:tcW w:w="858" w:type="pct"/>
            <w:shd w:val="clear" w:color="auto" w:fill="BFBFBF" w:themeFill="background1" w:themeFillShade="BF"/>
            <w:noWrap/>
            <w:vAlign w:val="center"/>
            <w:hideMark/>
          </w:tcPr>
          <w:p w14:paraId="403839D3"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215</w:t>
            </w:r>
          </w:p>
        </w:tc>
        <w:tc>
          <w:tcPr>
            <w:tcW w:w="470" w:type="pct"/>
            <w:shd w:val="clear" w:color="auto" w:fill="BFBFBF" w:themeFill="background1" w:themeFillShade="BF"/>
            <w:noWrap/>
            <w:vAlign w:val="center"/>
            <w:hideMark/>
          </w:tcPr>
          <w:p w14:paraId="480F1F7B"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-93</w:t>
            </w:r>
          </w:p>
        </w:tc>
        <w:tc>
          <w:tcPr>
            <w:tcW w:w="625" w:type="pct"/>
            <w:shd w:val="clear" w:color="auto" w:fill="BFBFBF" w:themeFill="background1" w:themeFillShade="BF"/>
            <w:noWrap/>
            <w:vAlign w:val="center"/>
            <w:hideMark/>
          </w:tcPr>
          <w:p w14:paraId="073784A2"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-443</w:t>
            </w:r>
          </w:p>
        </w:tc>
        <w:tc>
          <w:tcPr>
            <w:tcW w:w="554" w:type="pct"/>
            <w:tcBorders>
              <w:right w:val="dashSmallGap" w:sz="4" w:space="0" w:color="auto"/>
            </w:tcBorders>
            <w:shd w:val="clear" w:color="auto" w:fill="BFBFBF" w:themeFill="background1" w:themeFillShade="BF"/>
            <w:noWrap/>
            <w:vAlign w:val="center"/>
            <w:hideMark/>
          </w:tcPr>
          <w:p w14:paraId="77E7F13F"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-622</w:t>
            </w:r>
          </w:p>
        </w:tc>
        <w:tc>
          <w:tcPr>
            <w:tcW w:w="617" w:type="pct"/>
            <w:tcBorders>
              <w:left w:val="dashSmallGap" w:sz="4" w:space="0" w:color="auto"/>
              <w:right w:val="single" w:sz="4" w:space="0" w:color="auto"/>
            </w:tcBorders>
            <w:shd w:val="clear" w:color="auto" w:fill="BFBFBF" w:themeFill="background1" w:themeFillShade="BF"/>
            <w:noWrap/>
            <w:vAlign w:val="center"/>
            <w:hideMark/>
          </w:tcPr>
          <w:p w14:paraId="181EF926"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-1,253</w:t>
            </w:r>
          </w:p>
        </w:tc>
        <w:tc>
          <w:tcPr>
            <w:tcW w:w="624" w:type="pct"/>
            <w:tcBorders>
              <w:left w:val="single" w:sz="4" w:space="0" w:color="auto"/>
            </w:tcBorders>
            <w:shd w:val="clear" w:color="auto" w:fill="BFBFBF" w:themeFill="background1" w:themeFillShade="BF"/>
            <w:noWrap/>
            <w:vAlign w:val="center"/>
            <w:hideMark/>
          </w:tcPr>
          <w:p w14:paraId="7748D2A2"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-943</w:t>
            </w:r>
          </w:p>
        </w:tc>
      </w:tr>
      <w:tr w:rsidR="00594365" w:rsidRPr="007F6332" w14:paraId="03D03158" w14:textId="77777777" w:rsidTr="00C1755E">
        <w:trPr>
          <w:trHeight w:val="204"/>
        </w:trPr>
        <w:tc>
          <w:tcPr>
            <w:tcW w:w="1252" w:type="pct"/>
            <w:shd w:val="clear" w:color="auto" w:fill="FFFFFF" w:themeFill="background1"/>
            <w:noWrap/>
            <w:vAlign w:val="center"/>
            <w:hideMark/>
          </w:tcPr>
          <w:p w14:paraId="1AD8E68F" w14:textId="77777777" w:rsidR="00653D3D" w:rsidRPr="007F6332" w:rsidRDefault="00653D3D"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Difference</w:t>
            </w:r>
            <w:r w:rsidRPr="007F6332">
              <w:rPr>
                <w:rFonts w:eastAsia="Times New Roman" w:cs="Arial"/>
                <w:color w:val="000000"/>
                <w:szCs w:val="22"/>
                <w:lang w:eastAsia="en-AU"/>
              </w:rPr>
              <w:t xml:space="preserve"> Young adults (15 to 24)</w:t>
            </w:r>
          </w:p>
        </w:tc>
        <w:tc>
          <w:tcPr>
            <w:tcW w:w="858" w:type="pct"/>
            <w:shd w:val="clear" w:color="auto" w:fill="FFFFFF" w:themeFill="background1"/>
            <w:noWrap/>
            <w:vAlign w:val="center"/>
            <w:hideMark/>
          </w:tcPr>
          <w:p w14:paraId="0E11CA54"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286</w:t>
            </w:r>
          </w:p>
        </w:tc>
        <w:tc>
          <w:tcPr>
            <w:tcW w:w="470" w:type="pct"/>
            <w:shd w:val="clear" w:color="auto" w:fill="FFFFFF" w:themeFill="background1"/>
            <w:noWrap/>
            <w:vAlign w:val="center"/>
            <w:hideMark/>
          </w:tcPr>
          <w:p w14:paraId="5B8BABD7"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64</w:t>
            </w:r>
          </w:p>
        </w:tc>
        <w:tc>
          <w:tcPr>
            <w:tcW w:w="625" w:type="pct"/>
            <w:shd w:val="clear" w:color="auto" w:fill="FFFFFF" w:themeFill="background1"/>
            <w:noWrap/>
            <w:vAlign w:val="center"/>
            <w:hideMark/>
          </w:tcPr>
          <w:p w14:paraId="184C4135"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-360</w:t>
            </w:r>
          </w:p>
        </w:tc>
        <w:tc>
          <w:tcPr>
            <w:tcW w:w="554" w:type="pct"/>
            <w:tcBorders>
              <w:right w:val="dashSmallGap" w:sz="4" w:space="0" w:color="auto"/>
            </w:tcBorders>
            <w:shd w:val="clear" w:color="auto" w:fill="FFFFFF" w:themeFill="background1"/>
            <w:noWrap/>
            <w:vAlign w:val="center"/>
            <w:hideMark/>
          </w:tcPr>
          <w:p w14:paraId="406E4986"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-640</w:t>
            </w:r>
          </w:p>
        </w:tc>
        <w:tc>
          <w:tcPr>
            <w:tcW w:w="617" w:type="pct"/>
            <w:tcBorders>
              <w:left w:val="dashSmallGap" w:sz="4" w:space="0" w:color="auto"/>
              <w:right w:val="single" w:sz="4" w:space="0" w:color="auto"/>
            </w:tcBorders>
            <w:shd w:val="clear" w:color="auto" w:fill="FFFFFF" w:themeFill="background1"/>
            <w:noWrap/>
            <w:vAlign w:val="center"/>
            <w:hideMark/>
          </w:tcPr>
          <w:p w14:paraId="62076727"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-2,413</w:t>
            </w:r>
          </w:p>
        </w:tc>
        <w:tc>
          <w:tcPr>
            <w:tcW w:w="624" w:type="pct"/>
            <w:tcBorders>
              <w:left w:val="single" w:sz="4" w:space="0" w:color="auto"/>
            </w:tcBorders>
            <w:shd w:val="clear" w:color="auto" w:fill="FFFFFF" w:themeFill="background1"/>
            <w:noWrap/>
            <w:vAlign w:val="center"/>
            <w:hideMark/>
          </w:tcPr>
          <w:p w14:paraId="510D3C54"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-649</w:t>
            </w:r>
          </w:p>
        </w:tc>
      </w:tr>
      <w:tr w:rsidR="00F46BA1" w:rsidRPr="007F6332" w14:paraId="787EF769" w14:textId="77777777" w:rsidTr="00C1755E">
        <w:trPr>
          <w:trHeight w:val="204"/>
        </w:trPr>
        <w:tc>
          <w:tcPr>
            <w:tcW w:w="1252" w:type="pct"/>
            <w:shd w:val="clear" w:color="auto" w:fill="BFBFBF" w:themeFill="background1" w:themeFillShade="BF"/>
            <w:noWrap/>
            <w:vAlign w:val="center"/>
            <w:hideMark/>
          </w:tcPr>
          <w:p w14:paraId="5301D49D" w14:textId="77777777" w:rsidR="00594365" w:rsidRPr="007F6332" w:rsidRDefault="00653D3D"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Difference</w:t>
            </w:r>
            <w:r w:rsidRPr="007F6332">
              <w:rPr>
                <w:rFonts w:eastAsia="Times New Roman" w:cs="Arial"/>
                <w:color w:val="000000"/>
                <w:szCs w:val="22"/>
                <w:lang w:eastAsia="en-AU"/>
              </w:rPr>
              <w:t xml:space="preserve"> Adults </w:t>
            </w:r>
          </w:p>
          <w:p w14:paraId="6501B3BD" w14:textId="1737CEB6" w:rsidR="00653D3D" w:rsidRPr="007F6332" w:rsidRDefault="00653D3D" w:rsidP="00FF77CD">
            <w:pPr>
              <w:spacing w:after="0" w:line="240" w:lineRule="auto"/>
              <w:rPr>
                <w:rFonts w:eastAsia="Times New Roman" w:cs="Arial"/>
                <w:color w:val="000000"/>
                <w:szCs w:val="22"/>
                <w:lang w:eastAsia="en-AU"/>
              </w:rPr>
            </w:pPr>
            <w:r w:rsidRPr="007F6332">
              <w:rPr>
                <w:rFonts w:eastAsia="Times New Roman" w:cs="Arial"/>
                <w:color w:val="000000"/>
                <w:szCs w:val="22"/>
                <w:lang w:eastAsia="en-AU"/>
              </w:rPr>
              <w:t>(25 to 64)</w:t>
            </w:r>
          </w:p>
        </w:tc>
        <w:tc>
          <w:tcPr>
            <w:tcW w:w="858" w:type="pct"/>
            <w:shd w:val="clear" w:color="auto" w:fill="BFBFBF" w:themeFill="background1" w:themeFillShade="BF"/>
            <w:noWrap/>
            <w:vAlign w:val="center"/>
            <w:hideMark/>
          </w:tcPr>
          <w:p w14:paraId="0D595166"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2,370</w:t>
            </w:r>
          </w:p>
        </w:tc>
        <w:tc>
          <w:tcPr>
            <w:tcW w:w="470" w:type="pct"/>
            <w:shd w:val="clear" w:color="auto" w:fill="BFBFBF" w:themeFill="background1" w:themeFillShade="BF"/>
            <w:noWrap/>
            <w:vAlign w:val="center"/>
            <w:hideMark/>
          </w:tcPr>
          <w:p w14:paraId="36947392"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1,893</w:t>
            </w:r>
          </w:p>
        </w:tc>
        <w:tc>
          <w:tcPr>
            <w:tcW w:w="625" w:type="pct"/>
            <w:shd w:val="clear" w:color="auto" w:fill="BFBFBF" w:themeFill="background1" w:themeFillShade="BF"/>
            <w:noWrap/>
            <w:vAlign w:val="center"/>
            <w:hideMark/>
          </w:tcPr>
          <w:p w14:paraId="782286BF"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930</w:t>
            </w:r>
          </w:p>
        </w:tc>
        <w:tc>
          <w:tcPr>
            <w:tcW w:w="554" w:type="pct"/>
            <w:tcBorders>
              <w:right w:val="dashSmallGap" w:sz="4" w:space="0" w:color="auto"/>
            </w:tcBorders>
            <w:shd w:val="clear" w:color="auto" w:fill="BFBFBF" w:themeFill="background1" w:themeFillShade="BF"/>
            <w:noWrap/>
            <w:vAlign w:val="center"/>
            <w:hideMark/>
          </w:tcPr>
          <w:p w14:paraId="5F983E01"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599</w:t>
            </w:r>
          </w:p>
        </w:tc>
        <w:tc>
          <w:tcPr>
            <w:tcW w:w="617" w:type="pct"/>
            <w:tcBorders>
              <w:left w:val="dashSmallGap" w:sz="4" w:space="0" w:color="auto"/>
              <w:right w:val="single" w:sz="4" w:space="0" w:color="auto"/>
            </w:tcBorders>
            <w:shd w:val="clear" w:color="auto" w:fill="BFBFBF" w:themeFill="background1" w:themeFillShade="BF"/>
            <w:noWrap/>
            <w:vAlign w:val="center"/>
            <w:hideMark/>
          </w:tcPr>
          <w:p w14:paraId="6E8F8680"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-1,399</w:t>
            </w:r>
          </w:p>
        </w:tc>
        <w:tc>
          <w:tcPr>
            <w:tcW w:w="624" w:type="pct"/>
            <w:tcBorders>
              <w:left w:val="single" w:sz="4" w:space="0" w:color="auto"/>
            </w:tcBorders>
            <w:shd w:val="clear" w:color="auto" w:fill="BFBFBF" w:themeFill="background1" w:themeFillShade="BF"/>
            <w:noWrap/>
            <w:vAlign w:val="center"/>
            <w:hideMark/>
          </w:tcPr>
          <w:p w14:paraId="1327CA0C"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5,791</w:t>
            </w:r>
          </w:p>
        </w:tc>
      </w:tr>
      <w:tr w:rsidR="00594365" w:rsidRPr="007F6332" w14:paraId="10756219" w14:textId="77777777" w:rsidTr="00C1755E">
        <w:trPr>
          <w:trHeight w:val="204"/>
        </w:trPr>
        <w:tc>
          <w:tcPr>
            <w:tcW w:w="1252" w:type="pct"/>
            <w:shd w:val="clear" w:color="auto" w:fill="auto"/>
            <w:noWrap/>
            <w:vAlign w:val="center"/>
            <w:hideMark/>
          </w:tcPr>
          <w:p w14:paraId="39E67B2B" w14:textId="77777777" w:rsidR="00653D3D" w:rsidRPr="007F6332" w:rsidRDefault="00653D3D"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Difference</w:t>
            </w:r>
            <w:r w:rsidRPr="007F6332">
              <w:rPr>
                <w:rFonts w:eastAsia="Times New Roman" w:cs="Arial"/>
                <w:color w:val="000000"/>
                <w:szCs w:val="22"/>
                <w:lang w:eastAsia="en-AU"/>
              </w:rPr>
              <w:t xml:space="preserve"> Older adults (65+)</w:t>
            </w:r>
          </w:p>
        </w:tc>
        <w:tc>
          <w:tcPr>
            <w:tcW w:w="858" w:type="pct"/>
            <w:shd w:val="clear" w:color="auto" w:fill="auto"/>
            <w:noWrap/>
            <w:vAlign w:val="center"/>
            <w:hideMark/>
          </w:tcPr>
          <w:p w14:paraId="5A0FFC8F"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475</w:t>
            </w:r>
          </w:p>
        </w:tc>
        <w:tc>
          <w:tcPr>
            <w:tcW w:w="470" w:type="pct"/>
            <w:shd w:val="clear" w:color="auto" w:fill="auto"/>
            <w:noWrap/>
            <w:vAlign w:val="center"/>
            <w:hideMark/>
          </w:tcPr>
          <w:p w14:paraId="3258CEEB"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549</w:t>
            </w:r>
          </w:p>
        </w:tc>
        <w:tc>
          <w:tcPr>
            <w:tcW w:w="625" w:type="pct"/>
            <w:shd w:val="clear" w:color="auto" w:fill="auto"/>
            <w:noWrap/>
            <w:vAlign w:val="center"/>
            <w:hideMark/>
          </w:tcPr>
          <w:p w14:paraId="1406E677"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514</w:t>
            </w:r>
          </w:p>
        </w:tc>
        <w:tc>
          <w:tcPr>
            <w:tcW w:w="554" w:type="pct"/>
            <w:tcBorders>
              <w:right w:val="dashSmallGap" w:sz="4" w:space="0" w:color="auto"/>
            </w:tcBorders>
            <w:shd w:val="clear" w:color="auto" w:fill="auto"/>
            <w:noWrap/>
            <w:vAlign w:val="center"/>
            <w:hideMark/>
          </w:tcPr>
          <w:p w14:paraId="67C41595"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582</w:t>
            </w:r>
          </w:p>
        </w:tc>
        <w:tc>
          <w:tcPr>
            <w:tcW w:w="617" w:type="pct"/>
            <w:tcBorders>
              <w:left w:val="dashSmallGap" w:sz="4" w:space="0" w:color="auto"/>
              <w:right w:val="single" w:sz="4" w:space="0" w:color="auto"/>
            </w:tcBorders>
            <w:shd w:val="clear" w:color="auto" w:fill="auto"/>
            <w:noWrap/>
            <w:vAlign w:val="center"/>
            <w:hideMark/>
          </w:tcPr>
          <w:p w14:paraId="687CD15D"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851</w:t>
            </w:r>
          </w:p>
        </w:tc>
        <w:tc>
          <w:tcPr>
            <w:tcW w:w="624" w:type="pct"/>
            <w:tcBorders>
              <w:left w:val="single" w:sz="4" w:space="0" w:color="auto"/>
            </w:tcBorders>
            <w:shd w:val="clear" w:color="auto" w:fill="auto"/>
            <w:noWrap/>
            <w:vAlign w:val="center"/>
            <w:hideMark/>
          </w:tcPr>
          <w:p w14:paraId="1778CDA1"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2,119</w:t>
            </w:r>
          </w:p>
        </w:tc>
      </w:tr>
      <w:tr w:rsidR="00377A67" w:rsidRPr="007F6332" w14:paraId="34D6FD09" w14:textId="77777777" w:rsidTr="00C1755E">
        <w:trPr>
          <w:trHeight w:val="204"/>
        </w:trPr>
        <w:tc>
          <w:tcPr>
            <w:tcW w:w="1252" w:type="pct"/>
            <w:shd w:val="clear" w:color="auto" w:fill="B499B7"/>
            <w:noWrap/>
            <w:vAlign w:val="center"/>
            <w:hideMark/>
          </w:tcPr>
          <w:p w14:paraId="02410CF0" w14:textId="77777777" w:rsidR="00653D3D" w:rsidRPr="007F6332" w:rsidRDefault="00653D3D" w:rsidP="00FF77CD">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858" w:type="pct"/>
            <w:shd w:val="clear" w:color="auto" w:fill="B499B7"/>
            <w:noWrap/>
            <w:vAlign w:val="center"/>
            <w:hideMark/>
          </w:tcPr>
          <w:p w14:paraId="1499FAFA" w14:textId="77777777" w:rsidR="00653D3D" w:rsidRPr="007F6332" w:rsidRDefault="00653D3D" w:rsidP="00682F6D">
            <w:pPr>
              <w:spacing w:after="0" w:line="240" w:lineRule="auto"/>
              <w:ind w:left="-185"/>
              <w:jc w:val="right"/>
              <w:rPr>
                <w:rFonts w:eastAsia="Times New Roman" w:cs="Arial"/>
                <w:b/>
                <w:bCs/>
                <w:color w:val="000000"/>
                <w:szCs w:val="22"/>
                <w:lang w:eastAsia="en-AU"/>
              </w:rPr>
            </w:pPr>
            <w:r w:rsidRPr="007F6332">
              <w:rPr>
                <w:rFonts w:eastAsia="Times New Roman" w:cs="Arial"/>
                <w:b/>
                <w:bCs/>
                <w:color w:val="000000"/>
                <w:szCs w:val="22"/>
                <w:lang w:eastAsia="en-AU"/>
              </w:rPr>
              <w:t>3,346</w:t>
            </w:r>
          </w:p>
        </w:tc>
        <w:tc>
          <w:tcPr>
            <w:tcW w:w="470" w:type="pct"/>
            <w:shd w:val="clear" w:color="auto" w:fill="B499B7"/>
            <w:noWrap/>
            <w:vAlign w:val="center"/>
            <w:hideMark/>
          </w:tcPr>
          <w:p w14:paraId="723E0D9B" w14:textId="77777777" w:rsidR="00653D3D" w:rsidRPr="007F6332" w:rsidRDefault="00653D3D" w:rsidP="00682F6D">
            <w:pPr>
              <w:spacing w:after="0" w:line="240" w:lineRule="auto"/>
              <w:ind w:left="-185"/>
              <w:jc w:val="right"/>
              <w:rPr>
                <w:rFonts w:eastAsia="Times New Roman" w:cs="Arial"/>
                <w:b/>
                <w:bCs/>
                <w:color w:val="000000"/>
                <w:szCs w:val="22"/>
                <w:lang w:eastAsia="en-AU"/>
              </w:rPr>
            </w:pPr>
            <w:r w:rsidRPr="007F6332">
              <w:rPr>
                <w:rFonts w:eastAsia="Times New Roman" w:cs="Arial"/>
                <w:b/>
                <w:bCs/>
                <w:color w:val="000000"/>
                <w:szCs w:val="22"/>
                <w:lang w:eastAsia="en-AU"/>
              </w:rPr>
              <w:t>2,413</w:t>
            </w:r>
          </w:p>
        </w:tc>
        <w:tc>
          <w:tcPr>
            <w:tcW w:w="625" w:type="pct"/>
            <w:shd w:val="clear" w:color="auto" w:fill="B499B7"/>
            <w:noWrap/>
            <w:vAlign w:val="center"/>
            <w:hideMark/>
          </w:tcPr>
          <w:p w14:paraId="519CDA69"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640</w:t>
            </w:r>
          </w:p>
        </w:tc>
        <w:tc>
          <w:tcPr>
            <w:tcW w:w="554" w:type="pct"/>
            <w:tcBorders>
              <w:right w:val="dashSmallGap" w:sz="4" w:space="0" w:color="auto"/>
            </w:tcBorders>
            <w:shd w:val="clear" w:color="auto" w:fill="B499B7"/>
            <w:noWrap/>
            <w:vAlign w:val="center"/>
            <w:hideMark/>
          </w:tcPr>
          <w:p w14:paraId="0973C597"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-80</w:t>
            </w:r>
          </w:p>
        </w:tc>
        <w:tc>
          <w:tcPr>
            <w:tcW w:w="617" w:type="pct"/>
            <w:tcBorders>
              <w:left w:val="dashSmallGap" w:sz="4" w:space="0" w:color="auto"/>
              <w:right w:val="single" w:sz="4" w:space="0" w:color="auto"/>
            </w:tcBorders>
            <w:shd w:val="clear" w:color="auto" w:fill="B499B7"/>
            <w:noWrap/>
            <w:vAlign w:val="center"/>
            <w:hideMark/>
          </w:tcPr>
          <w:p w14:paraId="396FE45C"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-4,214</w:t>
            </w:r>
          </w:p>
        </w:tc>
        <w:tc>
          <w:tcPr>
            <w:tcW w:w="624" w:type="pct"/>
            <w:tcBorders>
              <w:left w:val="single" w:sz="4" w:space="0" w:color="auto"/>
            </w:tcBorders>
            <w:shd w:val="clear" w:color="auto" w:fill="B499B7"/>
            <w:noWrap/>
            <w:vAlign w:val="center"/>
            <w:hideMark/>
          </w:tcPr>
          <w:p w14:paraId="1498613C" w14:textId="77777777" w:rsidR="00653D3D" w:rsidRPr="007F6332" w:rsidRDefault="00653D3D" w:rsidP="00682F6D">
            <w:pPr>
              <w:spacing w:after="0" w:line="240" w:lineRule="auto"/>
              <w:ind w:left="-327"/>
              <w:jc w:val="right"/>
              <w:rPr>
                <w:rFonts w:eastAsia="Times New Roman" w:cs="Arial"/>
                <w:b/>
                <w:bCs/>
                <w:color w:val="000000"/>
                <w:szCs w:val="22"/>
                <w:lang w:eastAsia="en-AU"/>
              </w:rPr>
            </w:pPr>
            <w:r w:rsidRPr="007F6332">
              <w:rPr>
                <w:rFonts w:eastAsia="Times New Roman" w:cs="Arial"/>
                <w:b/>
                <w:bCs/>
                <w:color w:val="000000"/>
                <w:szCs w:val="22"/>
                <w:lang w:eastAsia="en-AU"/>
              </w:rPr>
              <w:t>6,319</w:t>
            </w:r>
          </w:p>
        </w:tc>
      </w:tr>
      <w:tr w:rsidR="00F46BA1" w:rsidRPr="007F6332" w14:paraId="0DFCC3D9" w14:textId="77777777" w:rsidTr="00C1755E">
        <w:trPr>
          <w:trHeight w:val="204"/>
        </w:trPr>
        <w:tc>
          <w:tcPr>
            <w:tcW w:w="1252" w:type="pct"/>
            <w:shd w:val="clear" w:color="auto" w:fill="BFBFBF" w:themeFill="background1" w:themeFillShade="BF"/>
            <w:noWrap/>
            <w:vAlign w:val="center"/>
            <w:hideMark/>
          </w:tcPr>
          <w:p w14:paraId="0F5979E5" w14:textId="77777777" w:rsidR="00594365" w:rsidRPr="007F6332" w:rsidRDefault="00653D3D"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 Difference</w:t>
            </w:r>
            <w:r w:rsidRPr="007F6332">
              <w:rPr>
                <w:rFonts w:eastAsia="Times New Roman" w:cs="Arial"/>
                <w:color w:val="000000"/>
                <w:szCs w:val="22"/>
                <w:lang w:eastAsia="en-AU"/>
              </w:rPr>
              <w:t xml:space="preserve"> Children </w:t>
            </w:r>
          </w:p>
          <w:p w14:paraId="36B60BA0" w14:textId="0846633B" w:rsidR="00653D3D" w:rsidRPr="007F6332" w:rsidRDefault="00653D3D" w:rsidP="00FF77CD">
            <w:pPr>
              <w:spacing w:after="0" w:line="240" w:lineRule="auto"/>
              <w:rPr>
                <w:rFonts w:eastAsia="Times New Roman" w:cs="Arial"/>
                <w:color w:val="000000"/>
                <w:szCs w:val="22"/>
                <w:lang w:eastAsia="en-AU"/>
              </w:rPr>
            </w:pPr>
            <w:r w:rsidRPr="007F6332">
              <w:rPr>
                <w:rFonts w:eastAsia="Times New Roman" w:cs="Arial"/>
                <w:color w:val="000000"/>
                <w:szCs w:val="22"/>
                <w:lang w:eastAsia="en-AU"/>
              </w:rPr>
              <w:t>(0 to 14)</w:t>
            </w:r>
          </w:p>
        </w:tc>
        <w:tc>
          <w:tcPr>
            <w:tcW w:w="858" w:type="pct"/>
            <w:shd w:val="clear" w:color="auto" w:fill="BFBFBF" w:themeFill="background1" w:themeFillShade="BF"/>
            <w:noWrap/>
            <w:vAlign w:val="center"/>
            <w:hideMark/>
          </w:tcPr>
          <w:p w14:paraId="00E8CC4D"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4%</w:t>
            </w:r>
          </w:p>
        </w:tc>
        <w:tc>
          <w:tcPr>
            <w:tcW w:w="470" w:type="pct"/>
            <w:shd w:val="clear" w:color="auto" w:fill="BFBFBF" w:themeFill="background1" w:themeFillShade="BF"/>
            <w:noWrap/>
            <w:vAlign w:val="center"/>
            <w:hideMark/>
          </w:tcPr>
          <w:p w14:paraId="7DF24AE9"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-2%</w:t>
            </w:r>
          </w:p>
        </w:tc>
        <w:tc>
          <w:tcPr>
            <w:tcW w:w="625" w:type="pct"/>
            <w:shd w:val="clear" w:color="auto" w:fill="BFBFBF" w:themeFill="background1" w:themeFillShade="BF"/>
            <w:noWrap/>
            <w:vAlign w:val="center"/>
            <w:hideMark/>
          </w:tcPr>
          <w:p w14:paraId="5330BB8A"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-7%</w:t>
            </w:r>
          </w:p>
        </w:tc>
        <w:tc>
          <w:tcPr>
            <w:tcW w:w="554" w:type="pct"/>
            <w:tcBorders>
              <w:right w:val="dashSmallGap" w:sz="4" w:space="0" w:color="auto"/>
            </w:tcBorders>
            <w:shd w:val="clear" w:color="auto" w:fill="BFBFBF" w:themeFill="background1" w:themeFillShade="BF"/>
            <w:noWrap/>
            <w:vAlign w:val="center"/>
            <w:hideMark/>
          </w:tcPr>
          <w:p w14:paraId="0F977BEC"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-9%</w:t>
            </w:r>
          </w:p>
        </w:tc>
        <w:tc>
          <w:tcPr>
            <w:tcW w:w="617" w:type="pct"/>
            <w:tcBorders>
              <w:left w:val="dashSmallGap" w:sz="4" w:space="0" w:color="auto"/>
              <w:right w:val="single" w:sz="4" w:space="0" w:color="auto"/>
            </w:tcBorders>
            <w:shd w:val="clear" w:color="auto" w:fill="BFBFBF" w:themeFill="background1" w:themeFillShade="BF"/>
            <w:noWrap/>
            <w:vAlign w:val="center"/>
            <w:hideMark/>
          </w:tcPr>
          <w:p w14:paraId="4179B798"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-13%</w:t>
            </w:r>
          </w:p>
        </w:tc>
        <w:tc>
          <w:tcPr>
            <w:tcW w:w="624" w:type="pct"/>
            <w:tcBorders>
              <w:left w:val="single" w:sz="4" w:space="0" w:color="auto"/>
            </w:tcBorders>
            <w:shd w:val="clear" w:color="auto" w:fill="BFBFBF" w:themeFill="background1" w:themeFillShade="BF"/>
            <w:noWrap/>
            <w:vAlign w:val="center"/>
            <w:hideMark/>
          </w:tcPr>
          <w:p w14:paraId="75851829"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-4%</w:t>
            </w:r>
          </w:p>
        </w:tc>
      </w:tr>
      <w:tr w:rsidR="00594365" w:rsidRPr="007F6332" w14:paraId="7D24C11F" w14:textId="77777777" w:rsidTr="00C1755E">
        <w:trPr>
          <w:trHeight w:val="204"/>
        </w:trPr>
        <w:tc>
          <w:tcPr>
            <w:tcW w:w="1252" w:type="pct"/>
            <w:shd w:val="clear" w:color="auto" w:fill="auto"/>
            <w:noWrap/>
            <w:vAlign w:val="center"/>
            <w:hideMark/>
          </w:tcPr>
          <w:p w14:paraId="34F2257D" w14:textId="77777777" w:rsidR="00653D3D" w:rsidRPr="007F6332" w:rsidRDefault="00653D3D"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 Difference</w:t>
            </w:r>
            <w:r w:rsidRPr="007F6332">
              <w:rPr>
                <w:rFonts w:eastAsia="Times New Roman" w:cs="Arial"/>
                <w:color w:val="000000"/>
                <w:szCs w:val="22"/>
                <w:lang w:eastAsia="en-AU"/>
              </w:rPr>
              <w:t xml:space="preserve"> Young adults (15 to 24)</w:t>
            </w:r>
          </w:p>
        </w:tc>
        <w:tc>
          <w:tcPr>
            <w:tcW w:w="858" w:type="pct"/>
            <w:shd w:val="clear" w:color="auto" w:fill="auto"/>
            <w:noWrap/>
            <w:vAlign w:val="center"/>
            <w:hideMark/>
          </w:tcPr>
          <w:p w14:paraId="4894F517"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5%</w:t>
            </w:r>
          </w:p>
        </w:tc>
        <w:tc>
          <w:tcPr>
            <w:tcW w:w="470" w:type="pct"/>
            <w:shd w:val="clear" w:color="auto" w:fill="auto"/>
            <w:noWrap/>
            <w:vAlign w:val="center"/>
            <w:hideMark/>
          </w:tcPr>
          <w:p w14:paraId="158B548A"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1%</w:t>
            </w:r>
          </w:p>
        </w:tc>
        <w:tc>
          <w:tcPr>
            <w:tcW w:w="625" w:type="pct"/>
            <w:shd w:val="clear" w:color="auto" w:fill="auto"/>
            <w:noWrap/>
            <w:vAlign w:val="center"/>
            <w:hideMark/>
          </w:tcPr>
          <w:p w14:paraId="1D36FC2A"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-4%</w:t>
            </w:r>
          </w:p>
        </w:tc>
        <w:tc>
          <w:tcPr>
            <w:tcW w:w="554" w:type="pct"/>
            <w:tcBorders>
              <w:right w:val="dashSmallGap" w:sz="4" w:space="0" w:color="auto"/>
            </w:tcBorders>
            <w:shd w:val="clear" w:color="auto" w:fill="auto"/>
            <w:noWrap/>
            <w:vAlign w:val="center"/>
            <w:hideMark/>
          </w:tcPr>
          <w:p w14:paraId="61749C6A"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-6%</w:t>
            </w:r>
          </w:p>
        </w:tc>
        <w:tc>
          <w:tcPr>
            <w:tcW w:w="617" w:type="pct"/>
            <w:tcBorders>
              <w:left w:val="dashSmallGap" w:sz="4" w:space="0" w:color="auto"/>
              <w:right w:val="single" w:sz="4" w:space="0" w:color="auto"/>
            </w:tcBorders>
            <w:shd w:val="clear" w:color="auto" w:fill="auto"/>
            <w:noWrap/>
            <w:vAlign w:val="center"/>
            <w:hideMark/>
          </w:tcPr>
          <w:p w14:paraId="51A18172"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-12%</w:t>
            </w:r>
          </w:p>
        </w:tc>
        <w:tc>
          <w:tcPr>
            <w:tcW w:w="624" w:type="pct"/>
            <w:tcBorders>
              <w:left w:val="single" w:sz="4" w:space="0" w:color="auto"/>
            </w:tcBorders>
            <w:shd w:val="clear" w:color="auto" w:fill="auto"/>
            <w:noWrap/>
            <w:vAlign w:val="center"/>
            <w:hideMark/>
          </w:tcPr>
          <w:p w14:paraId="3BEFE4AE"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w:t>
            </w:r>
          </w:p>
        </w:tc>
      </w:tr>
      <w:tr w:rsidR="00594365" w:rsidRPr="007F6332" w14:paraId="76437A4A" w14:textId="77777777" w:rsidTr="00C1755E">
        <w:trPr>
          <w:trHeight w:val="204"/>
        </w:trPr>
        <w:tc>
          <w:tcPr>
            <w:tcW w:w="1252" w:type="pct"/>
            <w:shd w:val="clear" w:color="auto" w:fill="BFBFBF" w:themeFill="background1" w:themeFillShade="BF"/>
            <w:noWrap/>
            <w:vAlign w:val="center"/>
            <w:hideMark/>
          </w:tcPr>
          <w:p w14:paraId="5A6D4F83" w14:textId="77777777" w:rsidR="00594365" w:rsidRPr="007F6332" w:rsidRDefault="00653D3D"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 Difference</w:t>
            </w:r>
            <w:r w:rsidRPr="007F6332">
              <w:rPr>
                <w:rFonts w:eastAsia="Times New Roman" w:cs="Arial"/>
                <w:color w:val="000000"/>
                <w:szCs w:val="22"/>
                <w:lang w:eastAsia="en-AU"/>
              </w:rPr>
              <w:t xml:space="preserve"> Adults </w:t>
            </w:r>
          </w:p>
          <w:p w14:paraId="0611C145" w14:textId="76A60727" w:rsidR="00653D3D" w:rsidRPr="007F6332" w:rsidRDefault="00653D3D" w:rsidP="00FF77CD">
            <w:pPr>
              <w:spacing w:after="0" w:line="240" w:lineRule="auto"/>
              <w:rPr>
                <w:rFonts w:eastAsia="Times New Roman" w:cs="Arial"/>
                <w:color w:val="000000"/>
                <w:szCs w:val="22"/>
                <w:lang w:eastAsia="en-AU"/>
              </w:rPr>
            </w:pPr>
            <w:r w:rsidRPr="007F6332">
              <w:rPr>
                <w:rFonts w:eastAsia="Times New Roman" w:cs="Arial"/>
                <w:color w:val="000000"/>
                <w:szCs w:val="22"/>
                <w:lang w:eastAsia="en-AU"/>
              </w:rPr>
              <w:t>(25 to 64)</w:t>
            </w:r>
          </w:p>
        </w:tc>
        <w:tc>
          <w:tcPr>
            <w:tcW w:w="858" w:type="pct"/>
            <w:shd w:val="clear" w:color="auto" w:fill="BFBFBF" w:themeFill="background1" w:themeFillShade="BF"/>
            <w:noWrap/>
            <w:vAlign w:val="center"/>
            <w:hideMark/>
          </w:tcPr>
          <w:p w14:paraId="7230230B"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10%</w:t>
            </w:r>
          </w:p>
        </w:tc>
        <w:tc>
          <w:tcPr>
            <w:tcW w:w="470" w:type="pct"/>
            <w:shd w:val="clear" w:color="auto" w:fill="BFBFBF" w:themeFill="background1" w:themeFillShade="BF"/>
            <w:noWrap/>
            <w:vAlign w:val="center"/>
            <w:hideMark/>
          </w:tcPr>
          <w:p w14:paraId="3BBD58EE"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7%</w:t>
            </w:r>
          </w:p>
        </w:tc>
        <w:tc>
          <w:tcPr>
            <w:tcW w:w="625" w:type="pct"/>
            <w:shd w:val="clear" w:color="auto" w:fill="BFBFBF" w:themeFill="background1" w:themeFillShade="BF"/>
            <w:noWrap/>
            <w:vAlign w:val="center"/>
            <w:hideMark/>
          </w:tcPr>
          <w:p w14:paraId="6A0966B8"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3%</w:t>
            </w:r>
          </w:p>
        </w:tc>
        <w:tc>
          <w:tcPr>
            <w:tcW w:w="554" w:type="pct"/>
            <w:tcBorders>
              <w:right w:val="dashSmallGap" w:sz="4" w:space="0" w:color="auto"/>
            </w:tcBorders>
            <w:shd w:val="clear" w:color="auto" w:fill="BFBFBF" w:themeFill="background1" w:themeFillShade="BF"/>
            <w:noWrap/>
            <w:vAlign w:val="center"/>
            <w:hideMark/>
          </w:tcPr>
          <w:p w14:paraId="05B68CE5"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2%</w:t>
            </w:r>
          </w:p>
        </w:tc>
        <w:tc>
          <w:tcPr>
            <w:tcW w:w="617" w:type="pct"/>
            <w:tcBorders>
              <w:left w:val="dashSmallGap" w:sz="4" w:space="0" w:color="auto"/>
              <w:right w:val="single" w:sz="4" w:space="0" w:color="auto"/>
            </w:tcBorders>
            <w:shd w:val="clear" w:color="auto" w:fill="BFBFBF" w:themeFill="background1" w:themeFillShade="BF"/>
            <w:noWrap/>
            <w:vAlign w:val="center"/>
            <w:hideMark/>
          </w:tcPr>
          <w:p w14:paraId="4747DDD2"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-3%</w:t>
            </w:r>
          </w:p>
        </w:tc>
        <w:tc>
          <w:tcPr>
            <w:tcW w:w="624" w:type="pct"/>
            <w:tcBorders>
              <w:left w:val="single" w:sz="4" w:space="0" w:color="auto"/>
            </w:tcBorders>
            <w:shd w:val="clear" w:color="auto" w:fill="BFBFBF" w:themeFill="background1" w:themeFillShade="BF"/>
            <w:noWrap/>
            <w:vAlign w:val="center"/>
            <w:hideMark/>
          </w:tcPr>
          <w:p w14:paraId="2B1596B5"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5%</w:t>
            </w:r>
          </w:p>
        </w:tc>
      </w:tr>
      <w:tr w:rsidR="00594365" w:rsidRPr="007F6332" w14:paraId="1A75EBEC" w14:textId="77777777" w:rsidTr="00C1755E">
        <w:trPr>
          <w:trHeight w:val="85"/>
        </w:trPr>
        <w:tc>
          <w:tcPr>
            <w:tcW w:w="1252" w:type="pct"/>
            <w:shd w:val="clear" w:color="auto" w:fill="auto"/>
            <w:noWrap/>
            <w:vAlign w:val="center"/>
            <w:hideMark/>
          </w:tcPr>
          <w:p w14:paraId="15B74F3D" w14:textId="77777777" w:rsidR="00653D3D" w:rsidRPr="007F6332" w:rsidRDefault="00653D3D" w:rsidP="00FF77CD">
            <w:pPr>
              <w:spacing w:after="0" w:line="240" w:lineRule="auto"/>
              <w:rPr>
                <w:rFonts w:eastAsia="Times New Roman" w:cs="Arial"/>
                <w:color w:val="000000"/>
                <w:szCs w:val="22"/>
                <w:lang w:eastAsia="en-AU"/>
              </w:rPr>
            </w:pPr>
            <w:r w:rsidRPr="007F6332">
              <w:rPr>
                <w:rFonts w:eastAsia="Times New Roman" w:cs="Arial"/>
                <w:b/>
                <w:bCs/>
                <w:color w:val="000000"/>
                <w:szCs w:val="22"/>
                <w:lang w:eastAsia="en-AU"/>
              </w:rPr>
              <w:t>% Difference</w:t>
            </w:r>
            <w:r w:rsidRPr="007F6332">
              <w:rPr>
                <w:rFonts w:eastAsia="Times New Roman" w:cs="Arial"/>
                <w:color w:val="000000"/>
                <w:szCs w:val="22"/>
                <w:lang w:eastAsia="en-AU"/>
              </w:rPr>
              <w:t xml:space="preserve"> Older adults (65+)</w:t>
            </w:r>
          </w:p>
        </w:tc>
        <w:tc>
          <w:tcPr>
            <w:tcW w:w="858" w:type="pct"/>
            <w:shd w:val="clear" w:color="auto" w:fill="auto"/>
            <w:noWrap/>
            <w:vAlign w:val="center"/>
            <w:hideMark/>
          </w:tcPr>
          <w:p w14:paraId="34678F6F"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15%</w:t>
            </w:r>
          </w:p>
        </w:tc>
        <w:tc>
          <w:tcPr>
            <w:tcW w:w="470" w:type="pct"/>
            <w:shd w:val="clear" w:color="auto" w:fill="auto"/>
            <w:noWrap/>
            <w:vAlign w:val="center"/>
            <w:hideMark/>
          </w:tcPr>
          <w:p w14:paraId="03F6589D" w14:textId="77777777" w:rsidR="00653D3D" w:rsidRPr="007F6332" w:rsidRDefault="00653D3D" w:rsidP="00682F6D">
            <w:pPr>
              <w:spacing w:after="0" w:line="240" w:lineRule="auto"/>
              <w:ind w:left="-185"/>
              <w:jc w:val="right"/>
              <w:rPr>
                <w:rFonts w:eastAsia="Times New Roman" w:cs="Arial"/>
                <w:color w:val="000000"/>
                <w:szCs w:val="22"/>
                <w:lang w:eastAsia="en-AU"/>
              </w:rPr>
            </w:pPr>
            <w:r w:rsidRPr="007F6332">
              <w:rPr>
                <w:rFonts w:eastAsia="Times New Roman" w:cs="Arial"/>
                <w:color w:val="000000"/>
                <w:szCs w:val="22"/>
                <w:lang w:eastAsia="en-AU"/>
              </w:rPr>
              <w:t>13%</w:t>
            </w:r>
          </w:p>
        </w:tc>
        <w:tc>
          <w:tcPr>
            <w:tcW w:w="625" w:type="pct"/>
            <w:shd w:val="clear" w:color="auto" w:fill="auto"/>
            <w:noWrap/>
            <w:vAlign w:val="center"/>
            <w:hideMark/>
          </w:tcPr>
          <w:p w14:paraId="1CB236DC"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10%</w:t>
            </w:r>
          </w:p>
        </w:tc>
        <w:tc>
          <w:tcPr>
            <w:tcW w:w="554" w:type="pct"/>
            <w:tcBorders>
              <w:right w:val="dashSmallGap" w:sz="4" w:space="0" w:color="auto"/>
            </w:tcBorders>
            <w:shd w:val="clear" w:color="auto" w:fill="auto"/>
            <w:noWrap/>
            <w:vAlign w:val="center"/>
            <w:hideMark/>
          </w:tcPr>
          <w:p w14:paraId="7BEF55C2"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10%</w:t>
            </w:r>
          </w:p>
        </w:tc>
        <w:tc>
          <w:tcPr>
            <w:tcW w:w="617" w:type="pct"/>
            <w:tcBorders>
              <w:left w:val="dashSmallGap" w:sz="4" w:space="0" w:color="auto"/>
              <w:right w:val="single" w:sz="4" w:space="0" w:color="auto"/>
            </w:tcBorders>
            <w:shd w:val="clear" w:color="auto" w:fill="auto"/>
            <w:noWrap/>
            <w:vAlign w:val="center"/>
            <w:hideMark/>
          </w:tcPr>
          <w:p w14:paraId="27B9EA64"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7%</w:t>
            </w:r>
          </w:p>
        </w:tc>
        <w:tc>
          <w:tcPr>
            <w:tcW w:w="624" w:type="pct"/>
            <w:tcBorders>
              <w:left w:val="single" w:sz="4" w:space="0" w:color="auto"/>
            </w:tcBorders>
            <w:shd w:val="clear" w:color="auto" w:fill="auto"/>
            <w:noWrap/>
            <w:vAlign w:val="center"/>
            <w:hideMark/>
          </w:tcPr>
          <w:p w14:paraId="2261BBFF" w14:textId="77777777" w:rsidR="00653D3D" w:rsidRPr="007F6332" w:rsidRDefault="00653D3D" w:rsidP="00682F6D">
            <w:pPr>
              <w:spacing w:after="0" w:line="240" w:lineRule="auto"/>
              <w:ind w:left="-327"/>
              <w:jc w:val="right"/>
              <w:rPr>
                <w:rFonts w:eastAsia="Times New Roman" w:cs="Arial"/>
                <w:color w:val="000000"/>
                <w:szCs w:val="22"/>
                <w:lang w:eastAsia="en-AU"/>
              </w:rPr>
            </w:pPr>
            <w:r w:rsidRPr="007F6332">
              <w:rPr>
                <w:rFonts w:eastAsia="Times New Roman" w:cs="Arial"/>
                <w:color w:val="000000"/>
                <w:szCs w:val="22"/>
                <w:lang w:eastAsia="en-AU"/>
              </w:rPr>
              <w:t>12%</w:t>
            </w:r>
          </w:p>
        </w:tc>
      </w:tr>
      <w:tr w:rsidR="00026F26" w:rsidRPr="007F6332" w14:paraId="691BB752" w14:textId="77777777" w:rsidTr="00C1755E">
        <w:trPr>
          <w:trHeight w:val="145"/>
        </w:trPr>
        <w:tc>
          <w:tcPr>
            <w:tcW w:w="1252" w:type="pct"/>
            <w:tcBorders>
              <w:bottom w:val="single" w:sz="4" w:space="0" w:color="auto"/>
            </w:tcBorders>
            <w:shd w:val="clear" w:color="auto" w:fill="B499B7"/>
            <w:noWrap/>
            <w:vAlign w:val="center"/>
            <w:hideMark/>
          </w:tcPr>
          <w:p w14:paraId="38E87EBF" w14:textId="77777777" w:rsidR="00653D3D" w:rsidRPr="007F6332" w:rsidRDefault="00653D3D" w:rsidP="00C1755E">
            <w:pPr>
              <w:shd w:val="clear" w:color="auto" w:fill="B499B7"/>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858" w:type="pct"/>
            <w:tcBorders>
              <w:bottom w:val="single" w:sz="4" w:space="0" w:color="auto"/>
            </w:tcBorders>
            <w:shd w:val="clear" w:color="auto" w:fill="B499B7"/>
            <w:noWrap/>
            <w:vAlign w:val="center"/>
            <w:hideMark/>
          </w:tcPr>
          <w:p w14:paraId="4A534033" w14:textId="77777777" w:rsidR="00653D3D" w:rsidRPr="007F6332" w:rsidRDefault="00653D3D" w:rsidP="00C1755E">
            <w:pPr>
              <w:shd w:val="clear" w:color="auto" w:fill="B499B7"/>
              <w:spacing w:after="0" w:line="240" w:lineRule="auto"/>
              <w:ind w:left="-185"/>
              <w:jc w:val="right"/>
              <w:rPr>
                <w:rFonts w:eastAsia="Times New Roman" w:cs="Arial"/>
                <w:b/>
                <w:bCs/>
                <w:color w:val="000000"/>
                <w:szCs w:val="22"/>
                <w:lang w:eastAsia="en-AU"/>
              </w:rPr>
            </w:pPr>
            <w:r w:rsidRPr="007F6332">
              <w:rPr>
                <w:rFonts w:eastAsia="Times New Roman" w:cs="Arial"/>
                <w:b/>
                <w:bCs/>
                <w:color w:val="000000"/>
                <w:szCs w:val="22"/>
                <w:lang w:eastAsia="en-AU"/>
              </w:rPr>
              <w:t>9%</w:t>
            </w:r>
          </w:p>
        </w:tc>
        <w:tc>
          <w:tcPr>
            <w:tcW w:w="470" w:type="pct"/>
            <w:tcBorders>
              <w:bottom w:val="single" w:sz="4" w:space="0" w:color="auto"/>
            </w:tcBorders>
            <w:shd w:val="clear" w:color="auto" w:fill="B499B7"/>
            <w:noWrap/>
            <w:vAlign w:val="center"/>
            <w:hideMark/>
          </w:tcPr>
          <w:p w14:paraId="76D2C40F" w14:textId="77777777" w:rsidR="00653D3D" w:rsidRPr="007F6332" w:rsidRDefault="00653D3D" w:rsidP="00C1755E">
            <w:pPr>
              <w:shd w:val="clear" w:color="auto" w:fill="B499B7"/>
              <w:spacing w:after="0" w:line="240" w:lineRule="auto"/>
              <w:ind w:left="-185"/>
              <w:jc w:val="right"/>
              <w:rPr>
                <w:rFonts w:eastAsia="Times New Roman" w:cs="Arial"/>
                <w:b/>
                <w:bCs/>
                <w:color w:val="000000"/>
                <w:szCs w:val="22"/>
                <w:lang w:eastAsia="en-AU"/>
              </w:rPr>
            </w:pPr>
            <w:r w:rsidRPr="007F6332">
              <w:rPr>
                <w:rFonts w:eastAsia="Times New Roman" w:cs="Arial"/>
                <w:b/>
                <w:bCs/>
                <w:color w:val="000000"/>
                <w:szCs w:val="22"/>
                <w:lang w:eastAsia="en-AU"/>
              </w:rPr>
              <w:t>6%</w:t>
            </w:r>
          </w:p>
        </w:tc>
        <w:tc>
          <w:tcPr>
            <w:tcW w:w="647" w:type="pct"/>
            <w:tcBorders>
              <w:bottom w:val="single" w:sz="4" w:space="0" w:color="auto"/>
            </w:tcBorders>
            <w:shd w:val="clear" w:color="auto" w:fill="B499B7"/>
            <w:noWrap/>
            <w:vAlign w:val="center"/>
            <w:hideMark/>
          </w:tcPr>
          <w:p w14:paraId="0EB863FF" w14:textId="77777777" w:rsidR="00653D3D" w:rsidRPr="007F6332" w:rsidRDefault="00653D3D" w:rsidP="00C1755E">
            <w:pPr>
              <w:shd w:val="clear" w:color="auto" w:fill="B499B7"/>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w:t>
            </w:r>
          </w:p>
        </w:tc>
        <w:tc>
          <w:tcPr>
            <w:tcW w:w="532" w:type="pct"/>
            <w:tcBorders>
              <w:bottom w:val="single" w:sz="4" w:space="0" w:color="auto"/>
              <w:right w:val="dashSmallGap" w:sz="4" w:space="0" w:color="auto"/>
            </w:tcBorders>
            <w:shd w:val="clear" w:color="auto" w:fill="B499B7"/>
            <w:noWrap/>
            <w:vAlign w:val="center"/>
            <w:hideMark/>
          </w:tcPr>
          <w:p w14:paraId="52E0DA85" w14:textId="77777777" w:rsidR="00653D3D" w:rsidRPr="007F6332" w:rsidRDefault="00653D3D" w:rsidP="00C1755E">
            <w:pPr>
              <w:shd w:val="clear" w:color="auto" w:fill="B499B7"/>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0%</w:t>
            </w:r>
          </w:p>
        </w:tc>
        <w:tc>
          <w:tcPr>
            <w:tcW w:w="617" w:type="pct"/>
            <w:tcBorders>
              <w:left w:val="dashSmallGap" w:sz="4" w:space="0" w:color="auto"/>
              <w:bottom w:val="single" w:sz="4" w:space="0" w:color="auto"/>
              <w:right w:val="single" w:sz="4" w:space="0" w:color="auto"/>
            </w:tcBorders>
            <w:shd w:val="clear" w:color="auto" w:fill="B499B7"/>
            <w:noWrap/>
            <w:vAlign w:val="center"/>
            <w:hideMark/>
          </w:tcPr>
          <w:p w14:paraId="172BF297" w14:textId="77777777" w:rsidR="00653D3D" w:rsidRPr="007F6332" w:rsidRDefault="00653D3D" w:rsidP="00C1755E">
            <w:pPr>
              <w:shd w:val="clear" w:color="auto" w:fill="B499B7"/>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-4%</w:t>
            </w:r>
          </w:p>
        </w:tc>
        <w:tc>
          <w:tcPr>
            <w:tcW w:w="624" w:type="pct"/>
            <w:tcBorders>
              <w:left w:val="single" w:sz="4" w:space="0" w:color="auto"/>
              <w:bottom w:val="single" w:sz="4" w:space="0" w:color="auto"/>
            </w:tcBorders>
            <w:shd w:val="clear" w:color="auto" w:fill="B499B7"/>
            <w:noWrap/>
            <w:vAlign w:val="center"/>
            <w:hideMark/>
          </w:tcPr>
          <w:p w14:paraId="0C064F45" w14:textId="77777777" w:rsidR="00653D3D" w:rsidRPr="007F6332" w:rsidRDefault="00653D3D" w:rsidP="00C1755E">
            <w:pPr>
              <w:shd w:val="clear" w:color="auto" w:fill="B499B7"/>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3%</w:t>
            </w:r>
          </w:p>
        </w:tc>
      </w:tr>
    </w:tbl>
    <w:p w14:paraId="595BD505" w14:textId="77777777" w:rsidR="00B4434B" w:rsidRPr="007F6332" w:rsidRDefault="00B4434B" w:rsidP="00653D3D">
      <w:pPr>
        <w:rPr>
          <w:rFonts w:cs="Arial"/>
        </w:rPr>
      </w:pPr>
    </w:p>
    <w:p w14:paraId="01057A2F" w14:textId="77777777" w:rsidR="00B4434B" w:rsidRPr="007F6332" w:rsidRDefault="00B4434B" w:rsidP="00653D3D">
      <w:pPr>
        <w:rPr>
          <w:rFonts w:cs="Arial"/>
        </w:rPr>
      </w:pPr>
    </w:p>
    <w:p w14:paraId="5CEBFF03" w14:textId="77777777" w:rsidR="00653D3D" w:rsidRPr="007F6332" w:rsidRDefault="00653D3D" w:rsidP="00B45B70">
      <w:pPr>
        <w:pStyle w:val="FSRHeading4"/>
      </w:pPr>
      <w:r w:rsidRPr="007F6332">
        <w:lastRenderedPageBreak/>
        <w:t>Scheme expenses by disability group</w:t>
      </w:r>
    </w:p>
    <w:p w14:paraId="64A30342" w14:textId="3AA43B18" w:rsidR="00653D3D" w:rsidRPr="007F6332" w:rsidRDefault="00653D3D" w:rsidP="00B45B70">
      <w:pPr>
        <w:pStyle w:val="FiguresandTablesHeading5"/>
      </w:pPr>
      <w:r w:rsidRPr="007F6332">
        <w:t>Table A.5</w:t>
      </w:r>
      <w:r w:rsidR="006C6D15" w:rsidRPr="007F6332">
        <w:t>:</w:t>
      </w:r>
      <w:r w:rsidRPr="007F6332">
        <w:t xml:space="preserve"> </w:t>
      </w:r>
      <w:r w:rsidR="00332A4E" w:rsidRPr="007F6332">
        <w:t xml:space="preserve">Projection of </w:t>
      </w:r>
      <w:r w:rsidRPr="007F6332">
        <w:t>Scheme expenses by disability group (cash basis)</w:t>
      </w:r>
      <w:r w:rsidR="00332A4E" w:rsidRPr="007F6332">
        <w:t xml:space="preserve"> – compared to previou</w:t>
      </w:r>
      <w:r w:rsidR="006447C1" w:rsidRPr="007F6332">
        <w:t>s review</w:t>
      </w:r>
    </w:p>
    <w:tbl>
      <w:tblPr>
        <w:tblW w:w="5000" w:type="pct"/>
        <w:tblLayout w:type="fixed"/>
        <w:tblLook w:val="04A0" w:firstRow="1" w:lastRow="0" w:firstColumn="1" w:lastColumn="0" w:noHBand="0" w:noVBand="1"/>
      </w:tblPr>
      <w:tblGrid>
        <w:gridCol w:w="2586"/>
        <w:gridCol w:w="102"/>
        <w:gridCol w:w="157"/>
        <w:gridCol w:w="948"/>
        <w:gridCol w:w="999"/>
        <w:gridCol w:w="1046"/>
        <w:gridCol w:w="109"/>
        <w:gridCol w:w="72"/>
        <w:gridCol w:w="1015"/>
        <w:gridCol w:w="957"/>
        <w:gridCol w:w="1059"/>
      </w:tblGrid>
      <w:tr w:rsidR="000656A4" w:rsidRPr="007F6332" w14:paraId="6848AFE8" w14:textId="77777777" w:rsidTr="00E47055">
        <w:trPr>
          <w:trHeight w:val="204"/>
        </w:trPr>
        <w:tc>
          <w:tcPr>
            <w:tcW w:w="1428" w:type="pct"/>
            <w:shd w:val="clear" w:color="000000" w:fill="6B2976"/>
            <w:noWrap/>
            <w:vAlign w:val="center"/>
          </w:tcPr>
          <w:p w14:paraId="5CC0EDC4" w14:textId="77777777" w:rsidR="00653D3D" w:rsidRPr="007F6332" w:rsidRDefault="00653D3D" w:rsidP="00FF77CD">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Scheme expenses ($m, cash basis)</w:t>
            </w:r>
          </w:p>
        </w:tc>
        <w:tc>
          <w:tcPr>
            <w:tcW w:w="667" w:type="pct"/>
            <w:gridSpan w:val="3"/>
            <w:shd w:val="clear" w:color="000000" w:fill="6B2976"/>
            <w:noWrap/>
            <w:vAlign w:val="center"/>
          </w:tcPr>
          <w:p w14:paraId="4ABBFF5A" w14:textId="1AD5511D" w:rsidR="00653D3D" w:rsidRPr="007F6332" w:rsidRDefault="00653D3D" w:rsidP="00541B06">
            <w:pPr>
              <w:spacing w:after="0" w:line="240" w:lineRule="auto"/>
              <w:ind w:right="-106"/>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2023-24</w:t>
            </w:r>
            <w:r w:rsidR="00903FA7" w:rsidRPr="007F6332">
              <w:rPr>
                <w:rFonts w:eastAsia="Times New Roman" w:cs="Arial"/>
                <w:b/>
                <w:bCs/>
                <w:color w:val="FFFFFF"/>
                <w:sz w:val="21"/>
                <w:szCs w:val="21"/>
                <w:lang w:eastAsia="en-AU"/>
              </w:rPr>
              <w:t xml:space="preserve">  </w:t>
            </w:r>
          </w:p>
        </w:tc>
        <w:tc>
          <w:tcPr>
            <w:tcW w:w="552" w:type="pct"/>
            <w:shd w:val="clear" w:color="000000" w:fill="6B2976"/>
            <w:noWrap/>
            <w:vAlign w:val="center"/>
          </w:tcPr>
          <w:p w14:paraId="24BD347F" w14:textId="77777777" w:rsidR="00653D3D" w:rsidRPr="007F6332" w:rsidRDefault="00653D3D" w:rsidP="00C1755E">
            <w:pPr>
              <w:spacing w:after="0" w:line="240" w:lineRule="auto"/>
              <w:ind w:left="-252"/>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2024-25</w:t>
            </w:r>
          </w:p>
        </w:tc>
        <w:tc>
          <w:tcPr>
            <w:tcW w:w="678" w:type="pct"/>
            <w:gridSpan w:val="3"/>
            <w:shd w:val="clear" w:color="000000" w:fill="6B2976"/>
            <w:noWrap/>
            <w:vAlign w:val="center"/>
          </w:tcPr>
          <w:p w14:paraId="5C6FD159" w14:textId="0AF4E9D9" w:rsidR="00653D3D" w:rsidRPr="007F6332" w:rsidRDefault="00653D3D" w:rsidP="00541B06">
            <w:pPr>
              <w:spacing w:after="0" w:line="240" w:lineRule="auto"/>
              <w:ind w:right="-113"/>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2025-26</w:t>
            </w:r>
          </w:p>
        </w:tc>
        <w:tc>
          <w:tcPr>
            <w:tcW w:w="561" w:type="pct"/>
            <w:tcBorders>
              <w:right w:val="dashSmallGap" w:sz="8" w:space="0" w:color="auto"/>
            </w:tcBorders>
            <w:shd w:val="clear" w:color="000000" w:fill="6B2976"/>
            <w:noWrap/>
            <w:vAlign w:val="center"/>
          </w:tcPr>
          <w:p w14:paraId="08EBE150" w14:textId="77777777" w:rsidR="00653D3D" w:rsidRPr="007F6332" w:rsidRDefault="00653D3D" w:rsidP="00541B06">
            <w:pPr>
              <w:spacing w:after="0" w:line="240" w:lineRule="auto"/>
              <w:ind w:left="-245"/>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2026-27</w:t>
            </w:r>
          </w:p>
        </w:tc>
        <w:tc>
          <w:tcPr>
            <w:tcW w:w="529" w:type="pct"/>
            <w:tcBorders>
              <w:left w:val="dashSmallGap" w:sz="8" w:space="0" w:color="auto"/>
              <w:right w:val="single" w:sz="4" w:space="0" w:color="auto"/>
            </w:tcBorders>
            <w:shd w:val="clear" w:color="000000" w:fill="6B2976"/>
            <w:noWrap/>
            <w:vAlign w:val="center"/>
          </w:tcPr>
          <w:p w14:paraId="3E73CFA2" w14:textId="77777777" w:rsidR="00653D3D" w:rsidRPr="007F6332" w:rsidRDefault="00653D3D" w:rsidP="00A46D10">
            <w:pPr>
              <w:spacing w:after="0" w:line="240" w:lineRule="auto"/>
              <w:ind w:left="-110"/>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2032-33</w:t>
            </w:r>
          </w:p>
        </w:tc>
        <w:tc>
          <w:tcPr>
            <w:tcW w:w="586" w:type="pct"/>
            <w:tcBorders>
              <w:left w:val="single" w:sz="4" w:space="0" w:color="auto"/>
            </w:tcBorders>
            <w:shd w:val="clear" w:color="000000" w:fill="6B2976"/>
            <w:noWrap/>
            <w:vAlign w:val="center"/>
          </w:tcPr>
          <w:p w14:paraId="7BF157CF" w14:textId="77777777" w:rsidR="00653D3D" w:rsidRPr="007F6332" w:rsidRDefault="00653D3D" w:rsidP="00682F6D">
            <w:pPr>
              <w:spacing w:after="0" w:line="240" w:lineRule="auto"/>
              <w:ind w:left="-102"/>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Total</w:t>
            </w:r>
          </w:p>
          <w:p w14:paraId="74C297DB" w14:textId="77777777" w:rsidR="00653D3D" w:rsidRPr="007F6332" w:rsidRDefault="00653D3D" w:rsidP="00682F6D">
            <w:pPr>
              <w:spacing w:after="0" w:line="240" w:lineRule="auto"/>
              <w:ind w:left="-102"/>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2023-27</w:t>
            </w:r>
          </w:p>
        </w:tc>
      </w:tr>
      <w:tr w:rsidR="000656A4" w:rsidRPr="007F6332" w14:paraId="4C9C537E" w14:textId="77777777" w:rsidTr="00E47055">
        <w:trPr>
          <w:trHeight w:val="204"/>
        </w:trPr>
        <w:tc>
          <w:tcPr>
            <w:tcW w:w="1484" w:type="pct"/>
            <w:gridSpan w:val="2"/>
            <w:shd w:val="clear" w:color="auto" w:fill="BFBFBF" w:themeFill="background1" w:themeFillShade="BF"/>
            <w:noWrap/>
            <w:vAlign w:val="center"/>
            <w:hideMark/>
          </w:tcPr>
          <w:p w14:paraId="7884FCED" w14:textId="77777777" w:rsidR="00377A67"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 xml:space="preserve">June 2023 </w:t>
            </w:r>
          </w:p>
          <w:p w14:paraId="47914128" w14:textId="20E81399" w:rsidR="00653D3D"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projections</w:t>
            </w:r>
            <w:r w:rsidR="00653D3D" w:rsidRPr="007F6332">
              <w:rPr>
                <w:rFonts w:eastAsia="Times New Roman" w:cs="Arial"/>
                <w:b/>
                <w:bCs/>
                <w:color w:val="000000"/>
                <w:sz w:val="21"/>
                <w:szCs w:val="21"/>
                <w:lang w:eastAsia="en-AU"/>
              </w:rPr>
              <w:t xml:space="preserve"> </w:t>
            </w:r>
            <w:r w:rsidR="00653D3D" w:rsidRPr="007F6332">
              <w:rPr>
                <w:rFonts w:eastAsia="Times New Roman" w:cs="Arial"/>
                <w:color w:val="000000"/>
                <w:sz w:val="21"/>
                <w:szCs w:val="21"/>
                <w:lang w:eastAsia="en-AU"/>
              </w:rPr>
              <w:t>Autism</w:t>
            </w:r>
          </w:p>
        </w:tc>
        <w:tc>
          <w:tcPr>
            <w:tcW w:w="610" w:type="pct"/>
            <w:gridSpan w:val="2"/>
            <w:shd w:val="clear" w:color="auto" w:fill="BFBFBF" w:themeFill="background1" w:themeFillShade="BF"/>
            <w:noWrap/>
            <w:vAlign w:val="center"/>
            <w:hideMark/>
          </w:tcPr>
          <w:p w14:paraId="2A7D6842" w14:textId="77777777" w:rsidR="00653D3D" w:rsidRPr="007F6332" w:rsidRDefault="00653D3D" w:rsidP="00FF77CD">
            <w:pPr>
              <w:spacing w:after="0" w:line="240" w:lineRule="auto"/>
              <w:ind w:left="-76"/>
              <w:jc w:val="right"/>
              <w:rPr>
                <w:rFonts w:eastAsia="Times New Roman" w:cs="Arial"/>
                <w:color w:val="000000"/>
                <w:sz w:val="21"/>
                <w:szCs w:val="21"/>
                <w:lang w:eastAsia="en-AU"/>
              </w:rPr>
            </w:pPr>
            <w:r w:rsidRPr="007F6332">
              <w:rPr>
                <w:rFonts w:eastAsia="Times New Roman" w:cs="Arial"/>
                <w:color w:val="000000"/>
                <w:sz w:val="21"/>
                <w:szCs w:val="21"/>
                <w:lang w:eastAsia="en-AU"/>
              </w:rPr>
              <w:t>8,430</w:t>
            </w:r>
          </w:p>
        </w:tc>
        <w:tc>
          <w:tcPr>
            <w:tcW w:w="552" w:type="pct"/>
            <w:shd w:val="clear" w:color="auto" w:fill="BFBFBF" w:themeFill="background1" w:themeFillShade="BF"/>
            <w:noWrap/>
            <w:vAlign w:val="center"/>
            <w:hideMark/>
          </w:tcPr>
          <w:p w14:paraId="281585D1"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10,089</w:t>
            </w:r>
          </w:p>
        </w:tc>
        <w:tc>
          <w:tcPr>
            <w:tcW w:w="678" w:type="pct"/>
            <w:gridSpan w:val="3"/>
            <w:shd w:val="clear" w:color="auto" w:fill="BFBFBF" w:themeFill="background1" w:themeFillShade="BF"/>
            <w:noWrap/>
            <w:vAlign w:val="center"/>
            <w:hideMark/>
          </w:tcPr>
          <w:p w14:paraId="5CBB749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11,777</w:t>
            </w:r>
          </w:p>
        </w:tc>
        <w:tc>
          <w:tcPr>
            <w:tcW w:w="561" w:type="pct"/>
            <w:tcBorders>
              <w:right w:val="dashSmallGap" w:sz="4" w:space="0" w:color="auto"/>
            </w:tcBorders>
            <w:shd w:val="clear" w:color="auto" w:fill="BFBFBF" w:themeFill="background1" w:themeFillShade="BF"/>
            <w:noWrap/>
            <w:vAlign w:val="center"/>
            <w:hideMark/>
          </w:tcPr>
          <w:p w14:paraId="1E74EAF9" w14:textId="43B09FAA" w:rsidR="00653D3D" w:rsidRPr="007F6332" w:rsidRDefault="00653D3D" w:rsidP="00541B06">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13,584</w:t>
            </w:r>
            <w:r w:rsidR="00541B06" w:rsidRPr="007F6332">
              <w:rPr>
                <w:rFonts w:eastAsia="Times New Roman" w:cs="Arial"/>
                <w:color w:val="000000"/>
                <w:sz w:val="21"/>
                <w:szCs w:val="21"/>
                <w:lang w:eastAsia="en-AU"/>
              </w:rPr>
              <w:t xml:space="preserve"> </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066720B0" w14:textId="77777777" w:rsidR="00653D3D" w:rsidRPr="007F6332" w:rsidRDefault="00653D3D" w:rsidP="006D1FF5">
            <w:pPr>
              <w:spacing w:after="0" w:line="240" w:lineRule="auto"/>
              <w:ind w:left="-125"/>
              <w:jc w:val="right"/>
              <w:rPr>
                <w:rFonts w:eastAsia="Times New Roman" w:cs="Arial"/>
                <w:color w:val="000000"/>
                <w:sz w:val="21"/>
                <w:szCs w:val="21"/>
                <w:lang w:eastAsia="en-AU"/>
              </w:rPr>
            </w:pPr>
            <w:r w:rsidRPr="007F6332">
              <w:rPr>
                <w:rFonts w:eastAsia="Times New Roman" w:cs="Arial"/>
                <w:color w:val="000000"/>
                <w:sz w:val="21"/>
                <w:szCs w:val="21"/>
                <w:lang w:eastAsia="en-AU"/>
              </w:rPr>
              <w:t>30,399</w:t>
            </w:r>
          </w:p>
        </w:tc>
        <w:tc>
          <w:tcPr>
            <w:tcW w:w="586" w:type="pct"/>
            <w:tcBorders>
              <w:left w:val="single" w:sz="4" w:space="0" w:color="auto"/>
            </w:tcBorders>
            <w:shd w:val="clear" w:color="auto" w:fill="BFBFBF" w:themeFill="background1" w:themeFillShade="BF"/>
            <w:noWrap/>
            <w:vAlign w:val="center"/>
            <w:hideMark/>
          </w:tcPr>
          <w:p w14:paraId="3D5DA554" w14:textId="0B86DC27" w:rsidR="00653D3D" w:rsidRPr="007F6332" w:rsidRDefault="00653D3D" w:rsidP="00AF5947">
            <w:pPr>
              <w:spacing w:after="0" w:line="240" w:lineRule="auto"/>
              <w:jc w:val="center"/>
              <w:rPr>
                <w:rFonts w:eastAsia="Times New Roman" w:cs="Arial"/>
                <w:color w:val="000000"/>
                <w:sz w:val="21"/>
                <w:szCs w:val="21"/>
                <w:lang w:eastAsia="en-AU"/>
              </w:rPr>
            </w:pPr>
            <w:r w:rsidRPr="007F6332">
              <w:rPr>
                <w:rFonts w:eastAsia="Times New Roman" w:cs="Arial"/>
                <w:color w:val="000000"/>
                <w:sz w:val="21"/>
                <w:szCs w:val="21"/>
                <w:lang w:eastAsia="en-AU"/>
              </w:rPr>
              <w:t>43,88</w:t>
            </w:r>
            <w:r w:rsidR="00AF5947" w:rsidRPr="007F6332">
              <w:rPr>
                <w:rFonts w:eastAsia="Times New Roman" w:cs="Arial"/>
                <w:color w:val="000000"/>
                <w:sz w:val="21"/>
                <w:szCs w:val="21"/>
                <w:lang w:eastAsia="en-AU"/>
              </w:rPr>
              <w:t xml:space="preserve">0 </w:t>
            </w:r>
          </w:p>
        </w:tc>
      </w:tr>
      <w:tr w:rsidR="000656A4" w:rsidRPr="007F6332" w14:paraId="5109B60E" w14:textId="77777777" w:rsidTr="00E47055">
        <w:trPr>
          <w:trHeight w:val="204"/>
        </w:trPr>
        <w:tc>
          <w:tcPr>
            <w:tcW w:w="1571" w:type="pct"/>
            <w:gridSpan w:val="3"/>
            <w:shd w:val="clear" w:color="auto" w:fill="auto"/>
            <w:noWrap/>
            <w:vAlign w:val="center"/>
            <w:hideMark/>
          </w:tcPr>
          <w:p w14:paraId="243BE9A8" w14:textId="71D2E9A5" w:rsidR="00653D3D" w:rsidRPr="007F6332" w:rsidRDefault="00B724CC"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June 2023 projections</w:t>
            </w:r>
            <w:r w:rsidR="00653D3D" w:rsidRPr="007F6332">
              <w:rPr>
                <w:rFonts w:eastAsia="Times New Roman" w:cs="Arial"/>
                <w:b/>
                <w:bCs/>
                <w:color w:val="000000"/>
                <w:sz w:val="21"/>
                <w:szCs w:val="21"/>
                <w:lang w:eastAsia="en-AU"/>
              </w:rPr>
              <w:t xml:space="preserve"> </w:t>
            </w:r>
            <w:r w:rsidR="00653D3D" w:rsidRPr="007F6332">
              <w:rPr>
                <w:rFonts w:eastAsia="Times New Roman" w:cs="Arial"/>
                <w:color w:val="000000"/>
                <w:sz w:val="21"/>
                <w:szCs w:val="21"/>
                <w:lang w:eastAsia="en-AU"/>
              </w:rPr>
              <w:t>Developmental Delay</w:t>
            </w:r>
          </w:p>
        </w:tc>
        <w:tc>
          <w:tcPr>
            <w:tcW w:w="524" w:type="pct"/>
            <w:shd w:val="clear" w:color="auto" w:fill="auto"/>
            <w:noWrap/>
            <w:vAlign w:val="center"/>
            <w:hideMark/>
          </w:tcPr>
          <w:p w14:paraId="297FA68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1,046</w:t>
            </w:r>
          </w:p>
        </w:tc>
        <w:tc>
          <w:tcPr>
            <w:tcW w:w="552" w:type="pct"/>
            <w:shd w:val="clear" w:color="auto" w:fill="auto"/>
            <w:noWrap/>
            <w:vAlign w:val="center"/>
            <w:hideMark/>
          </w:tcPr>
          <w:p w14:paraId="212544D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1,082</w:t>
            </w:r>
          </w:p>
        </w:tc>
        <w:tc>
          <w:tcPr>
            <w:tcW w:w="638" w:type="pct"/>
            <w:gridSpan w:val="2"/>
            <w:shd w:val="clear" w:color="auto" w:fill="auto"/>
            <w:noWrap/>
            <w:vAlign w:val="center"/>
            <w:hideMark/>
          </w:tcPr>
          <w:p w14:paraId="2DCFC3B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1,062</w:t>
            </w:r>
          </w:p>
        </w:tc>
        <w:tc>
          <w:tcPr>
            <w:tcW w:w="601" w:type="pct"/>
            <w:gridSpan w:val="2"/>
            <w:tcBorders>
              <w:right w:val="dashSmallGap" w:sz="4" w:space="0" w:color="auto"/>
            </w:tcBorders>
            <w:shd w:val="clear" w:color="auto" w:fill="auto"/>
            <w:noWrap/>
            <w:vAlign w:val="center"/>
            <w:hideMark/>
          </w:tcPr>
          <w:p w14:paraId="1694909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1,038</w:t>
            </w:r>
          </w:p>
        </w:tc>
        <w:tc>
          <w:tcPr>
            <w:tcW w:w="529" w:type="pct"/>
            <w:tcBorders>
              <w:left w:val="dashSmallGap" w:sz="4" w:space="0" w:color="auto"/>
              <w:right w:val="single" w:sz="4" w:space="0" w:color="auto"/>
            </w:tcBorders>
            <w:shd w:val="clear" w:color="auto" w:fill="auto"/>
            <w:noWrap/>
            <w:vAlign w:val="center"/>
            <w:hideMark/>
          </w:tcPr>
          <w:p w14:paraId="5C7A9D8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1,293</w:t>
            </w:r>
          </w:p>
        </w:tc>
        <w:tc>
          <w:tcPr>
            <w:tcW w:w="586" w:type="pct"/>
            <w:tcBorders>
              <w:left w:val="single" w:sz="4" w:space="0" w:color="auto"/>
            </w:tcBorders>
            <w:shd w:val="clear" w:color="auto" w:fill="auto"/>
            <w:noWrap/>
            <w:vAlign w:val="center"/>
            <w:hideMark/>
          </w:tcPr>
          <w:p w14:paraId="66FB481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4,227</w:t>
            </w:r>
          </w:p>
        </w:tc>
      </w:tr>
      <w:tr w:rsidR="000656A4" w:rsidRPr="007F6332" w14:paraId="79621028" w14:textId="77777777" w:rsidTr="00E47055">
        <w:trPr>
          <w:trHeight w:val="204"/>
        </w:trPr>
        <w:tc>
          <w:tcPr>
            <w:tcW w:w="1571" w:type="pct"/>
            <w:gridSpan w:val="3"/>
            <w:shd w:val="clear" w:color="auto" w:fill="BFBFBF" w:themeFill="background1" w:themeFillShade="BF"/>
            <w:noWrap/>
            <w:vAlign w:val="center"/>
            <w:hideMark/>
          </w:tcPr>
          <w:p w14:paraId="1EA24565" w14:textId="77777777" w:rsidR="00377A67"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June 2023 projections</w:t>
            </w:r>
            <w:r w:rsidR="00653D3D" w:rsidRPr="007F6332">
              <w:rPr>
                <w:rFonts w:eastAsia="Times New Roman" w:cs="Arial"/>
                <w:b/>
                <w:bCs/>
                <w:color w:val="000000"/>
                <w:sz w:val="21"/>
                <w:szCs w:val="21"/>
                <w:lang w:eastAsia="en-AU"/>
              </w:rPr>
              <w:t xml:space="preserve"> </w:t>
            </w:r>
          </w:p>
          <w:p w14:paraId="7C9A2228" w14:textId="0244A608"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Intellectual Disability</w:t>
            </w:r>
          </w:p>
        </w:tc>
        <w:tc>
          <w:tcPr>
            <w:tcW w:w="524" w:type="pct"/>
            <w:shd w:val="clear" w:color="auto" w:fill="BFBFBF" w:themeFill="background1" w:themeFillShade="BF"/>
            <w:noWrap/>
            <w:vAlign w:val="center"/>
            <w:hideMark/>
          </w:tcPr>
          <w:p w14:paraId="401D480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11,266</w:t>
            </w:r>
          </w:p>
        </w:tc>
        <w:tc>
          <w:tcPr>
            <w:tcW w:w="552" w:type="pct"/>
            <w:shd w:val="clear" w:color="auto" w:fill="BFBFBF" w:themeFill="background1" w:themeFillShade="BF"/>
            <w:noWrap/>
            <w:vAlign w:val="center"/>
            <w:hideMark/>
          </w:tcPr>
          <w:p w14:paraId="3E60F2CF"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12,310</w:t>
            </w:r>
          </w:p>
        </w:tc>
        <w:tc>
          <w:tcPr>
            <w:tcW w:w="638" w:type="pct"/>
            <w:gridSpan w:val="2"/>
            <w:shd w:val="clear" w:color="auto" w:fill="BFBFBF" w:themeFill="background1" w:themeFillShade="BF"/>
            <w:noWrap/>
            <w:vAlign w:val="center"/>
            <w:hideMark/>
          </w:tcPr>
          <w:p w14:paraId="284FC6D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13,230</w:t>
            </w:r>
          </w:p>
        </w:tc>
        <w:tc>
          <w:tcPr>
            <w:tcW w:w="601" w:type="pct"/>
            <w:gridSpan w:val="2"/>
            <w:tcBorders>
              <w:right w:val="dashSmallGap" w:sz="4" w:space="0" w:color="auto"/>
            </w:tcBorders>
            <w:shd w:val="clear" w:color="auto" w:fill="BFBFBF" w:themeFill="background1" w:themeFillShade="BF"/>
            <w:noWrap/>
            <w:vAlign w:val="center"/>
            <w:hideMark/>
          </w:tcPr>
          <w:p w14:paraId="178CFA0F"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14,113</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1661C8E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21,110</w:t>
            </w:r>
          </w:p>
        </w:tc>
        <w:tc>
          <w:tcPr>
            <w:tcW w:w="586" w:type="pct"/>
            <w:tcBorders>
              <w:left w:val="single" w:sz="4" w:space="0" w:color="auto"/>
            </w:tcBorders>
            <w:shd w:val="clear" w:color="auto" w:fill="BFBFBF" w:themeFill="background1" w:themeFillShade="BF"/>
            <w:noWrap/>
            <w:vAlign w:val="center"/>
            <w:hideMark/>
          </w:tcPr>
          <w:p w14:paraId="4064E2E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50,919</w:t>
            </w:r>
          </w:p>
        </w:tc>
      </w:tr>
      <w:tr w:rsidR="000656A4" w:rsidRPr="007F6332" w14:paraId="49183486" w14:textId="77777777" w:rsidTr="00E47055">
        <w:trPr>
          <w:trHeight w:val="204"/>
        </w:trPr>
        <w:tc>
          <w:tcPr>
            <w:tcW w:w="1571" w:type="pct"/>
            <w:gridSpan w:val="3"/>
            <w:shd w:val="clear" w:color="auto" w:fill="auto"/>
            <w:noWrap/>
            <w:vAlign w:val="center"/>
            <w:hideMark/>
          </w:tcPr>
          <w:p w14:paraId="4212D6FA" w14:textId="0EA7BD92" w:rsidR="00653D3D" w:rsidRPr="007F6332" w:rsidRDefault="00B724CC"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June 2023 projections</w:t>
            </w:r>
            <w:r w:rsidR="00653D3D" w:rsidRPr="007F6332">
              <w:rPr>
                <w:rFonts w:eastAsia="Times New Roman" w:cs="Arial"/>
                <w:b/>
                <w:bCs/>
                <w:color w:val="000000"/>
                <w:sz w:val="21"/>
                <w:szCs w:val="21"/>
                <w:lang w:eastAsia="en-AU"/>
              </w:rPr>
              <w:t xml:space="preserve"> </w:t>
            </w:r>
            <w:r w:rsidR="00653D3D" w:rsidRPr="007F6332">
              <w:rPr>
                <w:rFonts w:eastAsia="Times New Roman" w:cs="Arial"/>
                <w:color w:val="000000"/>
                <w:sz w:val="21"/>
                <w:szCs w:val="21"/>
                <w:lang w:eastAsia="en-AU"/>
              </w:rPr>
              <w:t>Other Neurological</w:t>
            </w:r>
          </w:p>
        </w:tc>
        <w:tc>
          <w:tcPr>
            <w:tcW w:w="524" w:type="pct"/>
            <w:shd w:val="clear" w:color="auto" w:fill="auto"/>
            <w:noWrap/>
            <w:vAlign w:val="center"/>
            <w:hideMark/>
          </w:tcPr>
          <w:p w14:paraId="67CE05D1"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3,133</w:t>
            </w:r>
          </w:p>
        </w:tc>
        <w:tc>
          <w:tcPr>
            <w:tcW w:w="552" w:type="pct"/>
            <w:shd w:val="clear" w:color="auto" w:fill="auto"/>
            <w:noWrap/>
            <w:vAlign w:val="center"/>
            <w:hideMark/>
          </w:tcPr>
          <w:p w14:paraId="65C20A5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3,409</w:t>
            </w:r>
          </w:p>
        </w:tc>
        <w:tc>
          <w:tcPr>
            <w:tcW w:w="638" w:type="pct"/>
            <w:gridSpan w:val="2"/>
            <w:shd w:val="clear" w:color="auto" w:fill="auto"/>
            <w:noWrap/>
            <w:vAlign w:val="center"/>
            <w:hideMark/>
          </w:tcPr>
          <w:p w14:paraId="6013057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3,603</w:t>
            </w:r>
          </w:p>
        </w:tc>
        <w:tc>
          <w:tcPr>
            <w:tcW w:w="601" w:type="pct"/>
            <w:gridSpan w:val="2"/>
            <w:tcBorders>
              <w:right w:val="dashSmallGap" w:sz="4" w:space="0" w:color="auto"/>
            </w:tcBorders>
            <w:shd w:val="clear" w:color="auto" w:fill="auto"/>
            <w:noWrap/>
            <w:vAlign w:val="center"/>
            <w:hideMark/>
          </w:tcPr>
          <w:p w14:paraId="54C594F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3,759</w:t>
            </w:r>
          </w:p>
        </w:tc>
        <w:tc>
          <w:tcPr>
            <w:tcW w:w="529" w:type="pct"/>
            <w:tcBorders>
              <w:left w:val="dashSmallGap" w:sz="4" w:space="0" w:color="auto"/>
              <w:right w:val="single" w:sz="4" w:space="0" w:color="auto"/>
            </w:tcBorders>
            <w:shd w:val="clear" w:color="auto" w:fill="auto"/>
            <w:noWrap/>
            <w:vAlign w:val="center"/>
            <w:hideMark/>
          </w:tcPr>
          <w:p w14:paraId="3AF10021"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4,862</w:t>
            </w:r>
          </w:p>
        </w:tc>
        <w:tc>
          <w:tcPr>
            <w:tcW w:w="586" w:type="pct"/>
            <w:tcBorders>
              <w:left w:val="single" w:sz="4" w:space="0" w:color="auto"/>
            </w:tcBorders>
            <w:shd w:val="clear" w:color="auto" w:fill="auto"/>
            <w:noWrap/>
            <w:vAlign w:val="center"/>
            <w:hideMark/>
          </w:tcPr>
          <w:p w14:paraId="4A9ECC8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13,905</w:t>
            </w:r>
          </w:p>
        </w:tc>
      </w:tr>
      <w:tr w:rsidR="000656A4" w:rsidRPr="007F6332" w14:paraId="7016A5B6" w14:textId="77777777" w:rsidTr="00E47055">
        <w:trPr>
          <w:trHeight w:val="204"/>
        </w:trPr>
        <w:tc>
          <w:tcPr>
            <w:tcW w:w="1571" w:type="pct"/>
            <w:gridSpan w:val="3"/>
            <w:shd w:val="clear" w:color="auto" w:fill="BFBFBF" w:themeFill="background1" w:themeFillShade="BF"/>
            <w:noWrap/>
            <w:vAlign w:val="center"/>
            <w:hideMark/>
          </w:tcPr>
          <w:p w14:paraId="6B6A0400" w14:textId="77777777" w:rsidR="00377A67"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June 2023 projections</w:t>
            </w:r>
            <w:r w:rsidR="00653D3D" w:rsidRPr="007F6332">
              <w:rPr>
                <w:rFonts w:eastAsia="Times New Roman" w:cs="Arial"/>
                <w:b/>
                <w:bCs/>
                <w:color w:val="000000"/>
                <w:sz w:val="21"/>
                <w:szCs w:val="21"/>
                <w:lang w:eastAsia="en-AU"/>
              </w:rPr>
              <w:t xml:space="preserve"> </w:t>
            </w:r>
          </w:p>
          <w:p w14:paraId="40A3D358" w14:textId="524CE7EB"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Psychosocial Disability</w:t>
            </w:r>
          </w:p>
        </w:tc>
        <w:tc>
          <w:tcPr>
            <w:tcW w:w="524" w:type="pct"/>
            <w:shd w:val="clear" w:color="auto" w:fill="BFBFBF" w:themeFill="background1" w:themeFillShade="BF"/>
            <w:noWrap/>
            <w:vAlign w:val="center"/>
            <w:hideMark/>
          </w:tcPr>
          <w:p w14:paraId="67EFA89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5,047</w:t>
            </w:r>
          </w:p>
        </w:tc>
        <w:tc>
          <w:tcPr>
            <w:tcW w:w="552" w:type="pct"/>
            <w:shd w:val="clear" w:color="auto" w:fill="BFBFBF" w:themeFill="background1" w:themeFillShade="BF"/>
            <w:noWrap/>
            <w:vAlign w:val="center"/>
            <w:hideMark/>
          </w:tcPr>
          <w:p w14:paraId="7022951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5,691</w:t>
            </w:r>
          </w:p>
        </w:tc>
        <w:tc>
          <w:tcPr>
            <w:tcW w:w="638" w:type="pct"/>
            <w:gridSpan w:val="2"/>
            <w:shd w:val="clear" w:color="auto" w:fill="BFBFBF" w:themeFill="background1" w:themeFillShade="BF"/>
            <w:noWrap/>
            <w:vAlign w:val="center"/>
            <w:hideMark/>
          </w:tcPr>
          <w:p w14:paraId="79BEB26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6,171</w:t>
            </w:r>
          </w:p>
        </w:tc>
        <w:tc>
          <w:tcPr>
            <w:tcW w:w="601" w:type="pct"/>
            <w:gridSpan w:val="2"/>
            <w:tcBorders>
              <w:right w:val="dashSmallGap" w:sz="4" w:space="0" w:color="auto"/>
            </w:tcBorders>
            <w:shd w:val="clear" w:color="auto" w:fill="BFBFBF" w:themeFill="background1" w:themeFillShade="BF"/>
            <w:noWrap/>
            <w:vAlign w:val="center"/>
            <w:hideMark/>
          </w:tcPr>
          <w:p w14:paraId="23CFF16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6,700</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7B6D460C"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10,689</w:t>
            </w:r>
          </w:p>
        </w:tc>
        <w:tc>
          <w:tcPr>
            <w:tcW w:w="586" w:type="pct"/>
            <w:tcBorders>
              <w:left w:val="single" w:sz="4" w:space="0" w:color="auto"/>
            </w:tcBorders>
            <w:shd w:val="clear" w:color="auto" w:fill="BFBFBF" w:themeFill="background1" w:themeFillShade="BF"/>
            <w:noWrap/>
            <w:vAlign w:val="center"/>
            <w:hideMark/>
          </w:tcPr>
          <w:p w14:paraId="2A2532B2"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23,609</w:t>
            </w:r>
          </w:p>
        </w:tc>
      </w:tr>
      <w:tr w:rsidR="000656A4" w:rsidRPr="007F6332" w14:paraId="524A2B2D" w14:textId="77777777" w:rsidTr="00E47055">
        <w:trPr>
          <w:trHeight w:val="204"/>
        </w:trPr>
        <w:tc>
          <w:tcPr>
            <w:tcW w:w="1571" w:type="pct"/>
            <w:gridSpan w:val="3"/>
            <w:shd w:val="clear" w:color="auto" w:fill="auto"/>
            <w:noWrap/>
            <w:vAlign w:val="center"/>
            <w:hideMark/>
          </w:tcPr>
          <w:p w14:paraId="5465D153" w14:textId="77777777" w:rsidR="00BA3C62"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 xml:space="preserve">June 2023 </w:t>
            </w:r>
          </w:p>
          <w:p w14:paraId="2FE02929" w14:textId="4E600327" w:rsidR="00653D3D" w:rsidRPr="007F6332" w:rsidRDefault="00B724CC"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projections</w:t>
            </w:r>
            <w:r w:rsidR="00653D3D" w:rsidRPr="007F6332">
              <w:rPr>
                <w:rFonts w:eastAsia="Times New Roman" w:cs="Arial"/>
                <w:b/>
                <w:bCs/>
                <w:color w:val="000000"/>
                <w:sz w:val="21"/>
                <w:szCs w:val="21"/>
                <w:lang w:eastAsia="en-AU"/>
              </w:rPr>
              <w:t xml:space="preserve"> </w:t>
            </w:r>
            <w:r w:rsidR="00653D3D" w:rsidRPr="007F6332">
              <w:rPr>
                <w:rFonts w:eastAsia="Times New Roman" w:cs="Arial"/>
                <w:color w:val="000000"/>
                <w:sz w:val="21"/>
                <w:szCs w:val="21"/>
                <w:lang w:eastAsia="en-AU"/>
              </w:rPr>
              <w:t>Other</w:t>
            </w:r>
          </w:p>
        </w:tc>
        <w:tc>
          <w:tcPr>
            <w:tcW w:w="524" w:type="pct"/>
            <w:shd w:val="clear" w:color="auto" w:fill="auto"/>
            <w:noWrap/>
            <w:vAlign w:val="center"/>
            <w:hideMark/>
          </w:tcPr>
          <w:p w14:paraId="4597CF0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11,993</w:t>
            </w:r>
          </w:p>
        </w:tc>
        <w:tc>
          <w:tcPr>
            <w:tcW w:w="552" w:type="pct"/>
            <w:shd w:val="clear" w:color="auto" w:fill="auto"/>
            <w:noWrap/>
            <w:vAlign w:val="center"/>
            <w:hideMark/>
          </w:tcPr>
          <w:p w14:paraId="6BEF18A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13,294</w:t>
            </w:r>
          </w:p>
        </w:tc>
        <w:tc>
          <w:tcPr>
            <w:tcW w:w="638" w:type="pct"/>
            <w:gridSpan w:val="2"/>
            <w:shd w:val="clear" w:color="auto" w:fill="auto"/>
            <w:noWrap/>
            <w:vAlign w:val="center"/>
            <w:hideMark/>
          </w:tcPr>
          <w:p w14:paraId="4E91FDA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14,395</w:t>
            </w:r>
          </w:p>
        </w:tc>
        <w:tc>
          <w:tcPr>
            <w:tcW w:w="601" w:type="pct"/>
            <w:gridSpan w:val="2"/>
            <w:tcBorders>
              <w:right w:val="dashSmallGap" w:sz="4" w:space="0" w:color="auto"/>
            </w:tcBorders>
            <w:shd w:val="clear" w:color="auto" w:fill="auto"/>
            <w:noWrap/>
            <w:vAlign w:val="center"/>
            <w:hideMark/>
          </w:tcPr>
          <w:p w14:paraId="51BD1662"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15,415</w:t>
            </w:r>
          </w:p>
        </w:tc>
        <w:tc>
          <w:tcPr>
            <w:tcW w:w="529" w:type="pct"/>
            <w:tcBorders>
              <w:left w:val="dashSmallGap" w:sz="4" w:space="0" w:color="auto"/>
              <w:right w:val="single" w:sz="4" w:space="0" w:color="auto"/>
            </w:tcBorders>
            <w:shd w:val="clear" w:color="auto" w:fill="auto"/>
            <w:noWrap/>
            <w:vAlign w:val="center"/>
            <w:hideMark/>
          </w:tcPr>
          <w:p w14:paraId="5E108D3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22,969</w:t>
            </w:r>
          </w:p>
        </w:tc>
        <w:tc>
          <w:tcPr>
            <w:tcW w:w="586" w:type="pct"/>
            <w:tcBorders>
              <w:left w:val="single" w:sz="4" w:space="0" w:color="auto"/>
            </w:tcBorders>
            <w:shd w:val="clear" w:color="auto" w:fill="auto"/>
            <w:noWrap/>
            <w:vAlign w:val="center"/>
            <w:hideMark/>
          </w:tcPr>
          <w:p w14:paraId="3C0621C4"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55,098</w:t>
            </w:r>
          </w:p>
        </w:tc>
      </w:tr>
      <w:tr w:rsidR="000656A4" w:rsidRPr="007F6332" w14:paraId="116726F1" w14:textId="77777777" w:rsidTr="00E47055">
        <w:trPr>
          <w:trHeight w:val="204"/>
        </w:trPr>
        <w:tc>
          <w:tcPr>
            <w:tcW w:w="1571" w:type="pct"/>
            <w:gridSpan w:val="3"/>
            <w:shd w:val="clear" w:color="auto" w:fill="B499B7"/>
            <w:noWrap/>
            <w:vAlign w:val="center"/>
            <w:hideMark/>
          </w:tcPr>
          <w:p w14:paraId="0267486D" w14:textId="77777777" w:rsidR="00653D3D" w:rsidRPr="007F6332" w:rsidRDefault="00653D3D"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Total</w:t>
            </w:r>
          </w:p>
        </w:tc>
        <w:tc>
          <w:tcPr>
            <w:tcW w:w="524" w:type="pct"/>
            <w:shd w:val="clear" w:color="auto" w:fill="B499B7"/>
            <w:noWrap/>
            <w:vAlign w:val="center"/>
            <w:hideMark/>
          </w:tcPr>
          <w:p w14:paraId="4F52205D"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40,914</w:t>
            </w:r>
          </w:p>
        </w:tc>
        <w:tc>
          <w:tcPr>
            <w:tcW w:w="552" w:type="pct"/>
            <w:shd w:val="clear" w:color="auto" w:fill="B499B7"/>
            <w:noWrap/>
            <w:vAlign w:val="center"/>
            <w:hideMark/>
          </w:tcPr>
          <w:p w14:paraId="1CB0746B"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45,875</w:t>
            </w:r>
          </w:p>
        </w:tc>
        <w:tc>
          <w:tcPr>
            <w:tcW w:w="638" w:type="pct"/>
            <w:gridSpan w:val="2"/>
            <w:shd w:val="clear" w:color="auto" w:fill="B499B7"/>
            <w:noWrap/>
            <w:vAlign w:val="center"/>
            <w:hideMark/>
          </w:tcPr>
          <w:p w14:paraId="386EF52D"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50,239</w:t>
            </w:r>
          </w:p>
        </w:tc>
        <w:tc>
          <w:tcPr>
            <w:tcW w:w="601" w:type="pct"/>
            <w:gridSpan w:val="2"/>
            <w:tcBorders>
              <w:right w:val="dashSmallGap" w:sz="4" w:space="0" w:color="auto"/>
            </w:tcBorders>
            <w:shd w:val="clear" w:color="auto" w:fill="B499B7"/>
            <w:noWrap/>
            <w:vAlign w:val="center"/>
            <w:hideMark/>
          </w:tcPr>
          <w:p w14:paraId="13C0A40E"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54,609</w:t>
            </w:r>
          </w:p>
        </w:tc>
        <w:tc>
          <w:tcPr>
            <w:tcW w:w="529" w:type="pct"/>
            <w:tcBorders>
              <w:left w:val="dashSmallGap" w:sz="4" w:space="0" w:color="auto"/>
              <w:right w:val="single" w:sz="4" w:space="0" w:color="auto"/>
            </w:tcBorders>
            <w:shd w:val="clear" w:color="auto" w:fill="B499B7"/>
            <w:noWrap/>
            <w:vAlign w:val="center"/>
            <w:hideMark/>
          </w:tcPr>
          <w:p w14:paraId="6062655B"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91,322</w:t>
            </w:r>
          </w:p>
        </w:tc>
        <w:tc>
          <w:tcPr>
            <w:tcW w:w="586" w:type="pct"/>
            <w:tcBorders>
              <w:left w:val="single" w:sz="4" w:space="0" w:color="auto"/>
            </w:tcBorders>
            <w:shd w:val="clear" w:color="auto" w:fill="B499B7"/>
            <w:noWrap/>
            <w:vAlign w:val="center"/>
            <w:hideMark/>
          </w:tcPr>
          <w:p w14:paraId="39D73DB5"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191,638</w:t>
            </w:r>
          </w:p>
        </w:tc>
      </w:tr>
      <w:tr w:rsidR="000656A4" w:rsidRPr="007F6332" w14:paraId="58FBD64A" w14:textId="77777777" w:rsidTr="00E47055">
        <w:trPr>
          <w:trHeight w:val="204"/>
        </w:trPr>
        <w:tc>
          <w:tcPr>
            <w:tcW w:w="1571" w:type="pct"/>
            <w:gridSpan w:val="3"/>
            <w:shd w:val="clear" w:color="auto" w:fill="BFBFBF" w:themeFill="background1" w:themeFillShade="BF"/>
            <w:noWrap/>
            <w:vAlign w:val="center"/>
            <w:hideMark/>
          </w:tcPr>
          <w:p w14:paraId="4065FBF9" w14:textId="77777777" w:rsidR="00377A67"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 xml:space="preserve">June 2022 </w:t>
            </w:r>
          </w:p>
          <w:p w14:paraId="3D4DAB64" w14:textId="238057F3" w:rsidR="00653D3D"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projections</w:t>
            </w:r>
            <w:r w:rsidR="00653D3D" w:rsidRPr="007F6332">
              <w:rPr>
                <w:rFonts w:eastAsia="Times New Roman" w:cs="Arial"/>
                <w:b/>
                <w:bCs/>
                <w:color w:val="000000"/>
                <w:sz w:val="21"/>
                <w:szCs w:val="21"/>
                <w:lang w:eastAsia="en-AU"/>
              </w:rPr>
              <w:t xml:space="preserve"> </w:t>
            </w:r>
            <w:r w:rsidR="00653D3D" w:rsidRPr="007F6332">
              <w:rPr>
                <w:rFonts w:eastAsia="Times New Roman" w:cs="Arial"/>
                <w:color w:val="000000"/>
                <w:sz w:val="21"/>
                <w:szCs w:val="21"/>
                <w:lang w:eastAsia="en-AU"/>
              </w:rPr>
              <w:t>Autism</w:t>
            </w:r>
          </w:p>
        </w:tc>
        <w:tc>
          <w:tcPr>
            <w:tcW w:w="524" w:type="pct"/>
            <w:shd w:val="clear" w:color="auto" w:fill="BFBFBF" w:themeFill="background1" w:themeFillShade="BF"/>
            <w:noWrap/>
            <w:vAlign w:val="center"/>
            <w:hideMark/>
          </w:tcPr>
          <w:p w14:paraId="67B4EBE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8,166</w:t>
            </w:r>
          </w:p>
        </w:tc>
        <w:tc>
          <w:tcPr>
            <w:tcW w:w="552" w:type="pct"/>
            <w:shd w:val="clear" w:color="auto" w:fill="BFBFBF" w:themeFill="background1" w:themeFillShade="BF"/>
            <w:noWrap/>
            <w:vAlign w:val="center"/>
            <w:hideMark/>
          </w:tcPr>
          <w:p w14:paraId="22C9D45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10,091</w:t>
            </w:r>
          </w:p>
        </w:tc>
        <w:tc>
          <w:tcPr>
            <w:tcW w:w="638" w:type="pct"/>
            <w:gridSpan w:val="2"/>
            <w:shd w:val="clear" w:color="auto" w:fill="BFBFBF" w:themeFill="background1" w:themeFillShade="BF"/>
            <w:noWrap/>
            <w:vAlign w:val="center"/>
            <w:hideMark/>
          </w:tcPr>
          <w:p w14:paraId="33E38032"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12,255</w:t>
            </w:r>
          </w:p>
        </w:tc>
        <w:tc>
          <w:tcPr>
            <w:tcW w:w="601" w:type="pct"/>
            <w:gridSpan w:val="2"/>
            <w:tcBorders>
              <w:right w:val="dashSmallGap" w:sz="4" w:space="0" w:color="auto"/>
            </w:tcBorders>
            <w:shd w:val="clear" w:color="auto" w:fill="BFBFBF" w:themeFill="background1" w:themeFillShade="BF"/>
            <w:noWrap/>
            <w:vAlign w:val="center"/>
            <w:hideMark/>
          </w:tcPr>
          <w:p w14:paraId="39B9C44C"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14,333</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26AC720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33,321</w:t>
            </w:r>
          </w:p>
        </w:tc>
        <w:tc>
          <w:tcPr>
            <w:tcW w:w="586" w:type="pct"/>
            <w:tcBorders>
              <w:left w:val="single" w:sz="4" w:space="0" w:color="auto"/>
            </w:tcBorders>
            <w:shd w:val="clear" w:color="auto" w:fill="BFBFBF" w:themeFill="background1" w:themeFillShade="BF"/>
            <w:noWrap/>
            <w:vAlign w:val="center"/>
            <w:hideMark/>
          </w:tcPr>
          <w:p w14:paraId="40A0196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44,845</w:t>
            </w:r>
          </w:p>
        </w:tc>
      </w:tr>
      <w:tr w:rsidR="000656A4" w:rsidRPr="007F6332" w14:paraId="1DBF4693" w14:textId="77777777" w:rsidTr="00E47055">
        <w:trPr>
          <w:trHeight w:val="204"/>
        </w:trPr>
        <w:tc>
          <w:tcPr>
            <w:tcW w:w="1571" w:type="pct"/>
            <w:gridSpan w:val="3"/>
            <w:shd w:val="clear" w:color="auto" w:fill="auto"/>
            <w:noWrap/>
            <w:vAlign w:val="center"/>
            <w:hideMark/>
          </w:tcPr>
          <w:p w14:paraId="5058CC78" w14:textId="262B6375" w:rsidR="00653D3D" w:rsidRPr="007F6332" w:rsidRDefault="00B724CC"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June 2022 projections</w:t>
            </w:r>
            <w:r w:rsidR="00653D3D" w:rsidRPr="007F6332">
              <w:rPr>
                <w:rFonts w:eastAsia="Times New Roman" w:cs="Arial"/>
                <w:b/>
                <w:bCs/>
                <w:color w:val="000000"/>
                <w:sz w:val="21"/>
                <w:szCs w:val="21"/>
                <w:lang w:eastAsia="en-AU"/>
              </w:rPr>
              <w:t xml:space="preserve"> </w:t>
            </w:r>
            <w:r w:rsidR="00653D3D" w:rsidRPr="007F6332">
              <w:rPr>
                <w:rFonts w:eastAsia="Times New Roman" w:cs="Arial"/>
                <w:color w:val="000000"/>
                <w:sz w:val="21"/>
                <w:szCs w:val="21"/>
                <w:lang w:eastAsia="en-AU"/>
              </w:rPr>
              <w:t>Developmental Delay</w:t>
            </w:r>
          </w:p>
        </w:tc>
        <w:tc>
          <w:tcPr>
            <w:tcW w:w="524" w:type="pct"/>
            <w:shd w:val="clear" w:color="auto" w:fill="auto"/>
            <w:noWrap/>
            <w:vAlign w:val="center"/>
            <w:hideMark/>
          </w:tcPr>
          <w:p w14:paraId="79A8ED8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835</w:t>
            </w:r>
          </w:p>
        </w:tc>
        <w:tc>
          <w:tcPr>
            <w:tcW w:w="552" w:type="pct"/>
            <w:shd w:val="clear" w:color="auto" w:fill="auto"/>
            <w:noWrap/>
            <w:vAlign w:val="center"/>
            <w:hideMark/>
          </w:tcPr>
          <w:p w14:paraId="60AD87B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917</w:t>
            </w:r>
          </w:p>
        </w:tc>
        <w:tc>
          <w:tcPr>
            <w:tcW w:w="638" w:type="pct"/>
            <w:gridSpan w:val="2"/>
            <w:shd w:val="clear" w:color="auto" w:fill="auto"/>
            <w:noWrap/>
            <w:vAlign w:val="center"/>
            <w:hideMark/>
          </w:tcPr>
          <w:p w14:paraId="7C3C8DDC"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983</w:t>
            </w:r>
          </w:p>
        </w:tc>
        <w:tc>
          <w:tcPr>
            <w:tcW w:w="601" w:type="pct"/>
            <w:gridSpan w:val="2"/>
            <w:tcBorders>
              <w:right w:val="dashSmallGap" w:sz="4" w:space="0" w:color="auto"/>
            </w:tcBorders>
            <w:shd w:val="clear" w:color="auto" w:fill="auto"/>
            <w:noWrap/>
            <w:vAlign w:val="center"/>
            <w:hideMark/>
          </w:tcPr>
          <w:p w14:paraId="3A1B1FF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1,017</w:t>
            </w:r>
          </w:p>
        </w:tc>
        <w:tc>
          <w:tcPr>
            <w:tcW w:w="529" w:type="pct"/>
            <w:tcBorders>
              <w:left w:val="dashSmallGap" w:sz="4" w:space="0" w:color="auto"/>
              <w:right w:val="single" w:sz="4" w:space="0" w:color="auto"/>
            </w:tcBorders>
            <w:shd w:val="clear" w:color="auto" w:fill="auto"/>
            <w:noWrap/>
            <w:vAlign w:val="center"/>
            <w:hideMark/>
          </w:tcPr>
          <w:p w14:paraId="3DA6281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1,231</w:t>
            </w:r>
          </w:p>
        </w:tc>
        <w:tc>
          <w:tcPr>
            <w:tcW w:w="586" w:type="pct"/>
            <w:tcBorders>
              <w:left w:val="single" w:sz="4" w:space="0" w:color="auto"/>
            </w:tcBorders>
            <w:shd w:val="clear" w:color="auto" w:fill="auto"/>
            <w:noWrap/>
            <w:vAlign w:val="center"/>
            <w:hideMark/>
          </w:tcPr>
          <w:p w14:paraId="2A5BC5C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3,752</w:t>
            </w:r>
          </w:p>
        </w:tc>
      </w:tr>
      <w:tr w:rsidR="000656A4" w:rsidRPr="007F6332" w14:paraId="6BFE0046" w14:textId="77777777" w:rsidTr="00E47055">
        <w:trPr>
          <w:trHeight w:val="204"/>
        </w:trPr>
        <w:tc>
          <w:tcPr>
            <w:tcW w:w="1571" w:type="pct"/>
            <w:gridSpan w:val="3"/>
            <w:shd w:val="clear" w:color="auto" w:fill="BFBFBF" w:themeFill="background1" w:themeFillShade="BF"/>
            <w:noWrap/>
            <w:vAlign w:val="center"/>
            <w:hideMark/>
          </w:tcPr>
          <w:p w14:paraId="7224760C" w14:textId="77777777" w:rsidR="00377A67"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June 2022 projections</w:t>
            </w:r>
          </w:p>
          <w:p w14:paraId="4E0342BA" w14:textId="5D2867D6"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 xml:space="preserve"> </w:t>
            </w:r>
            <w:r w:rsidRPr="007F6332">
              <w:rPr>
                <w:rFonts w:eastAsia="Times New Roman" w:cs="Arial"/>
                <w:color w:val="000000"/>
                <w:sz w:val="21"/>
                <w:szCs w:val="21"/>
                <w:lang w:eastAsia="en-AU"/>
              </w:rPr>
              <w:t>Intellectual Disability</w:t>
            </w:r>
          </w:p>
        </w:tc>
        <w:tc>
          <w:tcPr>
            <w:tcW w:w="524" w:type="pct"/>
            <w:shd w:val="clear" w:color="auto" w:fill="BFBFBF" w:themeFill="background1" w:themeFillShade="BF"/>
            <w:noWrap/>
            <w:vAlign w:val="center"/>
            <w:hideMark/>
          </w:tcPr>
          <w:p w14:paraId="6E23C4C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10,599</w:t>
            </w:r>
          </w:p>
        </w:tc>
        <w:tc>
          <w:tcPr>
            <w:tcW w:w="552" w:type="pct"/>
            <w:shd w:val="clear" w:color="auto" w:fill="BFBFBF" w:themeFill="background1" w:themeFillShade="BF"/>
            <w:noWrap/>
            <w:vAlign w:val="center"/>
            <w:hideMark/>
          </w:tcPr>
          <w:p w14:paraId="6D4176CF"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11,975</w:t>
            </w:r>
          </w:p>
        </w:tc>
        <w:tc>
          <w:tcPr>
            <w:tcW w:w="638" w:type="pct"/>
            <w:gridSpan w:val="2"/>
            <w:shd w:val="clear" w:color="auto" w:fill="BFBFBF" w:themeFill="background1" w:themeFillShade="BF"/>
            <w:noWrap/>
            <w:vAlign w:val="center"/>
            <w:hideMark/>
          </w:tcPr>
          <w:p w14:paraId="0377E61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13,401</w:t>
            </w:r>
          </w:p>
        </w:tc>
        <w:tc>
          <w:tcPr>
            <w:tcW w:w="601" w:type="pct"/>
            <w:gridSpan w:val="2"/>
            <w:tcBorders>
              <w:right w:val="dashSmallGap" w:sz="4" w:space="0" w:color="auto"/>
            </w:tcBorders>
            <w:shd w:val="clear" w:color="auto" w:fill="BFBFBF" w:themeFill="background1" w:themeFillShade="BF"/>
            <w:noWrap/>
            <w:vAlign w:val="center"/>
            <w:hideMark/>
          </w:tcPr>
          <w:p w14:paraId="29C3338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14,504</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409BE7A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22,761</w:t>
            </w:r>
          </w:p>
        </w:tc>
        <w:tc>
          <w:tcPr>
            <w:tcW w:w="586" w:type="pct"/>
            <w:tcBorders>
              <w:left w:val="single" w:sz="4" w:space="0" w:color="auto"/>
            </w:tcBorders>
            <w:shd w:val="clear" w:color="auto" w:fill="BFBFBF" w:themeFill="background1" w:themeFillShade="BF"/>
            <w:noWrap/>
            <w:vAlign w:val="center"/>
            <w:hideMark/>
          </w:tcPr>
          <w:p w14:paraId="3813D5C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50,479</w:t>
            </w:r>
          </w:p>
        </w:tc>
      </w:tr>
      <w:tr w:rsidR="000656A4" w:rsidRPr="007F6332" w14:paraId="56BB34C9" w14:textId="77777777" w:rsidTr="00E47055">
        <w:trPr>
          <w:trHeight w:val="85"/>
        </w:trPr>
        <w:tc>
          <w:tcPr>
            <w:tcW w:w="1571" w:type="pct"/>
            <w:gridSpan w:val="3"/>
            <w:shd w:val="clear" w:color="auto" w:fill="auto"/>
            <w:noWrap/>
            <w:vAlign w:val="center"/>
            <w:hideMark/>
          </w:tcPr>
          <w:p w14:paraId="0A5D5F5D" w14:textId="10BD0F5B" w:rsidR="00653D3D" w:rsidRPr="007F6332" w:rsidRDefault="00B724CC"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June 2022 projections</w:t>
            </w:r>
            <w:r w:rsidR="00653D3D" w:rsidRPr="007F6332">
              <w:rPr>
                <w:rFonts w:eastAsia="Times New Roman" w:cs="Arial"/>
                <w:b/>
                <w:bCs/>
                <w:color w:val="000000"/>
                <w:sz w:val="21"/>
                <w:szCs w:val="21"/>
                <w:lang w:eastAsia="en-AU"/>
              </w:rPr>
              <w:t xml:space="preserve"> </w:t>
            </w:r>
            <w:r w:rsidR="00653D3D" w:rsidRPr="007F6332">
              <w:rPr>
                <w:rFonts w:eastAsia="Times New Roman" w:cs="Arial"/>
                <w:color w:val="000000"/>
                <w:sz w:val="21"/>
                <w:szCs w:val="21"/>
                <w:lang w:eastAsia="en-AU"/>
              </w:rPr>
              <w:t>Other Neurological</w:t>
            </w:r>
          </w:p>
        </w:tc>
        <w:tc>
          <w:tcPr>
            <w:tcW w:w="524" w:type="pct"/>
            <w:shd w:val="clear" w:color="auto" w:fill="auto"/>
            <w:noWrap/>
            <w:vAlign w:val="center"/>
            <w:hideMark/>
          </w:tcPr>
          <w:p w14:paraId="3B2035D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2,661</w:t>
            </w:r>
          </w:p>
        </w:tc>
        <w:tc>
          <w:tcPr>
            <w:tcW w:w="552" w:type="pct"/>
            <w:shd w:val="clear" w:color="auto" w:fill="auto"/>
            <w:noWrap/>
            <w:vAlign w:val="center"/>
            <w:hideMark/>
          </w:tcPr>
          <w:p w14:paraId="5DBE8F1C"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2,948</w:t>
            </w:r>
          </w:p>
        </w:tc>
        <w:tc>
          <w:tcPr>
            <w:tcW w:w="638" w:type="pct"/>
            <w:gridSpan w:val="2"/>
            <w:shd w:val="clear" w:color="auto" w:fill="auto"/>
            <w:noWrap/>
            <w:vAlign w:val="center"/>
            <w:hideMark/>
          </w:tcPr>
          <w:p w14:paraId="728517BC"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3,225</w:t>
            </w:r>
          </w:p>
        </w:tc>
        <w:tc>
          <w:tcPr>
            <w:tcW w:w="601" w:type="pct"/>
            <w:gridSpan w:val="2"/>
            <w:tcBorders>
              <w:right w:val="dashSmallGap" w:sz="4" w:space="0" w:color="auto"/>
            </w:tcBorders>
            <w:shd w:val="clear" w:color="auto" w:fill="auto"/>
            <w:noWrap/>
            <w:vAlign w:val="center"/>
            <w:hideMark/>
          </w:tcPr>
          <w:p w14:paraId="76EC7D1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3,412</w:t>
            </w:r>
          </w:p>
        </w:tc>
        <w:tc>
          <w:tcPr>
            <w:tcW w:w="529" w:type="pct"/>
            <w:tcBorders>
              <w:left w:val="dashSmallGap" w:sz="4" w:space="0" w:color="auto"/>
              <w:right w:val="single" w:sz="4" w:space="0" w:color="auto"/>
            </w:tcBorders>
            <w:shd w:val="clear" w:color="auto" w:fill="auto"/>
            <w:noWrap/>
            <w:vAlign w:val="center"/>
            <w:hideMark/>
          </w:tcPr>
          <w:p w14:paraId="69877D2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4,765</w:t>
            </w:r>
          </w:p>
        </w:tc>
        <w:tc>
          <w:tcPr>
            <w:tcW w:w="586" w:type="pct"/>
            <w:tcBorders>
              <w:left w:val="single" w:sz="4" w:space="0" w:color="auto"/>
            </w:tcBorders>
            <w:shd w:val="clear" w:color="auto" w:fill="auto"/>
            <w:noWrap/>
            <w:vAlign w:val="center"/>
            <w:hideMark/>
          </w:tcPr>
          <w:p w14:paraId="0DD8F1A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12,246</w:t>
            </w:r>
          </w:p>
        </w:tc>
      </w:tr>
      <w:tr w:rsidR="000656A4" w:rsidRPr="007F6332" w14:paraId="6A6FA598" w14:textId="77777777" w:rsidTr="00E47055">
        <w:trPr>
          <w:trHeight w:val="204"/>
        </w:trPr>
        <w:tc>
          <w:tcPr>
            <w:tcW w:w="1571" w:type="pct"/>
            <w:gridSpan w:val="3"/>
            <w:shd w:val="clear" w:color="auto" w:fill="BFBFBF" w:themeFill="background1" w:themeFillShade="BF"/>
            <w:noWrap/>
            <w:vAlign w:val="center"/>
            <w:hideMark/>
          </w:tcPr>
          <w:p w14:paraId="52485383" w14:textId="77777777" w:rsidR="00377A67"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June 2022 projections</w:t>
            </w:r>
            <w:r w:rsidR="00653D3D" w:rsidRPr="007F6332">
              <w:rPr>
                <w:rFonts w:eastAsia="Times New Roman" w:cs="Arial"/>
                <w:b/>
                <w:bCs/>
                <w:color w:val="000000"/>
                <w:sz w:val="21"/>
                <w:szCs w:val="21"/>
                <w:lang w:eastAsia="en-AU"/>
              </w:rPr>
              <w:t xml:space="preserve"> </w:t>
            </w:r>
          </w:p>
          <w:p w14:paraId="66E4E7CC" w14:textId="0DBACC9D"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color w:val="000000"/>
                <w:sz w:val="21"/>
                <w:szCs w:val="21"/>
                <w:lang w:eastAsia="en-AU"/>
              </w:rPr>
              <w:t>Psychosocial Disability</w:t>
            </w:r>
          </w:p>
        </w:tc>
        <w:tc>
          <w:tcPr>
            <w:tcW w:w="524" w:type="pct"/>
            <w:shd w:val="clear" w:color="auto" w:fill="BFBFBF" w:themeFill="background1" w:themeFillShade="BF"/>
            <w:noWrap/>
            <w:vAlign w:val="center"/>
            <w:hideMark/>
          </w:tcPr>
          <w:p w14:paraId="769D62B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4,557</w:t>
            </w:r>
          </w:p>
        </w:tc>
        <w:tc>
          <w:tcPr>
            <w:tcW w:w="552" w:type="pct"/>
            <w:shd w:val="clear" w:color="auto" w:fill="BFBFBF" w:themeFill="background1" w:themeFillShade="BF"/>
            <w:noWrap/>
            <w:vAlign w:val="center"/>
            <w:hideMark/>
          </w:tcPr>
          <w:p w14:paraId="0EE0C5A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5,346</w:t>
            </w:r>
          </w:p>
        </w:tc>
        <w:tc>
          <w:tcPr>
            <w:tcW w:w="638" w:type="pct"/>
            <w:gridSpan w:val="2"/>
            <w:shd w:val="clear" w:color="auto" w:fill="BFBFBF" w:themeFill="background1" w:themeFillShade="BF"/>
            <w:noWrap/>
            <w:vAlign w:val="center"/>
            <w:hideMark/>
          </w:tcPr>
          <w:p w14:paraId="600B299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6,111</w:t>
            </w:r>
          </w:p>
        </w:tc>
        <w:tc>
          <w:tcPr>
            <w:tcW w:w="601" w:type="pct"/>
            <w:gridSpan w:val="2"/>
            <w:tcBorders>
              <w:right w:val="dashSmallGap" w:sz="4" w:space="0" w:color="auto"/>
            </w:tcBorders>
            <w:shd w:val="clear" w:color="auto" w:fill="BFBFBF" w:themeFill="background1" w:themeFillShade="BF"/>
            <w:noWrap/>
            <w:vAlign w:val="center"/>
            <w:hideMark/>
          </w:tcPr>
          <w:p w14:paraId="2746D60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6,723</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638E8EE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11,235</w:t>
            </w:r>
          </w:p>
        </w:tc>
        <w:tc>
          <w:tcPr>
            <w:tcW w:w="586" w:type="pct"/>
            <w:tcBorders>
              <w:left w:val="single" w:sz="4" w:space="0" w:color="auto"/>
            </w:tcBorders>
            <w:shd w:val="clear" w:color="auto" w:fill="BFBFBF" w:themeFill="background1" w:themeFillShade="BF"/>
            <w:noWrap/>
            <w:vAlign w:val="center"/>
            <w:hideMark/>
          </w:tcPr>
          <w:p w14:paraId="6F0D407B"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22,737</w:t>
            </w:r>
          </w:p>
        </w:tc>
      </w:tr>
      <w:tr w:rsidR="000656A4" w:rsidRPr="007F6332" w14:paraId="61D2A72D" w14:textId="77777777" w:rsidTr="00E47055">
        <w:trPr>
          <w:trHeight w:val="204"/>
        </w:trPr>
        <w:tc>
          <w:tcPr>
            <w:tcW w:w="1571" w:type="pct"/>
            <w:gridSpan w:val="3"/>
            <w:shd w:val="clear" w:color="auto" w:fill="auto"/>
            <w:noWrap/>
            <w:vAlign w:val="center"/>
            <w:hideMark/>
          </w:tcPr>
          <w:p w14:paraId="122BC350" w14:textId="77777777" w:rsidR="00BA3C62" w:rsidRPr="007F6332" w:rsidRDefault="00B724CC"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 xml:space="preserve">June 2022 </w:t>
            </w:r>
          </w:p>
          <w:p w14:paraId="58309C3F" w14:textId="611C350B" w:rsidR="00653D3D" w:rsidRPr="007F6332" w:rsidRDefault="00B724CC"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projections</w:t>
            </w:r>
            <w:r w:rsidR="00653D3D" w:rsidRPr="007F6332">
              <w:rPr>
                <w:rFonts w:eastAsia="Times New Roman" w:cs="Arial"/>
                <w:b/>
                <w:bCs/>
                <w:color w:val="000000"/>
                <w:sz w:val="21"/>
                <w:szCs w:val="21"/>
                <w:lang w:eastAsia="en-AU"/>
              </w:rPr>
              <w:t xml:space="preserve"> </w:t>
            </w:r>
            <w:r w:rsidR="00653D3D" w:rsidRPr="007F6332">
              <w:rPr>
                <w:rFonts w:eastAsia="Times New Roman" w:cs="Arial"/>
                <w:color w:val="000000"/>
                <w:sz w:val="21"/>
                <w:szCs w:val="21"/>
                <w:lang w:eastAsia="en-AU"/>
              </w:rPr>
              <w:t>Other</w:t>
            </w:r>
          </w:p>
        </w:tc>
        <w:tc>
          <w:tcPr>
            <w:tcW w:w="524" w:type="pct"/>
            <w:shd w:val="clear" w:color="auto" w:fill="auto"/>
            <w:noWrap/>
            <w:vAlign w:val="center"/>
            <w:hideMark/>
          </w:tcPr>
          <w:p w14:paraId="5BE7098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10,750</w:t>
            </w:r>
          </w:p>
        </w:tc>
        <w:tc>
          <w:tcPr>
            <w:tcW w:w="552" w:type="pct"/>
            <w:shd w:val="clear" w:color="auto" w:fill="auto"/>
            <w:noWrap/>
            <w:vAlign w:val="center"/>
            <w:hideMark/>
          </w:tcPr>
          <w:p w14:paraId="49658EC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12,186</w:t>
            </w:r>
          </w:p>
        </w:tc>
        <w:tc>
          <w:tcPr>
            <w:tcW w:w="638" w:type="pct"/>
            <w:gridSpan w:val="2"/>
            <w:shd w:val="clear" w:color="auto" w:fill="auto"/>
            <w:noWrap/>
            <w:vAlign w:val="center"/>
            <w:hideMark/>
          </w:tcPr>
          <w:p w14:paraId="5823697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13,624</w:t>
            </w:r>
          </w:p>
        </w:tc>
        <w:tc>
          <w:tcPr>
            <w:tcW w:w="601" w:type="pct"/>
            <w:gridSpan w:val="2"/>
            <w:tcBorders>
              <w:right w:val="dashSmallGap" w:sz="4" w:space="0" w:color="auto"/>
            </w:tcBorders>
            <w:shd w:val="clear" w:color="auto" w:fill="auto"/>
            <w:noWrap/>
            <w:vAlign w:val="center"/>
            <w:hideMark/>
          </w:tcPr>
          <w:p w14:paraId="6192002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14,700</w:t>
            </w:r>
          </w:p>
        </w:tc>
        <w:tc>
          <w:tcPr>
            <w:tcW w:w="529" w:type="pct"/>
            <w:tcBorders>
              <w:left w:val="dashSmallGap" w:sz="4" w:space="0" w:color="auto"/>
              <w:right w:val="single" w:sz="4" w:space="0" w:color="auto"/>
            </w:tcBorders>
            <w:shd w:val="clear" w:color="auto" w:fill="auto"/>
            <w:noWrap/>
            <w:vAlign w:val="center"/>
            <w:hideMark/>
          </w:tcPr>
          <w:p w14:paraId="391BBC2B"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22,223</w:t>
            </w:r>
          </w:p>
        </w:tc>
        <w:tc>
          <w:tcPr>
            <w:tcW w:w="586" w:type="pct"/>
            <w:tcBorders>
              <w:left w:val="single" w:sz="4" w:space="0" w:color="auto"/>
            </w:tcBorders>
            <w:shd w:val="clear" w:color="auto" w:fill="auto"/>
            <w:noWrap/>
            <w:vAlign w:val="center"/>
            <w:hideMark/>
          </w:tcPr>
          <w:p w14:paraId="780E90B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51,260</w:t>
            </w:r>
          </w:p>
        </w:tc>
      </w:tr>
      <w:tr w:rsidR="000656A4" w:rsidRPr="007F6332" w14:paraId="3C787695" w14:textId="77777777" w:rsidTr="00E47055">
        <w:trPr>
          <w:trHeight w:val="204"/>
        </w:trPr>
        <w:tc>
          <w:tcPr>
            <w:tcW w:w="1571" w:type="pct"/>
            <w:gridSpan w:val="3"/>
            <w:tcBorders>
              <w:bottom w:val="single" w:sz="4" w:space="0" w:color="auto"/>
            </w:tcBorders>
            <w:shd w:val="clear" w:color="auto" w:fill="B499B7"/>
            <w:noWrap/>
            <w:vAlign w:val="center"/>
            <w:hideMark/>
          </w:tcPr>
          <w:p w14:paraId="69645C5C" w14:textId="77777777" w:rsidR="00653D3D" w:rsidRPr="007F6332" w:rsidRDefault="00653D3D"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Total</w:t>
            </w:r>
          </w:p>
        </w:tc>
        <w:tc>
          <w:tcPr>
            <w:tcW w:w="524" w:type="pct"/>
            <w:tcBorders>
              <w:bottom w:val="single" w:sz="4" w:space="0" w:color="auto"/>
            </w:tcBorders>
            <w:shd w:val="clear" w:color="auto" w:fill="B499B7"/>
            <w:noWrap/>
            <w:vAlign w:val="center"/>
            <w:hideMark/>
          </w:tcPr>
          <w:p w14:paraId="4A382EA8"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37,568</w:t>
            </w:r>
          </w:p>
        </w:tc>
        <w:tc>
          <w:tcPr>
            <w:tcW w:w="552" w:type="pct"/>
            <w:tcBorders>
              <w:bottom w:val="single" w:sz="4" w:space="0" w:color="auto"/>
            </w:tcBorders>
            <w:shd w:val="clear" w:color="auto" w:fill="B499B7"/>
            <w:noWrap/>
            <w:vAlign w:val="center"/>
            <w:hideMark/>
          </w:tcPr>
          <w:p w14:paraId="6862B8D2"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43,463</w:t>
            </w:r>
          </w:p>
        </w:tc>
        <w:tc>
          <w:tcPr>
            <w:tcW w:w="578" w:type="pct"/>
            <w:tcBorders>
              <w:bottom w:val="single" w:sz="4" w:space="0" w:color="auto"/>
            </w:tcBorders>
            <w:shd w:val="clear" w:color="auto" w:fill="B499B7"/>
            <w:noWrap/>
            <w:vAlign w:val="center"/>
            <w:hideMark/>
          </w:tcPr>
          <w:p w14:paraId="2E594FAB" w14:textId="77777777" w:rsidR="00653D3D" w:rsidRPr="007F6332" w:rsidRDefault="00653D3D" w:rsidP="00A46D10">
            <w:pPr>
              <w:spacing w:after="0" w:line="240" w:lineRule="auto"/>
              <w:ind w:right="-113"/>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49,599</w:t>
            </w:r>
          </w:p>
        </w:tc>
        <w:tc>
          <w:tcPr>
            <w:tcW w:w="661" w:type="pct"/>
            <w:gridSpan w:val="3"/>
            <w:tcBorders>
              <w:bottom w:val="single" w:sz="4" w:space="0" w:color="auto"/>
              <w:right w:val="dashSmallGap" w:sz="4" w:space="0" w:color="auto"/>
            </w:tcBorders>
            <w:shd w:val="clear" w:color="auto" w:fill="B499B7"/>
            <w:noWrap/>
            <w:vAlign w:val="center"/>
            <w:hideMark/>
          </w:tcPr>
          <w:p w14:paraId="335224DE"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54,690</w:t>
            </w:r>
          </w:p>
        </w:tc>
        <w:tc>
          <w:tcPr>
            <w:tcW w:w="529" w:type="pct"/>
            <w:tcBorders>
              <w:left w:val="dashSmallGap" w:sz="4" w:space="0" w:color="auto"/>
              <w:bottom w:val="single" w:sz="4" w:space="0" w:color="auto"/>
              <w:right w:val="single" w:sz="4" w:space="0" w:color="auto"/>
            </w:tcBorders>
            <w:shd w:val="clear" w:color="auto" w:fill="B499B7"/>
            <w:noWrap/>
            <w:vAlign w:val="center"/>
            <w:hideMark/>
          </w:tcPr>
          <w:p w14:paraId="715D3901"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95,536</w:t>
            </w:r>
          </w:p>
        </w:tc>
        <w:tc>
          <w:tcPr>
            <w:tcW w:w="586" w:type="pct"/>
            <w:tcBorders>
              <w:left w:val="single" w:sz="4" w:space="0" w:color="auto"/>
              <w:bottom w:val="single" w:sz="4" w:space="0" w:color="auto"/>
            </w:tcBorders>
            <w:shd w:val="clear" w:color="auto" w:fill="B499B7"/>
            <w:noWrap/>
            <w:vAlign w:val="center"/>
            <w:hideMark/>
          </w:tcPr>
          <w:p w14:paraId="2060CBD5"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185,319</w:t>
            </w:r>
          </w:p>
        </w:tc>
      </w:tr>
    </w:tbl>
    <w:p w14:paraId="00D9700A" w14:textId="77777777" w:rsidR="00E47055" w:rsidRPr="00E47055" w:rsidRDefault="00E47055" w:rsidP="00E47055">
      <w:pPr>
        <w:spacing w:after="0"/>
        <w:rPr>
          <w:sz w:val="2"/>
          <w:szCs w:val="4"/>
        </w:rPr>
      </w:pPr>
    </w:p>
    <w:tbl>
      <w:tblPr>
        <w:tblW w:w="5000" w:type="pct"/>
        <w:tblLayout w:type="fixed"/>
        <w:tblLook w:val="04A0" w:firstRow="1" w:lastRow="0" w:firstColumn="1" w:lastColumn="0" w:noHBand="0" w:noVBand="1"/>
      </w:tblPr>
      <w:tblGrid>
        <w:gridCol w:w="2845"/>
        <w:gridCol w:w="948"/>
        <w:gridCol w:w="999"/>
        <w:gridCol w:w="1046"/>
        <w:gridCol w:w="1196"/>
        <w:gridCol w:w="957"/>
        <w:gridCol w:w="1059"/>
      </w:tblGrid>
      <w:tr w:rsidR="000656A4" w:rsidRPr="007F6332" w14:paraId="64ABAE38" w14:textId="77777777" w:rsidTr="00E47055">
        <w:trPr>
          <w:trHeight w:val="204"/>
        </w:trPr>
        <w:tc>
          <w:tcPr>
            <w:tcW w:w="1571" w:type="pct"/>
            <w:tcBorders>
              <w:top w:val="single" w:sz="4" w:space="0" w:color="auto"/>
            </w:tcBorders>
            <w:shd w:val="clear" w:color="000000" w:fill="6B2976"/>
            <w:noWrap/>
            <w:vAlign w:val="center"/>
          </w:tcPr>
          <w:p w14:paraId="553D0E02" w14:textId="1F6BAD06" w:rsidR="00377A67" w:rsidRPr="007F6332" w:rsidRDefault="00377A67" w:rsidP="00377A67">
            <w:pPr>
              <w:spacing w:after="0" w:line="240" w:lineRule="auto"/>
              <w:rPr>
                <w:rFonts w:eastAsia="Times New Roman" w:cs="Arial"/>
                <w:b/>
                <w:bCs/>
                <w:color w:val="FFFFFF"/>
                <w:sz w:val="21"/>
                <w:szCs w:val="21"/>
                <w:lang w:eastAsia="en-AU"/>
              </w:rPr>
            </w:pPr>
            <w:r w:rsidRPr="007F6332">
              <w:rPr>
                <w:rFonts w:eastAsia="Times New Roman" w:cs="Arial"/>
                <w:b/>
                <w:bCs/>
                <w:color w:val="FFFFFF"/>
                <w:sz w:val="21"/>
                <w:szCs w:val="21"/>
                <w:lang w:eastAsia="en-AU"/>
              </w:rPr>
              <w:t>Scheme expenses</w:t>
            </w:r>
          </w:p>
        </w:tc>
        <w:tc>
          <w:tcPr>
            <w:tcW w:w="524" w:type="pct"/>
            <w:tcBorders>
              <w:top w:val="single" w:sz="4" w:space="0" w:color="auto"/>
            </w:tcBorders>
            <w:shd w:val="clear" w:color="000000" w:fill="6B2976"/>
            <w:noWrap/>
            <w:vAlign w:val="center"/>
          </w:tcPr>
          <w:p w14:paraId="224F32E7" w14:textId="30B3B1C0" w:rsidR="00377A67" w:rsidRPr="007F6332" w:rsidRDefault="00377A67" w:rsidP="00C1755E">
            <w:pPr>
              <w:spacing w:after="0" w:line="240" w:lineRule="auto"/>
              <w:ind w:left="-112"/>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2023-24</w:t>
            </w:r>
          </w:p>
        </w:tc>
        <w:tc>
          <w:tcPr>
            <w:tcW w:w="552" w:type="pct"/>
            <w:tcBorders>
              <w:top w:val="single" w:sz="4" w:space="0" w:color="auto"/>
            </w:tcBorders>
            <w:shd w:val="clear" w:color="000000" w:fill="6B2976"/>
            <w:noWrap/>
            <w:vAlign w:val="center"/>
          </w:tcPr>
          <w:p w14:paraId="53608908" w14:textId="78B6E17F" w:rsidR="00377A67" w:rsidRPr="007F6332" w:rsidRDefault="00377A67" w:rsidP="00C1755E">
            <w:pPr>
              <w:spacing w:after="0" w:line="240" w:lineRule="auto"/>
              <w:ind w:left="-68"/>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2024-25</w:t>
            </w:r>
          </w:p>
        </w:tc>
        <w:tc>
          <w:tcPr>
            <w:tcW w:w="578" w:type="pct"/>
            <w:tcBorders>
              <w:top w:val="single" w:sz="4" w:space="0" w:color="auto"/>
            </w:tcBorders>
            <w:shd w:val="clear" w:color="000000" w:fill="6B2976"/>
            <w:noWrap/>
            <w:vAlign w:val="center"/>
          </w:tcPr>
          <w:p w14:paraId="3975CBD4" w14:textId="1AF5C1AC" w:rsidR="00377A67" w:rsidRPr="007F6332" w:rsidRDefault="00377A67" w:rsidP="00C1755E">
            <w:pPr>
              <w:spacing w:after="0" w:line="240" w:lineRule="auto"/>
              <w:ind w:left="-178"/>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2025-26</w:t>
            </w:r>
          </w:p>
        </w:tc>
        <w:tc>
          <w:tcPr>
            <w:tcW w:w="661" w:type="pct"/>
            <w:tcBorders>
              <w:top w:val="single" w:sz="4" w:space="0" w:color="auto"/>
              <w:right w:val="dashSmallGap" w:sz="4" w:space="0" w:color="auto"/>
            </w:tcBorders>
            <w:shd w:val="clear" w:color="000000" w:fill="6B2976"/>
            <w:noWrap/>
            <w:vAlign w:val="center"/>
          </w:tcPr>
          <w:p w14:paraId="77194846" w14:textId="611392C3" w:rsidR="00377A67" w:rsidRPr="007F6332" w:rsidRDefault="00377A67" w:rsidP="00377A67">
            <w:pPr>
              <w:spacing w:after="0" w:line="240" w:lineRule="auto"/>
              <w:ind w:left="-124"/>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2026-27</w:t>
            </w:r>
          </w:p>
        </w:tc>
        <w:tc>
          <w:tcPr>
            <w:tcW w:w="529" w:type="pct"/>
            <w:tcBorders>
              <w:top w:val="single" w:sz="4" w:space="0" w:color="auto"/>
              <w:left w:val="dashSmallGap" w:sz="4" w:space="0" w:color="auto"/>
              <w:right w:val="single" w:sz="4" w:space="0" w:color="auto"/>
            </w:tcBorders>
            <w:shd w:val="clear" w:color="000000" w:fill="6B2976"/>
            <w:noWrap/>
            <w:vAlign w:val="center"/>
          </w:tcPr>
          <w:p w14:paraId="1FF6917B" w14:textId="51B3A5E4" w:rsidR="00377A67" w:rsidRPr="007F6332" w:rsidRDefault="00377A67" w:rsidP="00377A67">
            <w:pPr>
              <w:spacing w:after="0" w:line="240" w:lineRule="auto"/>
              <w:ind w:left="-103" w:right="-99"/>
              <w:jc w:val="right"/>
              <w:rPr>
                <w:rFonts w:eastAsia="Times New Roman" w:cs="Arial"/>
                <w:b/>
                <w:bCs/>
                <w:color w:val="FFFFFF"/>
                <w:sz w:val="21"/>
                <w:szCs w:val="21"/>
                <w:lang w:eastAsia="en-AU"/>
              </w:rPr>
            </w:pPr>
            <w:r w:rsidRPr="007F6332">
              <w:rPr>
                <w:rFonts w:eastAsia="Times New Roman" w:cs="Arial"/>
                <w:b/>
                <w:bCs/>
                <w:color w:val="FFFFFF"/>
                <w:sz w:val="21"/>
                <w:szCs w:val="21"/>
                <w:lang w:eastAsia="en-AU"/>
              </w:rPr>
              <w:t>2032-33</w:t>
            </w:r>
          </w:p>
        </w:tc>
        <w:tc>
          <w:tcPr>
            <w:tcW w:w="586" w:type="pct"/>
            <w:tcBorders>
              <w:top w:val="single" w:sz="4" w:space="0" w:color="auto"/>
              <w:left w:val="single" w:sz="4" w:space="0" w:color="auto"/>
            </w:tcBorders>
            <w:shd w:val="clear" w:color="000000" w:fill="6B2976"/>
            <w:noWrap/>
            <w:vAlign w:val="center"/>
          </w:tcPr>
          <w:p w14:paraId="5137CC76" w14:textId="4972E1A4" w:rsidR="00377A67" w:rsidRPr="007F6332" w:rsidRDefault="00377A67" w:rsidP="00377A67">
            <w:pPr>
              <w:spacing w:after="0" w:line="240" w:lineRule="auto"/>
              <w:ind w:right="-115"/>
              <w:jc w:val="center"/>
              <w:rPr>
                <w:rFonts w:eastAsia="Times New Roman" w:cs="Arial"/>
                <w:b/>
                <w:bCs/>
                <w:color w:val="FFFFFF"/>
                <w:sz w:val="21"/>
                <w:szCs w:val="21"/>
                <w:lang w:eastAsia="en-AU"/>
              </w:rPr>
            </w:pPr>
            <w:r w:rsidRPr="007F6332">
              <w:rPr>
                <w:rFonts w:eastAsia="Times New Roman" w:cs="Arial"/>
                <w:b/>
                <w:bCs/>
                <w:color w:val="FFFFFF"/>
                <w:sz w:val="21"/>
                <w:szCs w:val="21"/>
                <w:lang w:eastAsia="en-AU"/>
              </w:rPr>
              <w:t>Total 2023-27</w:t>
            </w:r>
          </w:p>
        </w:tc>
      </w:tr>
      <w:tr w:rsidR="000656A4" w:rsidRPr="007F6332" w14:paraId="13C81DF5" w14:textId="77777777" w:rsidTr="00E47055">
        <w:trPr>
          <w:trHeight w:val="204"/>
        </w:trPr>
        <w:tc>
          <w:tcPr>
            <w:tcW w:w="1571" w:type="pct"/>
            <w:shd w:val="clear" w:color="auto" w:fill="BFBFBF" w:themeFill="background1" w:themeFillShade="BF"/>
            <w:noWrap/>
            <w:vAlign w:val="center"/>
            <w:hideMark/>
          </w:tcPr>
          <w:p w14:paraId="7E1A8479"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Difference</w:t>
            </w:r>
            <w:r w:rsidRPr="007F6332">
              <w:rPr>
                <w:rFonts w:eastAsia="Times New Roman" w:cs="Arial"/>
                <w:color w:val="000000"/>
                <w:sz w:val="21"/>
                <w:szCs w:val="21"/>
                <w:lang w:eastAsia="en-AU"/>
              </w:rPr>
              <w:t xml:space="preserve"> - Autism</w:t>
            </w:r>
          </w:p>
        </w:tc>
        <w:tc>
          <w:tcPr>
            <w:tcW w:w="524" w:type="pct"/>
            <w:shd w:val="clear" w:color="auto" w:fill="BFBFBF" w:themeFill="background1" w:themeFillShade="BF"/>
            <w:noWrap/>
            <w:vAlign w:val="center"/>
            <w:hideMark/>
          </w:tcPr>
          <w:p w14:paraId="5A59048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264</w:t>
            </w:r>
          </w:p>
        </w:tc>
        <w:tc>
          <w:tcPr>
            <w:tcW w:w="552" w:type="pct"/>
            <w:shd w:val="clear" w:color="auto" w:fill="BFBFBF" w:themeFill="background1" w:themeFillShade="BF"/>
            <w:noWrap/>
            <w:vAlign w:val="center"/>
            <w:hideMark/>
          </w:tcPr>
          <w:p w14:paraId="241072F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w:t>
            </w:r>
          </w:p>
        </w:tc>
        <w:tc>
          <w:tcPr>
            <w:tcW w:w="578" w:type="pct"/>
            <w:shd w:val="clear" w:color="auto" w:fill="BFBFBF" w:themeFill="background1" w:themeFillShade="BF"/>
            <w:noWrap/>
            <w:vAlign w:val="center"/>
            <w:hideMark/>
          </w:tcPr>
          <w:p w14:paraId="261703C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-478</w:t>
            </w:r>
          </w:p>
        </w:tc>
        <w:tc>
          <w:tcPr>
            <w:tcW w:w="661" w:type="pct"/>
            <w:tcBorders>
              <w:right w:val="dashSmallGap" w:sz="4" w:space="0" w:color="auto"/>
            </w:tcBorders>
            <w:shd w:val="clear" w:color="auto" w:fill="BFBFBF" w:themeFill="background1" w:themeFillShade="BF"/>
            <w:noWrap/>
            <w:vAlign w:val="center"/>
            <w:hideMark/>
          </w:tcPr>
          <w:p w14:paraId="5BF812C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-749</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56F4317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-2,922</w:t>
            </w:r>
          </w:p>
        </w:tc>
        <w:tc>
          <w:tcPr>
            <w:tcW w:w="586" w:type="pct"/>
            <w:tcBorders>
              <w:left w:val="single" w:sz="4" w:space="0" w:color="auto"/>
            </w:tcBorders>
            <w:shd w:val="clear" w:color="auto" w:fill="BFBFBF" w:themeFill="background1" w:themeFillShade="BF"/>
            <w:noWrap/>
            <w:vAlign w:val="center"/>
            <w:hideMark/>
          </w:tcPr>
          <w:p w14:paraId="711A29F2"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-965</w:t>
            </w:r>
          </w:p>
        </w:tc>
      </w:tr>
      <w:tr w:rsidR="000656A4" w:rsidRPr="007F6332" w14:paraId="162C910C" w14:textId="77777777" w:rsidTr="00E47055">
        <w:trPr>
          <w:trHeight w:val="204"/>
        </w:trPr>
        <w:tc>
          <w:tcPr>
            <w:tcW w:w="1571" w:type="pct"/>
            <w:shd w:val="clear" w:color="auto" w:fill="auto"/>
            <w:noWrap/>
            <w:vAlign w:val="center"/>
            <w:hideMark/>
          </w:tcPr>
          <w:p w14:paraId="7F31E8FC"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Difference</w:t>
            </w:r>
            <w:r w:rsidRPr="007F6332">
              <w:rPr>
                <w:rFonts w:eastAsia="Times New Roman" w:cs="Arial"/>
                <w:color w:val="000000"/>
                <w:sz w:val="21"/>
                <w:szCs w:val="21"/>
                <w:lang w:eastAsia="en-AU"/>
              </w:rPr>
              <w:t xml:space="preserve"> - Developmental Delay</w:t>
            </w:r>
          </w:p>
        </w:tc>
        <w:tc>
          <w:tcPr>
            <w:tcW w:w="524" w:type="pct"/>
            <w:shd w:val="clear" w:color="auto" w:fill="auto"/>
            <w:noWrap/>
            <w:vAlign w:val="center"/>
            <w:hideMark/>
          </w:tcPr>
          <w:p w14:paraId="38C4197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211</w:t>
            </w:r>
          </w:p>
        </w:tc>
        <w:tc>
          <w:tcPr>
            <w:tcW w:w="552" w:type="pct"/>
            <w:shd w:val="clear" w:color="auto" w:fill="auto"/>
            <w:noWrap/>
            <w:vAlign w:val="center"/>
            <w:hideMark/>
          </w:tcPr>
          <w:p w14:paraId="56119EE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165</w:t>
            </w:r>
          </w:p>
        </w:tc>
        <w:tc>
          <w:tcPr>
            <w:tcW w:w="578" w:type="pct"/>
            <w:shd w:val="clear" w:color="auto" w:fill="auto"/>
            <w:noWrap/>
            <w:vAlign w:val="center"/>
            <w:hideMark/>
          </w:tcPr>
          <w:p w14:paraId="7D09F85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79</w:t>
            </w:r>
          </w:p>
        </w:tc>
        <w:tc>
          <w:tcPr>
            <w:tcW w:w="661" w:type="pct"/>
            <w:tcBorders>
              <w:right w:val="dashSmallGap" w:sz="4" w:space="0" w:color="auto"/>
            </w:tcBorders>
            <w:shd w:val="clear" w:color="auto" w:fill="auto"/>
            <w:noWrap/>
            <w:vAlign w:val="center"/>
            <w:hideMark/>
          </w:tcPr>
          <w:p w14:paraId="02899F3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21</w:t>
            </w:r>
          </w:p>
        </w:tc>
        <w:tc>
          <w:tcPr>
            <w:tcW w:w="529" w:type="pct"/>
            <w:tcBorders>
              <w:left w:val="dashSmallGap" w:sz="4" w:space="0" w:color="auto"/>
              <w:right w:val="single" w:sz="4" w:space="0" w:color="auto"/>
            </w:tcBorders>
            <w:shd w:val="clear" w:color="auto" w:fill="auto"/>
            <w:noWrap/>
            <w:vAlign w:val="center"/>
            <w:hideMark/>
          </w:tcPr>
          <w:p w14:paraId="74AEBB74"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62</w:t>
            </w:r>
          </w:p>
        </w:tc>
        <w:tc>
          <w:tcPr>
            <w:tcW w:w="586" w:type="pct"/>
            <w:tcBorders>
              <w:left w:val="single" w:sz="4" w:space="0" w:color="auto"/>
            </w:tcBorders>
            <w:shd w:val="clear" w:color="auto" w:fill="auto"/>
            <w:noWrap/>
            <w:vAlign w:val="center"/>
            <w:hideMark/>
          </w:tcPr>
          <w:p w14:paraId="6E5A383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475</w:t>
            </w:r>
          </w:p>
        </w:tc>
      </w:tr>
      <w:tr w:rsidR="000656A4" w:rsidRPr="007F6332" w14:paraId="777FE009" w14:textId="77777777" w:rsidTr="00E47055">
        <w:trPr>
          <w:trHeight w:val="204"/>
        </w:trPr>
        <w:tc>
          <w:tcPr>
            <w:tcW w:w="1571" w:type="pct"/>
            <w:shd w:val="clear" w:color="auto" w:fill="BFBFBF" w:themeFill="background1" w:themeFillShade="BF"/>
            <w:noWrap/>
            <w:vAlign w:val="center"/>
            <w:hideMark/>
          </w:tcPr>
          <w:p w14:paraId="46C529D7"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Difference</w:t>
            </w:r>
            <w:r w:rsidRPr="007F6332">
              <w:rPr>
                <w:rFonts w:eastAsia="Times New Roman" w:cs="Arial"/>
                <w:color w:val="000000"/>
                <w:sz w:val="21"/>
                <w:szCs w:val="21"/>
                <w:lang w:eastAsia="en-AU"/>
              </w:rPr>
              <w:t xml:space="preserve"> - Intellectual Disability</w:t>
            </w:r>
          </w:p>
        </w:tc>
        <w:tc>
          <w:tcPr>
            <w:tcW w:w="524" w:type="pct"/>
            <w:shd w:val="clear" w:color="auto" w:fill="BFBFBF" w:themeFill="background1" w:themeFillShade="BF"/>
            <w:noWrap/>
            <w:vAlign w:val="center"/>
            <w:hideMark/>
          </w:tcPr>
          <w:p w14:paraId="14E2E49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667</w:t>
            </w:r>
          </w:p>
        </w:tc>
        <w:tc>
          <w:tcPr>
            <w:tcW w:w="552" w:type="pct"/>
            <w:shd w:val="clear" w:color="auto" w:fill="BFBFBF" w:themeFill="background1" w:themeFillShade="BF"/>
            <w:noWrap/>
            <w:vAlign w:val="center"/>
            <w:hideMark/>
          </w:tcPr>
          <w:p w14:paraId="5F68334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335</w:t>
            </w:r>
          </w:p>
        </w:tc>
        <w:tc>
          <w:tcPr>
            <w:tcW w:w="578" w:type="pct"/>
            <w:shd w:val="clear" w:color="auto" w:fill="BFBFBF" w:themeFill="background1" w:themeFillShade="BF"/>
            <w:noWrap/>
            <w:vAlign w:val="center"/>
            <w:hideMark/>
          </w:tcPr>
          <w:p w14:paraId="3B83C3AB"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-170</w:t>
            </w:r>
          </w:p>
        </w:tc>
        <w:tc>
          <w:tcPr>
            <w:tcW w:w="661" w:type="pct"/>
            <w:tcBorders>
              <w:right w:val="dashSmallGap" w:sz="4" w:space="0" w:color="auto"/>
            </w:tcBorders>
            <w:shd w:val="clear" w:color="auto" w:fill="BFBFBF" w:themeFill="background1" w:themeFillShade="BF"/>
            <w:noWrap/>
            <w:vAlign w:val="center"/>
            <w:hideMark/>
          </w:tcPr>
          <w:p w14:paraId="48F65CA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-391</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2E4D2AD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-1,651</w:t>
            </w:r>
          </w:p>
        </w:tc>
        <w:tc>
          <w:tcPr>
            <w:tcW w:w="586" w:type="pct"/>
            <w:tcBorders>
              <w:left w:val="single" w:sz="4" w:space="0" w:color="auto"/>
            </w:tcBorders>
            <w:shd w:val="clear" w:color="auto" w:fill="BFBFBF" w:themeFill="background1" w:themeFillShade="BF"/>
            <w:noWrap/>
            <w:vAlign w:val="center"/>
            <w:hideMark/>
          </w:tcPr>
          <w:p w14:paraId="617242F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440</w:t>
            </w:r>
          </w:p>
        </w:tc>
      </w:tr>
      <w:tr w:rsidR="000656A4" w:rsidRPr="007F6332" w14:paraId="1792F98A" w14:textId="77777777" w:rsidTr="00E47055">
        <w:trPr>
          <w:trHeight w:val="204"/>
        </w:trPr>
        <w:tc>
          <w:tcPr>
            <w:tcW w:w="1571" w:type="pct"/>
            <w:shd w:val="clear" w:color="auto" w:fill="auto"/>
            <w:noWrap/>
            <w:vAlign w:val="center"/>
            <w:hideMark/>
          </w:tcPr>
          <w:p w14:paraId="7FC29F18"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Difference</w:t>
            </w:r>
            <w:r w:rsidRPr="007F6332">
              <w:rPr>
                <w:rFonts w:eastAsia="Times New Roman" w:cs="Arial"/>
                <w:color w:val="000000"/>
                <w:sz w:val="21"/>
                <w:szCs w:val="21"/>
                <w:lang w:eastAsia="en-AU"/>
              </w:rPr>
              <w:t xml:space="preserve"> - Other Neurological</w:t>
            </w:r>
          </w:p>
        </w:tc>
        <w:tc>
          <w:tcPr>
            <w:tcW w:w="524" w:type="pct"/>
            <w:shd w:val="clear" w:color="auto" w:fill="auto"/>
            <w:noWrap/>
            <w:vAlign w:val="center"/>
            <w:hideMark/>
          </w:tcPr>
          <w:p w14:paraId="685E563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473</w:t>
            </w:r>
          </w:p>
        </w:tc>
        <w:tc>
          <w:tcPr>
            <w:tcW w:w="552" w:type="pct"/>
            <w:shd w:val="clear" w:color="auto" w:fill="auto"/>
            <w:noWrap/>
            <w:vAlign w:val="center"/>
            <w:hideMark/>
          </w:tcPr>
          <w:p w14:paraId="061EC85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461</w:t>
            </w:r>
          </w:p>
        </w:tc>
        <w:tc>
          <w:tcPr>
            <w:tcW w:w="578" w:type="pct"/>
            <w:shd w:val="clear" w:color="auto" w:fill="auto"/>
            <w:noWrap/>
            <w:vAlign w:val="center"/>
            <w:hideMark/>
          </w:tcPr>
          <w:p w14:paraId="65F7655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378</w:t>
            </w:r>
          </w:p>
        </w:tc>
        <w:tc>
          <w:tcPr>
            <w:tcW w:w="661" w:type="pct"/>
            <w:tcBorders>
              <w:right w:val="dashSmallGap" w:sz="4" w:space="0" w:color="auto"/>
            </w:tcBorders>
            <w:shd w:val="clear" w:color="auto" w:fill="auto"/>
            <w:noWrap/>
            <w:vAlign w:val="center"/>
            <w:hideMark/>
          </w:tcPr>
          <w:p w14:paraId="5EF801B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347</w:t>
            </w:r>
          </w:p>
        </w:tc>
        <w:tc>
          <w:tcPr>
            <w:tcW w:w="529" w:type="pct"/>
            <w:tcBorders>
              <w:left w:val="dashSmallGap" w:sz="4" w:space="0" w:color="auto"/>
              <w:right w:val="single" w:sz="4" w:space="0" w:color="auto"/>
            </w:tcBorders>
            <w:shd w:val="clear" w:color="auto" w:fill="auto"/>
            <w:noWrap/>
            <w:vAlign w:val="center"/>
            <w:hideMark/>
          </w:tcPr>
          <w:p w14:paraId="6B65AE8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98</w:t>
            </w:r>
          </w:p>
        </w:tc>
        <w:tc>
          <w:tcPr>
            <w:tcW w:w="586" w:type="pct"/>
            <w:tcBorders>
              <w:left w:val="single" w:sz="4" w:space="0" w:color="auto"/>
            </w:tcBorders>
            <w:shd w:val="clear" w:color="auto" w:fill="auto"/>
            <w:noWrap/>
            <w:vAlign w:val="center"/>
            <w:hideMark/>
          </w:tcPr>
          <w:p w14:paraId="36E558F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1,658</w:t>
            </w:r>
          </w:p>
        </w:tc>
      </w:tr>
      <w:tr w:rsidR="000656A4" w:rsidRPr="007F6332" w14:paraId="09F326DB" w14:textId="77777777" w:rsidTr="00E47055">
        <w:trPr>
          <w:trHeight w:val="204"/>
        </w:trPr>
        <w:tc>
          <w:tcPr>
            <w:tcW w:w="1571" w:type="pct"/>
            <w:shd w:val="clear" w:color="auto" w:fill="BFBFBF" w:themeFill="background1" w:themeFillShade="BF"/>
            <w:noWrap/>
            <w:vAlign w:val="center"/>
            <w:hideMark/>
          </w:tcPr>
          <w:p w14:paraId="7C7BD5A2"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Difference</w:t>
            </w:r>
            <w:r w:rsidRPr="007F6332">
              <w:rPr>
                <w:rFonts w:eastAsia="Times New Roman" w:cs="Arial"/>
                <w:color w:val="000000"/>
                <w:sz w:val="21"/>
                <w:szCs w:val="21"/>
                <w:lang w:eastAsia="en-AU"/>
              </w:rPr>
              <w:t xml:space="preserve"> - Psychosocial Disability</w:t>
            </w:r>
          </w:p>
        </w:tc>
        <w:tc>
          <w:tcPr>
            <w:tcW w:w="524" w:type="pct"/>
            <w:shd w:val="clear" w:color="auto" w:fill="BFBFBF" w:themeFill="background1" w:themeFillShade="BF"/>
            <w:noWrap/>
            <w:vAlign w:val="center"/>
            <w:hideMark/>
          </w:tcPr>
          <w:p w14:paraId="35BF920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490</w:t>
            </w:r>
          </w:p>
        </w:tc>
        <w:tc>
          <w:tcPr>
            <w:tcW w:w="552" w:type="pct"/>
            <w:shd w:val="clear" w:color="auto" w:fill="BFBFBF" w:themeFill="background1" w:themeFillShade="BF"/>
            <w:noWrap/>
            <w:vAlign w:val="center"/>
            <w:hideMark/>
          </w:tcPr>
          <w:p w14:paraId="1151D8DC"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346</w:t>
            </w:r>
          </w:p>
        </w:tc>
        <w:tc>
          <w:tcPr>
            <w:tcW w:w="578" w:type="pct"/>
            <w:shd w:val="clear" w:color="auto" w:fill="BFBFBF" w:themeFill="background1" w:themeFillShade="BF"/>
            <w:noWrap/>
            <w:vAlign w:val="center"/>
            <w:hideMark/>
          </w:tcPr>
          <w:p w14:paraId="0BF919E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60</w:t>
            </w:r>
          </w:p>
        </w:tc>
        <w:tc>
          <w:tcPr>
            <w:tcW w:w="661" w:type="pct"/>
            <w:tcBorders>
              <w:right w:val="dashSmallGap" w:sz="4" w:space="0" w:color="auto"/>
            </w:tcBorders>
            <w:shd w:val="clear" w:color="auto" w:fill="BFBFBF" w:themeFill="background1" w:themeFillShade="BF"/>
            <w:noWrap/>
            <w:vAlign w:val="center"/>
            <w:hideMark/>
          </w:tcPr>
          <w:p w14:paraId="6E62C22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-23</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5DBF1DD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-547</w:t>
            </w:r>
          </w:p>
        </w:tc>
        <w:tc>
          <w:tcPr>
            <w:tcW w:w="586" w:type="pct"/>
            <w:tcBorders>
              <w:left w:val="single" w:sz="4" w:space="0" w:color="auto"/>
            </w:tcBorders>
            <w:shd w:val="clear" w:color="auto" w:fill="BFBFBF" w:themeFill="background1" w:themeFillShade="BF"/>
            <w:noWrap/>
            <w:vAlign w:val="center"/>
            <w:hideMark/>
          </w:tcPr>
          <w:p w14:paraId="07E8D2FF"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872</w:t>
            </w:r>
          </w:p>
        </w:tc>
      </w:tr>
      <w:tr w:rsidR="000656A4" w:rsidRPr="007F6332" w14:paraId="2CD12073" w14:textId="77777777" w:rsidTr="00E47055">
        <w:trPr>
          <w:trHeight w:val="204"/>
        </w:trPr>
        <w:tc>
          <w:tcPr>
            <w:tcW w:w="1571" w:type="pct"/>
            <w:shd w:val="clear" w:color="auto" w:fill="auto"/>
            <w:noWrap/>
            <w:vAlign w:val="center"/>
            <w:hideMark/>
          </w:tcPr>
          <w:p w14:paraId="50264519"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Difference</w:t>
            </w:r>
            <w:r w:rsidRPr="007F6332">
              <w:rPr>
                <w:rFonts w:eastAsia="Times New Roman" w:cs="Arial"/>
                <w:color w:val="000000"/>
                <w:sz w:val="21"/>
                <w:szCs w:val="21"/>
                <w:lang w:eastAsia="en-AU"/>
              </w:rPr>
              <w:t xml:space="preserve"> - Other</w:t>
            </w:r>
          </w:p>
        </w:tc>
        <w:tc>
          <w:tcPr>
            <w:tcW w:w="524" w:type="pct"/>
            <w:shd w:val="clear" w:color="auto" w:fill="auto"/>
            <w:noWrap/>
            <w:vAlign w:val="center"/>
            <w:hideMark/>
          </w:tcPr>
          <w:p w14:paraId="6735A9F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1,243</w:t>
            </w:r>
          </w:p>
        </w:tc>
        <w:tc>
          <w:tcPr>
            <w:tcW w:w="552" w:type="pct"/>
            <w:shd w:val="clear" w:color="auto" w:fill="auto"/>
            <w:noWrap/>
            <w:vAlign w:val="center"/>
            <w:hideMark/>
          </w:tcPr>
          <w:p w14:paraId="10C7744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1,108</w:t>
            </w:r>
          </w:p>
        </w:tc>
        <w:tc>
          <w:tcPr>
            <w:tcW w:w="578" w:type="pct"/>
            <w:shd w:val="clear" w:color="auto" w:fill="auto"/>
            <w:noWrap/>
            <w:vAlign w:val="center"/>
            <w:hideMark/>
          </w:tcPr>
          <w:p w14:paraId="4EC49D10"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771</w:t>
            </w:r>
          </w:p>
        </w:tc>
        <w:tc>
          <w:tcPr>
            <w:tcW w:w="661" w:type="pct"/>
            <w:tcBorders>
              <w:right w:val="dashSmallGap" w:sz="4" w:space="0" w:color="auto"/>
            </w:tcBorders>
            <w:shd w:val="clear" w:color="auto" w:fill="auto"/>
            <w:noWrap/>
            <w:vAlign w:val="center"/>
            <w:hideMark/>
          </w:tcPr>
          <w:p w14:paraId="67CA3D6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716</w:t>
            </w:r>
          </w:p>
        </w:tc>
        <w:tc>
          <w:tcPr>
            <w:tcW w:w="529" w:type="pct"/>
            <w:tcBorders>
              <w:left w:val="dashSmallGap" w:sz="4" w:space="0" w:color="auto"/>
              <w:right w:val="single" w:sz="4" w:space="0" w:color="auto"/>
            </w:tcBorders>
            <w:shd w:val="clear" w:color="auto" w:fill="auto"/>
            <w:noWrap/>
            <w:vAlign w:val="center"/>
            <w:hideMark/>
          </w:tcPr>
          <w:p w14:paraId="54A2D3B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746</w:t>
            </w:r>
          </w:p>
        </w:tc>
        <w:tc>
          <w:tcPr>
            <w:tcW w:w="586" w:type="pct"/>
            <w:tcBorders>
              <w:left w:val="single" w:sz="4" w:space="0" w:color="auto"/>
            </w:tcBorders>
            <w:shd w:val="clear" w:color="auto" w:fill="auto"/>
            <w:noWrap/>
            <w:vAlign w:val="center"/>
            <w:hideMark/>
          </w:tcPr>
          <w:p w14:paraId="05A1D76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3,838</w:t>
            </w:r>
          </w:p>
        </w:tc>
      </w:tr>
      <w:tr w:rsidR="000656A4" w:rsidRPr="007F6332" w14:paraId="02DC22E7" w14:textId="77777777" w:rsidTr="00E47055">
        <w:trPr>
          <w:trHeight w:val="204"/>
        </w:trPr>
        <w:tc>
          <w:tcPr>
            <w:tcW w:w="1571" w:type="pct"/>
            <w:shd w:val="clear" w:color="auto" w:fill="B499B7"/>
            <w:noWrap/>
            <w:vAlign w:val="center"/>
            <w:hideMark/>
          </w:tcPr>
          <w:p w14:paraId="6DD69EB0" w14:textId="77777777" w:rsidR="00653D3D" w:rsidRPr="007F6332" w:rsidRDefault="00653D3D"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Total</w:t>
            </w:r>
          </w:p>
        </w:tc>
        <w:tc>
          <w:tcPr>
            <w:tcW w:w="524" w:type="pct"/>
            <w:shd w:val="clear" w:color="auto" w:fill="B499B7"/>
            <w:noWrap/>
            <w:vAlign w:val="center"/>
            <w:hideMark/>
          </w:tcPr>
          <w:p w14:paraId="5D92A7A4"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3,346</w:t>
            </w:r>
          </w:p>
        </w:tc>
        <w:tc>
          <w:tcPr>
            <w:tcW w:w="552" w:type="pct"/>
            <w:shd w:val="clear" w:color="auto" w:fill="B499B7"/>
            <w:noWrap/>
            <w:vAlign w:val="center"/>
            <w:hideMark/>
          </w:tcPr>
          <w:p w14:paraId="5E363962"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2,413</w:t>
            </w:r>
          </w:p>
        </w:tc>
        <w:tc>
          <w:tcPr>
            <w:tcW w:w="578" w:type="pct"/>
            <w:shd w:val="clear" w:color="auto" w:fill="B499B7"/>
            <w:noWrap/>
            <w:vAlign w:val="center"/>
            <w:hideMark/>
          </w:tcPr>
          <w:p w14:paraId="614459A3"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640</w:t>
            </w:r>
          </w:p>
        </w:tc>
        <w:tc>
          <w:tcPr>
            <w:tcW w:w="661" w:type="pct"/>
            <w:tcBorders>
              <w:right w:val="dashSmallGap" w:sz="4" w:space="0" w:color="auto"/>
            </w:tcBorders>
            <w:shd w:val="clear" w:color="auto" w:fill="B499B7"/>
            <w:noWrap/>
            <w:vAlign w:val="center"/>
            <w:hideMark/>
          </w:tcPr>
          <w:p w14:paraId="162FB7C8"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-80</w:t>
            </w:r>
          </w:p>
        </w:tc>
        <w:tc>
          <w:tcPr>
            <w:tcW w:w="529" w:type="pct"/>
            <w:tcBorders>
              <w:left w:val="dashSmallGap" w:sz="4" w:space="0" w:color="auto"/>
              <w:right w:val="single" w:sz="4" w:space="0" w:color="auto"/>
            </w:tcBorders>
            <w:shd w:val="clear" w:color="auto" w:fill="B499B7"/>
            <w:noWrap/>
            <w:vAlign w:val="center"/>
            <w:hideMark/>
          </w:tcPr>
          <w:p w14:paraId="3FAA26E8"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-4,214</w:t>
            </w:r>
          </w:p>
        </w:tc>
        <w:tc>
          <w:tcPr>
            <w:tcW w:w="586" w:type="pct"/>
            <w:tcBorders>
              <w:left w:val="single" w:sz="4" w:space="0" w:color="auto"/>
            </w:tcBorders>
            <w:shd w:val="clear" w:color="auto" w:fill="B499B7"/>
            <w:noWrap/>
            <w:vAlign w:val="center"/>
            <w:hideMark/>
          </w:tcPr>
          <w:p w14:paraId="7DA37568"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6,319</w:t>
            </w:r>
          </w:p>
        </w:tc>
      </w:tr>
      <w:tr w:rsidR="000656A4" w:rsidRPr="007F6332" w14:paraId="1922BE39" w14:textId="77777777" w:rsidTr="00E47055">
        <w:trPr>
          <w:trHeight w:val="204"/>
        </w:trPr>
        <w:tc>
          <w:tcPr>
            <w:tcW w:w="1571" w:type="pct"/>
            <w:shd w:val="clear" w:color="auto" w:fill="BFBFBF" w:themeFill="background1" w:themeFillShade="BF"/>
            <w:noWrap/>
            <w:vAlign w:val="center"/>
            <w:hideMark/>
          </w:tcPr>
          <w:p w14:paraId="52339ECE"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 Difference</w:t>
            </w:r>
            <w:r w:rsidRPr="007F6332">
              <w:rPr>
                <w:rFonts w:eastAsia="Times New Roman" w:cs="Arial"/>
                <w:color w:val="000000"/>
                <w:sz w:val="21"/>
                <w:szCs w:val="21"/>
                <w:lang w:eastAsia="en-AU"/>
              </w:rPr>
              <w:t xml:space="preserve"> - Autism</w:t>
            </w:r>
          </w:p>
        </w:tc>
        <w:tc>
          <w:tcPr>
            <w:tcW w:w="524" w:type="pct"/>
            <w:shd w:val="clear" w:color="auto" w:fill="BFBFBF" w:themeFill="background1" w:themeFillShade="BF"/>
            <w:noWrap/>
            <w:vAlign w:val="center"/>
            <w:hideMark/>
          </w:tcPr>
          <w:p w14:paraId="2160291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w:t>
            </w:r>
          </w:p>
        </w:tc>
        <w:tc>
          <w:tcPr>
            <w:tcW w:w="552" w:type="pct"/>
            <w:shd w:val="clear" w:color="auto" w:fill="BFBFBF" w:themeFill="background1" w:themeFillShade="BF"/>
            <w:noWrap/>
            <w:vAlign w:val="center"/>
            <w:hideMark/>
          </w:tcPr>
          <w:p w14:paraId="0115498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0%</w:t>
            </w:r>
          </w:p>
        </w:tc>
        <w:tc>
          <w:tcPr>
            <w:tcW w:w="578" w:type="pct"/>
            <w:shd w:val="clear" w:color="auto" w:fill="BFBFBF" w:themeFill="background1" w:themeFillShade="BF"/>
            <w:noWrap/>
            <w:vAlign w:val="center"/>
            <w:hideMark/>
          </w:tcPr>
          <w:p w14:paraId="28B352CF"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w:t>
            </w:r>
          </w:p>
        </w:tc>
        <w:tc>
          <w:tcPr>
            <w:tcW w:w="661" w:type="pct"/>
            <w:tcBorders>
              <w:right w:val="dashSmallGap" w:sz="4" w:space="0" w:color="auto"/>
            </w:tcBorders>
            <w:shd w:val="clear" w:color="auto" w:fill="BFBFBF" w:themeFill="background1" w:themeFillShade="BF"/>
            <w:noWrap/>
            <w:vAlign w:val="center"/>
            <w:hideMark/>
          </w:tcPr>
          <w:p w14:paraId="027C859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7E1E1EF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-9%</w:t>
            </w:r>
          </w:p>
        </w:tc>
        <w:tc>
          <w:tcPr>
            <w:tcW w:w="586" w:type="pct"/>
            <w:tcBorders>
              <w:left w:val="single" w:sz="4" w:space="0" w:color="auto"/>
            </w:tcBorders>
            <w:shd w:val="clear" w:color="auto" w:fill="BFBFBF" w:themeFill="background1" w:themeFillShade="BF"/>
            <w:noWrap/>
            <w:vAlign w:val="center"/>
            <w:hideMark/>
          </w:tcPr>
          <w:p w14:paraId="64973D97"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w:t>
            </w:r>
          </w:p>
        </w:tc>
      </w:tr>
      <w:tr w:rsidR="000656A4" w:rsidRPr="007F6332" w14:paraId="1E49ABCE" w14:textId="77777777" w:rsidTr="00E47055">
        <w:trPr>
          <w:trHeight w:val="204"/>
        </w:trPr>
        <w:tc>
          <w:tcPr>
            <w:tcW w:w="1571" w:type="pct"/>
            <w:shd w:val="clear" w:color="auto" w:fill="auto"/>
            <w:noWrap/>
            <w:vAlign w:val="center"/>
            <w:hideMark/>
          </w:tcPr>
          <w:p w14:paraId="64E8478D"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 Difference</w:t>
            </w:r>
            <w:r w:rsidRPr="007F6332">
              <w:rPr>
                <w:rFonts w:eastAsia="Times New Roman" w:cs="Arial"/>
                <w:color w:val="000000"/>
                <w:sz w:val="21"/>
                <w:szCs w:val="21"/>
                <w:lang w:eastAsia="en-AU"/>
              </w:rPr>
              <w:t xml:space="preserve"> - Developmental Delay</w:t>
            </w:r>
          </w:p>
        </w:tc>
        <w:tc>
          <w:tcPr>
            <w:tcW w:w="524" w:type="pct"/>
            <w:shd w:val="clear" w:color="auto" w:fill="auto"/>
            <w:noWrap/>
            <w:vAlign w:val="center"/>
            <w:hideMark/>
          </w:tcPr>
          <w:p w14:paraId="3E0DEAE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25%</w:t>
            </w:r>
          </w:p>
        </w:tc>
        <w:tc>
          <w:tcPr>
            <w:tcW w:w="552" w:type="pct"/>
            <w:shd w:val="clear" w:color="auto" w:fill="auto"/>
            <w:noWrap/>
            <w:vAlign w:val="center"/>
            <w:hideMark/>
          </w:tcPr>
          <w:p w14:paraId="36FA65DB"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18%</w:t>
            </w:r>
          </w:p>
        </w:tc>
        <w:tc>
          <w:tcPr>
            <w:tcW w:w="578" w:type="pct"/>
            <w:shd w:val="clear" w:color="auto" w:fill="auto"/>
            <w:noWrap/>
            <w:vAlign w:val="center"/>
            <w:hideMark/>
          </w:tcPr>
          <w:p w14:paraId="3F2261A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8%</w:t>
            </w:r>
          </w:p>
        </w:tc>
        <w:tc>
          <w:tcPr>
            <w:tcW w:w="661" w:type="pct"/>
            <w:tcBorders>
              <w:right w:val="dashSmallGap" w:sz="4" w:space="0" w:color="auto"/>
            </w:tcBorders>
            <w:shd w:val="clear" w:color="auto" w:fill="auto"/>
            <w:noWrap/>
            <w:vAlign w:val="center"/>
            <w:hideMark/>
          </w:tcPr>
          <w:p w14:paraId="2508BDA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w:t>
            </w:r>
          </w:p>
        </w:tc>
        <w:tc>
          <w:tcPr>
            <w:tcW w:w="529" w:type="pct"/>
            <w:tcBorders>
              <w:left w:val="dashSmallGap" w:sz="4" w:space="0" w:color="auto"/>
              <w:right w:val="single" w:sz="4" w:space="0" w:color="auto"/>
            </w:tcBorders>
            <w:shd w:val="clear" w:color="auto" w:fill="auto"/>
            <w:noWrap/>
            <w:vAlign w:val="center"/>
            <w:hideMark/>
          </w:tcPr>
          <w:p w14:paraId="5B615B4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w:t>
            </w:r>
          </w:p>
        </w:tc>
        <w:tc>
          <w:tcPr>
            <w:tcW w:w="586" w:type="pct"/>
            <w:tcBorders>
              <w:left w:val="single" w:sz="4" w:space="0" w:color="auto"/>
            </w:tcBorders>
            <w:shd w:val="clear" w:color="auto" w:fill="auto"/>
            <w:noWrap/>
            <w:vAlign w:val="center"/>
            <w:hideMark/>
          </w:tcPr>
          <w:p w14:paraId="40F8A7C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13%</w:t>
            </w:r>
          </w:p>
        </w:tc>
      </w:tr>
      <w:tr w:rsidR="000656A4" w:rsidRPr="007F6332" w14:paraId="4E8F985A" w14:textId="77777777" w:rsidTr="00E47055">
        <w:trPr>
          <w:trHeight w:val="204"/>
        </w:trPr>
        <w:tc>
          <w:tcPr>
            <w:tcW w:w="1571" w:type="pct"/>
            <w:shd w:val="clear" w:color="auto" w:fill="BFBFBF" w:themeFill="background1" w:themeFillShade="BF"/>
            <w:noWrap/>
            <w:vAlign w:val="center"/>
            <w:hideMark/>
          </w:tcPr>
          <w:p w14:paraId="0B50B2E4"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 Difference</w:t>
            </w:r>
            <w:r w:rsidRPr="007F6332">
              <w:rPr>
                <w:rFonts w:eastAsia="Times New Roman" w:cs="Arial"/>
                <w:color w:val="000000"/>
                <w:sz w:val="21"/>
                <w:szCs w:val="21"/>
                <w:lang w:eastAsia="en-AU"/>
              </w:rPr>
              <w:t xml:space="preserve"> - Intellectual Disability</w:t>
            </w:r>
          </w:p>
        </w:tc>
        <w:tc>
          <w:tcPr>
            <w:tcW w:w="524" w:type="pct"/>
            <w:shd w:val="clear" w:color="auto" w:fill="BFBFBF" w:themeFill="background1" w:themeFillShade="BF"/>
            <w:noWrap/>
            <w:vAlign w:val="center"/>
            <w:hideMark/>
          </w:tcPr>
          <w:p w14:paraId="31EB790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w:t>
            </w:r>
          </w:p>
        </w:tc>
        <w:tc>
          <w:tcPr>
            <w:tcW w:w="552" w:type="pct"/>
            <w:shd w:val="clear" w:color="auto" w:fill="BFBFBF" w:themeFill="background1" w:themeFillShade="BF"/>
            <w:noWrap/>
            <w:vAlign w:val="center"/>
            <w:hideMark/>
          </w:tcPr>
          <w:p w14:paraId="318E8464"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w:t>
            </w:r>
          </w:p>
        </w:tc>
        <w:tc>
          <w:tcPr>
            <w:tcW w:w="578" w:type="pct"/>
            <w:shd w:val="clear" w:color="auto" w:fill="BFBFBF" w:themeFill="background1" w:themeFillShade="BF"/>
            <w:noWrap/>
            <w:vAlign w:val="center"/>
            <w:hideMark/>
          </w:tcPr>
          <w:p w14:paraId="4379C66C"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w:t>
            </w:r>
          </w:p>
        </w:tc>
        <w:tc>
          <w:tcPr>
            <w:tcW w:w="661" w:type="pct"/>
            <w:tcBorders>
              <w:right w:val="dashSmallGap" w:sz="4" w:space="0" w:color="auto"/>
            </w:tcBorders>
            <w:shd w:val="clear" w:color="auto" w:fill="BFBFBF" w:themeFill="background1" w:themeFillShade="BF"/>
            <w:noWrap/>
            <w:vAlign w:val="center"/>
            <w:hideMark/>
          </w:tcPr>
          <w:p w14:paraId="31BDEBC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5E0A591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-7%</w:t>
            </w:r>
          </w:p>
        </w:tc>
        <w:tc>
          <w:tcPr>
            <w:tcW w:w="586" w:type="pct"/>
            <w:tcBorders>
              <w:left w:val="single" w:sz="4" w:space="0" w:color="auto"/>
            </w:tcBorders>
            <w:shd w:val="clear" w:color="auto" w:fill="BFBFBF" w:themeFill="background1" w:themeFillShade="BF"/>
            <w:noWrap/>
            <w:vAlign w:val="center"/>
            <w:hideMark/>
          </w:tcPr>
          <w:p w14:paraId="4E091C4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w:t>
            </w:r>
          </w:p>
        </w:tc>
      </w:tr>
      <w:tr w:rsidR="000656A4" w:rsidRPr="007F6332" w14:paraId="4F612577" w14:textId="77777777" w:rsidTr="00E47055">
        <w:trPr>
          <w:trHeight w:val="204"/>
        </w:trPr>
        <w:tc>
          <w:tcPr>
            <w:tcW w:w="1571" w:type="pct"/>
            <w:shd w:val="clear" w:color="auto" w:fill="auto"/>
            <w:noWrap/>
            <w:vAlign w:val="center"/>
            <w:hideMark/>
          </w:tcPr>
          <w:p w14:paraId="75D4A17D"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 Difference</w:t>
            </w:r>
            <w:r w:rsidRPr="007F6332">
              <w:rPr>
                <w:rFonts w:eastAsia="Times New Roman" w:cs="Arial"/>
                <w:color w:val="000000"/>
                <w:sz w:val="21"/>
                <w:szCs w:val="21"/>
                <w:lang w:eastAsia="en-AU"/>
              </w:rPr>
              <w:t xml:space="preserve"> - Other Neurological</w:t>
            </w:r>
          </w:p>
        </w:tc>
        <w:tc>
          <w:tcPr>
            <w:tcW w:w="524" w:type="pct"/>
            <w:shd w:val="clear" w:color="auto" w:fill="auto"/>
            <w:noWrap/>
            <w:vAlign w:val="center"/>
            <w:hideMark/>
          </w:tcPr>
          <w:p w14:paraId="79442EB8"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18%</w:t>
            </w:r>
          </w:p>
        </w:tc>
        <w:tc>
          <w:tcPr>
            <w:tcW w:w="552" w:type="pct"/>
            <w:shd w:val="clear" w:color="auto" w:fill="auto"/>
            <w:noWrap/>
            <w:vAlign w:val="center"/>
            <w:hideMark/>
          </w:tcPr>
          <w:p w14:paraId="47C141D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16%</w:t>
            </w:r>
          </w:p>
        </w:tc>
        <w:tc>
          <w:tcPr>
            <w:tcW w:w="578" w:type="pct"/>
            <w:shd w:val="clear" w:color="auto" w:fill="auto"/>
            <w:noWrap/>
            <w:vAlign w:val="center"/>
            <w:hideMark/>
          </w:tcPr>
          <w:p w14:paraId="5C082F8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w:t>
            </w:r>
          </w:p>
        </w:tc>
        <w:tc>
          <w:tcPr>
            <w:tcW w:w="661" w:type="pct"/>
            <w:tcBorders>
              <w:right w:val="dashSmallGap" w:sz="4" w:space="0" w:color="auto"/>
            </w:tcBorders>
            <w:shd w:val="clear" w:color="auto" w:fill="auto"/>
            <w:noWrap/>
            <w:vAlign w:val="center"/>
            <w:hideMark/>
          </w:tcPr>
          <w:p w14:paraId="4113EDA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10%</w:t>
            </w:r>
          </w:p>
        </w:tc>
        <w:tc>
          <w:tcPr>
            <w:tcW w:w="529" w:type="pct"/>
            <w:tcBorders>
              <w:left w:val="dashSmallGap" w:sz="4" w:space="0" w:color="auto"/>
              <w:right w:val="single" w:sz="4" w:space="0" w:color="auto"/>
            </w:tcBorders>
            <w:shd w:val="clear" w:color="auto" w:fill="auto"/>
            <w:noWrap/>
            <w:vAlign w:val="center"/>
            <w:hideMark/>
          </w:tcPr>
          <w:p w14:paraId="34915F4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2%</w:t>
            </w:r>
          </w:p>
        </w:tc>
        <w:tc>
          <w:tcPr>
            <w:tcW w:w="586" w:type="pct"/>
            <w:tcBorders>
              <w:left w:val="single" w:sz="4" w:space="0" w:color="auto"/>
            </w:tcBorders>
            <w:shd w:val="clear" w:color="auto" w:fill="auto"/>
            <w:noWrap/>
            <w:vAlign w:val="center"/>
            <w:hideMark/>
          </w:tcPr>
          <w:p w14:paraId="48005246"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14%</w:t>
            </w:r>
          </w:p>
        </w:tc>
      </w:tr>
      <w:tr w:rsidR="000656A4" w:rsidRPr="007F6332" w14:paraId="0E822D80" w14:textId="77777777" w:rsidTr="00E47055">
        <w:trPr>
          <w:trHeight w:val="204"/>
        </w:trPr>
        <w:tc>
          <w:tcPr>
            <w:tcW w:w="1571" w:type="pct"/>
            <w:shd w:val="clear" w:color="auto" w:fill="BFBFBF" w:themeFill="background1" w:themeFillShade="BF"/>
            <w:noWrap/>
            <w:vAlign w:val="center"/>
            <w:hideMark/>
          </w:tcPr>
          <w:p w14:paraId="5CE71E7F"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 Difference</w:t>
            </w:r>
            <w:r w:rsidRPr="007F6332">
              <w:rPr>
                <w:rFonts w:eastAsia="Times New Roman" w:cs="Arial"/>
                <w:color w:val="000000"/>
                <w:sz w:val="21"/>
                <w:szCs w:val="21"/>
                <w:lang w:eastAsia="en-AU"/>
              </w:rPr>
              <w:t xml:space="preserve"> - Psychosocial Disability</w:t>
            </w:r>
          </w:p>
        </w:tc>
        <w:tc>
          <w:tcPr>
            <w:tcW w:w="524" w:type="pct"/>
            <w:shd w:val="clear" w:color="auto" w:fill="BFBFBF" w:themeFill="background1" w:themeFillShade="BF"/>
            <w:noWrap/>
            <w:vAlign w:val="center"/>
            <w:hideMark/>
          </w:tcPr>
          <w:p w14:paraId="2989C6E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11%</w:t>
            </w:r>
          </w:p>
        </w:tc>
        <w:tc>
          <w:tcPr>
            <w:tcW w:w="552" w:type="pct"/>
            <w:shd w:val="clear" w:color="auto" w:fill="BFBFBF" w:themeFill="background1" w:themeFillShade="BF"/>
            <w:noWrap/>
            <w:vAlign w:val="center"/>
            <w:hideMark/>
          </w:tcPr>
          <w:p w14:paraId="25A1554E"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w:t>
            </w:r>
          </w:p>
        </w:tc>
        <w:tc>
          <w:tcPr>
            <w:tcW w:w="578" w:type="pct"/>
            <w:shd w:val="clear" w:color="auto" w:fill="BFBFBF" w:themeFill="background1" w:themeFillShade="BF"/>
            <w:noWrap/>
            <w:vAlign w:val="center"/>
            <w:hideMark/>
          </w:tcPr>
          <w:p w14:paraId="395257B2"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w:t>
            </w:r>
          </w:p>
        </w:tc>
        <w:tc>
          <w:tcPr>
            <w:tcW w:w="661" w:type="pct"/>
            <w:tcBorders>
              <w:right w:val="dashSmallGap" w:sz="4" w:space="0" w:color="auto"/>
            </w:tcBorders>
            <w:shd w:val="clear" w:color="auto" w:fill="BFBFBF" w:themeFill="background1" w:themeFillShade="BF"/>
            <w:noWrap/>
            <w:vAlign w:val="center"/>
            <w:hideMark/>
          </w:tcPr>
          <w:p w14:paraId="26FB10A5"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0%</w:t>
            </w:r>
          </w:p>
        </w:tc>
        <w:tc>
          <w:tcPr>
            <w:tcW w:w="529" w:type="pct"/>
            <w:tcBorders>
              <w:left w:val="dashSmallGap" w:sz="4" w:space="0" w:color="auto"/>
              <w:right w:val="single" w:sz="4" w:space="0" w:color="auto"/>
            </w:tcBorders>
            <w:shd w:val="clear" w:color="auto" w:fill="BFBFBF" w:themeFill="background1" w:themeFillShade="BF"/>
            <w:noWrap/>
            <w:vAlign w:val="center"/>
            <w:hideMark/>
          </w:tcPr>
          <w:p w14:paraId="08BA60A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w:t>
            </w:r>
          </w:p>
        </w:tc>
        <w:tc>
          <w:tcPr>
            <w:tcW w:w="586" w:type="pct"/>
            <w:tcBorders>
              <w:left w:val="single" w:sz="4" w:space="0" w:color="auto"/>
            </w:tcBorders>
            <w:shd w:val="clear" w:color="auto" w:fill="BFBFBF" w:themeFill="background1" w:themeFillShade="BF"/>
            <w:noWrap/>
            <w:vAlign w:val="center"/>
            <w:hideMark/>
          </w:tcPr>
          <w:p w14:paraId="711A06C2"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4%</w:t>
            </w:r>
          </w:p>
        </w:tc>
      </w:tr>
      <w:tr w:rsidR="000656A4" w:rsidRPr="007F6332" w14:paraId="5F768C6C" w14:textId="77777777" w:rsidTr="00E47055">
        <w:trPr>
          <w:trHeight w:val="204"/>
        </w:trPr>
        <w:tc>
          <w:tcPr>
            <w:tcW w:w="1571" w:type="pct"/>
            <w:shd w:val="clear" w:color="auto" w:fill="auto"/>
            <w:noWrap/>
            <w:vAlign w:val="center"/>
            <w:hideMark/>
          </w:tcPr>
          <w:p w14:paraId="33184611" w14:textId="77777777" w:rsidR="00653D3D" w:rsidRPr="007F6332" w:rsidRDefault="00653D3D" w:rsidP="00FF77CD">
            <w:pPr>
              <w:spacing w:after="0" w:line="240" w:lineRule="auto"/>
              <w:rPr>
                <w:rFonts w:eastAsia="Times New Roman" w:cs="Arial"/>
                <w:color w:val="000000"/>
                <w:sz w:val="21"/>
                <w:szCs w:val="21"/>
                <w:lang w:eastAsia="en-AU"/>
              </w:rPr>
            </w:pPr>
            <w:r w:rsidRPr="007F6332">
              <w:rPr>
                <w:rFonts w:eastAsia="Times New Roman" w:cs="Arial"/>
                <w:b/>
                <w:bCs/>
                <w:color w:val="000000"/>
                <w:sz w:val="21"/>
                <w:szCs w:val="21"/>
                <w:lang w:eastAsia="en-AU"/>
              </w:rPr>
              <w:t>% Difference</w:t>
            </w:r>
            <w:r w:rsidRPr="007F6332">
              <w:rPr>
                <w:rFonts w:eastAsia="Times New Roman" w:cs="Arial"/>
                <w:color w:val="000000"/>
                <w:sz w:val="21"/>
                <w:szCs w:val="21"/>
                <w:lang w:eastAsia="en-AU"/>
              </w:rPr>
              <w:t xml:space="preserve"> - Other</w:t>
            </w:r>
          </w:p>
        </w:tc>
        <w:tc>
          <w:tcPr>
            <w:tcW w:w="524" w:type="pct"/>
            <w:shd w:val="clear" w:color="auto" w:fill="auto"/>
            <w:noWrap/>
            <w:vAlign w:val="center"/>
            <w:hideMark/>
          </w:tcPr>
          <w:p w14:paraId="4544C75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12%</w:t>
            </w:r>
          </w:p>
        </w:tc>
        <w:tc>
          <w:tcPr>
            <w:tcW w:w="552" w:type="pct"/>
            <w:shd w:val="clear" w:color="auto" w:fill="auto"/>
            <w:noWrap/>
            <w:vAlign w:val="center"/>
            <w:hideMark/>
          </w:tcPr>
          <w:p w14:paraId="7AA0A4FA"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9%</w:t>
            </w:r>
          </w:p>
        </w:tc>
        <w:tc>
          <w:tcPr>
            <w:tcW w:w="578" w:type="pct"/>
            <w:shd w:val="clear" w:color="auto" w:fill="auto"/>
            <w:noWrap/>
            <w:vAlign w:val="center"/>
            <w:hideMark/>
          </w:tcPr>
          <w:p w14:paraId="7FE6107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6%</w:t>
            </w:r>
          </w:p>
        </w:tc>
        <w:tc>
          <w:tcPr>
            <w:tcW w:w="661" w:type="pct"/>
            <w:tcBorders>
              <w:right w:val="dashSmallGap" w:sz="4" w:space="0" w:color="auto"/>
            </w:tcBorders>
            <w:shd w:val="clear" w:color="auto" w:fill="auto"/>
            <w:noWrap/>
            <w:vAlign w:val="center"/>
            <w:hideMark/>
          </w:tcPr>
          <w:p w14:paraId="38138D69"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5%</w:t>
            </w:r>
          </w:p>
        </w:tc>
        <w:tc>
          <w:tcPr>
            <w:tcW w:w="529" w:type="pct"/>
            <w:tcBorders>
              <w:left w:val="dashSmallGap" w:sz="4" w:space="0" w:color="auto"/>
              <w:right w:val="single" w:sz="4" w:space="0" w:color="auto"/>
            </w:tcBorders>
            <w:shd w:val="clear" w:color="auto" w:fill="auto"/>
            <w:noWrap/>
            <w:vAlign w:val="center"/>
            <w:hideMark/>
          </w:tcPr>
          <w:p w14:paraId="6124D4AD"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3%</w:t>
            </w:r>
          </w:p>
        </w:tc>
        <w:tc>
          <w:tcPr>
            <w:tcW w:w="586" w:type="pct"/>
            <w:tcBorders>
              <w:left w:val="single" w:sz="4" w:space="0" w:color="auto"/>
            </w:tcBorders>
            <w:shd w:val="clear" w:color="auto" w:fill="auto"/>
            <w:noWrap/>
            <w:vAlign w:val="center"/>
            <w:hideMark/>
          </w:tcPr>
          <w:p w14:paraId="5CFFE163" w14:textId="77777777" w:rsidR="00653D3D" w:rsidRPr="007F6332" w:rsidRDefault="00653D3D" w:rsidP="00FF77CD">
            <w:pPr>
              <w:spacing w:after="0" w:line="240" w:lineRule="auto"/>
              <w:jc w:val="right"/>
              <w:rPr>
                <w:rFonts w:eastAsia="Times New Roman" w:cs="Arial"/>
                <w:color w:val="000000"/>
                <w:sz w:val="21"/>
                <w:szCs w:val="21"/>
                <w:lang w:eastAsia="en-AU"/>
              </w:rPr>
            </w:pPr>
            <w:r w:rsidRPr="007F6332">
              <w:rPr>
                <w:rFonts w:eastAsia="Times New Roman" w:cs="Arial"/>
                <w:color w:val="000000"/>
                <w:sz w:val="21"/>
                <w:szCs w:val="21"/>
                <w:lang w:eastAsia="en-AU"/>
              </w:rPr>
              <w:t>7%</w:t>
            </w:r>
          </w:p>
        </w:tc>
      </w:tr>
      <w:tr w:rsidR="000656A4" w:rsidRPr="007F6332" w14:paraId="43A68AC2" w14:textId="77777777" w:rsidTr="00E47055">
        <w:trPr>
          <w:trHeight w:val="204"/>
        </w:trPr>
        <w:tc>
          <w:tcPr>
            <w:tcW w:w="1571" w:type="pct"/>
            <w:tcBorders>
              <w:bottom w:val="single" w:sz="4" w:space="0" w:color="auto"/>
            </w:tcBorders>
            <w:shd w:val="clear" w:color="auto" w:fill="B499B7"/>
            <w:noWrap/>
            <w:vAlign w:val="bottom"/>
            <w:hideMark/>
          </w:tcPr>
          <w:p w14:paraId="61F5F5EE" w14:textId="77777777" w:rsidR="00653D3D" w:rsidRPr="007F6332" w:rsidRDefault="00653D3D" w:rsidP="00FF77CD">
            <w:pPr>
              <w:spacing w:after="0" w:line="240" w:lineRule="auto"/>
              <w:rPr>
                <w:rFonts w:eastAsia="Times New Roman" w:cs="Arial"/>
                <w:b/>
                <w:bCs/>
                <w:color w:val="000000"/>
                <w:sz w:val="21"/>
                <w:szCs w:val="21"/>
                <w:lang w:eastAsia="en-AU"/>
              </w:rPr>
            </w:pPr>
            <w:r w:rsidRPr="007F6332">
              <w:rPr>
                <w:rFonts w:eastAsia="Times New Roman" w:cs="Arial"/>
                <w:b/>
                <w:bCs/>
                <w:color w:val="000000"/>
                <w:sz w:val="21"/>
                <w:szCs w:val="21"/>
                <w:lang w:eastAsia="en-AU"/>
              </w:rPr>
              <w:t>Total</w:t>
            </w:r>
          </w:p>
        </w:tc>
        <w:tc>
          <w:tcPr>
            <w:tcW w:w="524" w:type="pct"/>
            <w:tcBorders>
              <w:bottom w:val="single" w:sz="4" w:space="0" w:color="auto"/>
            </w:tcBorders>
            <w:shd w:val="clear" w:color="auto" w:fill="B499B7"/>
            <w:noWrap/>
            <w:vAlign w:val="bottom"/>
            <w:hideMark/>
          </w:tcPr>
          <w:p w14:paraId="33E89E7A"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9%</w:t>
            </w:r>
          </w:p>
        </w:tc>
        <w:tc>
          <w:tcPr>
            <w:tcW w:w="552" w:type="pct"/>
            <w:tcBorders>
              <w:bottom w:val="single" w:sz="4" w:space="0" w:color="auto"/>
            </w:tcBorders>
            <w:shd w:val="clear" w:color="auto" w:fill="B499B7"/>
            <w:noWrap/>
            <w:vAlign w:val="bottom"/>
            <w:hideMark/>
          </w:tcPr>
          <w:p w14:paraId="7E148130"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6%</w:t>
            </w:r>
          </w:p>
        </w:tc>
        <w:tc>
          <w:tcPr>
            <w:tcW w:w="578" w:type="pct"/>
            <w:tcBorders>
              <w:bottom w:val="single" w:sz="4" w:space="0" w:color="auto"/>
            </w:tcBorders>
            <w:shd w:val="clear" w:color="auto" w:fill="B499B7"/>
            <w:noWrap/>
            <w:vAlign w:val="bottom"/>
            <w:hideMark/>
          </w:tcPr>
          <w:p w14:paraId="73AD0A97"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1%</w:t>
            </w:r>
          </w:p>
        </w:tc>
        <w:tc>
          <w:tcPr>
            <w:tcW w:w="661" w:type="pct"/>
            <w:tcBorders>
              <w:bottom w:val="single" w:sz="4" w:space="0" w:color="auto"/>
              <w:right w:val="dashSmallGap" w:sz="4" w:space="0" w:color="auto"/>
            </w:tcBorders>
            <w:shd w:val="clear" w:color="auto" w:fill="B499B7"/>
            <w:noWrap/>
            <w:vAlign w:val="bottom"/>
            <w:hideMark/>
          </w:tcPr>
          <w:p w14:paraId="507C424F"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0%</w:t>
            </w:r>
          </w:p>
        </w:tc>
        <w:tc>
          <w:tcPr>
            <w:tcW w:w="529" w:type="pct"/>
            <w:tcBorders>
              <w:left w:val="dashSmallGap" w:sz="4" w:space="0" w:color="auto"/>
              <w:bottom w:val="single" w:sz="4" w:space="0" w:color="auto"/>
              <w:right w:val="single" w:sz="4" w:space="0" w:color="auto"/>
            </w:tcBorders>
            <w:shd w:val="clear" w:color="auto" w:fill="B499B7"/>
            <w:noWrap/>
            <w:vAlign w:val="bottom"/>
            <w:hideMark/>
          </w:tcPr>
          <w:p w14:paraId="4A08A97D"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-4%</w:t>
            </w:r>
          </w:p>
        </w:tc>
        <w:tc>
          <w:tcPr>
            <w:tcW w:w="586" w:type="pct"/>
            <w:tcBorders>
              <w:left w:val="single" w:sz="4" w:space="0" w:color="auto"/>
              <w:bottom w:val="single" w:sz="4" w:space="0" w:color="auto"/>
            </w:tcBorders>
            <w:shd w:val="clear" w:color="auto" w:fill="B499B7"/>
            <w:noWrap/>
            <w:vAlign w:val="bottom"/>
            <w:hideMark/>
          </w:tcPr>
          <w:p w14:paraId="495B039D" w14:textId="77777777" w:rsidR="00653D3D" w:rsidRPr="007F6332" w:rsidRDefault="00653D3D" w:rsidP="00FF77CD">
            <w:pPr>
              <w:spacing w:after="0" w:line="240" w:lineRule="auto"/>
              <w:jc w:val="right"/>
              <w:rPr>
                <w:rFonts w:eastAsia="Times New Roman" w:cs="Arial"/>
                <w:b/>
                <w:bCs/>
                <w:color w:val="000000"/>
                <w:sz w:val="21"/>
                <w:szCs w:val="21"/>
                <w:lang w:eastAsia="en-AU"/>
              </w:rPr>
            </w:pPr>
            <w:r w:rsidRPr="007F6332">
              <w:rPr>
                <w:rFonts w:eastAsia="Times New Roman" w:cs="Arial"/>
                <w:b/>
                <w:bCs/>
                <w:color w:val="000000"/>
                <w:sz w:val="21"/>
                <w:szCs w:val="21"/>
                <w:lang w:eastAsia="en-AU"/>
              </w:rPr>
              <w:t>3%</w:t>
            </w:r>
          </w:p>
        </w:tc>
      </w:tr>
    </w:tbl>
    <w:p w14:paraId="402049F2" w14:textId="77777777" w:rsidR="00BA3C62" w:rsidRPr="007F6332" w:rsidRDefault="00BA3C62" w:rsidP="00653D3D">
      <w:pPr>
        <w:spacing w:before="120"/>
        <w:rPr>
          <w:rFonts w:cs="Arial"/>
          <w:b/>
          <w:bCs/>
          <w:color w:val="6B2976"/>
          <w:sz w:val="24"/>
        </w:rPr>
        <w:sectPr w:rsidR="00BA3C62" w:rsidRPr="007F6332" w:rsidSect="00CE7E91">
          <w:pgSz w:w="11906" w:h="16838"/>
          <w:pgMar w:top="1440" w:right="1416" w:bottom="1440" w:left="1440" w:header="708" w:footer="850" w:gutter="0"/>
          <w:cols w:space="708"/>
          <w:titlePg/>
          <w:docGrid w:linePitch="360"/>
        </w:sectPr>
      </w:pPr>
    </w:p>
    <w:p w14:paraId="37794832" w14:textId="44DF145D" w:rsidR="00653D3D" w:rsidRPr="007F6332" w:rsidRDefault="00653D3D" w:rsidP="00B45B70">
      <w:pPr>
        <w:pStyle w:val="FSRHeading4"/>
      </w:pPr>
      <w:r w:rsidRPr="007F6332">
        <w:lastRenderedPageBreak/>
        <w:t>Scheme expenses by support categories</w:t>
      </w:r>
    </w:p>
    <w:p w14:paraId="7F2FF6CA" w14:textId="2F94A79D" w:rsidR="00B96AB1" w:rsidRPr="007F6332" w:rsidRDefault="00B96AB1" w:rsidP="00B45B70">
      <w:pPr>
        <w:pStyle w:val="FiguresandTablesHeading5"/>
        <w:rPr>
          <w:bCs/>
          <w:color w:val="6B2976"/>
          <w:sz w:val="24"/>
        </w:rPr>
      </w:pPr>
      <w:r w:rsidRPr="007F6332">
        <w:t>Table A.6</w:t>
      </w:r>
      <w:r w:rsidR="006C6D15" w:rsidRPr="007F6332">
        <w:t>:</w:t>
      </w:r>
      <w:r w:rsidRPr="007F6332">
        <w:t xml:space="preserve"> </w:t>
      </w:r>
      <w:r w:rsidR="006447C1" w:rsidRPr="007F6332">
        <w:t>Projection of Scheme expenses by support category (cash basis) – compared to previous review</w:t>
      </w:r>
    </w:p>
    <w:tbl>
      <w:tblPr>
        <w:tblStyle w:val="TableGrid"/>
        <w:tblW w:w="9442" w:type="dxa"/>
        <w:tblLayout w:type="fixed"/>
        <w:tblLook w:val="04A0" w:firstRow="1" w:lastRow="0" w:firstColumn="1" w:lastColumn="0" w:noHBand="0" w:noVBand="1"/>
      </w:tblPr>
      <w:tblGrid>
        <w:gridCol w:w="3762"/>
        <w:gridCol w:w="946"/>
        <w:gridCol w:w="947"/>
        <w:gridCol w:w="947"/>
        <w:gridCol w:w="946"/>
        <w:gridCol w:w="947"/>
        <w:gridCol w:w="947"/>
      </w:tblGrid>
      <w:tr w:rsidR="0027383C" w:rsidRPr="007F6332" w14:paraId="439D7771" w14:textId="77777777" w:rsidTr="00E81C0D">
        <w:trPr>
          <w:trHeight w:val="227"/>
        </w:trPr>
        <w:tc>
          <w:tcPr>
            <w:tcW w:w="3762" w:type="dxa"/>
            <w:tcBorders>
              <w:top w:val="nil"/>
              <w:left w:val="nil"/>
              <w:bottom w:val="nil"/>
              <w:right w:val="nil"/>
            </w:tcBorders>
            <w:shd w:val="clear" w:color="auto" w:fill="6B2976"/>
            <w:noWrap/>
            <w:vAlign w:val="center"/>
            <w:hideMark/>
          </w:tcPr>
          <w:p w14:paraId="1D87B0B1" w14:textId="77777777" w:rsidR="00771B61" w:rsidRPr="007F6332" w:rsidRDefault="00771B61" w:rsidP="00E81C0D">
            <w:pPr>
              <w:jc w:val="center"/>
              <w:rPr>
                <w:rFonts w:cs="Arial"/>
                <w:b/>
                <w:bCs/>
                <w:color w:val="FFFFFF"/>
                <w:sz w:val="21"/>
                <w:szCs w:val="21"/>
              </w:rPr>
            </w:pPr>
            <w:r w:rsidRPr="007F6332">
              <w:rPr>
                <w:rFonts w:cs="Arial"/>
                <w:b/>
                <w:bCs/>
                <w:color w:val="FFFFFF"/>
                <w:sz w:val="21"/>
                <w:szCs w:val="21"/>
              </w:rPr>
              <w:t>Scheme expenses ($m, cash basis)</w:t>
            </w:r>
          </w:p>
        </w:tc>
        <w:tc>
          <w:tcPr>
            <w:tcW w:w="946" w:type="dxa"/>
            <w:tcBorders>
              <w:top w:val="nil"/>
              <w:left w:val="nil"/>
              <w:bottom w:val="nil"/>
              <w:right w:val="nil"/>
            </w:tcBorders>
            <w:shd w:val="clear" w:color="auto" w:fill="6B2976"/>
            <w:noWrap/>
            <w:vAlign w:val="center"/>
            <w:hideMark/>
          </w:tcPr>
          <w:p w14:paraId="79924A5E" w14:textId="77777777" w:rsidR="00771B61" w:rsidRPr="007F6332" w:rsidRDefault="00771B61" w:rsidP="00CD33D0">
            <w:pPr>
              <w:ind w:left="-49" w:right="-167"/>
              <w:jc w:val="center"/>
              <w:rPr>
                <w:rFonts w:cs="Arial"/>
                <w:b/>
                <w:bCs/>
                <w:color w:val="FFFFFF"/>
                <w:sz w:val="21"/>
                <w:szCs w:val="21"/>
              </w:rPr>
            </w:pPr>
            <w:r w:rsidRPr="007F6332">
              <w:rPr>
                <w:rFonts w:cs="Arial"/>
                <w:b/>
                <w:bCs/>
                <w:color w:val="FFFFFF"/>
                <w:sz w:val="21"/>
                <w:szCs w:val="21"/>
              </w:rPr>
              <w:t>2023-24</w:t>
            </w:r>
          </w:p>
        </w:tc>
        <w:tc>
          <w:tcPr>
            <w:tcW w:w="947" w:type="dxa"/>
            <w:tcBorders>
              <w:top w:val="nil"/>
              <w:left w:val="nil"/>
              <w:bottom w:val="nil"/>
              <w:right w:val="nil"/>
            </w:tcBorders>
            <w:shd w:val="clear" w:color="auto" w:fill="6B2976"/>
            <w:noWrap/>
            <w:vAlign w:val="center"/>
            <w:hideMark/>
          </w:tcPr>
          <w:p w14:paraId="7C3BF0B4" w14:textId="77777777" w:rsidR="00771B61" w:rsidRPr="007F6332" w:rsidRDefault="00771B61" w:rsidP="00CD33D0">
            <w:pPr>
              <w:ind w:left="-49" w:right="-167"/>
              <w:jc w:val="center"/>
              <w:rPr>
                <w:rFonts w:cs="Arial"/>
                <w:b/>
                <w:bCs/>
                <w:color w:val="FFFFFF"/>
                <w:sz w:val="21"/>
                <w:szCs w:val="21"/>
              </w:rPr>
            </w:pPr>
            <w:r w:rsidRPr="007F6332">
              <w:rPr>
                <w:rFonts w:cs="Arial"/>
                <w:b/>
                <w:bCs/>
                <w:color w:val="FFFFFF"/>
                <w:sz w:val="21"/>
                <w:szCs w:val="21"/>
              </w:rPr>
              <w:t>2024-25</w:t>
            </w:r>
          </w:p>
        </w:tc>
        <w:tc>
          <w:tcPr>
            <w:tcW w:w="947" w:type="dxa"/>
            <w:tcBorders>
              <w:top w:val="nil"/>
              <w:left w:val="nil"/>
              <w:bottom w:val="nil"/>
              <w:right w:val="nil"/>
            </w:tcBorders>
            <w:shd w:val="clear" w:color="auto" w:fill="6B2976"/>
            <w:noWrap/>
            <w:vAlign w:val="center"/>
            <w:hideMark/>
          </w:tcPr>
          <w:p w14:paraId="228E33A3" w14:textId="77777777" w:rsidR="00771B61" w:rsidRPr="007F6332" w:rsidRDefault="00771B61" w:rsidP="00CD33D0">
            <w:pPr>
              <w:ind w:left="-49" w:right="-167"/>
              <w:jc w:val="center"/>
              <w:rPr>
                <w:rFonts w:cs="Arial"/>
                <w:b/>
                <w:bCs/>
                <w:color w:val="FFFFFF"/>
                <w:sz w:val="21"/>
                <w:szCs w:val="21"/>
              </w:rPr>
            </w:pPr>
            <w:r w:rsidRPr="007F6332">
              <w:rPr>
                <w:rFonts w:cs="Arial"/>
                <w:b/>
                <w:bCs/>
                <w:color w:val="FFFFFF"/>
                <w:sz w:val="21"/>
                <w:szCs w:val="21"/>
              </w:rPr>
              <w:t>2025-26</w:t>
            </w:r>
          </w:p>
        </w:tc>
        <w:tc>
          <w:tcPr>
            <w:tcW w:w="946" w:type="dxa"/>
            <w:tcBorders>
              <w:top w:val="nil"/>
              <w:left w:val="nil"/>
              <w:bottom w:val="nil"/>
              <w:right w:val="nil"/>
            </w:tcBorders>
            <w:shd w:val="clear" w:color="auto" w:fill="6B2976"/>
            <w:noWrap/>
            <w:vAlign w:val="center"/>
            <w:hideMark/>
          </w:tcPr>
          <w:p w14:paraId="445FACA3" w14:textId="77777777" w:rsidR="00771B61" w:rsidRPr="007F6332" w:rsidRDefault="00771B61" w:rsidP="00CD33D0">
            <w:pPr>
              <w:ind w:left="-49" w:right="-167"/>
              <w:jc w:val="center"/>
              <w:rPr>
                <w:rFonts w:cs="Arial"/>
                <w:b/>
                <w:bCs/>
                <w:color w:val="FFFFFF"/>
                <w:sz w:val="21"/>
                <w:szCs w:val="21"/>
              </w:rPr>
            </w:pPr>
            <w:r w:rsidRPr="007F6332">
              <w:rPr>
                <w:rFonts w:cs="Arial"/>
                <w:b/>
                <w:bCs/>
                <w:color w:val="FFFFFF"/>
                <w:sz w:val="21"/>
                <w:szCs w:val="21"/>
              </w:rPr>
              <w:t>2026-27</w:t>
            </w:r>
          </w:p>
        </w:tc>
        <w:tc>
          <w:tcPr>
            <w:tcW w:w="947" w:type="dxa"/>
            <w:tcBorders>
              <w:top w:val="nil"/>
              <w:left w:val="nil"/>
              <w:bottom w:val="nil"/>
              <w:right w:val="nil"/>
            </w:tcBorders>
            <w:shd w:val="clear" w:color="auto" w:fill="6B2976"/>
            <w:noWrap/>
            <w:vAlign w:val="center"/>
            <w:hideMark/>
          </w:tcPr>
          <w:p w14:paraId="256EBA70" w14:textId="77777777" w:rsidR="00771B61" w:rsidRPr="007F6332" w:rsidRDefault="00771B61" w:rsidP="00CD33D0">
            <w:pPr>
              <w:ind w:left="-49" w:right="-167"/>
              <w:jc w:val="center"/>
              <w:rPr>
                <w:rFonts w:cs="Arial"/>
                <w:b/>
                <w:bCs/>
                <w:color w:val="FFFFFF"/>
                <w:sz w:val="21"/>
                <w:szCs w:val="21"/>
              </w:rPr>
            </w:pPr>
            <w:r w:rsidRPr="007F6332">
              <w:rPr>
                <w:rFonts w:cs="Arial"/>
                <w:b/>
                <w:bCs/>
                <w:color w:val="FFFFFF"/>
                <w:sz w:val="21"/>
                <w:szCs w:val="21"/>
              </w:rPr>
              <w:t>2032-33</w:t>
            </w:r>
          </w:p>
        </w:tc>
        <w:tc>
          <w:tcPr>
            <w:tcW w:w="947" w:type="dxa"/>
            <w:tcBorders>
              <w:top w:val="nil"/>
              <w:left w:val="nil"/>
              <w:bottom w:val="nil"/>
              <w:right w:val="nil"/>
            </w:tcBorders>
            <w:shd w:val="clear" w:color="auto" w:fill="6B2976"/>
            <w:noWrap/>
            <w:vAlign w:val="center"/>
            <w:hideMark/>
          </w:tcPr>
          <w:p w14:paraId="23F330A2" w14:textId="77777777" w:rsidR="00771B61" w:rsidRPr="007F6332" w:rsidRDefault="00771B61" w:rsidP="00CD33D0">
            <w:pPr>
              <w:ind w:left="-49" w:right="-167"/>
              <w:jc w:val="center"/>
              <w:rPr>
                <w:rFonts w:cs="Arial"/>
                <w:b/>
                <w:bCs/>
                <w:color w:val="FFFFFF"/>
                <w:sz w:val="21"/>
                <w:szCs w:val="21"/>
              </w:rPr>
            </w:pPr>
            <w:r w:rsidRPr="007F6332">
              <w:rPr>
                <w:rFonts w:cs="Arial"/>
                <w:b/>
                <w:bCs/>
                <w:color w:val="FFFFFF"/>
                <w:sz w:val="21"/>
                <w:szCs w:val="21"/>
              </w:rPr>
              <w:t>2023-27</w:t>
            </w:r>
          </w:p>
        </w:tc>
      </w:tr>
      <w:tr w:rsidR="003D58DB" w:rsidRPr="007F6332" w14:paraId="3D49F719"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0AFBF38F" w14:textId="77777777" w:rsidR="00771B61" w:rsidRPr="007F6332" w:rsidRDefault="00771B61" w:rsidP="00BA3C62">
            <w:pPr>
              <w:rPr>
                <w:rFonts w:cs="Arial"/>
                <w:sz w:val="21"/>
                <w:szCs w:val="21"/>
              </w:rPr>
            </w:pPr>
            <w:r w:rsidRPr="007F6332">
              <w:rPr>
                <w:rFonts w:cs="Arial"/>
                <w:b/>
                <w:bCs/>
                <w:sz w:val="21"/>
                <w:szCs w:val="21"/>
              </w:rPr>
              <w:t>June 2023 projections</w:t>
            </w:r>
            <w:r w:rsidRPr="007F6332">
              <w:rPr>
                <w:rFonts w:cs="Arial"/>
                <w:sz w:val="21"/>
                <w:szCs w:val="21"/>
              </w:rPr>
              <w:t xml:space="preserve"> Core Daily Activities</w:t>
            </w:r>
          </w:p>
        </w:tc>
        <w:tc>
          <w:tcPr>
            <w:tcW w:w="946" w:type="dxa"/>
            <w:tcBorders>
              <w:top w:val="nil"/>
              <w:left w:val="nil"/>
              <w:bottom w:val="nil"/>
              <w:right w:val="nil"/>
            </w:tcBorders>
            <w:shd w:val="clear" w:color="auto" w:fill="BFBFBF" w:themeFill="background1" w:themeFillShade="BF"/>
            <w:noWrap/>
            <w:vAlign w:val="center"/>
            <w:hideMark/>
          </w:tcPr>
          <w:p w14:paraId="7EBB6FB1" w14:textId="77777777" w:rsidR="00771B61" w:rsidRPr="007F6332" w:rsidRDefault="00771B61" w:rsidP="00CD33D0">
            <w:pPr>
              <w:ind w:left="-49" w:right="-167"/>
              <w:jc w:val="center"/>
              <w:rPr>
                <w:rFonts w:cs="Arial"/>
                <w:sz w:val="21"/>
                <w:szCs w:val="21"/>
              </w:rPr>
            </w:pPr>
            <w:r w:rsidRPr="007F6332">
              <w:rPr>
                <w:rFonts w:cs="Arial"/>
                <w:sz w:val="21"/>
                <w:szCs w:val="21"/>
              </w:rPr>
              <w:t>22,273</w:t>
            </w:r>
          </w:p>
        </w:tc>
        <w:tc>
          <w:tcPr>
            <w:tcW w:w="947" w:type="dxa"/>
            <w:tcBorders>
              <w:top w:val="nil"/>
              <w:left w:val="nil"/>
              <w:bottom w:val="nil"/>
              <w:right w:val="nil"/>
            </w:tcBorders>
            <w:shd w:val="clear" w:color="auto" w:fill="BFBFBF" w:themeFill="background1" w:themeFillShade="BF"/>
            <w:noWrap/>
            <w:vAlign w:val="center"/>
            <w:hideMark/>
          </w:tcPr>
          <w:p w14:paraId="77B8C2B9" w14:textId="77777777" w:rsidR="00771B61" w:rsidRPr="007F6332" w:rsidRDefault="00771B61" w:rsidP="00CD33D0">
            <w:pPr>
              <w:ind w:left="-49" w:right="-167"/>
              <w:jc w:val="center"/>
              <w:rPr>
                <w:rFonts w:cs="Arial"/>
                <w:sz w:val="21"/>
                <w:szCs w:val="21"/>
              </w:rPr>
            </w:pPr>
            <w:r w:rsidRPr="007F6332">
              <w:rPr>
                <w:rFonts w:cs="Arial"/>
                <w:sz w:val="21"/>
                <w:szCs w:val="21"/>
              </w:rPr>
              <w:t>25,221</w:t>
            </w:r>
          </w:p>
        </w:tc>
        <w:tc>
          <w:tcPr>
            <w:tcW w:w="947" w:type="dxa"/>
            <w:tcBorders>
              <w:top w:val="nil"/>
              <w:left w:val="nil"/>
              <w:bottom w:val="nil"/>
              <w:right w:val="nil"/>
            </w:tcBorders>
            <w:shd w:val="clear" w:color="auto" w:fill="BFBFBF" w:themeFill="background1" w:themeFillShade="BF"/>
            <w:noWrap/>
            <w:vAlign w:val="center"/>
            <w:hideMark/>
          </w:tcPr>
          <w:p w14:paraId="061322EE" w14:textId="77777777" w:rsidR="00771B61" w:rsidRPr="007F6332" w:rsidRDefault="00771B61" w:rsidP="00CD33D0">
            <w:pPr>
              <w:ind w:left="-49" w:right="-167"/>
              <w:jc w:val="center"/>
              <w:rPr>
                <w:rFonts w:cs="Arial"/>
                <w:sz w:val="21"/>
                <w:szCs w:val="21"/>
              </w:rPr>
            </w:pPr>
            <w:r w:rsidRPr="007F6332">
              <w:rPr>
                <w:rFonts w:cs="Arial"/>
                <w:sz w:val="21"/>
                <w:szCs w:val="21"/>
              </w:rPr>
              <w:t>28,004</w:t>
            </w:r>
          </w:p>
        </w:tc>
        <w:tc>
          <w:tcPr>
            <w:tcW w:w="946" w:type="dxa"/>
            <w:tcBorders>
              <w:top w:val="nil"/>
              <w:left w:val="nil"/>
              <w:bottom w:val="nil"/>
              <w:right w:val="nil"/>
            </w:tcBorders>
            <w:shd w:val="clear" w:color="auto" w:fill="BFBFBF" w:themeFill="background1" w:themeFillShade="BF"/>
            <w:noWrap/>
            <w:vAlign w:val="center"/>
            <w:hideMark/>
          </w:tcPr>
          <w:p w14:paraId="272FB158" w14:textId="77777777" w:rsidR="00771B61" w:rsidRPr="007F6332" w:rsidRDefault="00771B61" w:rsidP="00CD33D0">
            <w:pPr>
              <w:ind w:left="-49" w:right="-167"/>
              <w:jc w:val="center"/>
              <w:rPr>
                <w:rFonts w:cs="Arial"/>
                <w:sz w:val="21"/>
                <w:szCs w:val="21"/>
              </w:rPr>
            </w:pPr>
            <w:r w:rsidRPr="007F6332">
              <w:rPr>
                <w:rFonts w:cs="Arial"/>
                <w:sz w:val="21"/>
                <w:szCs w:val="21"/>
              </w:rPr>
              <w:t>30,426</w:t>
            </w:r>
          </w:p>
        </w:tc>
        <w:tc>
          <w:tcPr>
            <w:tcW w:w="947" w:type="dxa"/>
            <w:tcBorders>
              <w:top w:val="nil"/>
              <w:left w:val="nil"/>
              <w:bottom w:val="nil"/>
              <w:right w:val="nil"/>
            </w:tcBorders>
            <w:shd w:val="clear" w:color="auto" w:fill="BFBFBF" w:themeFill="background1" w:themeFillShade="BF"/>
            <w:noWrap/>
            <w:vAlign w:val="center"/>
            <w:hideMark/>
          </w:tcPr>
          <w:p w14:paraId="6BB34F3D" w14:textId="77777777" w:rsidR="00771B61" w:rsidRPr="007F6332" w:rsidRDefault="00771B61" w:rsidP="00CD33D0">
            <w:pPr>
              <w:ind w:left="-49" w:right="-167"/>
              <w:jc w:val="center"/>
              <w:rPr>
                <w:rFonts w:cs="Arial"/>
                <w:sz w:val="21"/>
                <w:szCs w:val="21"/>
              </w:rPr>
            </w:pPr>
            <w:r w:rsidRPr="007F6332">
              <w:rPr>
                <w:rFonts w:cs="Arial"/>
                <w:sz w:val="21"/>
                <w:szCs w:val="21"/>
              </w:rPr>
              <w:t>50,551</w:t>
            </w:r>
          </w:p>
        </w:tc>
        <w:tc>
          <w:tcPr>
            <w:tcW w:w="947" w:type="dxa"/>
            <w:tcBorders>
              <w:top w:val="nil"/>
              <w:left w:val="nil"/>
              <w:bottom w:val="nil"/>
              <w:right w:val="nil"/>
            </w:tcBorders>
            <w:shd w:val="clear" w:color="auto" w:fill="BFBFBF" w:themeFill="background1" w:themeFillShade="BF"/>
            <w:noWrap/>
            <w:vAlign w:val="center"/>
            <w:hideMark/>
          </w:tcPr>
          <w:p w14:paraId="58F3C1EF" w14:textId="77777777" w:rsidR="00771B61" w:rsidRPr="007F6332" w:rsidRDefault="00771B61" w:rsidP="00CD33D0">
            <w:pPr>
              <w:ind w:left="-49" w:right="-167"/>
              <w:jc w:val="center"/>
              <w:rPr>
                <w:rFonts w:cs="Arial"/>
                <w:sz w:val="21"/>
                <w:szCs w:val="21"/>
              </w:rPr>
            </w:pPr>
            <w:r w:rsidRPr="007F6332">
              <w:rPr>
                <w:rFonts w:cs="Arial"/>
                <w:sz w:val="21"/>
                <w:szCs w:val="21"/>
              </w:rPr>
              <w:t>105,924</w:t>
            </w:r>
          </w:p>
        </w:tc>
      </w:tr>
      <w:tr w:rsidR="003D58DB" w:rsidRPr="007F6332" w14:paraId="72A89775" w14:textId="77777777" w:rsidTr="003D58DB">
        <w:trPr>
          <w:trHeight w:val="227"/>
        </w:trPr>
        <w:tc>
          <w:tcPr>
            <w:tcW w:w="3762" w:type="dxa"/>
            <w:tcBorders>
              <w:top w:val="nil"/>
              <w:left w:val="nil"/>
              <w:bottom w:val="nil"/>
              <w:right w:val="nil"/>
            </w:tcBorders>
            <w:noWrap/>
            <w:vAlign w:val="center"/>
            <w:hideMark/>
          </w:tcPr>
          <w:p w14:paraId="0003E10A" w14:textId="77777777" w:rsidR="00771B61" w:rsidRPr="007F6332" w:rsidRDefault="00771B61" w:rsidP="00BA3C62">
            <w:pPr>
              <w:rPr>
                <w:rFonts w:cs="Arial"/>
                <w:sz w:val="21"/>
                <w:szCs w:val="21"/>
              </w:rPr>
            </w:pPr>
            <w:r w:rsidRPr="007F6332">
              <w:rPr>
                <w:rFonts w:cs="Arial"/>
                <w:b/>
                <w:bCs/>
                <w:sz w:val="21"/>
                <w:szCs w:val="21"/>
              </w:rPr>
              <w:t>June 2023 projections</w:t>
            </w:r>
            <w:r w:rsidRPr="007F6332">
              <w:rPr>
                <w:rFonts w:cs="Arial"/>
                <w:sz w:val="21"/>
                <w:szCs w:val="21"/>
              </w:rPr>
              <w:t xml:space="preserve"> Core Social Community Civic</w:t>
            </w:r>
          </w:p>
        </w:tc>
        <w:tc>
          <w:tcPr>
            <w:tcW w:w="946" w:type="dxa"/>
            <w:tcBorders>
              <w:top w:val="nil"/>
              <w:left w:val="nil"/>
              <w:bottom w:val="nil"/>
              <w:right w:val="nil"/>
            </w:tcBorders>
            <w:noWrap/>
            <w:vAlign w:val="center"/>
            <w:hideMark/>
          </w:tcPr>
          <w:p w14:paraId="2FDCE851" w14:textId="77777777" w:rsidR="00771B61" w:rsidRPr="007F6332" w:rsidRDefault="00771B61" w:rsidP="00CD33D0">
            <w:pPr>
              <w:ind w:left="-49" w:right="-167"/>
              <w:jc w:val="center"/>
              <w:rPr>
                <w:rFonts w:cs="Arial"/>
                <w:sz w:val="21"/>
                <w:szCs w:val="21"/>
              </w:rPr>
            </w:pPr>
            <w:r w:rsidRPr="007F6332">
              <w:rPr>
                <w:rFonts w:cs="Arial"/>
                <w:sz w:val="21"/>
                <w:szCs w:val="21"/>
              </w:rPr>
              <w:t>8,949</w:t>
            </w:r>
          </w:p>
        </w:tc>
        <w:tc>
          <w:tcPr>
            <w:tcW w:w="947" w:type="dxa"/>
            <w:tcBorders>
              <w:top w:val="nil"/>
              <w:left w:val="nil"/>
              <w:bottom w:val="nil"/>
              <w:right w:val="nil"/>
            </w:tcBorders>
            <w:noWrap/>
            <w:vAlign w:val="center"/>
            <w:hideMark/>
          </w:tcPr>
          <w:p w14:paraId="48C9414B" w14:textId="77777777" w:rsidR="00771B61" w:rsidRPr="007F6332" w:rsidRDefault="00771B61" w:rsidP="00CD33D0">
            <w:pPr>
              <w:ind w:left="-49" w:right="-167"/>
              <w:jc w:val="center"/>
              <w:rPr>
                <w:rFonts w:cs="Arial"/>
                <w:sz w:val="21"/>
                <w:szCs w:val="21"/>
              </w:rPr>
            </w:pPr>
            <w:r w:rsidRPr="007F6332">
              <w:rPr>
                <w:rFonts w:cs="Arial"/>
                <w:sz w:val="21"/>
                <w:szCs w:val="21"/>
              </w:rPr>
              <w:t>10,144</w:t>
            </w:r>
          </w:p>
        </w:tc>
        <w:tc>
          <w:tcPr>
            <w:tcW w:w="947" w:type="dxa"/>
            <w:tcBorders>
              <w:top w:val="nil"/>
              <w:left w:val="nil"/>
              <w:bottom w:val="nil"/>
              <w:right w:val="nil"/>
            </w:tcBorders>
            <w:noWrap/>
            <w:vAlign w:val="center"/>
            <w:hideMark/>
          </w:tcPr>
          <w:p w14:paraId="6BDAC80D" w14:textId="77777777" w:rsidR="00771B61" w:rsidRPr="007F6332" w:rsidRDefault="00771B61" w:rsidP="00CD33D0">
            <w:pPr>
              <w:ind w:left="-49" w:right="-167"/>
              <w:jc w:val="center"/>
              <w:rPr>
                <w:rFonts w:cs="Arial"/>
                <w:sz w:val="21"/>
                <w:szCs w:val="21"/>
              </w:rPr>
            </w:pPr>
            <w:r w:rsidRPr="007F6332">
              <w:rPr>
                <w:rFonts w:cs="Arial"/>
                <w:sz w:val="21"/>
                <w:szCs w:val="21"/>
              </w:rPr>
              <w:t>11,392</w:t>
            </w:r>
          </w:p>
        </w:tc>
        <w:tc>
          <w:tcPr>
            <w:tcW w:w="946" w:type="dxa"/>
            <w:tcBorders>
              <w:top w:val="nil"/>
              <w:left w:val="nil"/>
              <w:bottom w:val="nil"/>
              <w:right w:val="nil"/>
            </w:tcBorders>
            <w:noWrap/>
            <w:vAlign w:val="center"/>
            <w:hideMark/>
          </w:tcPr>
          <w:p w14:paraId="43398F29" w14:textId="77777777" w:rsidR="00771B61" w:rsidRPr="007F6332" w:rsidRDefault="00771B61" w:rsidP="00CD33D0">
            <w:pPr>
              <w:ind w:left="-49" w:right="-167"/>
              <w:jc w:val="center"/>
              <w:rPr>
                <w:rFonts w:cs="Arial"/>
                <w:sz w:val="21"/>
                <w:szCs w:val="21"/>
              </w:rPr>
            </w:pPr>
            <w:r w:rsidRPr="007F6332">
              <w:rPr>
                <w:rFonts w:cs="Arial"/>
                <w:sz w:val="21"/>
                <w:szCs w:val="21"/>
              </w:rPr>
              <w:t>12,565</w:t>
            </w:r>
          </w:p>
        </w:tc>
        <w:tc>
          <w:tcPr>
            <w:tcW w:w="947" w:type="dxa"/>
            <w:tcBorders>
              <w:top w:val="nil"/>
              <w:left w:val="nil"/>
              <w:bottom w:val="nil"/>
              <w:right w:val="nil"/>
            </w:tcBorders>
            <w:noWrap/>
            <w:vAlign w:val="center"/>
            <w:hideMark/>
          </w:tcPr>
          <w:p w14:paraId="1235FC3A" w14:textId="77777777" w:rsidR="00771B61" w:rsidRPr="007F6332" w:rsidRDefault="00771B61" w:rsidP="00CD33D0">
            <w:pPr>
              <w:ind w:left="-49" w:right="-167"/>
              <w:jc w:val="center"/>
              <w:rPr>
                <w:rFonts w:cs="Arial"/>
                <w:sz w:val="21"/>
                <w:szCs w:val="21"/>
              </w:rPr>
            </w:pPr>
            <w:r w:rsidRPr="007F6332">
              <w:rPr>
                <w:rFonts w:cs="Arial"/>
                <w:sz w:val="21"/>
                <w:szCs w:val="21"/>
              </w:rPr>
              <w:t>23,117</w:t>
            </w:r>
          </w:p>
        </w:tc>
        <w:tc>
          <w:tcPr>
            <w:tcW w:w="947" w:type="dxa"/>
            <w:tcBorders>
              <w:top w:val="nil"/>
              <w:left w:val="nil"/>
              <w:bottom w:val="nil"/>
              <w:right w:val="nil"/>
            </w:tcBorders>
            <w:noWrap/>
            <w:vAlign w:val="center"/>
            <w:hideMark/>
          </w:tcPr>
          <w:p w14:paraId="3C19F8DD" w14:textId="77777777" w:rsidR="00771B61" w:rsidRPr="007F6332" w:rsidRDefault="00771B61" w:rsidP="00CD33D0">
            <w:pPr>
              <w:ind w:left="-49" w:right="-167"/>
              <w:jc w:val="center"/>
              <w:rPr>
                <w:rFonts w:cs="Arial"/>
                <w:sz w:val="21"/>
                <w:szCs w:val="21"/>
              </w:rPr>
            </w:pPr>
            <w:r w:rsidRPr="007F6332">
              <w:rPr>
                <w:rFonts w:cs="Arial"/>
                <w:sz w:val="21"/>
                <w:szCs w:val="21"/>
              </w:rPr>
              <w:t>43,050</w:t>
            </w:r>
          </w:p>
        </w:tc>
      </w:tr>
      <w:tr w:rsidR="003D58DB" w:rsidRPr="007F6332" w14:paraId="54D393A2"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31C5B0A9" w14:textId="77777777" w:rsidR="00771B61" w:rsidRPr="007F6332" w:rsidRDefault="00771B61" w:rsidP="00BA3C62">
            <w:pPr>
              <w:rPr>
                <w:rFonts w:cs="Arial"/>
                <w:sz w:val="21"/>
                <w:szCs w:val="21"/>
              </w:rPr>
            </w:pPr>
            <w:r w:rsidRPr="007F6332">
              <w:rPr>
                <w:rFonts w:cs="Arial"/>
                <w:b/>
                <w:bCs/>
                <w:sz w:val="21"/>
                <w:szCs w:val="21"/>
              </w:rPr>
              <w:t>June 2023 projections</w:t>
            </w:r>
            <w:r w:rsidRPr="007F6332">
              <w:rPr>
                <w:rFonts w:cs="Arial"/>
                <w:sz w:val="21"/>
                <w:szCs w:val="21"/>
              </w:rPr>
              <w:t xml:space="preserve"> Core Transport</w:t>
            </w:r>
          </w:p>
        </w:tc>
        <w:tc>
          <w:tcPr>
            <w:tcW w:w="946" w:type="dxa"/>
            <w:tcBorders>
              <w:top w:val="nil"/>
              <w:left w:val="nil"/>
              <w:bottom w:val="nil"/>
              <w:right w:val="nil"/>
            </w:tcBorders>
            <w:shd w:val="clear" w:color="auto" w:fill="BFBFBF" w:themeFill="background1" w:themeFillShade="BF"/>
            <w:noWrap/>
            <w:vAlign w:val="center"/>
            <w:hideMark/>
          </w:tcPr>
          <w:p w14:paraId="081714D8" w14:textId="77777777" w:rsidR="00771B61" w:rsidRPr="007F6332" w:rsidRDefault="00771B61" w:rsidP="00CD33D0">
            <w:pPr>
              <w:jc w:val="right"/>
              <w:rPr>
                <w:rFonts w:cs="Arial"/>
                <w:sz w:val="21"/>
                <w:szCs w:val="21"/>
              </w:rPr>
            </w:pPr>
            <w:r w:rsidRPr="007F6332">
              <w:rPr>
                <w:rFonts w:cs="Arial"/>
                <w:sz w:val="21"/>
                <w:szCs w:val="21"/>
              </w:rPr>
              <w:t>993</w:t>
            </w:r>
          </w:p>
        </w:tc>
        <w:tc>
          <w:tcPr>
            <w:tcW w:w="947" w:type="dxa"/>
            <w:tcBorders>
              <w:top w:val="nil"/>
              <w:left w:val="nil"/>
              <w:bottom w:val="nil"/>
              <w:right w:val="nil"/>
            </w:tcBorders>
            <w:shd w:val="clear" w:color="auto" w:fill="BFBFBF" w:themeFill="background1" w:themeFillShade="BF"/>
            <w:noWrap/>
            <w:vAlign w:val="center"/>
            <w:hideMark/>
          </w:tcPr>
          <w:p w14:paraId="788766F3" w14:textId="77777777" w:rsidR="00771B61" w:rsidRPr="007F6332" w:rsidRDefault="00771B61" w:rsidP="00CD33D0">
            <w:pPr>
              <w:jc w:val="right"/>
              <w:rPr>
                <w:rFonts w:cs="Arial"/>
                <w:sz w:val="21"/>
                <w:szCs w:val="21"/>
              </w:rPr>
            </w:pPr>
            <w:r w:rsidRPr="007F6332">
              <w:rPr>
                <w:rFonts w:cs="Arial"/>
                <w:sz w:val="21"/>
                <w:szCs w:val="21"/>
              </w:rPr>
              <w:t>1,110</w:t>
            </w:r>
          </w:p>
        </w:tc>
        <w:tc>
          <w:tcPr>
            <w:tcW w:w="947" w:type="dxa"/>
            <w:tcBorders>
              <w:top w:val="nil"/>
              <w:left w:val="nil"/>
              <w:bottom w:val="nil"/>
              <w:right w:val="nil"/>
            </w:tcBorders>
            <w:shd w:val="clear" w:color="auto" w:fill="BFBFBF" w:themeFill="background1" w:themeFillShade="BF"/>
            <w:noWrap/>
            <w:vAlign w:val="center"/>
            <w:hideMark/>
          </w:tcPr>
          <w:p w14:paraId="7D85793A" w14:textId="77777777" w:rsidR="00771B61" w:rsidRPr="007F6332" w:rsidRDefault="00771B61" w:rsidP="00CD33D0">
            <w:pPr>
              <w:jc w:val="right"/>
              <w:rPr>
                <w:rFonts w:cs="Arial"/>
                <w:sz w:val="21"/>
                <w:szCs w:val="21"/>
              </w:rPr>
            </w:pPr>
            <w:r w:rsidRPr="007F6332">
              <w:rPr>
                <w:rFonts w:cs="Arial"/>
                <w:sz w:val="21"/>
                <w:szCs w:val="21"/>
              </w:rPr>
              <w:t>1,219</w:t>
            </w:r>
          </w:p>
        </w:tc>
        <w:tc>
          <w:tcPr>
            <w:tcW w:w="946" w:type="dxa"/>
            <w:tcBorders>
              <w:top w:val="nil"/>
              <w:left w:val="nil"/>
              <w:bottom w:val="nil"/>
              <w:right w:val="nil"/>
            </w:tcBorders>
            <w:shd w:val="clear" w:color="auto" w:fill="BFBFBF" w:themeFill="background1" w:themeFillShade="BF"/>
            <w:noWrap/>
            <w:vAlign w:val="center"/>
            <w:hideMark/>
          </w:tcPr>
          <w:p w14:paraId="04889724" w14:textId="77777777" w:rsidR="00771B61" w:rsidRPr="007F6332" w:rsidRDefault="00771B61" w:rsidP="00CD33D0">
            <w:pPr>
              <w:jc w:val="right"/>
              <w:rPr>
                <w:rFonts w:cs="Arial"/>
                <w:sz w:val="21"/>
                <w:szCs w:val="21"/>
              </w:rPr>
            </w:pPr>
            <w:r w:rsidRPr="007F6332">
              <w:rPr>
                <w:rFonts w:cs="Arial"/>
                <w:sz w:val="21"/>
                <w:szCs w:val="21"/>
              </w:rPr>
              <w:t>1,326</w:t>
            </w:r>
          </w:p>
        </w:tc>
        <w:tc>
          <w:tcPr>
            <w:tcW w:w="947" w:type="dxa"/>
            <w:tcBorders>
              <w:top w:val="nil"/>
              <w:left w:val="nil"/>
              <w:bottom w:val="nil"/>
              <w:right w:val="nil"/>
            </w:tcBorders>
            <w:shd w:val="clear" w:color="auto" w:fill="BFBFBF" w:themeFill="background1" w:themeFillShade="BF"/>
            <w:noWrap/>
            <w:vAlign w:val="center"/>
            <w:hideMark/>
          </w:tcPr>
          <w:p w14:paraId="071AF74E" w14:textId="77777777" w:rsidR="00771B61" w:rsidRPr="007F6332" w:rsidRDefault="00771B61" w:rsidP="00CD33D0">
            <w:pPr>
              <w:jc w:val="right"/>
              <w:rPr>
                <w:rFonts w:cs="Arial"/>
                <w:sz w:val="21"/>
                <w:szCs w:val="21"/>
              </w:rPr>
            </w:pPr>
            <w:r w:rsidRPr="007F6332">
              <w:rPr>
                <w:rFonts w:cs="Arial"/>
                <w:sz w:val="21"/>
                <w:szCs w:val="21"/>
              </w:rPr>
              <w:t>2,119</w:t>
            </w:r>
          </w:p>
        </w:tc>
        <w:tc>
          <w:tcPr>
            <w:tcW w:w="947" w:type="dxa"/>
            <w:tcBorders>
              <w:top w:val="nil"/>
              <w:left w:val="nil"/>
              <w:bottom w:val="nil"/>
              <w:right w:val="nil"/>
            </w:tcBorders>
            <w:shd w:val="clear" w:color="auto" w:fill="BFBFBF" w:themeFill="background1" w:themeFillShade="BF"/>
            <w:noWrap/>
            <w:vAlign w:val="center"/>
            <w:hideMark/>
          </w:tcPr>
          <w:p w14:paraId="308E19CB" w14:textId="77777777" w:rsidR="00771B61" w:rsidRPr="007F6332" w:rsidRDefault="00771B61" w:rsidP="00CD33D0">
            <w:pPr>
              <w:jc w:val="right"/>
              <w:rPr>
                <w:rFonts w:cs="Arial"/>
                <w:sz w:val="21"/>
                <w:szCs w:val="21"/>
              </w:rPr>
            </w:pPr>
            <w:r w:rsidRPr="007F6332">
              <w:rPr>
                <w:rFonts w:cs="Arial"/>
                <w:sz w:val="21"/>
                <w:szCs w:val="21"/>
              </w:rPr>
              <w:t>4,649</w:t>
            </w:r>
          </w:p>
        </w:tc>
      </w:tr>
      <w:tr w:rsidR="003D58DB" w:rsidRPr="007F6332" w14:paraId="647FE5EC" w14:textId="77777777" w:rsidTr="003D58DB">
        <w:trPr>
          <w:trHeight w:val="227"/>
        </w:trPr>
        <w:tc>
          <w:tcPr>
            <w:tcW w:w="3762" w:type="dxa"/>
            <w:tcBorders>
              <w:top w:val="nil"/>
              <w:left w:val="nil"/>
              <w:bottom w:val="nil"/>
              <w:right w:val="nil"/>
            </w:tcBorders>
            <w:noWrap/>
            <w:vAlign w:val="center"/>
            <w:hideMark/>
          </w:tcPr>
          <w:p w14:paraId="12EC9784" w14:textId="77777777" w:rsidR="00771B61" w:rsidRPr="007F6332" w:rsidRDefault="00771B61" w:rsidP="00BA3C62">
            <w:pPr>
              <w:rPr>
                <w:rFonts w:cs="Arial"/>
                <w:sz w:val="21"/>
                <w:szCs w:val="21"/>
              </w:rPr>
            </w:pPr>
            <w:r w:rsidRPr="007F6332">
              <w:rPr>
                <w:rFonts w:cs="Arial"/>
                <w:b/>
                <w:bCs/>
                <w:sz w:val="21"/>
                <w:szCs w:val="21"/>
              </w:rPr>
              <w:t>June 2023 projections</w:t>
            </w:r>
            <w:r w:rsidRPr="007F6332">
              <w:rPr>
                <w:rFonts w:cs="Arial"/>
                <w:sz w:val="21"/>
                <w:szCs w:val="21"/>
              </w:rPr>
              <w:t xml:space="preserve"> Core Consumables</w:t>
            </w:r>
          </w:p>
        </w:tc>
        <w:tc>
          <w:tcPr>
            <w:tcW w:w="946" w:type="dxa"/>
            <w:tcBorders>
              <w:top w:val="nil"/>
              <w:left w:val="nil"/>
              <w:bottom w:val="nil"/>
              <w:right w:val="nil"/>
            </w:tcBorders>
            <w:noWrap/>
            <w:vAlign w:val="center"/>
            <w:hideMark/>
          </w:tcPr>
          <w:p w14:paraId="197D5814" w14:textId="77777777" w:rsidR="00771B61" w:rsidRPr="007F6332" w:rsidRDefault="00771B61" w:rsidP="00CD33D0">
            <w:pPr>
              <w:jc w:val="right"/>
              <w:rPr>
                <w:rFonts w:cs="Arial"/>
                <w:sz w:val="21"/>
                <w:szCs w:val="21"/>
              </w:rPr>
            </w:pPr>
            <w:r w:rsidRPr="007F6332">
              <w:rPr>
                <w:rFonts w:cs="Arial"/>
                <w:sz w:val="21"/>
                <w:szCs w:val="21"/>
              </w:rPr>
              <w:t>681</w:t>
            </w:r>
          </w:p>
        </w:tc>
        <w:tc>
          <w:tcPr>
            <w:tcW w:w="947" w:type="dxa"/>
            <w:tcBorders>
              <w:top w:val="nil"/>
              <w:left w:val="nil"/>
              <w:bottom w:val="nil"/>
              <w:right w:val="nil"/>
            </w:tcBorders>
            <w:noWrap/>
            <w:vAlign w:val="center"/>
            <w:hideMark/>
          </w:tcPr>
          <w:p w14:paraId="78A8C8C9" w14:textId="77777777" w:rsidR="00771B61" w:rsidRPr="007F6332" w:rsidRDefault="00771B61" w:rsidP="00CD33D0">
            <w:pPr>
              <w:jc w:val="right"/>
              <w:rPr>
                <w:rFonts w:cs="Arial"/>
                <w:sz w:val="21"/>
                <w:szCs w:val="21"/>
              </w:rPr>
            </w:pPr>
            <w:r w:rsidRPr="007F6332">
              <w:rPr>
                <w:rFonts w:cs="Arial"/>
                <w:sz w:val="21"/>
                <w:szCs w:val="21"/>
              </w:rPr>
              <w:t>739</w:t>
            </w:r>
          </w:p>
        </w:tc>
        <w:tc>
          <w:tcPr>
            <w:tcW w:w="947" w:type="dxa"/>
            <w:tcBorders>
              <w:top w:val="nil"/>
              <w:left w:val="nil"/>
              <w:bottom w:val="nil"/>
              <w:right w:val="nil"/>
            </w:tcBorders>
            <w:noWrap/>
            <w:vAlign w:val="center"/>
            <w:hideMark/>
          </w:tcPr>
          <w:p w14:paraId="7E2BB8D5" w14:textId="77777777" w:rsidR="00771B61" w:rsidRPr="007F6332" w:rsidRDefault="00771B61" w:rsidP="00CD33D0">
            <w:pPr>
              <w:jc w:val="right"/>
              <w:rPr>
                <w:rFonts w:cs="Arial"/>
                <w:sz w:val="21"/>
                <w:szCs w:val="21"/>
              </w:rPr>
            </w:pPr>
            <w:r w:rsidRPr="007F6332">
              <w:rPr>
                <w:rFonts w:cs="Arial"/>
                <w:sz w:val="21"/>
                <w:szCs w:val="21"/>
              </w:rPr>
              <w:t>787</w:t>
            </w:r>
          </w:p>
        </w:tc>
        <w:tc>
          <w:tcPr>
            <w:tcW w:w="946" w:type="dxa"/>
            <w:tcBorders>
              <w:top w:val="nil"/>
              <w:left w:val="nil"/>
              <w:bottom w:val="nil"/>
              <w:right w:val="nil"/>
            </w:tcBorders>
            <w:noWrap/>
            <w:vAlign w:val="center"/>
            <w:hideMark/>
          </w:tcPr>
          <w:p w14:paraId="6E5EC048" w14:textId="77777777" w:rsidR="00771B61" w:rsidRPr="007F6332" w:rsidRDefault="00771B61" w:rsidP="00CD33D0">
            <w:pPr>
              <w:jc w:val="right"/>
              <w:rPr>
                <w:rFonts w:cs="Arial"/>
                <w:sz w:val="21"/>
                <w:szCs w:val="21"/>
              </w:rPr>
            </w:pPr>
            <w:r w:rsidRPr="007F6332">
              <w:rPr>
                <w:rFonts w:cs="Arial"/>
                <w:sz w:val="21"/>
                <w:szCs w:val="21"/>
              </w:rPr>
              <w:t>833</w:t>
            </w:r>
          </w:p>
        </w:tc>
        <w:tc>
          <w:tcPr>
            <w:tcW w:w="947" w:type="dxa"/>
            <w:tcBorders>
              <w:top w:val="nil"/>
              <w:left w:val="nil"/>
              <w:bottom w:val="nil"/>
              <w:right w:val="nil"/>
            </w:tcBorders>
            <w:noWrap/>
            <w:vAlign w:val="center"/>
            <w:hideMark/>
          </w:tcPr>
          <w:p w14:paraId="44038291" w14:textId="77777777" w:rsidR="00771B61" w:rsidRPr="007F6332" w:rsidRDefault="00771B61" w:rsidP="00CD33D0">
            <w:pPr>
              <w:jc w:val="right"/>
              <w:rPr>
                <w:rFonts w:cs="Arial"/>
                <w:sz w:val="21"/>
                <w:szCs w:val="21"/>
              </w:rPr>
            </w:pPr>
            <w:r w:rsidRPr="007F6332">
              <w:rPr>
                <w:rFonts w:cs="Arial"/>
                <w:sz w:val="21"/>
                <w:szCs w:val="21"/>
              </w:rPr>
              <w:t>1,179</w:t>
            </w:r>
          </w:p>
        </w:tc>
        <w:tc>
          <w:tcPr>
            <w:tcW w:w="947" w:type="dxa"/>
            <w:tcBorders>
              <w:top w:val="nil"/>
              <w:left w:val="nil"/>
              <w:bottom w:val="nil"/>
              <w:right w:val="nil"/>
            </w:tcBorders>
            <w:noWrap/>
            <w:vAlign w:val="center"/>
            <w:hideMark/>
          </w:tcPr>
          <w:p w14:paraId="55B4CA9E" w14:textId="77777777" w:rsidR="00771B61" w:rsidRPr="007F6332" w:rsidRDefault="00771B61" w:rsidP="00CD33D0">
            <w:pPr>
              <w:jc w:val="right"/>
              <w:rPr>
                <w:rFonts w:cs="Arial"/>
                <w:sz w:val="21"/>
                <w:szCs w:val="21"/>
              </w:rPr>
            </w:pPr>
            <w:r w:rsidRPr="007F6332">
              <w:rPr>
                <w:rFonts w:cs="Arial"/>
                <w:sz w:val="21"/>
                <w:szCs w:val="21"/>
              </w:rPr>
              <w:t>3,040</w:t>
            </w:r>
          </w:p>
        </w:tc>
      </w:tr>
      <w:tr w:rsidR="003D58DB" w:rsidRPr="007F6332" w14:paraId="7951918A"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5F70A433" w14:textId="77777777" w:rsidR="00771B61" w:rsidRPr="007F6332" w:rsidRDefault="00771B61" w:rsidP="00BA3C62">
            <w:pPr>
              <w:rPr>
                <w:rFonts w:cs="Arial"/>
                <w:sz w:val="21"/>
                <w:szCs w:val="21"/>
              </w:rPr>
            </w:pPr>
            <w:r w:rsidRPr="007F6332">
              <w:rPr>
                <w:rFonts w:cs="Arial"/>
                <w:b/>
                <w:bCs/>
                <w:sz w:val="21"/>
                <w:szCs w:val="21"/>
              </w:rPr>
              <w:t>June 2023 projections</w:t>
            </w:r>
            <w:r w:rsidRPr="007F6332">
              <w:rPr>
                <w:rFonts w:cs="Arial"/>
                <w:sz w:val="21"/>
                <w:szCs w:val="21"/>
              </w:rPr>
              <w:t xml:space="preserve"> Capital </w:t>
            </w:r>
          </w:p>
        </w:tc>
        <w:tc>
          <w:tcPr>
            <w:tcW w:w="946" w:type="dxa"/>
            <w:tcBorders>
              <w:top w:val="nil"/>
              <w:left w:val="nil"/>
              <w:bottom w:val="nil"/>
              <w:right w:val="nil"/>
            </w:tcBorders>
            <w:shd w:val="clear" w:color="auto" w:fill="BFBFBF" w:themeFill="background1" w:themeFillShade="BF"/>
            <w:noWrap/>
            <w:vAlign w:val="center"/>
            <w:hideMark/>
          </w:tcPr>
          <w:p w14:paraId="7F5819A2" w14:textId="77777777" w:rsidR="00771B61" w:rsidRPr="007F6332" w:rsidRDefault="00771B61" w:rsidP="00CD33D0">
            <w:pPr>
              <w:jc w:val="right"/>
              <w:rPr>
                <w:rFonts w:cs="Arial"/>
                <w:sz w:val="21"/>
                <w:szCs w:val="21"/>
              </w:rPr>
            </w:pPr>
            <w:r w:rsidRPr="007F6332">
              <w:rPr>
                <w:rFonts w:cs="Arial"/>
                <w:sz w:val="21"/>
                <w:szCs w:val="21"/>
              </w:rPr>
              <w:t>1,120</w:t>
            </w:r>
          </w:p>
        </w:tc>
        <w:tc>
          <w:tcPr>
            <w:tcW w:w="947" w:type="dxa"/>
            <w:tcBorders>
              <w:top w:val="nil"/>
              <w:left w:val="nil"/>
              <w:bottom w:val="nil"/>
              <w:right w:val="nil"/>
            </w:tcBorders>
            <w:shd w:val="clear" w:color="auto" w:fill="BFBFBF" w:themeFill="background1" w:themeFillShade="BF"/>
            <w:noWrap/>
            <w:vAlign w:val="center"/>
            <w:hideMark/>
          </w:tcPr>
          <w:p w14:paraId="71DC4546" w14:textId="77777777" w:rsidR="00771B61" w:rsidRPr="007F6332" w:rsidRDefault="00771B61" w:rsidP="00CD33D0">
            <w:pPr>
              <w:jc w:val="right"/>
              <w:rPr>
                <w:rFonts w:cs="Arial"/>
                <w:sz w:val="21"/>
                <w:szCs w:val="21"/>
              </w:rPr>
            </w:pPr>
            <w:r w:rsidRPr="007F6332">
              <w:rPr>
                <w:rFonts w:cs="Arial"/>
                <w:sz w:val="21"/>
                <w:szCs w:val="21"/>
              </w:rPr>
              <w:t>1,212</w:t>
            </w:r>
          </w:p>
        </w:tc>
        <w:tc>
          <w:tcPr>
            <w:tcW w:w="947" w:type="dxa"/>
            <w:tcBorders>
              <w:top w:val="nil"/>
              <w:left w:val="nil"/>
              <w:bottom w:val="nil"/>
              <w:right w:val="nil"/>
            </w:tcBorders>
            <w:shd w:val="clear" w:color="auto" w:fill="BFBFBF" w:themeFill="background1" w:themeFillShade="BF"/>
            <w:noWrap/>
            <w:vAlign w:val="center"/>
            <w:hideMark/>
          </w:tcPr>
          <w:p w14:paraId="2A5A7E26" w14:textId="77777777" w:rsidR="00771B61" w:rsidRPr="007F6332" w:rsidRDefault="00771B61" w:rsidP="00CD33D0">
            <w:pPr>
              <w:jc w:val="right"/>
              <w:rPr>
                <w:rFonts w:cs="Arial"/>
                <w:sz w:val="21"/>
                <w:szCs w:val="21"/>
              </w:rPr>
            </w:pPr>
            <w:r w:rsidRPr="007F6332">
              <w:rPr>
                <w:rFonts w:cs="Arial"/>
                <w:sz w:val="21"/>
                <w:szCs w:val="21"/>
              </w:rPr>
              <w:t>1,282</w:t>
            </w:r>
          </w:p>
        </w:tc>
        <w:tc>
          <w:tcPr>
            <w:tcW w:w="946" w:type="dxa"/>
            <w:tcBorders>
              <w:top w:val="nil"/>
              <w:left w:val="nil"/>
              <w:bottom w:val="nil"/>
              <w:right w:val="nil"/>
            </w:tcBorders>
            <w:shd w:val="clear" w:color="auto" w:fill="BFBFBF" w:themeFill="background1" w:themeFillShade="BF"/>
            <w:noWrap/>
            <w:vAlign w:val="center"/>
            <w:hideMark/>
          </w:tcPr>
          <w:p w14:paraId="6CA64B0C" w14:textId="77777777" w:rsidR="00771B61" w:rsidRPr="007F6332" w:rsidRDefault="00771B61" w:rsidP="00CD33D0">
            <w:pPr>
              <w:jc w:val="right"/>
              <w:rPr>
                <w:rFonts w:cs="Arial"/>
                <w:sz w:val="21"/>
                <w:szCs w:val="21"/>
              </w:rPr>
            </w:pPr>
            <w:r w:rsidRPr="007F6332">
              <w:rPr>
                <w:rFonts w:cs="Arial"/>
                <w:sz w:val="21"/>
                <w:szCs w:val="21"/>
              </w:rPr>
              <w:t>1,339</w:t>
            </w:r>
          </w:p>
        </w:tc>
        <w:tc>
          <w:tcPr>
            <w:tcW w:w="947" w:type="dxa"/>
            <w:tcBorders>
              <w:top w:val="nil"/>
              <w:left w:val="nil"/>
              <w:bottom w:val="nil"/>
              <w:right w:val="nil"/>
            </w:tcBorders>
            <w:shd w:val="clear" w:color="auto" w:fill="BFBFBF" w:themeFill="background1" w:themeFillShade="BF"/>
            <w:noWrap/>
            <w:vAlign w:val="center"/>
            <w:hideMark/>
          </w:tcPr>
          <w:p w14:paraId="429A03FE" w14:textId="77777777" w:rsidR="00771B61" w:rsidRPr="007F6332" w:rsidRDefault="00771B61" w:rsidP="00CD33D0">
            <w:pPr>
              <w:jc w:val="right"/>
              <w:rPr>
                <w:rFonts w:cs="Arial"/>
                <w:sz w:val="21"/>
                <w:szCs w:val="21"/>
              </w:rPr>
            </w:pPr>
            <w:r w:rsidRPr="007F6332">
              <w:rPr>
                <w:rFonts w:cs="Arial"/>
                <w:sz w:val="21"/>
                <w:szCs w:val="21"/>
              </w:rPr>
              <w:t>1,807</w:t>
            </w:r>
          </w:p>
        </w:tc>
        <w:tc>
          <w:tcPr>
            <w:tcW w:w="947" w:type="dxa"/>
            <w:tcBorders>
              <w:top w:val="nil"/>
              <w:left w:val="nil"/>
              <w:bottom w:val="nil"/>
              <w:right w:val="nil"/>
            </w:tcBorders>
            <w:shd w:val="clear" w:color="auto" w:fill="BFBFBF" w:themeFill="background1" w:themeFillShade="BF"/>
            <w:noWrap/>
            <w:vAlign w:val="center"/>
            <w:hideMark/>
          </w:tcPr>
          <w:p w14:paraId="29981233" w14:textId="77777777" w:rsidR="00771B61" w:rsidRPr="007F6332" w:rsidRDefault="00771B61" w:rsidP="00CD33D0">
            <w:pPr>
              <w:jc w:val="right"/>
              <w:rPr>
                <w:rFonts w:cs="Arial"/>
                <w:sz w:val="21"/>
                <w:szCs w:val="21"/>
              </w:rPr>
            </w:pPr>
            <w:r w:rsidRPr="007F6332">
              <w:rPr>
                <w:rFonts w:cs="Arial"/>
                <w:sz w:val="21"/>
                <w:szCs w:val="21"/>
              </w:rPr>
              <w:t>4,954</w:t>
            </w:r>
          </w:p>
        </w:tc>
      </w:tr>
      <w:tr w:rsidR="003D58DB" w:rsidRPr="007F6332" w14:paraId="115607D2" w14:textId="77777777" w:rsidTr="003D58DB">
        <w:trPr>
          <w:trHeight w:val="227"/>
        </w:trPr>
        <w:tc>
          <w:tcPr>
            <w:tcW w:w="3762" w:type="dxa"/>
            <w:tcBorders>
              <w:top w:val="nil"/>
              <w:left w:val="nil"/>
              <w:bottom w:val="nil"/>
              <w:right w:val="nil"/>
            </w:tcBorders>
            <w:noWrap/>
            <w:vAlign w:val="center"/>
            <w:hideMark/>
          </w:tcPr>
          <w:p w14:paraId="535924B7" w14:textId="77777777" w:rsidR="00771B61" w:rsidRPr="007F6332" w:rsidRDefault="00771B61" w:rsidP="00BA3C62">
            <w:pPr>
              <w:rPr>
                <w:rFonts w:cs="Arial"/>
                <w:sz w:val="21"/>
                <w:szCs w:val="21"/>
              </w:rPr>
            </w:pPr>
            <w:r w:rsidRPr="007F6332">
              <w:rPr>
                <w:rFonts w:cs="Arial"/>
                <w:b/>
                <w:bCs/>
                <w:sz w:val="21"/>
                <w:szCs w:val="21"/>
              </w:rPr>
              <w:t>June 2023 projections</w:t>
            </w:r>
            <w:r w:rsidRPr="007F6332">
              <w:rPr>
                <w:rFonts w:cs="Arial"/>
                <w:sz w:val="21"/>
                <w:szCs w:val="21"/>
              </w:rPr>
              <w:t xml:space="preserve"> Capacity Building </w:t>
            </w:r>
          </w:p>
        </w:tc>
        <w:tc>
          <w:tcPr>
            <w:tcW w:w="946" w:type="dxa"/>
            <w:tcBorders>
              <w:top w:val="nil"/>
              <w:left w:val="nil"/>
              <w:bottom w:val="nil"/>
              <w:right w:val="nil"/>
            </w:tcBorders>
            <w:noWrap/>
            <w:vAlign w:val="center"/>
            <w:hideMark/>
          </w:tcPr>
          <w:p w14:paraId="1DE25766" w14:textId="77777777" w:rsidR="00771B61" w:rsidRPr="007F6332" w:rsidRDefault="00771B61" w:rsidP="00CD33D0">
            <w:pPr>
              <w:jc w:val="right"/>
              <w:rPr>
                <w:rFonts w:cs="Arial"/>
                <w:sz w:val="21"/>
                <w:szCs w:val="21"/>
              </w:rPr>
            </w:pPr>
            <w:r w:rsidRPr="007F6332">
              <w:rPr>
                <w:rFonts w:cs="Arial"/>
                <w:sz w:val="21"/>
                <w:szCs w:val="21"/>
              </w:rPr>
              <w:t>6,898</w:t>
            </w:r>
          </w:p>
        </w:tc>
        <w:tc>
          <w:tcPr>
            <w:tcW w:w="947" w:type="dxa"/>
            <w:tcBorders>
              <w:top w:val="nil"/>
              <w:left w:val="nil"/>
              <w:bottom w:val="nil"/>
              <w:right w:val="nil"/>
            </w:tcBorders>
            <w:noWrap/>
            <w:vAlign w:val="center"/>
            <w:hideMark/>
          </w:tcPr>
          <w:p w14:paraId="0F3FB282" w14:textId="77777777" w:rsidR="00771B61" w:rsidRPr="007F6332" w:rsidRDefault="00771B61" w:rsidP="00CD33D0">
            <w:pPr>
              <w:jc w:val="right"/>
              <w:rPr>
                <w:rFonts w:cs="Arial"/>
                <w:sz w:val="21"/>
                <w:szCs w:val="21"/>
              </w:rPr>
            </w:pPr>
            <w:r w:rsidRPr="007F6332">
              <w:rPr>
                <w:rFonts w:cs="Arial"/>
                <w:sz w:val="21"/>
                <w:szCs w:val="21"/>
              </w:rPr>
              <w:t>7,449</w:t>
            </w:r>
          </w:p>
        </w:tc>
        <w:tc>
          <w:tcPr>
            <w:tcW w:w="947" w:type="dxa"/>
            <w:tcBorders>
              <w:top w:val="nil"/>
              <w:left w:val="nil"/>
              <w:bottom w:val="nil"/>
              <w:right w:val="nil"/>
            </w:tcBorders>
            <w:noWrap/>
            <w:vAlign w:val="center"/>
            <w:hideMark/>
          </w:tcPr>
          <w:p w14:paraId="19AFDF86" w14:textId="77777777" w:rsidR="00771B61" w:rsidRPr="007F6332" w:rsidRDefault="00771B61" w:rsidP="00CD33D0">
            <w:pPr>
              <w:jc w:val="right"/>
              <w:rPr>
                <w:rFonts w:cs="Arial"/>
                <w:sz w:val="21"/>
                <w:szCs w:val="21"/>
              </w:rPr>
            </w:pPr>
            <w:r w:rsidRPr="007F6332">
              <w:rPr>
                <w:rFonts w:cs="Arial"/>
                <w:sz w:val="21"/>
                <w:szCs w:val="21"/>
              </w:rPr>
              <w:t>7,555</w:t>
            </w:r>
          </w:p>
        </w:tc>
        <w:tc>
          <w:tcPr>
            <w:tcW w:w="946" w:type="dxa"/>
            <w:tcBorders>
              <w:top w:val="nil"/>
              <w:left w:val="nil"/>
              <w:bottom w:val="nil"/>
              <w:right w:val="nil"/>
            </w:tcBorders>
            <w:noWrap/>
            <w:vAlign w:val="center"/>
            <w:hideMark/>
          </w:tcPr>
          <w:p w14:paraId="0B1ED74C" w14:textId="77777777" w:rsidR="00771B61" w:rsidRPr="007F6332" w:rsidRDefault="00771B61" w:rsidP="00CD33D0">
            <w:pPr>
              <w:jc w:val="right"/>
              <w:rPr>
                <w:rFonts w:cs="Arial"/>
                <w:sz w:val="21"/>
                <w:szCs w:val="21"/>
              </w:rPr>
            </w:pPr>
            <w:r w:rsidRPr="007F6332">
              <w:rPr>
                <w:rFonts w:cs="Arial"/>
                <w:sz w:val="21"/>
                <w:szCs w:val="21"/>
              </w:rPr>
              <w:t>8,119</w:t>
            </w:r>
          </w:p>
        </w:tc>
        <w:tc>
          <w:tcPr>
            <w:tcW w:w="947" w:type="dxa"/>
            <w:tcBorders>
              <w:top w:val="nil"/>
              <w:left w:val="nil"/>
              <w:bottom w:val="nil"/>
              <w:right w:val="nil"/>
            </w:tcBorders>
            <w:noWrap/>
            <w:vAlign w:val="center"/>
            <w:hideMark/>
          </w:tcPr>
          <w:p w14:paraId="39363A41" w14:textId="77777777" w:rsidR="00771B61" w:rsidRPr="007F6332" w:rsidRDefault="00771B61" w:rsidP="00CD33D0">
            <w:pPr>
              <w:jc w:val="right"/>
              <w:rPr>
                <w:rFonts w:cs="Arial"/>
                <w:sz w:val="21"/>
                <w:szCs w:val="21"/>
              </w:rPr>
            </w:pPr>
            <w:r w:rsidRPr="007F6332">
              <w:rPr>
                <w:rFonts w:cs="Arial"/>
                <w:sz w:val="21"/>
                <w:szCs w:val="21"/>
              </w:rPr>
              <w:t>12,548</w:t>
            </w:r>
          </w:p>
        </w:tc>
        <w:tc>
          <w:tcPr>
            <w:tcW w:w="947" w:type="dxa"/>
            <w:tcBorders>
              <w:top w:val="nil"/>
              <w:left w:val="nil"/>
              <w:bottom w:val="nil"/>
              <w:right w:val="nil"/>
            </w:tcBorders>
            <w:noWrap/>
            <w:vAlign w:val="center"/>
            <w:hideMark/>
          </w:tcPr>
          <w:p w14:paraId="70659991" w14:textId="77777777" w:rsidR="00771B61" w:rsidRPr="007F6332" w:rsidRDefault="00771B61" w:rsidP="00CD33D0">
            <w:pPr>
              <w:jc w:val="right"/>
              <w:rPr>
                <w:rFonts w:cs="Arial"/>
                <w:sz w:val="21"/>
                <w:szCs w:val="21"/>
              </w:rPr>
            </w:pPr>
            <w:r w:rsidRPr="007F6332">
              <w:rPr>
                <w:rFonts w:cs="Arial"/>
                <w:sz w:val="21"/>
                <w:szCs w:val="21"/>
              </w:rPr>
              <w:t>30,021</w:t>
            </w:r>
          </w:p>
        </w:tc>
      </w:tr>
      <w:tr w:rsidR="003D58DB" w:rsidRPr="007F6332" w14:paraId="79A38DDB" w14:textId="77777777" w:rsidTr="00CD33D0">
        <w:trPr>
          <w:trHeight w:val="227"/>
        </w:trPr>
        <w:tc>
          <w:tcPr>
            <w:tcW w:w="3762" w:type="dxa"/>
            <w:tcBorders>
              <w:top w:val="nil"/>
              <w:left w:val="nil"/>
              <w:bottom w:val="nil"/>
              <w:right w:val="nil"/>
            </w:tcBorders>
            <w:shd w:val="clear" w:color="auto" w:fill="B499B7"/>
            <w:noWrap/>
            <w:vAlign w:val="center"/>
            <w:hideMark/>
          </w:tcPr>
          <w:p w14:paraId="02FD8C49" w14:textId="01C2CF31" w:rsidR="00771B61" w:rsidRPr="007F6332" w:rsidRDefault="00771B61" w:rsidP="00BA3C62">
            <w:pPr>
              <w:rPr>
                <w:rFonts w:cs="Arial"/>
                <w:b/>
                <w:bCs/>
                <w:sz w:val="21"/>
                <w:szCs w:val="21"/>
              </w:rPr>
            </w:pPr>
            <w:r w:rsidRPr="007F6332">
              <w:rPr>
                <w:rFonts w:cs="Arial"/>
                <w:b/>
                <w:bCs/>
                <w:sz w:val="21"/>
                <w:szCs w:val="21"/>
              </w:rPr>
              <w:t>Total</w:t>
            </w:r>
            <w:r w:rsidR="003D58DB" w:rsidRPr="007F6332">
              <w:rPr>
                <w:rFonts w:cs="Arial"/>
                <w:b/>
                <w:bCs/>
                <w:sz w:val="21"/>
                <w:szCs w:val="21"/>
              </w:rPr>
              <w:t xml:space="preserve"> June 2023 projections</w:t>
            </w:r>
          </w:p>
        </w:tc>
        <w:tc>
          <w:tcPr>
            <w:tcW w:w="946" w:type="dxa"/>
            <w:tcBorders>
              <w:top w:val="nil"/>
              <w:left w:val="nil"/>
              <w:bottom w:val="nil"/>
              <w:right w:val="nil"/>
            </w:tcBorders>
            <w:shd w:val="clear" w:color="auto" w:fill="B499B7"/>
            <w:noWrap/>
            <w:vAlign w:val="center"/>
            <w:hideMark/>
          </w:tcPr>
          <w:p w14:paraId="53FB7F9F" w14:textId="77777777" w:rsidR="00771B61" w:rsidRPr="007F6332" w:rsidRDefault="00771B61" w:rsidP="00CD33D0">
            <w:pPr>
              <w:jc w:val="right"/>
              <w:rPr>
                <w:rFonts w:cs="Arial"/>
                <w:b/>
                <w:bCs/>
                <w:sz w:val="21"/>
                <w:szCs w:val="21"/>
              </w:rPr>
            </w:pPr>
            <w:r w:rsidRPr="007F6332">
              <w:rPr>
                <w:rFonts w:cs="Arial"/>
                <w:b/>
                <w:bCs/>
                <w:sz w:val="21"/>
                <w:szCs w:val="21"/>
              </w:rPr>
              <w:t>40,914</w:t>
            </w:r>
          </w:p>
        </w:tc>
        <w:tc>
          <w:tcPr>
            <w:tcW w:w="947" w:type="dxa"/>
            <w:tcBorders>
              <w:top w:val="nil"/>
              <w:left w:val="nil"/>
              <w:bottom w:val="nil"/>
              <w:right w:val="nil"/>
            </w:tcBorders>
            <w:shd w:val="clear" w:color="auto" w:fill="B499B7"/>
            <w:noWrap/>
            <w:vAlign w:val="center"/>
            <w:hideMark/>
          </w:tcPr>
          <w:p w14:paraId="725BCBF4" w14:textId="77777777" w:rsidR="00771B61" w:rsidRPr="007F6332" w:rsidRDefault="00771B61" w:rsidP="00CD33D0">
            <w:pPr>
              <w:jc w:val="right"/>
              <w:rPr>
                <w:rFonts w:cs="Arial"/>
                <w:b/>
                <w:bCs/>
                <w:sz w:val="21"/>
                <w:szCs w:val="21"/>
              </w:rPr>
            </w:pPr>
            <w:r w:rsidRPr="007F6332">
              <w:rPr>
                <w:rFonts w:cs="Arial"/>
                <w:b/>
                <w:bCs/>
                <w:sz w:val="21"/>
                <w:szCs w:val="21"/>
              </w:rPr>
              <w:t>45,875</w:t>
            </w:r>
          </w:p>
        </w:tc>
        <w:tc>
          <w:tcPr>
            <w:tcW w:w="947" w:type="dxa"/>
            <w:tcBorders>
              <w:top w:val="nil"/>
              <w:left w:val="nil"/>
              <w:bottom w:val="nil"/>
              <w:right w:val="nil"/>
            </w:tcBorders>
            <w:shd w:val="clear" w:color="auto" w:fill="B499B7"/>
            <w:noWrap/>
            <w:vAlign w:val="center"/>
            <w:hideMark/>
          </w:tcPr>
          <w:p w14:paraId="46AC54A3" w14:textId="77777777" w:rsidR="00771B61" w:rsidRPr="007F6332" w:rsidRDefault="00771B61" w:rsidP="00CD33D0">
            <w:pPr>
              <w:ind w:right="-101"/>
              <w:jc w:val="right"/>
              <w:rPr>
                <w:rFonts w:cs="Arial"/>
                <w:b/>
                <w:bCs/>
                <w:sz w:val="21"/>
                <w:szCs w:val="21"/>
              </w:rPr>
            </w:pPr>
            <w:r w:rsidRPr="007F6332">
              <w:rPr>
                <w:rFonts w:cs="Arial"/>
                <w:b/>
                <w:bCs/>
                <w:sz w:val="21"/>
                <w:szCs w:val="21"/>
              </w:rPr>
              <w:t>50,239</w:t>
            </w:r>
          </w:p>
        </w:tc>
        <w:tc>
          <w:tcPr>
            <w:tcW w:w="946" w:type="dxa"/>
            <w:tcBorders>
              <w:top w:val="nil"/>
              <w:left w:val="nil"/>
              <w:bottom w:val="nil"/>
              <w:right w:val="nil"/>
            </w:tcBorders>
            <w:shd w:val="clear" w:color="auto" w:fill="B499B7"/>
            <w:noWrap/>
            <w:vAlign w:val="center"/>
            <w:hideMark/>
          </w:tcPr>
          <w:p w14:paraId="5C37DAF0" w14:textId="77777777" w:rsidR="00771B61" w:rsidRPr="007F6332" w:rsidRDefault="00771B61" w:rsidP="00CD33D0">
            <w:pPr>
              <w:jc w:val="right"/>
              <w:rPr>
                <w:rFonts w:cs="Arial"/>
                <w:b/>
                <w:bCs/>
                <w:sz w:val="21"/>
                <w:szCs w:val="21"/>
              </w:rPr>
            </w:pPr>
            <w:r w:rsidRPr="007F6332">
              <w:rPr>
                <w:rFonts w:cs="Arial"/>
                <w:b/>
                <w:bCs/>
                <w:sz w:val="21"/>
                <w:szCs w:val="21"/>
              </w:rPr>
              <w:t>54,609</w:t>
            </w:r>
          </w:p>
        </w:tc>
        <w:tc>
          <w:tcPr>
            <w:tcW w:w="947" w:type="dxa"/>
            <w:tcBorders>
              <w:top w:val="nil"/>
              <w:left w:val="nil"/>
              <w:bottom w:val="nil"/>
              <w:right w:val="nil"/>
            </w:tcBorders>
            <w:shd w:val="clear" w:color="auto" w:fill="B499B7"/>
            <w:noWrap/>
            <w:vAlign w:val="center"/>
            <w:hideMark/>
          </w:tcPr>
          <w:p w14:paraId="65D70E57" w14:textId="77777777" w:rsidR="00771B61" w:rsidRPr="007F6332" w:rsidRDefault="00771B61" w:rsidP="00CD33D0">
            <w:pPr>
              <w:jc w:val="right"/>
              <w:rPr>
                <w:rFonts w:cs="Arial"/>
                <w:b/>
                <w:bCs/>
                <w:sz w:val="21"/>
                <w:szCs w:val="21"/>
              </w:rPr>
            </w:pPr>
            <w:r w:rsidRPr="007F6332">
              <w:rPr>
                <w:rFonts w:cs="Arial"/>
                <w:b/>
                <w:bCs/>
                <w:sz w:val="21"/>
                <w:szCs w:val="21"/>
              </w:rPr>
              <w:t>91,322</w:t>
            </w:r>
          </w:p>
        </w:tc>
        <w:tc>
          <w:tcPr>
            <w:tcW w:w="947" w:type="dxa"/>
            <w:tcBorders>
              <w:top w:val="nil"/>
              <w:left w:val="nil"/>
              <w:bottom w:val="nil"/>
              <w:right w:val="nil"/>
            </w:tcBorders>
            <w:shd w:val="clear" w:color="auto" w:fill="B499B7"/>
            <w:noWrap/>
            <w:vAlign w:val="center"/>
            <w:hideMark/>
          </w:tcPr>
          <w:p w14:paraId="064E01B1" w14:textId="77777777" w:rsidR="00771B61" w:rsidRPr="007F6332" w:rsidRDefault="00771B61" w:rsidP="00CD33D0">
            <w:pPr>
              <w:ind w:right="-132"/>
              <w:jc w:val="right"/>
              <w:rPr>
                <w:rFonts w:cs="Arial"/>
                <w:b/>
                <w:bCs/>
                <w:sz w:val="21"/>
                <w:szCs w:val="21"/>
              </w:rPr>
            </w:pPr>
            <w:r w:rsidRPr="007F6332">
              <w:rPr>
                <w:rFonts w:cs="Arial"/>
                <w:b/>
                <w:bCs/>
                <w:sz w:val="21"/>
                <w:szCs w:val="21"/>
              </w:rPr>
              <w:t>191,638</w:t>
            </w:r>
          </w:p>
        </w:tc>
      </w:tr>
      <w:tr w:rsidR="003D58DB" w:rsidRPr="007F6332" w14:paraId="6A0DC990"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1286115C" w14:textId="77777777" w:rsidR="00771B61" w:rsidRPr="007F6332" w:rsidRDefault="00771B61" w:rsidP="00BA3C62">
            <w:pPr>
              <w:rPr>
                <w:rFonts w:cs="Arial"/>
                <w:sz w:val="21"/>
                <w:szCs w:val="21"/>
              </w:rPr>
            </w:pPr>
            <w:r w:rsidRPr="007F6332">
              <w:rPr>
                <w:rFonts w:cs="Arial"/>
                <w:b/>
                <w:bCs/>
                <w:sz w:val="21"/>
                <w:szCs w:val="21"/>
              </w:rPr>
              <w:t>June 2022 projections</w:t>
            </w:r>
            <w:r w:rsidRPr="007F6332">
              <w:rPr>
                <w:rFonts w:cs="Arial"/>
                <w:sz w:val="21"/>
                <w:szCs w:val="21"/>
              </w:rPr>
              <w:t xml:space="preserve"> Core Daily Activities</w:t>
            </w:r>
          </w:p>
        </w:tc>
        <w:tc>
          <w:tcPr>
            <w:tcW w:w="946" w:type="dxa"/>
            <w:tcBorders>
              <w:top w:val="nil"/>
              <w:left w:val="nil"/>
              <w:bottom w:val="nil"/>
              <w:right w:val="nil"/>
            </w:tcBorders>
            <w:shd w:val="clear" w:color="auto" w:fill="BFBFBF" w:themeFill="background1" w:themeFillShade="BF"/>
            <w:noWrap/>
            <w:vAlign w:val="center"/>
            <w:hideMark/>
          </w:tcPr>
          <w:p w14:paraId="3C54A135" w14:textId="77777777" w:rsidR="00771B61" w:rsidRPr="007F6332" w:rsidRDefault="00771B61" w:rsidP="00CD33D0">
            <w:pPr>
              <w:jc w:val="right"/>
              <w:rPr>
                <w:rFonts w:cs="Arial"/>
                <w:sz w:val="21"/>
                <w:szCs w:val="21"/>
              </w:rPr>
            </w:pPr>
            <w:r w:rsidRPr="007F6332">
              <w:rPr>
                <w:rFonts w:cs="Arial"/>
                <w:sz w:val="21"/>
                <w:szCs w:val="21"/>
              </w:rPr>
              <w:t>20,527</w:t>
            </w:r>
          </w:p>
        </w:tc>
        <w:tc>
          <w:tcPr>
            <w:tcW w:w="947" w:type="dxa"/>
            <w:tcBorders>
              <w:top w:val="nil"/>
              <w:left w:val="nil"/>
              <w:bottom w:val="nil"/>
              <w:right w:val="nil"/>
            </w:tcBorders>
            <w:shd w:val="clear" w:color="auto" w:fill="BFBFBF" w:themeFill="background1" w:themeFillShade="BF"/>
            <w:noWrap/>
            <w:vAlign w:val="center"/>
            <w:hideMark/>
          </w:tcPr>
          <w:p w14:paraId="15B93D3B" w14:textId="77777777" w:rsidR="00771B61" w:rsidRPr="007F6332" w:rsidRDefault="00771B61" w:rsidP="00CD33D0">
            <w:pPr>
              <w:jc w:val="right"/>
              <w:rPr>
                <w:rFonts w:cs="Arial"/>
                <w:sz w:val="21"/>
                <w:szCs w:val="21"/>
              </w:rPr>
            </w:pPr>
            <w:r w:rsidRPr="007F6332">
              <w:rPr>
                <w:rFonts w:cs="Arial"/>
                <w:sz w:val="21"/>
                <w:szCs w:val="21"/>
              </w:rPr>
              <w:t>23,625</w:t>
            </w:r>
          </w:p>
        </w:tc>
        <w:tc>
          <w:tcPr>
            <w:tcW w:w="947" w:type="dxa"/>
            <w:tcBorders>
              <w:top w:val="nil"/>
              <w:left w:val="nil"/>
              <w:bottom w:val="nil"/>
              <w:right w:val="nil"/>
            </w:tcBorders>
            <w:shd w:val="clear" w:color="auto" w:fill="BFBFBF" w:themeFill="background1" w:themeFillShade="BF"/>
            <w:noWrap/>
            <w:vAlign w:val="center"/>
            <w:hideMark/>
          </w:tcPr>
          <w:p w14:paraId="7E6EC524" w14:textId="77777777" w:rsidR="00771B61" w:rsidRPr="007F6332" w:rsidRDefault="00771B61" w:rsidP="00CD33D0">
            <w:pPr>
              <w:ind w:right="-101"/>
              <w:jc w:val="right"/>
              <w:rPr>
                <w:rFonts w:cs="Arial"/>
                <w:sz w:val="21"/>
                <w:szCs w:val="21"/>
              </w:rPr>
            </w:pPr>
            <w:r w:rsidRPr="007F6332">
              <w:rPr>
                <w:rFonts w:cs="Arial"/>
                <w:sz w:val="21"/>
                <w:szCs w:val="21"/>
              </w:rPr>
              <w:t>26,885</w:t>
            </w:r>
          </w:p>
        </w:tc>
        <w:tc>
          <w:tcPr>
            <w:tcW w:w="946" w:type="dxa"/>
            <w:tcBorders>
              <w:top w:val="nil"/>
              <w:left w:val="nil"/>
              <w:bottom w:val="nil"/>
              <w:right w:val="nil"/>
            </w:tcBorders>
            <w:shd w:val="clear" w:color="auto" w:fill="BFBFBF" w:themeFill="background1" w:themeFillShade="BF"/>
            <w:noWrap/>
            <w:vAlign w:val="center"/>
            <w:hideMark/>
          </w:tcPr>
          <w:p w14:paraId="7A8DE591" w14:textId="77777777" w:rsidR="00771B61" w:rsidRPr="007F6332" w:rsidRDefault="00771B61" w:rsidP="00CD33D0">
            <w:pPr>
              <w:jc w:val="right"/>
              <w:rPr>
                <w:rFonts w:cs="Arial"/>
                <w:sz w:val="21"/>
                <w:szCs w:val="21"/>
              </w:rPr>
            </w:pPr>
            <w:r w:rsidRPr="007F6332">
              <w:rPr>
                <w:rFonts w:cs="Arial"/>
                <w:sz w:val="21"/>
                <w:szCs w:val="21"/>
              </w:rPr>
              <w:t>29,564</w:t>
            </w:r>
          </w:p>
        </w:tc>
        <w:tc>
          <w:tcPr>
            <w:tcW w:w="947" w:type="dxa"/>
            <w:tcBorders>
              <w:top w:val="nil"/>
              <w:left w:val="nil"/>
              <w:bottom w:val="nil"/>
              <w:right w:val="nil"/>
            </w:tcBorders>
            <w:shd w:val="clear" w:color="auto" w:fill="BFBFBF" w:themeFill="background1" w:themeFillShade="BF"/>
            <w:noWrap/>
            <w:vAlign w:val="center"/>
            <w:hideMark/>
          </w:tcPr>
          <w:p w14:paraId="30ACF6AB" w14:textId="77777777" w:rsidR="00771B61" w:rsidRPr="007F6332" w:rsidRDefault="00771B61" w:rsidP="00CD33D0">
            <w:pPr>
              <w:jc w:val="right"/>
              <w:rPr>
                <w:rFonts w:cs="Arial"/>
                <w:sz w:val="21"/>
                <w:szCs w:val="21"/>
              </w:rPr>
            </w:pPr>
            <w:r w:rsidRPr="007F6332">
              <w:rPr>
                <w:rFonts w:cs="Arial"/>
                <w:sz w:val="21"/>
                <w:szCs w:val="21"/>
              </w:rPr>
              <w:t>50,897</w:t>
            </w:r>
          </w:p>
        </w:tc>
        <w:tc>
          <w:tcPr>
            <w:tcW w:w="947" w:type="dxa"/>
            <w:tcBorders>
              <w:top w:val="nil"/>
              <w:left w:val="nil"/>
              <w:bottom w:val="nil"/>
              <w:right w:val="nil"/>
            </w:tcBorders>
            <w:shd w:val="clear" w:color="auto" w:fill="BFBFBF" w:themeFill="background1" w:themeFillShade="BF"/>
            <w:noWrap/>
            <w:vAlign w:val="center"/>
            <w:hideMark/>
          </w:tcPr>
          <w:p w14:paraId="767FD5DC" w14:textId="77777777" w:rsidR="00771B61" w:rsidRPr="007F6332" w:rsidRDefault="00771B61" w:rsidP="00CD33D0">
            <w:pPr>
              <w:ind w:right="-132"/>
              <w:jc w:val="right"/>
              <w:rPr>
                <w:rFonts w:cs="Arial"/>
                <w:sz w:val="21"/>
                <w:szCs w:val="21"/>
              </w:rPr>
            </w:pPr>
            <w:r w:rsidRPr="007F6332">
              <w:rPr>
                <w:rFonts w:cs="Arial"/>
                <w:sz w:val="21"/>
                <w:szCs w:val="21"/>
              </w:rPr>
              <w:t>100,601</w:t>
            </w:r>
          </w:p>
        </w:tc>
      </w:tr>
      <w:tr w:rsidR="003D58DB" w:rsidRPr="007F6332" w14:paraId="41643ED6" w14:textId="77777777" w:rsidTr="003D58DB">
        <w:trPr>
          <w:trHeight w:val="227"/>
        </w:trPr>
        <w:tc>
          <w:tcPr>
            <w:tcW w:w="3762" w:type="dxa"/>
            <w:tcBorders>
              <w:top w:val="nil"/>
              <w:left w:val="nil"/>
              <w:bottom w:val="nil"/>
              <w:right w:val="nil"/>
            </w:tcBorders>
            <w:noWrap/>
            <w:vAlign w:val="center"/>
            <w:hideMark/>
          </w:tcPr>
          <w:p w14:paraId="217C263C" w14:textId="77777777" w:rsidR="00771B61" w:rsidRPr="007F6332" w:rsidRDefault="00771B61" w:rsidP="00BA3C62">
            <w:pPr>
              <w:rPr>
                <w:rFonts w:cs="Arial"/>
                <w:sz w:val="21"/>
                <w:szCs w:val="21"/>
              </w:rPr>
            </w:pPr>
            <w:r w:rsidRPr="007F6332">
              <w:rPr>
                <w:rFonts w:cs="Arial"/>
                <w:b/>
                <w:bCs/>
                <w:sz w:val="21"/>
                <w:szCs w:val="21"/>
              </w:rPr>
              <w:t>June 2022 projections</w:t>
            </w:r>
            <w:r w:rsidRPr="007F6332">
              <w:rPr>
                <w:rFonts w:cs="Arial"/>
                <w:sz w:val="21"/>
                <w:szCs w:val="21"/>
              </w:rPr>
              <w:t xml:space="preserve"> Core Social Community Civic</w:t>
            </w:r>
          </w:p>
        </w:tc>
        <w:tc>
          <w:tcPr>
            <w:tcW w:w="946" w:type="dxa"/>
            <w:tcBorders>
              <w:top w:val="nil"/>
              <w:left w:val="nil"/>
              <w:bottom w:val="nil"/>
              <w:right w:val="nil"/>
            </w:tcBorders>
            <w:noWrap/>
            <w:vAlign w:val="center"/>
            <w:hideMark/>
          </w:tcPr>
          <w:p w14:paraId="32D39D78" w14:textId="77777777" w:rsidR="00771B61" w:rsidRPr="007F6332" w:rsidRDefault="00771B61" w:rsidP="00CD33D0">
            <w:pPr>
              <w:jc w:val="right"/>
              <w:rPr>
                <w:rFonts w:cs="Arial"/>
                <w:sz w:val="21"/>
                <w:szCs w:val="21"/>
              </w:rPr>
            </w:pPr>
            <w:r w:rsidRPr="007F6332">
              <w:rPr>
                <w:rFonts w:cs="Arial"/>
                <w:sz w:val="21"/>
                <w:szCs w:val="21"/>
              </w:rPr>
              <w:t>7,192</w:t>
            </w:r>
          </w:p>
        </w:tc>
        <w:tc>
          <w:tcPr>
            <w:tcW w:w="947" w:type="dxa"/>
            <w:tcBorders>
              <w:top w:val="nil"/>
              <w:left w:val="nil"/>
              <w:bottom w:val="nil"/>
              <w:right w:val="nil"/>
            </w:tcBorders>
            <w:noWrap/>
            <w:vAlign w:val="center"/>
            <w:hideMark/>
          </w:tcPr>
          <w:p w14:paraId="7B4CDDFB" w14:textId="77777777" w:rsidR="00771B61" w:rsidRPr="007F6332" w:rsidRDefault="00771B61" w:rsidP="00CD33D0">
            <w:pPr>
              <w:jc w:val="right"/>
              <w:rPr>
                <w:rFonts w:cs="Arial"/>
                <w:sz w:val="21"/>
                <w:szCs w:val="21"/>
              </w:rPr>
            </w:pPr>
            <w:r w:rsidRPr="007F6332">
              <w:rPr>
                <w:rFonts w:cs="Arial"/>
                <w:sz w:val="21"/>
                <w:szCs w:val="21"/>
              </w:rPr>
              <w:t>8,433</w:t>
            </w:r>
          </w:p>
        </w:tc>
        <w:tc>
          <w:tcPr>
            <w:tcW w:w="947" w:type="dxa"/>
            <w:tcBorders>
              <w:top w:val="nil"/>
              <w:left w:val="nil"/>
              <w:bottom w:val="nil"/>
              <w:right w:val="nil"/>
            </w:tcBorders>
            <w:noWrap/>
            <w:vAlign w:val="center"/>
            <w:hideMark/>
          </w:tcPr>
          <w:p w14:paraId="4EECDAC5" w14:textId="77777777" w:rsidR="00771B61" w:rsidRPr="007F6332" w:rsidRDefault="00771B61" w:rsidP="00CD33D0">
            <w:pPr>
              <w:jc w:val="right"/>
              <w:rPr>
                <w:rFonts w:cs="Arial"/>
                <w:sz w:val="21"/>
                <w:szCs w:val="21"/>
              </w:rPr>
            </w:pPr>
            <w:r w:rsidRPr="007F6332">
              <w:rPr>
                <w:rFonts w:cs="Arial"/>
                <w:sz w:val="21"/>
                <w:szCs w:val="21"/>
              </w:rPr>
              <w:t>9,779</w:t>
            </w:r>
          </w:p>
        </w:tc>
        <w:tc>
          <w:tcPr>
            <w:tcW w:w="946" w:type="dxa"/>
            <w:tcBorders>
              <w:top w:val="nil"/>
              <w:left w:val="nil"/>
              <w:bottom w:val="nil"/>
              <w:right w:val="nil"/>
            </w:tcBorders>
            <w:noWrap/>
            <w:vAlign w:val="center"/>
            <w:hideMark/>
          </w:tcPr>
          <w:p w14:paraId="6F91A9AE" w14:textId="77777777" w:rsidR="00771B61" w:rsidRPr="007F6332" w:rsidRDefault="00771B61" w:rsidP="00CD33D0">
            <w:pPr>
              <w:jc w:val="right"/>
              <w:rPr>
                <w:rFonts w:cs="Arial"/>
                <w:sz w:val="21"/>
                <w:szCs w:val="21"/>
              </w:rPr>
            </w:pPr>
            <w:r w:rsidRPr="007F6332">
              <w:rPr>
                <w:rFonts w:cs="Arial"/>
                <w:sz w:val="21"/>
                <w:szCs w:val="21"/>
              </w:rPr>
              <w:t>10,941</w:t>
            </w:r>
          </w:p>
        </w:tc>
        <w:tc>
          <w:tcPr>
            <w:tcW w:w="947" w:type="dxa"/>
            <w:tcBorders>
              <w:top w:val="nil"/>
              <w:left w:val="nil"/>
              <w:bottom w:val="nil"/>
              <w:right w:val="nil"/>
            </w:tcBorders>
            <w:noWrap/>
            <w:vAlign w:val="center"/>
            <w:hideMark/>
          </w:tcPr>
          <w:p w14:paraId="42276A8D" w14:textId="77777777" w:rsidR="00771B61" w:rsidRPr="007F6332" w:rsidRDefault="00771B61" w:rsidP="00CD33D0">
            <w:pPr>
              <w:jc w:val="right"/>
              <w:rPr>
                <w:rFonts w:cs="Arial"/>
                <w:sz w:val="21"/>
                <w:szCs w:val="21"/>
              </w:rPr>
            </w:pPr>
            <w:r w:rsidRPr="007F6332">
              <w:rPr>
                <w:rFonts w:cs="Arial"/>
                <w:sz w:val="21"/>
                <w:szCs w:val="21"/>
              </w:rPr>
              <w:t>21,166</w:t>
            </w:r>
          </w:p>
        </w:tc>
        <w:tc>
          <w:tcPr>
            <w:tcW w:w="947" w:type="dxa"/>
            <w:tcBorders>
              <w:top w:val="nil"/>
              <w:left w:val="nil"/>
              <w:bottom w:val="nil"/>
              <w:right w:val="nil"/>
            </w:tcBorders>
            <w:noWrap/>
            <w:vAlign w:val="center"/>
            <w:hideMark/>
          </w:tcPr>
          <w:p w14:paraId="7D2F8440" w14:textId="77777777" w:rsidR="00771B61" w:rsidRPr="007F6332" w:rsidRDefault="00771B61" w:rsidP="00CD33D0">
            <w:pPr>
              <w:jc w:val="right"/>
              <w:rPr>
                <w:rFonts w:cs="Arial"/>
                <w:sz w:val="21"/>
                <w:szCs w:val="21"/>
              </w:rPr>
            </w:pPr>
            <w:r w:rsidRPr="007F6332">
              <w:rPr>
                <w:rFonts w:cs="Arial"/>
                <w:sz w:val="21"/>
                <w:szCs w:val="21"/>
              </w:rPr>
              <w:t>36,345</w:t>
            </w:r>
          </w:p>
        </w:tc>
      </w:tr>
      <w:tr w:rsidR="003D58DB" w:rsidRPr="007F6332" w14:paraId="2AF941A1"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28CA4417" w14:textId="77777777" w:rsidR="00771B61" w:rsidRPr="007F6332" w:rsidRDefault="00771B61" w:rsidP="00BA3C62">
            <w:pPr>
              <w:rPr>
                <w:rFonts w:cs="Arial"/>
                <w:sz w:val="21"/>
                <w:szCs w:val="21"/>
              </w:rPr>
            </w:pPr>
            <w:r w:rsidRPr="007F6332">
              <w:rPr>
                <w:rFonts w:cs="Arial"/>
                <w:b/>
                <w:bCs/>
                <w:sz w:val="21"/>
                <w:szCs w:val="21"/>
              </w:rPr>
              <w:t>June 2022 projections</w:t>
            </w:r>
            <w:r w:rsidRPr="007F6332">
              <w:rPr>
                <w:rFonts w:cs="Arial"/>
                <w:sz w:val="21"/>
                <w:szCs w:val="21"/>
              </w:rPr>
              <w:t xml:space="preserve"> Core Transport</w:t>
            </w:r>
          </w:p>
        </w:tc>
        <w:tc>
          <w:tcPr>
            <w:tcW w:w="946" w:type="dxa"/>
            <w:tcBorders>
              <w:top w:val="nil"/>
              <w:left w:val="nil"/>
              <w:bottom w:val="nil"/>
              <w:right w:val="nil"/>
            </w:tcBorders>
            <w:shd w:val="clear" w:color="auto" w:fill="BFBFBF" w:themeFill="background1" w:themeFillShade="BF"/>
            <w:noWrap/>
            <w:vAlign w:val="center"/>
            <w:hideMark/>
          </w:tcPr>
          <w:p w14:paraId="72A3001E" w14:textId="77777777" w:rsidR="00771B61" w:rsidRPr="007F6332" w:rsidRDefault="00771B61" w:rsidP="00CD33D0">
            <w:pPr>
              <w:jc w:val="right"/>
              <w:rPr>
                <w:rFonts w:cs="Arial"/>
                <w:sz w:val="21"/>
                <w:szCs w:val="21"/>
              </w:rPr>
            </w:pPr>
            <w:r w:rsidRPr="007F6332">
              <w:rPr>
                <w:rFonts w:cs="Arial"/>
                <w:sz w:val="21"/>
                <w:szCs w:val="21"/>
              </w:rPr>
              <w:t>1,166</w:t>
            </w:r>
          </w:p>
        </w:tc>
        <w:tc>
          <w:tcPr>
            <w:tcW w:w="947" w:type="dxa"/>
            <w:tcBorders>
              <w:top w:val="nil"/>
              <w:left w:val="nil"/>
              <w:bottom w:val="nil"/>
              <w:right w:val="nil"/>
            </w:tcBorders>
            <w:shd w:val="clear" w:color="auto" w:fill="BFBFBF" w:themeFill="background1" w:themeFillShade="BF"/>
            <w:noWrap/>
            <w:vAlign w:val="center"/>
            <w:hideMark/>
          </w:tcPr>
          <w:p w14:paraId="72486FF6" w14:textId="77777777" w:rsidR="00771B61" w:rsidRPr="007F6332" w:rsidRDefault="00771B61" w:rsidP="00CD33D0">
            <w:pPr>
              <w:jc w:val="right"/>
              <w:rPr>
                <w:rFonts w:cs="Arial"/>
                <w:sz w:val="21"/>
                <w:szCs w:val="21"/>
              </w:rPr>
            </w:pPr>
            <w:r w:rsidRPr="007F6332">
              <w:rPr>
                <w:rFonts w:cs="Arial"/>
                <w:sz w:val="21"/>
                <w:szCs w:val="21"/>
              </w:rPr>
              <w:t>1,365</w:t>
            </w:r>
          </w:p>
        </w:tc>
        <w:tc>
          <w:tcPr>
            <w:tcW w:w="947" w:type="dxa"/>
            <w:tcBorders>
              <w:top w:val="nil"/>
              <w:left w:val="nil"/>
              <w:bottom w:val="nil"/>
              <w:right w:val="nil"/>
            </w:tcBorders>
            <w:shd w:val="clear" w:color="auto" w:fill="BFBFBF" w:themeFill="background1" w:themeFillShade="BF"/>
            <w:noWrap/>
            <w:vAlign w:val="center"/>
            <w:hideMark/>
          </w:tcPr>
          <w:p w14:paraId="5FFC3450" w14:textId="77777777" w:rsidR="00771B61" w:rsidRPr="007F6332" w:rsidRDefault="00771B61" w:rsidP="00CD33D0">
            <w:pPr>
              <w:jc w:val="right"/>
              <w:rPr>
                <w:rFonts w:cs="Arial"/>
                <w:sz w:val="21"/>
                <w:szCs w:val="21"/>
              </w:rPr>
            </w:pPr>
            <w:r w:rsidRPr="007F6332">
              <w:rPr>
                <w:rFonts w:cs="Arial"/>
                <w:sz w:val="21"/>
                <w:szCs w:val="21"/>
              </w:rPr>
              <w:t>1,569</w:t>
            </w:r>
          </w:p>
        </w:tc>
        <w:tc>
          <w:tcPr>
            <w:tcW w:w="946" w:type="dxa"/>
            <w:tcBorders>
              <w:top w:val="nil"/>
              <w:left w:val="nil"/>
              <w:bottom w:val="nil"/>
              <w:right w:val="nil"/>
            </w:tcBorders>
            <w:shd w:val="clear" w:color="auto" w:fill="BFBFBF" w:themeFill="background1" w:themeFillShade="BF"/>
            <w:noWrap/>
            <w:vAlign w:val="center"/>
            <w:hideMark/>
          </w:tcPr>
          <w:p w14:paraId="696FDC51" w14:textId="77777777" w:rsidR="00771B61" w:rsidRPr="007F6332" w:rsidRDefault="00771B61" w:rsidP="00CD33D0">
            <w:pPr>
              <w:jc w:val="right"/>
              <w:rPr>
                <w:rFonts w:cs="Arial"/>
                <w:sz w:val="21"/>
                <w:szCs w:val="21"/>
              </w:rPr>
            </w:pPr>
            <w:r w:rsidRPr="007F6332">
              <w:rPr>
                <w:rFonts w:cs="Arial"/>
                <w:sz w:val="21"/>
                <w:szCs w:val="21"/>
              </w:rPr>
              <w:t>1,742</w:t>
            </w:r>
          </w:p>
        </w:tc>
        <w:tc>
          <w:tcPr>
            <w:tcW w:w="947" w:type="dxa"/>
            <w:tcBorders>
              <w:top w:val="nil"/>
              <w:left w:val="nil"/>
              <w:bottom w:val="nil"/>
              <w:right w:val="nil"/>
            </w:tcBorders>
            <w:shd w:val="clear" w:color="auto" w:fill="BFBFBF" w:themeFill="background1" w:themeFillShade="BF"/>
            <w:noWrap/>
            <w:vAlign w:val="center"/>
            <w:hideMark/>
          </w:tcPr>
          <w:p w14:paraId="036407EA" w14:textId="77777777" w:rsidR="00771B61" w:rsidRPr="007F6332" w:rsidRDefault="00771B61" w:rsidP="00CD33D0">
            <w:pPr>
              <w:jc w:val="right"/>
              <w:rPr>
                <w:rFonts w:cs="Arial"/>
                <w:sz w:val="21"/>
                <w:szCs w:val="21"/>
              </w:rPr>
            </w:pPr>
            <w:r w:rsidRPr="007F6332">
              <w:rPr>
                <w:rFonts w:cs="Arial"/>
                <w:sz w:val="21"/>
                <w:szCs w:val="21"/>
              </w:rPr>
              <w:t>2,961</w:t>
            </w:r>
          </w:p>
        </w:tc>
        <w:tc>
          <w:tcPr>
            <w:tcW w:w="947" w:type="dxa"/>
            <w:tcBorders>
              <w:top w:val="nil"/>
              <w:left w:val="nil"/>
              <w:bottom w:val="nil"/>
              <w:right w:val="nil"/>
            </w:tcBorders>
            <w:shd w:val="clear" w:color="auto" w:fill="BFBFBF" w:themeFill="background1" w:themeFillShade="BF"/>
            <w:noWrap/>
            <w:vAlign w:val="center"/>
            <w:hideMark/>
          </w:tcPr>
          <w:p w14:paraId="2F90527B" w14:textId="77777777" w:rsidR="00771B61" w:rsidRPr="007F6332" w:rsidRDefault="00771B61" w:rsidP="00CD33D0">
            <w:pPr>
              <w:jc w:val="right"/>
              <w:rPr>
                <w:rFonts w:cs="Arial"/>
                <w:sz w:val="21"/>
                <w:szCs w:val="21"/>
              </w:rPr>
            </w:pPr>
            <w:r w:rsidRPr="007F6332">
              <w:rPr>
                <w:rFonts w:cs="Arial"/>
                <w:sz w:val="21"/>
                <w:szCs w:val="21"/>
              </w:rPr>
              <w:t>5,844</w:t>
            </w:r>
          </w:p>
        </w:tc>
      </w:tr>
      <w:tr w:rsidR="003D58DB" w:rsidRPr="007F6332" w14:paraId="1B35C211" w14:textId="77777777" w:rsidTr="003D58DB">
        <w:trPr>
          <w:trHeight w:val="227"/>
        </w:trPr>
        <w:tc>
          <w:tcPr>
            <w:tcW w:w="3762" w:type="dxa"/>
            <w:tcBorders>
              <w:top w:val="nil"/>
              <w:left w:val="nil"/>
              <w:bottom w:val="nil"/>
              <w:right w:val="nil"/>
            </w:tcBorders>
            <w:noWrap/>
            <w:vAlign w:val="center"/>
            <w:hideMark/>
          </w:tcPr>
          <w:p w14:paraId="2D560CDC" w14:textId="77777777" w:rsidR="00771B61" w:rsidRPr="007F6332" w:rsidRDefault="00771B61" w:rsidP="00BA3C62">
            <w:pPr>
              <w:rPr>
                <w:rFonts w:cs="Arial"/>
                <w:sz w:val="21"/>
                <w:szCs w:val="21"/>
              </w:rPr>
            </w:pPr>
            <w:r w:rsidRPr="007F6332">
              <w:rPr>
                <w:rFonts w:cs="Arial"/>
                <w:b/>
                <w:bCs/>
                <w:sz w:val="21"/>
                <w:szCs w:val="21"/>
              </w:rPr>
              <w:t>June 2022 projections</w:t>
            </w:r>
            <w:r w:rsidRPr="007F6332">
              <w:rPr>
                <w:rFonts w:cs="Arial"/>
                <w:sz w:val="21"/>
                <w:szCs w:val="21"/>
              </w:rPr>
              <w:t xml:space="preserve"> Core Consumables</w:t>
            </w:r>
          </w:p>
        </w:tc>
        <w:tc>
          <w:tcPr>
            <w:tcW w:w="946" w:type="dxa"/>
            <w:tcBorders>
              <w:top w:val="nil"/>
              <w:left w:val="nil"/>
              <w:bottom w:val="nil"/>
              <w:right w:val="nil"/>
            </w:tcBorders>
            <w:noWrap/>
            <w:vAlign w:val="center"/>
            <w:hideMark/>
          </w:tcPr>
          <w:p w14:paraId="59383122" w14:textId="77777777" w:rsidR="00771B61" w:rsidRPr="007F6332" w:rsidRDefault="00771B61" w:rsidP="00CD33D0">
            <w:pPr>
              <w:jc w:val="right"/>
              <w:rPr>
                <w:rFonts w:cs="Arial"/>
                <w:sz w:val="21"/>
                <w:szCs w:val="21"/>
              </w:rPr>
            </w:pPr>
            <w:r w:rsidRPr="007F6332">
              <w:rPr>
                <w:rFonts w:cs="Arial"/>
                <w:sz w:val="21"/>
                <w:szCs w:val="21"/>
              </w:rPr>
              <w:t>714</w:t>
            </w:r>
          </w:p>
        </w:tc>
        <w:tc>
          <w:tcPr>
            <w:tcW w:w="947" w:type="dxa"/>
            <w:tcBorders>
              <w:top w:val="nil"/>
              <w:left w:val="nil"/>
              <w:bottom w:val="nil"/>
              <w:right w:val="nil"/>
            </w:tcBorders>
            <w:noWrap/>
            <w:vAlign w:val="center"/>
            <w:hideMark/>
          </w:tcPr>
          <w:p w14:paraId="5BC1BDB1" w14:textId="77777777" w:rsidR="00771B61" w:rsidRPr="007F6332" w:rsidRDefault="00771B61" w:rsidP="00CD33D0">
            <w:pPr>
              <w:jc w:val="right"/>
              <w:rPr>
                <w:rFonts w:cs="Arial"/>
                <w:sz w:val="21"/>
                <w:szCs w:val="21"/>
              </w:rPr>
            </w:pPr>
            <w:r w:rsidRPr="007F6332">
              <w:rPr>
                <w:rFonts w:cs="Arial"/>
                <w:sz w:val="21"/>
                <w:szCs w:val="21"/>
              </w:rPr>
              <w:t>811</w:t>
            </w:r>
          </w:p>
        </w:tc>
        <w:tc>
          <w:tcPr>
            <w:tcW w:w="947" w:type="dxa"/>
            <w:tcBorders>
              <w:top w:val="nil"/>
              <w:left w:val="nil"/>
              <w:bottom w:val="nil"/>
              <w:right w:val="nil"/>
            </w:tcBorders>
            <w:noWrap/>
            <w:vAlign w:val="center"/>
            <w:hideMark/>
          </w:tcPr>
          <w:p w14:paraId="32970F0F" w14:textId="77777777" w:rsidR="00771B61" w:rsidRPr="007F6332" w:rsidRDefault="00771B61" w:rsidP="00CD33D0">
            <w:pPr>
              <w:jc w:val="right"/>
              <w:rPr>
                <w:rFonts w:cs="Arial"/>
                <w:sz w:val="21"/>
                <w:szCs w:val="21"/>
              </w:rPr>
            </w:pPr>
            <w:r w:rsidRPr="007F6332">
              <w:rPr>
                <w:rFonts w:cs="Arial"/>
                <w:sz w:val="21"/>
                <w:szCs w:val="21"/>
              </w:rPr>
              <w:t>907</w:t>
            </w:r>
          </w:p>
        </w:tc>
        <w:tc>
          <w:tcPr>
            <w:tcW w:w="946" w:type="dxa"/>
            <w:tcBorders>
              <w:top w:val="nil"/>
              <w:left w:val="nil"/>
              <w:bottom w:val="nil"/>
              <w:right w:val="nil"/>
            </w:tcBorders>
            <w:noWrap/>
            <w:vAlign w:val="center"/>
            <w:hideMark/>
          </w:tcPr>
          <w:p w14:paraId="68299188" w14:textId="77777777" w:rsidR="00771B61" w:rsidRPr="007F6332" w:rsidRDefault="00771B61" w:rsidP="00CD33D0">
            <w:pPr>
              <w:jc w:val="right"/>
              <w:rPr>
                <w:rFonts w:cs="Arial"/>
                <w:sz w:val="21"/>
                <w:szCs w:val="21"/>
              </w:rPr>
            </w:pPr>
            <w:r w:rsidRPr="007F6332">
              <w:rPr>
                <w:rFonts w:cs="Arial"/>
                <w:sz w:val="21"/>
                <w:szCs w:val="21"/>
              </w:rPr>
              <w:t>981</w:t>
            </w:r>
          </w:p>
        </w:tc>
        <w:tc>
          <w:tcPr>
            <w:tcW w:w="947" w:type="dxa"/>
            <w:tcBorders>
              <w:top w:val="nil"/>
              <w:left w:val="nil"/>
              <w:bottom w:val="nil"/>
              <w:right w:val="nil"/>
            </w:tcBorders>
            <w:noWrap/>
            <w:vAlign w:val="center"/>
            <w:hideMark/>
          </w:tcPr>
          <w:p w14:paraId="1DC0FB81" w14:textId="77777777" w:rsidR="00771B61" w:rsidRPr="007F6332" w:rsidRDefault="00771B61" w:rsidP="00CD33D0">
            <w:pPr>
              <w:jc w:val="right"/>
              <w:rPr>
                <w:rFonts w:cs="Arial"/>
                <w:sz w:val="21"/>
                <w:szCs w:val="21"/>
              </w:rPr>
            </w:pPr>
            <w:r w:rsidRPr="007F6332">
              <w:rPr>
                <w:rFonts w:cs="Arial"/>
                <w:sz w:val="21"/>
                <w:szCs w:val="21"/>
              </w:rPr>
              <w:t>1,535</w:t>
            </w:r>
          </w:p>
        </w:tc>
        <w:tc>
          <w:tcPr>
            <w:tcW w:w="947" w:type="dxa"/>
            <w:tcBorders>
              <w:top w:val="nil"/>
              <w:left w:val="nil"/>
              <w:bottom w:val="nil"/>
              <w:right w:val="nil"/>
            </w:tcBorders>
            <w:noWrap/>
            <w:vAlign w:val="center"/>
            <w:hideMark/>
          </w:tcPr>
          <w:p w14:paraId="0F7D4953" w14:textId="77777777" w:rsidR="00771B61" w:rsidRPr="007F6332" w:rsidRDefault="00771B61" w:rsidP="00CD33D0">
            <w:pPr>
              <w:jc w:val="right"/>
              <w:rPr>
                <w:rFonts w:cs="Arial"/>
                <w:sz w:val="21"/>
                <w:szCs w:val="21"/>
              </w:rPr>
            </w:pPr>
            <w:r w:rsidRPr="007F6332">
              <w:rPr>
                <w:rFonts w:cs="Arial"/>
                <w:sz w:val="21"/>
                <w:szCs w:val="21"/>
              </w:rPr>
              <w:t>3,412</w:t>
            </w:r>
          </w:p>
        </w:tc>
      </w:tr>
      <w:tr w:rsidR="003D58DB" w:rsidRPr="007F6332" w14:paraId="63F457D7"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4FEC80F1" w14:textId="77777777" w:rsidR="00771B61" w:rsidRPr="007F6332" w:rsidRDefault="00771B61" w:rsidP="00BA3C62">
            <w:pPr>
              <w:rPr>
                <w:rFonts w:cs="Arial"/>
                <w:sz w:val="21"/>
                <w:szCs w:val="21"/>
              </w:rPr>
            </w:pPr>
            <w:r w:rsidRPr="007F6332">
              <w:rPr>
                <w:rFonts w:cs="Arial"/>
                <w:b/>
                <w:bCs/>
                <w:sz w:val="21"/>
                <w:szCs w:val="21"/>
              </w:rPr>
              <w:t>June 2022 projections</w:t>
            </w:r>
            <w:r w:rsidRPr="007F6332">
              <w:rPr>
                <w:rFonts w:cs="Arial"/>
                <w:sz w:val="21"/>
                <w:szCs w:val="21"/>
              </w:rPr>
              <w:t xml:space="preserve"> Capital </w:t>
            </w:r>
          </w:p>
        </w:tc>
        <w:tc>
          <w:tcPr>
            <w:tcW w:w="946" w:type="dxa"/>
            <w:tcBorders>
              <w:top w:val="nil"/>
              <w:left w:val="nil"/>
              <w:bottom w:val="nil"/>
              <w:right w:val="nil"/>
            </w:tcBorders>
            <w:shd w:val="clear" w:color="auto" w:fill="BFBFBF" w:themeFill="background1" w:themeFillShade="BF"/>
            <w:noWrap/>
            <w:vAlign w:val="center"/>
            <w:hideMark/>
          </w:tcPr>
          <w:p w14:paraId="3F1B78F7" w14:textId="77777777" w:rsidR="00771B61" w:rsidRPr="007F6332" w:rsidRDefault="00771B61" w:rsidP="00CD33D0">
            <w:pPr>
              <w:jc w:val="right"/>
              <w:rPr>
                <w:rFonts w:cs="Arial"/>
                <w:sz w:val="21"/>
                <w:szCs w:val="21"/>
              </w:rPr>
            </w:pPr>
            <w:r w:rsidRPr="007F6332">
              <w:rPr>
                <w:rFonts w:cs="Arial"/>
                <w:sz w:val="21"/>
                <w:szCs w:val="21"/>
              </w:rPr>
              <w:t>1,171</w:t>
            </w:r>
          </w:p>
        </w:tc>
        <w:tc>
          <w:tcPr>
            <w:tcW w:w="947" w:type="dxa"/>
            <w:tcBorders>
              <w:top w:val="nil"/>
              <w:left w:val="nil"/>
              <w:bottom w:val="nil"/>
              <w:right w:val="nil"/>
            </w:tcBorders>
            <w:shd w:val="clear" w:color="auto" w:fill="BFBFBF" w:themeFill="background1" w:themeFillShade="BF"/>
            <w:noWrap/>
            <w:vAlign w:val="center"/>
            <w:hideMark/>
          </w:tcPr>
          <w:p w14:paraId="1BFC6649" w14:textId="77777777" w:rsidR="00771B61" w:rsidRPr="007F6332" w:rsidRDefault="00771B61" w:rsidP="00CD33D0">
            <w:pPr>
              <w:jc w:val="right"/>
              <w:rPr>
                <w:rFonts w:cs="Arial"/>
                <w:sz w:val="21"/>
                <w:szCs w:val="21"/>
              </w:rPr>
            </w:pPr>
            <w:r w:rsidRPr="007F6332">
              <w:rPr>
                <w:rFonts w:cs="Arial"/>
                <w:sz w:val="21"/>
                <w:szCs w:val="21"/>
              </w:rPr>
              <w:t>1,316</w:t>
            </w:r>
          </w:p>
        </w:tc>
        <w:tc>
          <w:tcPr>
            <w:tcW w:w="947" w:type="dxa"/>
            <w:tcBorders>
              <w:top w:val="nil"/>
              <w:left w:val="nil"/>
              <w:bottom w:val="nil"/>
              <w:right w:val="nil"/>
            </w:tcBorders>
            <w:shd w:val="clear" w:color="auto" w:fill="BFBFBF" w:themeFill="background1" w:themeFillShade="BF"/>
            <w:noWrap/>
            <w:vAlign w:val="center"/>
            <w:hideMark/>
          </w:tcPr>
          <w:p w14:paraId="3CECCE18" w14:textId="77777777" w:rsidR="00771B61" w:rsidRPr="007F6332" w:rsidRDefault="00771B61" w:rsidP="00CD33D0">
            <w:pPr>
              <w:jc w:val="right"/>
              <w:rPr>
                <w:rFonts w:cs="Arial"/>
                <w:sz w:val="21"/>
                <w:szCs w:val="21"/>
              </w:rPr>
            </w:pPr>
            <w:r w:rsidRPr="007F6332">
              <w:rPr>
                <w:rFonts w:cs="Arial"/>
                <w:sz w:val="21"/>
                <w:szCs w:val="21"/>
              </w:rPr>
              <w:t>1,455</w:t>
            </w:r>
          </w:p>
        </w:tc>
        <w:tc>
          <w:tcPr>
            <w:tcW w:w="946" w:type="dxa"/>
            <w:tcBorders>
              <w:top w:val="nil"/>
              <w:left w:val="nil"/>
              <w:bottom w:val="nil"/>
              <w:right w:val="nil"/>
            </w:tcBorders>
            <w:shd w:val="clear" w:color="auto" w:fill="BFBFBF" w:themeFill="background1" w:themeFillShade="BF"/>
            <w:noWrap/>
            <w:vAlign w:val="center"/>
            <w:hideMark/>
          </w:tcPr>
          <w:p w14:paraId="63AB44CF" w14:textId="77777777" w:rsidR="00771B61" w:rsidRPr="007F6332" w:rsidRDefault="00771B61" w:rsidP="00CD33D0">
            <w:pPr>
              <w:jc w:val="right"/>
              <w:rPr>
                <w:rFonts w:cs="Arial"/>
                <w:sz w:val="21"/>
                <w:szCs w:val="21"/>
              </w:rPr>
            </w:pPr>
            <w:r w:rsidRPr="007F6332">
              <w:rPr>
                <w:rFonts w:cs="Arial"/>
                <w:sz w:val="21"/>
                <w:szCs w:val="21"/>
              </w:rPr>
              <w:t>1,560</w:t>
            </w:r>
          </w:p>
        </w:tc>
        <w:tc>
          <w:tcPr>
            <w:tcW w:w="947" w:type="dxa"/>
            <w:tcBorders>
              <w:top w:val="nil"/>
              <w:left w:val="nil"/>
              <w:bottom w:val="nil"/>
              <w:right w:val="nil"/>
            </w:tcBorders>
            <w:shd w:val="clear" w:color="auto" w:fill="BFBFBF" w:themeFill="background1" w:themeFillShade="BF"/>
            <w:noWrap/>
            <w:vAlign w:val="center"/>
            <w:hideMark/>
          </w:tcPr>
          <w:p w14:paraId="3C7BAE17" w14:textId="77777777" w:rsidR="00771B61" w:rsidRPr="007F6332" w:rsidRDefault="00771B61" w:rsidP="00CD33D0">
            <w:pPr>
              <w:jc w:val="right"/>
              <w:rPr>
                <w:rFonts w:cs="Arial"/>
                <w:sz w:val="21"/>
                <w:szCs w:val="21"/>
              </w:rPr>
            </w:pPr>
            <w:r w:rsidRPr="007F6332">
              <w:rPr>
                <w:rFonts w:cs="Arial"/>
                <w:sz w:val="21"/>
                <w:szCs w:val="21"/>
              </w:rPr>
              <w:t>2,324</w:t>
            </w:r>
          </w:p>
        </w:tc>
        <w:tc>
          <w:tcPr>
            <w:tcW w:w="947" w:type="dxa"/>
            <w:tcBorders>
              <w:top w:val="nil"/>
              <w:left w:val="nil"/>
              <w:bottom w:val="nil"/>
              <w:right w:val="nil"/>
            </w:tcBorders>
            <w:shd w:val="clear" w:color="auto" w:fill="BFBFBF" w:themeFill="background1" w:themeFillShade="BF"/>
            <w:noWrap/>
            <w:vAlign w:val="center"/>
            <w:hideMark/>
          </w:tcPr>
          <w:p w14:paraId="6FD2699E" w14:textId="77777777" w:rsidR="00771B61" w:rsidRPr="007F6332" w:rsidRDefault="00771B61" w:rsidP="00CD33D0">
            <w:pPr>
              <w:jc w:val="right"/>
              <w:rPr>
                <w:rFonts w:cs="Arial"/>
                <w:sz w:val="21"/>
                <w:szCs w:val="21"/>
              </w:rPr>
            </w:pPr>
            <w:r w:rsidRPr="007F6332">
              <w:rPr>
                <w:rFonts w:cs="Arial"/>
                <w:sz w:val="21"/>
                <w:szCs w:val="21"/>
              </w:rPr>
              <w:t>5,503</w:t>
            </w:r>
          </w:p>
        </w:tc>
      </w:tr>
      <w:tr w:rsidR="003D58DB" w:rsidRPr="007F6332" w14:paraId="4C72A653" w14:textId="77777777" w:rsidTr="003D58DB">
        <w:trPr>
          <w:trHeight w:val="227"/>
        </w:trPr>
        <w:tc>
          <w:tcPr>
            <w:tcW w:w="3762" w:type="dxa"/>
            <w:tcBorders>
              <w:top w:val="nil"/>
              <w:left w:val="nil"/>
              <w:bottom w:val="nil"/>
              <w:right w:val="nil"/>
            </w:tcBorders>
            <w:noWrap/>
            <w:vAlign w:val="center"/>
            <w:hideMark/>
          </w:tcPr>
          <w:p w14:paraId="5F520424" w14:textId="77777777" w:rsidR="00771B61" w:rsidRPr="007F6332" w:rsidRDefault="00771B61" w:rsidP="00BA3C62">
            <w:pPr>
              <w:rPr>
                <w:rFonts w:cs="Arial"/>
                <w:sz w:val="21"/>
                <w:szCs w:val="21"/>
              </w:rPr>
            </w:pPr>
            <w:r w:rsidRPr="007F6332">
              <w:rPr>
                <w:rFonts w:cs="Arial"/>
                <w:b/>
                <w:bCs/>
                <w:sz w:val="21"/>
                <w:szCs w:val="21"/>
              </w:rPr>
              <w:t>June 2022 projections</w:t>
            </w:r>
            <w:r w:rsidRPr="007F6332">
              <w:rPr>
                <w:rFonts w:cs="Arial"/>
                <w:sz w:val="21"/>
                <w:szCs w:val="21"/>
              </w:rPr>
              <w:t xml:space="preserve"> Capacity Building </w:t>
            </w:r>
          </w:p>
        </w:tc>
        <w:tc>
          <w:tcPr>
            <w:tcW w:w="946" w:type="dxa"/>
            <w:tcBorders>
              <w:top w:val="nil"/>
              <w:left w:val="nil"/>
              <w:bottom w:val="nil"/>
              <w:right w:val="nil"/>
            </w:tcBorders>
            <w:noWrap/>
            <w:vAlign w:val="center"/>
            <w:hideMark/>
          </w:tcPr>
          <w:p w14:paraId="6875D3E2" w14:textId="77777777" w:rsidR="00771B61" w:rsidRPr="007F6332" w:rsidRDefault="00771B61" w:rsidP="00CD33D0">
            <w:pPr>
              <w:jc w:val="right"/>
              <w:rPr>
                <w:rFonts w:cs="Arial"/>
                <w:sz w:val="21"/>
                <w:szCs w:val="21"/>
              </w:rPr>
            </w:pPr>
            <w:r w:rsidRPr="007F6332">
              <w:rPr>
                <w:rFonts w:cs="Arial"/>
                <w:sz w:val="21"/>
                <w:szCs w:val="21"/>
              </w:rPr>
              <w:t>6,798</w:t>
            </w:r>
          </w:p>
        </w:tc>
        <w:tc>
          <w:tcPr>
            <w:tcW w:w="947" w:type="dxa"/>
            <w:tcBorders>
              <w:top w:val="nil"/>
              <w:left w:val="nil"/>
              <w:bottom w:val="nil"/>
              <w:right w:val="nil"/>
            </w:tcBorders>
            <w:noWrap/>
            <w:vAlign w:val="center"/>
            <w:hideMark/>
          </w:tcPr>
          <w:p w14:paraId="0B4E7A25" w14:textId="77777777" w:rsidR="00771B61" w:rsidRPr="007F6332" w:rsidRDefault="00771B61" w:rsidP="00CD33D0">
            <w:pPr>
              <w:jc w:val="right"/>
              <w:rPr>
                <w:rFonts w:cs="Arial"/>
                <w:sz w:val="21"/>
                <w:szCs w:val="21"/>
              </w:rPr>
            </w:pPr>
            <w:r w:rsidRPr="007F6332">
              <w:rPr>
                <w:rFonts w:cs="Arial"/>
                <w:sz w:val="21"/>
                <w:szCs w:val="21"/>
              </w:rPr>
              <w:t>7,912</w:t>
            </w:r>
          </w:p>
        </w:tc>
        <w:tc>
          <w:tcPr>
            <w:tcW w:w="947" w:type="dxa"/>
            <w:tcBorders>
              <w:top w:val="nil"/>
              <w:left w:val="nil"/>
              <w:bottom w:val="nil"/>
              <w:right w:val="nil"/>
            </w:tcBorders>
            <w:noWrap/>
            <w:vAlign w:val="center"/>
            <w:hideMark/>
          </w:tcPr>
          <w:p w14:paraId="5CB08647" w14:textId="77777777" w:rsidR="00771B61" w:rsidRPr="007F6332" w:rsidRDefault="00771B61" w:rsidP="00CD33D0">
            <w:pPr>
              <w:jc w:val="right"/>
              <w:rPr>
                <w:rFonts w:cs="Arial"/>
                <w:sz w:val="21"/>
                <w:szCs w:val="21"/>
              </w:rPr>
            </w:pPr>
            <w:r w:rsidRPr="007F6332">
              <w:rPr>
                <w:rFonts w:cs="Arial"/>
                <w:sz w:val="21"/>
                <w:szCs w:val="21"/>
              </w:rPr>
              <w:t>9,003</w:t>
            </w:r>
          </w:p>
        </w:tc>
        <w:tc>
          <w:tcPr>
            <w:tcW w:w="946" w:type="dxa"/>
            <w:tcBorders>
              <w:top w:val="nil"/>
              <w:left w:val="nil"/>
              <w:bottom w:val="nil"/>
              <w:right w:val="nil"/>
            </w:tcBorders>
            <w:noWrap/>
            <w:vAlign w:val="center"/>
            <w:hideMark/>
          </w:tcPr>
          <w:p w14:paraId="7B1C2B67" w14:textId="77777777" w:rsidR="00771B61" w:rsidRPr="007F6332" w:rsidRDefault="00771B61" w:rsidP="00CD33D0">
            <w:pPr>
              <w:jc w:val="right"/>
              <w:rPr>
                <w:rFonts w:cs="Arial"/>
                <w:sz w:val="21"/>
                <w:szCs w:val="21"/>
              </w:rPr>
            </w:pPr>
            <w:r w:rsidRPr="007F6332">
              <w:rPr>
                <w:rFonts w:cs="Arial"/>
                <w:sz w:val="21"/>
                <w:szCs w:val="21"/>
              </w:rPr>
              <w:t>9,901</w:t>
            </w:r>
          </w:p>
        </w:tc>
        <w:tc>
          <w:tcPr>
            <w:tcW w:w="947" w:type="dxa"/>
            <w:tcBorders>
              <w:top w:val="nil"/>
              <w:left w:val="nil"/>
              <w:bottom w:val="nil"/>
              <w:right w:val="nil"/>
            </w:tcBorders>
            <w:noWrap/>
            <w:vAlign w:val="center"/>
            <w:hideMark/>
          </w:tcPr>
          <w:p w14:paraId="02BA17EA" w14:textId="77777777" w:rsidR="00771B61" w:rsidRPr="007F6332" w:rsidRDefault="00771B61" w:rsidP="00CD33D0">
            <w:pPr>
              <w:jc w:val="right"/>
              <w:rPr>
                <w:rFonts w:cs="Arial"/>
                <w:sz w:val="21"/>
                <w:szCs w:val="21"/>
              </w:rPr>
            </w:pPr>
            <w:r w:rsidRPr="007F6332">
              <w:rPr>
                <w:rFonts w:cs="Arial"/>
                <w:sz w:val="21"/>
                <w:szCs w:val="21"/>
              </w:rPr>
              <w:t>16,655</w:t>
            </w:r>
          </w:p>
        </w:tc>
        <w:tc>
          <w:tcPr>
            <w:tcW w:w="947" w:type="dxa"/>
            <w:tcBorders>
              <w:top w:val="nil"/>
              <w:left w:val="nil"/>
              <w:bottom w:val="nil"/>
              <w:right w:val="nil"/>
            </w:tcBorders>
            <w:noWrap/>
            <w:vAlign w:val="center"/>
            <w:hideMark/>
          </w:tcPr>
          <w:p w14:paraId="38342B79" w14:textId="77777777" w:rsidR="00771B61" w:rsidRPr="007F6332" w:rsidRDefault="00771B61" w:rsidP="00CD33D0">
            <w:pPr>
              <w:jc w:val="right"/>
              <w:rPr>
                <w:rFonts w:cs="Arial"/>
                <w:sz w:val="21"/>
                <w:szCs w:val="21"/>
              </w:rPr>
            </w:pPr>
            <w:r w:rsidRPr="007F6332">
              <w:rPr>
                <w:rFonts w:cs="Arial"/>
                <w:sz w:val="21"/>
                <w:szCs w:val="21"/>
              </w:rPr>
              <w:t>33,614</w:t>
            </w:r>
          </w:p>
        </w:tc>
      </w:tr>
      <w:tr w:rsidR="003D58DB" w:rsidRPr="007F6332" w14:paraId="20052E6C" w14:textId="77777777" w:rsidTr="003D58DB">
        <w:trPr>
          <w:trHeight w:val="227"/>
        </w:trPr>
        <w:tc>
          <w:tcPr>
            <w:tcW w:w="3762" w:type="dxa"/>
            <w:tcBorders>
              <w:top w:val="nil"/>
              <w:left w:val="nil"/>
              <w:bottom w:val="nil"/>
              <w:right w:val="nil"/>
            </w:tcBorders>
            <w:shd w:val="clear" w:color="auto" w:fill="B499B7"/>
            <w:noWrap/>
            <w:vAlign w:val="center"/>
            <w:hideMark/>
          </w:tcPr>
          <w:p w14:paraId="478616BE" w14:textId="23E92C86" w:rsidR="00771B61" w:rsidRPr="007F6332" w:rsidRDefault="00771B61" w:rsidP="00BA3C62">
            <w:pPr>
              <w:rPr>
                <w:rFonts w:cs="Arial"/>
                <w:b/>
                <w:bCs/>
                <w:sz w:val="21"/>
                <w:szCs w:val="21"/>
              </w:rPr>
            </w:pPr>
            <w:r w:rsidRPr="007F6332">
              <w:rPr>
                <w:rFonts w:cs="Arial"/>
                <w:b/>
                <w:bCs/>
                <w:sz w:val="21"/>
                <w:szCs w:val="21"/>
              </w:rPr>
              <w:t>Total</w:t>
            </w:r>
            <w:r w:rsidR="003D58DB" w:rsidRPr="007F6332">
              <w:rPr>
                <w:rFonts w:cs="Arial"/>
                <w:b/>
                <w:bCs/>
                <w:sz w:val="21"/>
                <w:szCs w:val="21"/>
              </w:rPr>
              <w:t xml:space="preserve"> June 2022 projections</w:t>
            </w:r>
          </w:p>
        </w:tc>
        <w:tc>
          <w:tcPr>
            <w:tcW w:w="946" w:type="dxa"/>
            <w:tcBorders>
              <w:top w:val="nil"/>
              <w:left w:val="nil"/>
              <w:bottom w:val="nil"/>
              <w:right w:val="nil"/>
            </w:tcBorders>
            <w:shd w:val="clear" w:color="auto" w:fill="B499B7"/>
            <w:noWrap/>
            <w:vAlign w:val="center"/>
            <w:hideMark/>
          </w:tcPr>
          <w:p w14:paraId="7E2351C2" w14:textId="77777777" w:rsidR="00771B61" w:rsidRPr="007F6332" w:rsidRDefault="00771B61" w:rsidP="00CD33D0">
            <w:pPr>
              <w:jc w:val="center"/>
              <w:rPr>
                <w:rFonts w:cs="Arial"/>
                <w:b/>
                <w:bCs/>
                <w:sz w:val="21"/>
                <w:szCs w:val="21"/>
              </w:rPr>
            </w:pPr>
            <w:r w:rsidRPr="007F6332">
              <w:rPr>
                <w:rFonts w:cs="Arial"/>
                <w:b/>
                <w:bCs/>
                <w:sz w:val="21"/>
                <w:szCs w:val="21"/>
              </w:rPr>
              <w:t>37,568</w:t>
            </w:r>
          </w:p>
        </w:tc>
        <w:tc>
          <w:tcPr>
            <w:tcW w:w="947" w:type="dxa"/>
            <w:tcBorders>
              <w:top w:val="nil"/>
              <w:left w:val="nil"/>
              <w:bottom w:val="nil"/>
              <w:right w:val="nil"/>
            </w:tcBorders>
            <w:shd w:val="clear" w:color="auto" w:fill="B499B7"/>
            <w:noWrap/>
            <w:vAlign w:val="center"/>
            <w:hideMark/>
          </w:tcPr>
          <w:p w14:paraId="2C047E68" w14:textId="77777777" w:rsidR="00771B61" w:rsidRPr="007F6332" w:rsidRDefault="00771B61" w:rsidP="00CD33D0">
            <w:pPr>
              <w:jc w:val="center"/>
              <w:rPr>
                <w:rFonts w:cs="Arial"/>
                <w:b/>
                <w:bCs/>
                <w:sz w:val="21"/>
                <w:szCs w:val="21"/>
              </w:rPr>
            </w:pPr>
            <w:r w:rsidRPr="007F6332">
              <w:rPr>
                <w:rFonts w:cs="Arial"/>
                <w:b/>
                <w:bCs/>
                <w:sz w:val="21"/>
                <w:szCs w:val="21"/>
              </w:rPr>
              <w:t>43,463</w:t>
            </w:r>
          </w:p>
        </w:tc>
        <w:tc>
          <w:tcPr>
            <w:tcW w:w="947" w:type="dxa"/>
            <w:tcBorders>
              <w:top w:val="nil"/>
              <w:left w:val="nil"/>
              <w:bottom w:val="nil"/>
              <w:right w:val="nil"/>
            </w:tcBorders>
            <w:shd w:val="clear" w:color="auto" w:fill="B499B7"/>
            <w:noWrap/>
            <w:vAlign w:val="center"/>
            <w:hideMark/>
          </w:tcPr>
          <w:p w14:paraId="43722A3B" w14:textId="77777777" w:rsidR="00771B61" w:rsidRPr="007F6332" w:rsidRDefault="00771B61" w:rsidP="00CD33D0">
            <w:pPr>
              <w:ind w:right="-101"/>
              <w:jc w:val="center"/>
              <w:rPr>
                <w:rFonts w:cs="Arial"/>
                <w:b/>
                <w:bCs/>
                <w:sz w:val="21"/>
                <w:szCs w:val="21"/>
              </w:rPr>
            </w:pPr>
            <w:r w:rsidRPr="007F6332">
              <w:rPr>
                <w:rFonts w:cs="Arial"/>
                <w:b/>
                <w:bCs/>
                <w:sz w:val="21"/>
                <w:szCs w:val="21"/>
              </w:rPr>
              <w:t>49,599</w:t>
            </w:r>
          </w:p>
        </w:tc>
        <w:tc>
          <w:tcPr>
            <w:tcW w:w="946" w:type="dxa"/>
            <w:tcBorders>
              <w:top w:val="nil"/>
              <w:left w:val="nil"/>
              <w:bottom w:val="nil"/>
              <w:right w:val="nil"/>
            </w:tcBorders>
            <w:shd w:val="clear" w:color="auto" w:fill="B499B7"/>
            <w:noWrap/>
            <w:vAlign w:val="center"/>
            <w:hideMark/>
          </w:tcPr>
          <w:p w14:paraId="0DCAFA18" w14:textId="77777777" w:rsidR="00771B61" w:rsidRPr="007F6332" w:rsidRDefault="00771B61" w:rsidP="00CD33D0">
            <w:pPr>
              <w:jc w:val="center"/>
              <w:rPr>
                <w:rFonts w:cs="Arial"/>
                <w:b/>
                <w:bCs/>
                <w:sz w:val="21"/>
                <w:szCs w:val="21"/>
              </w:rPr>
            </w:pPr>
            <w:r w:rsidRPr="007F6332">
              <w:rPr>
                <w:rFonts w:cs="Arial"/>
                <w:b/>
                <w:bCs/>
                <w:sz w:val="21"/>
                <w:szCs w:val="21"/>
              </w:rPr>
              <w:t>54,690</w:t>
            </w:r>
          </w:p>
        </w:tc>
        <w:tc>
          <w:tcPr>
            <w:tcW w:w="947" w:type="dxa"/>
            <w:tcBorders>
              <w:top w:val="nil"/>
              <w:left w:val="nil"/>
              <w:bottom w:val="nil"/>
              <w:right w:val="nil"/>
            </w:tcBorders>
            <w:shd w:val="clear" w:color="auto" w:fill="B499B7"/>
            <w:noWrap/>
            <w:vAlign w:val="center"/>
            <w:hideMark/>
          </w:tcPr>
          <w:p w14:paraId="3EE92A55" w14:textId="77777777" w:rsidR="00771B61" w:rsidRPr="007F6332" w:rsidRDefault="00771B61" w:rsidP="00CD33D0">
            <w:pPr>
              <w:jc w:val="center"/>
              <w:rPr>
                <w:rFonts w:cs="Arial"/>
                <w:b/>
                <w:bCs/>
                <w:sz w:val="21"/>
                <w:szCs w:val="21"/>
              </w:rPr>
            </w:pPr>
            <w:r w:rsidRPr="007F6332">
              <w:rPr>
                <w:rFonts w:cs="Arial"/>
                <w:b/>
                <w:bCs/>
                <w:sz w:val="21"/>
                <w:szCs w:val="21"/>
              </w:rPr>
              <w:t>95,536</w:t>
            </w:r>
          </w:p>
        </w:tc>
        <w:tc>
          <w:tcPr>
            <w:tcW w:w="947" w:type="dxa"/>
            <w:tcBorders>
              <w:top w:val="nil"/>
              <w:left w:val="nil"/>
              <w:bottom w:val="nil"/>
              <w:right w:val="nil"/>
            </w:tcBorders>
            <w:shd w:val="clear" w:color="auto" w:fill="B499B7"/>
            <w:noWrap/>
            <w:vAlign w:val="center"/>
            <w:hideMark/>
          </w:tcPr>
          <w:p w14:paraId="1209E0E3" w14:textId="77777777" w:rsidR="00771B61" w:rsidRPr="007F6332" w:rsidRDefault="00771B61" w:rsidP="00CD33D0">
            <w:pPr>
              <w:ind w:right="-132"/>
              <w:jc w:val="center"/>
              <w:rPr>
                <w:rFonts w:cs="Arial"/>
                <w:b/>
                <w:bCs/>
                <w:sz w:val="21"/>
                <w:szCs w:val="21"/>
              </w:rPr>
            </w:pPr>
            <w:r w:rsidRPr="007F6332">
              <w:rPr>
                <w:rFonts w:cs="Arial"/>
                <w:b/>
                <w:bCs/>
                <w:sz w:val="21"/>
                <w:szCs w:val="21"/>
              </w:rPr>
              <w:t>185,319</w:t>
            </w:r>
          </w:p>
        </w:tc>
      </w:tr>
      <w:tr w:rsidR="003D58DB" w:rsidRPr="007F6332" w14:paraId="20B547C5"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01D2A36E" w14:textId="77777777" w:rsidR="00771B61" w:rsidRPr="007F6332" w:rsidRDefault="00771B61" w:rsidP="00BA3C62">
            <w:pPr>
              <w:rPr>
                <w:rFonts w:cs="Arial"/>
                <w:sz w:val="21"/>
                <w:szCs w:val="21"/>
              </w:rPr>
            </w:pPr>
            <w:r w:rsidRPr="007F6332">
              <w:rPr>
                <w:rFonts w:cs="Arial"/>
                <w:b/>
                <w:bCs/>
                <w:sz w:val="21"/>
                <w:szCs w:val="21"/>
              </w:rPr>
              <w:t>Difference</w:t>
            </w:r>
            <w:r w:rsidRPr="007F6332">
              <w:rPr>
                <w:rFonts w:cs="Arial"/>
                <w:sz w:val="21"/>
                <w:szCs w:val="21"/>
              </w:rPr>
              <w:t xml:space="preserve"> Core Daily Activities</w:t>
            </w:r>
          </w:p>
        </w:tc>
        <w:tc>
          <w:tcPr>
            <w:tcW w:w="946" w:type="dxa"/>
            <w:tcBorders>
              <w:top w:val="nil"/>
              <w:left w:val="nil"/>
              <w:bottom w:val="nil"/>
              <w:right w:val="nil"/>
            </w:tcBorders>
            <w:shd w:val="clear" w:color="auto" w:fill="BFBFBF" w:themeFill="background1" w:themeFillShade="BF"/>
            <w:noWrap/>
            <w:vAlign w:val="center"/>
            <w:hideMark/>
          </w:tcPr>
          <w:p w14:paraId="08D45D4D" w14:textId="77777777" w:rsidR="00771B61" w:rsidRPr="007F6332" w:rsidRDefault="00771B61" w:rsidP="00CD33D0">
            <w:pPr>
              <w:jc w:val="right"/>
              <w:rPr>
                <w:rFonts w:cs="Arial"/>
                <w:sz w:val="21"/>
                <w:szCs w:val="21"/>
              </w:rPr>
            </w:pPr>
            <w:r w:rsidRPr="007F6332">
              <w:rPr>
                <w:rFonts w:cs="Arial"/>
                <w:sz w:val="21"/>
                <w:szCs w:val="21"/>
              </w:rPr>
              <w:t>1,746</w:t>
            </w:r>
          </w:p>
        </w:tc>
        <w:tc>
          <w:tcPr>
            <w:tcW w:w="947" w:type="dxa"/>
            <w:tcBorders>
              <w:top w:val="nil"/>
              <w:left w:val="nil"/>
              <w:bottom w:val="nil"/>
              <w:right w:val="nil"/>
            </w:tcBorders>
            <w:shd w:val="clear" w:color="auto" w:fill="BFBFBF" w:themeFill="background1" w:themeFillShade="BF"/>
            <w:noWrap/>
            <w:vAlign w:val="center"/>
            <w:hideMark/>
          </w:tcPr>
          <w:p w14:paraId="560BF823" w14:textId="77777777" w:rsidR="00771B61" w:rsidRPr="007F6332" w:rsidRDefault="00771B61" w:rsidP="00CD33D0">
            <w:pPr>
              <w:jc w:val="right"/>
              <w:rPr>
                <w:rFonts w:cs="Arial"/>
                <w:sz w:val="21"/>
                <w:szCs w:val="21"/>
              </w:rPr>
            </w:pPr>
            <w:r w:rsidRPr="007F6332">
              <w:rPr>
                <w:rFonts w:cs="Arial"/>
                <w:sz w:val="21"/>
                <w:szCs w:val="21"/>
              </w:rPr>
              <w:t>1,596</w:t>
            </w:r>
          </w:p>
        </w:tc>
        <w:tc>
          <w:tcPr>
            <w:tcW w:w="947" w:type="dxa"/>
            <w:tcBorders>
              <w:top w:val="nil"/>
              <w:left w:val="nil"/>
              <w:bottom w:val="nil"/>
              <w:right w:val="nil"/>
            </w:tcBorders>
            <w:shd w:val="clear" w:color="auto" w:fill="BFBFBF" w:themeFill="background1" w:themeFillShade="BF"/>
            <w:noWrap/>
            <w:vAlign w:val="center"/>
            <w:hideMark/>
          </w:tcPr>
          <w:p w14:paraId="243B4B25" w14:textId="77777777" w:rsidR="00771B61" w:rsidRPr="007F6332" w:rsidRDefault="00771B61" w:rsidP="00CD33D0">
            <w:pPr>
              <w:jc w:val="right"/>
              <w:rPr>
                <w:rFonts w:cs="Arial"/>
                <w:sz w:val="21"/>
                <w:szCs w:val="21"/>
              </w:rPr>
            </w:pPr>
            <w:r w:rsidRPr="007F6332">
              <w:rPr>
                <w:rFonts w:cs="Arial"/>
                <w:sz w:val="21"/>
                <w:szCs w:val="21"/>
              </w:rPr>
              <w:t>1,119</w:t>
            </w:r>
          </w:p>
        </w:tc>
        <w:tc>
          <w:tcPr>
            <w:tcW w:w="946" w:type="dxa"/>
            <w:tcBorders>
              <w:top w:val="nil"/>
              <w:left w:val="nil"/>
              <w:bottom w:val="nil"/>
              <w:right w:val="nil"/>
            </w:tcBorders>
            <w:shd w:val="clear" w:color="auto" w:fill="BFBFBF" w:themeFill="background1" w:themeFillShade="BF"/>
            <w:noWrap/>
            <w:vAlign w:val="center"/>
            <w:hideMark/>
          </w:tcPr>
          <w:p w14:paraId="11BE9F57" w14:textId="77777777" w:rsidR="00771B61" w:rsidRPr="007F6332" w:rsidRDefault="00771B61" w:rsidP="00CD33D0">
            <w:pPr>
              <w:jc w:val="right"/>
              <w:rPr>
                <w:rFonts w:cs="Arial"/>
                <w:sz w:val="21"/>
                <w:szCs w:val="21"/>
              </w:rPr>
            </w:pPr>
            <w:r w:rsidRPr="007F6332">
              <w:rPr>
                <w:rFonts w:cs="Arial"/>
                <w:sz w:val="21"/>
                <w:szCs w:val="21"/>
              </w:rPr>
              <w:t>862</w:t>
            </w:r>
          </w:p>
        </w:tc>
        <w:tc>
          <w:tcPr>
            <w:tcW w:w="947" w:type="dxa"/>
            <w:tcBorders>
              <w:top w:val="nil"/>
              <w:left w:val="nil"/>
              <w:bottom w:val="nil"/>
              <w:right w:val="nil"/>
            </w:tcBorders>
            <w:shd w:val="clear" w:color="auto" w:fill="BFBFBF" w:themeFill="background1" w:themeFillShade="BF"/>
            <w:noWrap/>
            <w:vAlign w:val="center"/>
            <w:hideMark/>
          </w:tcPr>
          <w:p w14:paraId="58F3785D" w14:textId="77777777" w:rsidR="00771B61" w:rsidRPr="007F6332" w:rsidRDefault="00771B61" w:rsidP="00CD33D0">
            <w:pPr>
              <w:jc w:val="right"/>
              <w:rPr>
                <w:rFonts w:cs="Arial"/>
                <w:sz w:val="21"/>
                <w:szCs w:val="21"/>
              </w:rPr>
            </w:pPr>
            <w:r w:rsidRPr="007F6332">
              <w:rPr>
                <w:rFonts w:cs="Arial"/>
                <w:sz w:val="21"/>
                <w:szCs w:val="21"/>
              </w:rPr>
              <w:t>-345</w:t>
            </w:r>
          </w:p>
        </w:tc>
        <w:tc>
          <w:tcPr>
            <w:tcW w:w="947" w:type="dxa"/>
            <w:tcBorders>
              <w:top w:val="nil"/>
              <w:left w:val="nil"/>
              <w:bottom w:val="nil"/>
              <w:right w:val="nil"/>
            </w:tcBorders>
            <w:shd w:val="clear" w:color="auto" w:fill="BFBFBF" w:themeFill="background1" w:themeFillShade="BF"/>
            <w:noWrap/>
            <w:vAlign w:val="center"/>
            <w:hideMark/>
          </w:tcPr>
          <w:p w14:paraId="0F5D64A0" w14:textId="77777777" w:rsidR="00771B61" w:rsidRPr="007F6332" w:rsidRDefault="00771B61" w:rsidP="00CD33D0">
            <w:pPr>
              <w:jc w:val="right"/>
              <w:rPr>
                <w:rFonts w:cs="Arial"/>
                <w:sz w:val="21"/>
                <w:szCs w:val="21"/>
              </w:rPr>
            </w:pPr>
            <w:r w:rsidRPr="007F6332">
              <w:rPr>
                <w:rFonts w:cs="Arial"/>
                <w:sz w:val="21"/>
                <w:szCs w:val="21"/>
              </w:rPr>
              <w:t>5,323</w:t>
            </w:r>
          </w:p>
        </w:tc>
      </w:tr>
      <w:tr w:rsidR="003D58DB" w:rsidRPr="007F6332" w14:paraId="374C24DB" w14:textId="77777777" w:rsidTr="003D58DB">
        <w:trPr>
          <w:trHeight w:val="227"/>
        </w:trPr>
        <w:tc>
          <w:tcPr>
            <w:tcW w:w="3762" w:type="dxa"/>
            <w:tcBorders>
              <w:top w:val="nil"/>
              <w:left w:val="nil"/>
              <w:bottom w:val="nil"/>
              <w:right w:val="nil"/>
            </w:tcBorders>
            <w:noWrap/>
            <w:vAlign w:val="center"/>
            <w:hideMark/>
          </w:tcPr>
          <w:p w14:paraId="0899DF21" w14:textId="77777777" w:rsidR="00771B61" w:rsidRPr="007F6332" w:rsidRDefault="00771B61" w:rsidP="00BA3C62">
            <w:pPr>
              <w:rPr>
                <w:rFonts w:cs="Arial"/>
                <w:sz w:val="21"/>
                <w:szCs w:val="21"/>
              </w:rPr>
            </w:pPr>
            <w:r w:rsidRPr="007F6332">
              <w:rPr>
                <w:rFonts w:cs="Arial"/>
                <w:b/>
                <w:bCs/>
                <w:sz w:val="21"/>
                <w:szCs w:val="21"/>
              </w:rPr>
              <w:t>Difference</w:t>
            </w:r>
            <w:r w:rsidRPr="007F6332">
              <w:rPr>
                <w:rFonts w:cs="Arial"/>
                <w:sz w:val="21"/>
                <w:szCs w:val="21"/>
              </w:rPr>
              <w:t xml:space="preserve"> Core Social Community Civic</w:t>
            </w:r>
          </w:p>
        </w:tc>
        <w:tc>
          <w:tcPr>
            <w:tcW w:w="946" w:type="dxa"/>
            <w:tcBorders>
              <w:top w:val="nil"/>
              <w:left w:val="nil"/>
              <w:bottom w:val="nil"/>
              <w:right w:val="nil"/>
            </w:tcBorders>
            <w:noWrap/>
            <w:vAlign w:val="center"/>
            <w:hideMark/>
          </w:tcPr>
          <w:p w14:paraId="1211ABD7" w14:textId="77777777" w:rsidR="00771B61" w:rsidRPr="007F6332" w:rsidRDefault="00771B61" w:rsidP="00CD33D0">
            <w:pPr>
              <w:jc w:val="right"/>
              <w:rPr>
                <w:rFonts w:cs="Arial"/>
                <w:sz w:val="21"/>
                <w:szCs w:val="21"/>
              </w:rPr>
            </w:pPr>
            <w:r w:rsidRPr="007F6332">
              <w:rPr>
                <w:rFonts w:cs="Arial"/>
                <w:sz w:val="21"/>
                <w:szCs w:val="21"/>
              </w:rPr>
              <w:t>1,758</w:t>
            </w:r>
          </w:p>
        </w:tc>
        <w:tc>
          <w:tcPr>
            <w:tcW w:w="947" w:type="dxa"/>
            <w:tcBorders>
              <w:top w:val="nil"/>
              <w:left w:val="nil"/>
              <w:bottom w:val="nil"/>
              <w:right w:val="nil"/>
            </w:tcBorders>
            <w:noWrap/>
            <w:vAlign w:val="center"/>
            <w:hideMark/>
          </w:tcPr>
          <w:p w14:paraId="4AFA0915" w14:textId="77777777" w:rsidR="00771B61" w:rsidRPr="007F6332" w:rsidRDefault="00771B61" w:rsidP="00CD33D0">
            <w:pPr>
              <w:jc w:val="right"/>
              <w:rPr>
                <w:rFonts w:cs="Arial"/>
                <w:sz w:val="21"/>
                <w:szCs w:val="21"/>
              </w:rPr>
            </w:pPr>
            <w:r w:rsidRPr="007F6332">
              <w:rPr>
                <w:rFonts w:cs="Arial"/>
                <w:sz w:val="21"/>
                <w:szCs w:val="21"/>
              </w:rPr>
              <w:t>1,711</w:t>
            </w:r>
          </w:p>
        </w:tc>
        <w:tc>
          <w:tcPr>
            <w:tcW w:w="947" w:type="dxa"/>
            <w:tcBorders>
              <w:top w:val="nil"/>
              <w:left w:val="nil"/>
              <w:bottom w:val="nil"/>
              <w:right w:val="nil"/>
            </w:tcBorders>
            <w:noWrap/>
            <w:vAlign w:val="center"/>
            <w:hideMark/>
          </w:tcPr>
          <w:p w14:paraId="753B4A62" w14:textId="77777777" w:rsidR="00771B61" w:rsidRPr="007F6332" w:rsidRDefault="00771B61" w:rsidP="00CD33D0">
            <w:pPr>
              <w:jc w:val="right"/>
              <w:rPr>
                <w:rFonts w:cs="Arial"/>
                <w:sz w:val="21"/>
                <w:szCs w:val="21"/>
              </w:rPr>
            </w:pPr>
            <w:r w:rsidRPr="007F6332">
              <w:rPr>
                <w:rFonts w:cs="Arial"/>
                <w:sz w:val="21"/>
                <w:szCs w:val="21"/>
              </w:rPr>
              <w:t>1,612</w:t>
            </w:r>
          </w:p>
        </w:tc>
        <w:tc>
          <w:tcPr>
            <w:tcW w:w="946" w:type="dxa"/>
            <w:tcBorders>
              <w:top w:val="nil"/>
              <w:left w:val="nil"/>
              <w:bottom w:val="nil"/>
              <w:right w:val="nil"/>
            </w:tcBorders>
            <w:noWrap/>
            <w:vAlign w:val="center"/>
            <w:hideMark/>
          </w:tcPr>
          <w:p w14:paraId="7EA1970C" w14:textId="77777777" w:rsidR="00771B61" w:rsidRPr="007F6332" w:rsidRDefault="00771B61" w:rsidP="00CD33D0">
            <w:pPr>
              <w:jc w:val="right"/>
              <w:rPr>
                <w:rFonts w:cs="Arial"/>
                <w:sz w:val="21"/>
                <w:szCs w:val="21"/>
              </w:rPr>
            </w:pPr>
            <w:r w:rsidRPr="007F6332">
              <w:rPr>
                <w:rFonts w:cs="Arial"/>
                <w:sz w:val="21"/>
                <w:szCs w:val="21"/>
              </w:rPr>
              <w:t>1,624</w:t>
            </w:r>
          </w:p>
        </w:tc>
        <w:tc>
          <w:tcPr>
            <w:tcW w:w="947" w:type="dxa"/>
            <w:tcBorders>
              <w:top w:val="nil"/>
              <w:left w:val="nil"/>
              <w:bottom w:val="nil"/>
              <w:right w:val="nil"/>
            </w:tcBorders>
            <w:noWrap/>
            <w:vAlign w:val="center"/>
            <w:hideMark/>
          </w:tcPr>
          <w:p w14:paraId="182C9488" w14:textId="77777777" w:rsidR="00771B61" w:rsidRPr="007F6332" w:rsidRDefault="00771B61" w:rsidP="00CD33D0">
            <w:pPr>
              <w:jc w:val="right"/>
              <w:rPr>
                <w:rFonts w:cs="Arial"/>
                <w:sz w:val="21"/>
                <w:szCs w:val="21"/>
              </w:rPr>
            </w:pPr>
            <w:r w:rsidRPr="007F6332">
              <w:rPr>
                <w:rFonts w:cs="Arial"/>
                <w:sz w:val="21"/>
                <w:szCs w:val="21"/>
              </w:rPr>
              <w:t>1,951</w:t>
            </w:r>
          </w:p>
        </w:tc>
        <w:tc>
          <w:tcPr>
            <w:tcW w:w="947" w:type="dxa"/>
            <w:tcBorders>
              <w:top w:val="nil"/>
              <w:left w:val="nil"/>
              <w:bottom w:val="nil"/>
              <w:right w:val="nil"/>
            </w:tcBorders>
            <w:noWrap/>
            <w:vAlign w:val="center"/>
            <w:hideMark/>
          </w:tcPr>
          <w:p w14:paraId="014AF1EA" w14:textId="77777777" w:rsidR="00771B61" w:rsidRPr="007F6332" w:rsidRDefault="00771B61" w:rsidP="00CD33D0">
            <w:pPr>
              <w:jc w:val="right"/>
              <w:rPr>
                <w:rFonts w:cs="Arial"/>
                <w:sz w:val="21"/>
                <w:szCs w:val="21"/>
              </w:rPr>
            </w:pPr>
            <w:r w:rsidRPr="007F6332">
              <w:rPr>
                <w:rFonts w:cs="Arial"/>
                <w:sz w:val="21"/>
                <w:szCs w:val="21"/>
              </w:rPr>
              <w:t>6,705</w:t>
            </w:r>
          </w:p>
        </w:tc>
      </w:tr>
      <w:tr w:rsidR="003D58DB" w:rsidRPr="007F6332" w14:paraId="58DC31BA"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3633D7CD" w14:textId="77777777" w:rsidR="00771B61" w:rsidRPr="007F6332" w:rsidRDefault="00771B61" w:rsidP="00BA3C62">
            <w:pPr>
              <w:rPr>
                <w:rFonts w:cs="Arial"/>
                <w:sz w:val="21"/>
                <w:szCs w:val="21"/>
              </w:rPr>
            </w:pPr>
            <w:r w:rsidRPr="007F6332">
              <w:rPr>
                <w:rFonts w:cs="Arial"/>
                <w:b/>
                <w:bCs/>
                <w:sz w:val="21"/>
                <w:szCs w:val="21"/>
              </w:rPr>
              <w:t>Difference</w:t>
            </w:r>
            <w:r w:rsidRPr="007F6332">
              <w:rPr>
                <w:rFonts w:cs="Arial"/>
                <w:sz w:val="21"/>
                <w:szCs w:val="21"/>
              </w:rPr>
              <w:t xml:space="preserve"> Core Transport</w:t>
            </w:r>
          </w:p>
        </w:tc>
        <w:tc>
          <w:tcPr>
            <w:tcW w:w="946" w:type="dxa"/>
            <w:tcBorders>
              <w:top w:val="nil"/>
              <w:left w:val="nil"/>
              <w:bottom w:val="nil"/>
              <w:right w:val="nil"/>
            </w:tcBorders>
            <w:shd w:val="clear" w:color="auto" w:fill="BFBFBF" w:themeFill="background1" w:themeFillShade="BF"/>
            <w:noWrap/>
            <w:vAlign w:val="center"/>
            <w:hideMark/>
          </w:tcPr>
          <w:p w14:paraId="7DEAB73C" w14:textId="77777777" w:rsidR="00771B61" w:rsidRPr="007F6332" w:rsidRDefault="00771B61" w:rsidP="00CD33D0">
            <w:pPr>
              <w:jc w:val="right"/>
              <w:rPr>
                <w:rFonts w:cs="Arial"/>
                <w:sz w:val="21"/>
                <w:szCs w:val="21"/>
              </w:rPr>
            </w:pPr>
            <w:r w:rsidRPr="007F6332">
              <w:rPr>
                <w:rFonts w:cs="Arial"/>
                <w:sz w:val="21"/>
                <w:szCs w:val="21"/>
              </w:rPr>
              <w:t>-173</w:t>
            </w:r>
          </w:p>
        </w:tc>
        <w:tc>
          <w:tcPr>
            <w:tcW w:w="947" w:type="dxa"/>
            <w:tcBorders>
              <w:top w:val="nil"/>
              <w:left w:val="nil"/>
              <w:bottom w:val="nil"/>
              <w:right w:val="nil"/>
            </w:tcBorders>
            <w:shd w:val="clear" w:color="auto" w:fill="BFBFBF" w:themeFill="background1" w:themeFillShade="BF"/>
            <w:noWrap/>
            <w:vAlign w:val="center"/>
            <w:hideMark/>
          </w:tcPr>
          <w:p w14:paraId="30848690" w14:textId="77777777" w:rsidR="00771B61" w:rsidRPr="007F6332" w:rsidRDefault="00771B61" w:rsidP="00CD33D0">
            <w:pPr>
              <w:jc w:val="right"/>
              <w:rPr>
                <w:rFonts w:cs="Arial"/>
                <w:sz w:val="21"/>
                <w:szCs w:val="21"/>
              </w:rPr>
            </w:pPr>
            <w:r w:rsidRPr="007F6332">
              <w:rPr>
                <w:rFonts w:cs="Arial"/>
                <w:sz w:val="21"/>
                <w:szCs w:val="21"/>
              </w:rPr>
              <w:t>-255</w:t>
            </w:r>
          </w:p>
        </w:tc>
        <w:tc>
          <w:tcPr>
            <w:tcW w:w="947" w:type="dxa"/>
            <w:tcBorders>
              <w:top w:val="nil"/>
              <w:left w:val="nil"/>
              <w:bottom w:val="nil"/>
              <w:right w:val="nil"/>
            </w:tcBorders>
            <w:shd w:val="clear" w:color="auto" w:fill="BFBFBF" w:themeFill="background1" w:themeFillShade="BF"/>
            <w:noWrap/>
            <w:vAlign w:val="center"/>
            <w:hideMark/>
          </w:tcPr>
          <w:p w14:paraId="672B0F43" w14:textId="77777777" w:rsidR="00771B61" w:rsidRPr="007F6332" w:rsidRDefault="00771B61" w:rsidP="00CD33D0">
            <w:pPr>
              <w:jc w:val="right"/>
              <w:rPr>
                <w:rFonts w:cs="Arial"/>
                <w:sz w:val="21"/>
                <w:szCs w:val="21"/>
              </w:rPr>
            </w:pPr>
            <w:r w:rsidRPr="007F6332">
              <w:rPr>
                <w:rFonts w:cs="Arial"/>
                <w:sz w:val="21"/>
                <w:szCs w:val="21"/>
              </w:rPr>
              <w:t>-351</w:t>
            </w:r>
          </w:p>
        </w:tc>
        <w:tc>
          <w:tcPr>
            <w:tcW w:w="946" w:type="dxa"/>
            <w:tcBorders>
              <w:top w:val="nil"/>
              <w:left w:val="nil"/>
              <w:bottom w:val="nil"/>
              <w:right w:val="nil"/>
            </w:tcBorders>
            <w:shd w:val="clear" w:color="auto" w:fill="BFBFBF" w:themeFill="background1" w:themeFillShade="BF"/>
            <w:noWrap/>
            <w:vAlign w:val="center"/>
            <w:hideMark/>
          </w:tcPr>
          <w:p w14:paraId="79F56C15" w14:textId="77777777" w:rsidR="00771B61" w:rsidRPr="007F6332" w:rsidRDefault="00771B61" w:rsidP="00CD33D0">
            <w:pPr>
              <w:jc w:val="right"/>
              <w:rPr>
                <w:rFonts w:cs="Arial"/>
                <w:sz w:val="21"/>
                <w:szCs w:val="21"/>
              </w:rPr>
            </w:pPr>
            <w:r w:rsidRPr="007F6332">
              <w:rPr>
                <w:rFonts w:cs="Arial"/>
                <w:sz w:val="21"/>
                <w:szCs w:val="21"/>
              </w:rPr>
              <w:t>-416</w:t>
            </w:r>
          </w:p>
        </w:tc>
        <w:tc>
          <w:tcPr>
            <w:tcW w:w="947" w:type="dxa"/>
            <w:tcBorders>
              <w:top w:val="nil"/>
              <w:left w:val="nil"/>
              <w:bottom w:val="nil"/>
              <w:right w:val="nil"/>
            </w:tcBorders>
            <w:shd w:val="clear" w:color="auto" w:fill="BFBFBF" w:themeFill="background1" w:themeFillShade="BF"/>
            <w:noWrap/>
            <w:vAlign w:val="center"/>
            <w:hideMark/>
          </w:tcPr>
          <w:p w14:paraId="57404D4D" w14:textId="77777777" w:rsidR="00771B61" w:rsidRPr="007F6332" w:rsidRDefault="00771B61" w:rsidP="00CD33D0">
            <w:pPr>
              <w:jc w:val="right"/>
              <w:rPr>
                <w:rFonts w:cs="Arial"/>
                <w:sz w:val="21"/>
                <w:szCs w:val="21"/>
              </w:rPr>
            </w:pPr>
            <w:r w:rsidRPr="007F6332">
              <w:rPr>
                <w:rFonts w:cs="Arial"/>
                <w:sz w:val="21"/>
                <w:szCs w:val="21"/>
              </w:rPr>
              <w:t>-841</w:t>
            </w:r>
          </w:p>
        </w:tc>
        <w:tc>
          <w:tcPr>
            <w:tcW w:w="947" w:type="dxa"/>
            <w:tcBorders>
              <w:top w:val="nil"/>
              <w:left w:val="nil"/>
              <w:bottom w:val="nil"/>
              <w:right w:val="nil"/>
            </w:tcBorders>
            <w:shd w:val="clear" w:color="auto" w:fill="BFBFBF" w:themeFill="background1" w:themeFillShade="BF"/>
            <w:noWrap/>
            <w:vAlign w:val="center"/>
            <w:hideMark/>
          </w:tcPr>
          <w:p w14:paraId="58E25D8F" w14:textId="77777777" w:rsidR="00771B61" w:rsidRPr="007F6332" w:rsidRDefault="00771B61" w:rsidP="00CD33D0">
            <w:pPr>
              <w:jc w:val="right"/>
              <w:rPr>
                <w:rFonts w:cs="Arial"/>
                <w:sz w:val="21"/>
                <w:szCs w:val="21"/>
              </w:rPr>
            </w:pPr>
            <w:r w:rsidRPr="007F6332">
              <w:rPr>
                <w:rFonts w:cs="Arial"/>
                <w:sz w:val="21"/>
                <w:szCs w:val="21"/>
              </w:rPr>
              <w:t>-1,195</w:t>
            </w:r>
          </w:p>
        </w:tc>
      </w:tr>
      <w:tr w:rsidR="003D58DB" w:rsidRPr="007F6332" w14:paraId="288EFD65" w14:textId="77777777" w:rsidTr="003D58DB">
        <w:trPr>
          <w:trHeight w:val="227"/>
        </w:trPr>
        <w:tc>
          <w:tcPr>
            <w:tcW w:w="3762" w:type="dxa"/>
            <w:tcBorders>
              <w:top w:val="nil"/>
              <w:left w:val="nil"/>
              <w:bottom w:val="nil"/>
              <w:right w:val="nil"/>
            </w:tcBorders>
            <w:noWrap/>
            <w:vAlign w:val="center"/>
            <w:hideMark/>
          </w:tcPr>
          <w:p w14:paraId="5C051F17" w14:textId="77777777" w:rsidR="00771B61" w:rsidRPr="007F6332" w:rsidRDefault="00771B61" w:rsidP="00BA3C62">
            <w:pPr>
              <w:rPr>
                <w:rFonts w:cs="Arial"/>
                <w:sz w:val="21"/>
                <w:szCs w:val="21"/>
              </w:rPr>
            </w:pPr>
            <w:r w:rsidRPr="007F6332">
              <w:rPr>
                <w:rFonts w:cs="Arial"/>
                <w:b/>
                <w:bCs/>
                <w:sz w:val="21"/>
                <w:szCs w:val="21"/>
              </w:rPr>
              <w:t>Difference</w:t>
            </w:r>
            <w:r w:rsidRPr="007F6332">
              <w:rPr>
                <w:rFonts w:cs="Arial"/>
                <w:sz w:val="21"/>
                <w:szCs w:val="21"/>
              </w:rPr>
              <w:t xml:space="preserve"> Core Consumables</w:t>
            </w:r>
          </w:p>
        </w:tc>
        <w:tc>
          <w:tcPr>
            <w:tcW w:w="946" w:type="dxa"/>
            <w:tcBorders>
              <w:top w:val="nil"/>
              <w:left w:val="nil"/>
              <w:bottom w:val="nil"/>
              <w:right w:val="nil"/>
            </w:tcBorders>
            <w:noWrap/>
            <w:vAlign w:val="center"/>
            <w:hideMark/>
          </w:tcPr>
          <w:p w14:paraId="4B86ADC4" w14:textId="77777777" w:rsidR="00771B61" w:rsidRPr="007F6332" w:rsidRDefault="00771B61" w:rsidP="00CD33D0">
            <w:pPr>
              <w:jc w:val="right"/>
              <w:rPr>
                <w:rFonts w:cs="Arial"/>
                <w:sz w:val="21"/>
                <w:szCs w:val="21"/>
              </w:rPr>
            </w:pPr>
            <w:r w:rsidRPr="007F6332">
              <w:rPr>
                <w:rFonts w:cs="Arial"/>
                <w:sz w:val="21"/>
                <w:szCs w:val="21"/>
              </w:rPr>
              <w:t>-33</w:t>
            </w:r>
          </w:p>
        </w:tc>
        <w:tc>
          <w:tcPr>
            <w:tcW w:w="947" w:type="dxa"/>
            <w:tcBorders>
              <w:top w:val="nil"/>
              <w:left w:val="nil"/>
              <w:bottom w:val="nil"/>
              <w:right w:val="nil"/>
            </w:tcBorders>
            <w:noWrap/>
            <w:vAlign w:val="center"/>
            <w:hideMark/>
          </w:tcPr>
          <w:p w14:paraId="08C50E13" w14:textId="77777777" w:rsidR="00771B61" w:rsidRPr="007F6332" w:rsidRDefault="00771B61" w:rsidP="00CD33D0">
            <w:pPr>
              <w:jc w:val="right"/>
              <w:rPr>
                <w:rFonts w:cs="Arial"/>
                <w:sz w:val="21"/>
                <w:szCs w:val="21"/>
              </w:rPr>
            </w:pPr>
            <w:r w:rsidRPr="007F6332">
              <w:rPr>
                <w:rFonts w:cs="Arial"/>
                <w:sz w:val="21"/>
                <w:szCs w:val="21"/>
              </w:rPr>
              <w:t>-72</w:t>
            </w:r>
          </w:p>
        </w:tc>
        <w:tc>
          <w:tcPr>
            <w:tcW w:w="947" w:type="dxa"/>
            <w:tcBorders>
              <w:top w:val="nil"/>
              <w:left w:val="nil"/>
              <w:bottom w:val="nil"/>
              <w:right w:val="nil"/>
            </w:tcBorders>
            <w:noWrap/>
            <w:vAlign w:val="center"/>
            <w:hideMark/>
          </w:tcPr>
          <w:p w14:paraId="0AB9A887" w14:textId="77777777" w:rsidR="00771B61" w:rsidRPr="007F6332" w:rsidRDefault="00771B61" w:rsidP="00CD33D0">
            <w:pPr>
              <w:jc w:val="right"/>
              <w:rPr>
                <w:rFonts w:cs="Arial"/>
                <w:sz w:val="21"/>
                <w:szCs w:val="21"/>
              </w:rPr>
            </w:pPr>
            <w:r w:rsidRPr="007F6332">
              <w:rPr>
                <w:rFonts w:cs="Arial"/>
                <w:sz w:val="21"/>
                <w:szCs w:val="21"/>
              </w:rPr>
              <w:t>-119</w:t>
            </w:r>
          </w:p>
        </w:tc>
        <w:tc>
          <w:tcPr>
            <w:tcW w:w="946" w:type="dxa"/>
            <w:tcBorders>
              <w:top w:val="nil"/>
              <w:left w:val="nil"/>
              <w:bottom w:val="nil"/>
              <w:right w:val="nil"/>
            </w:tcBorders>
            <w:noWrap/>
            <w:vAlign w:val="center"/>
            <w:hideMark/>
          </w:tcPr>
          <w:p w14:paraId="0F82EA4F" w14:textId="77777777" w:rsidR="00771B61" w:rsidRPr="007F6332" w:rsidRDefault="00771B61" w:rsidP="00CD33D0">
            <w:pPr>
              <w:jc w:val="right"/>
              <w:rPr>
                <w:rFonts w:cs="Arial"/>
                <w:sz w:val="21"/>
                <w:szCs w:val="21"/>
              </w:rPr>
            </w:pPr>
            <w:r w:rsidRPr="007F6332">
              <w:rPr>
                <w:rFonts w:cs="Arial"/>
                <w:sz w:val="21"/>
                <w:szCs w:val="21"/>
              </w:rPr>
              <w:t>-148</w:t>
            </w:r>
          </w:p>
        </w:tc>
        <w:tc>
          <w:tcPr>
            <w:tcW w:w="947" w:type="dxa"/>
            <w:tcBorders>
              <w:top w:val="nil"/>
              <w:left w:val="nil"/>
              <w:bottom w:val="nil"/>
              <w:right w:val="nil"/>
            </w:tcBorders>
            <w:noWrap/>
            <w:vAlign w:val="center"/>
            <w:hideMark/>
          </w:tcPr>
          <w:p w14:paraId="2C639312" w14:textId="77777777" w:rsidR="00771B61" w:rsidRPr="007F6332" w:rsidRDefault="00771B61" w:rsidP="00CD33D0">
            <w:pPr>
              <w:jc w:val="right"/>
              <w:rPr>
                <w:rFonts w:cs="Arial"/>
                <w:sz w:val="21"/>
                <w:szCs w:val="21"/>
              </w:rPr>
            </w:pPr>
            <w:r w:rsidRPr="007F6332">
              <w:rPr>
                <w:rFonts w:cs="Arial"/>
                <w:sz w:val="21"/>
                <w:szCs w:val="21"/>
              </w:rPr>
              <w:t>-355</w:t>
            </w:r>
          </w:p>
        </w:tc>
        <w:tc>
          <w:tcPr>
            <w:tcW w:w="947" w:type="dxa"/>
            <w:tcBorders>
              <w:top w:val="nil"/>
              <w:left w:val="nil"/>
              <w:bottom w:val="nil"/>
              <w:right w:val="nil"/>
            </w:tcBorders>
            <w:noWrap/>
            <w:vAlign w:val="center"/>
            <w:hideMark/>
          </w:tcPr>
          <w:p w14:paraId="030DE020" w14:textId="77777777" w:rsidR="00771B61" w:rsidRPr="007F6332" w:rsidRDefault="00771B61" w:rsidP="00CD33D0">
            <w:pPr>
              <w:jc w:val="right"/>
              <w:rPr>
                <w:rFonts w:cs="Arial"/>
                <w:sz w:val="21"/>
                <w:szCs w:val="21"/>
              </w:rPr>
            </w:pPr>
            <w:r w:rsidRPr="007F6332">
              <w:rPr>
                <w:rFonts w:cs="Arial"/>
                <w:sz w:val="21"/>
                <w:szCs w:val="21"/>
              </w:rPr>
              <w:t>-372</w:t>
            </w:r>
          </w:p>
        </w:tc>
      </w:tr>
      <w:tr w:rsidR="003D58DB" w:rsidRPr="007F6332" w14:paraId="3FFBB7B4"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4E25F323" w14:textId="77777777" w:rsidR="00771B61" w:rsidRPr="007F6332" w:rsidRDefault="00771B61" w:rsidP="00BA3C62">
            <w:pPr>
              <w:rPr>
                <w:rFonts w:cs="Arial"/>
                <w:sz w:val="21"/>
                <w:szCs w:val="21"/>
              </w:rPr>
            </w:pPr>
            <w:r w:rsidRPr="007F6332">
              <w:rPr>
                <w:rFonts w:cs="Arial"/>
                <w:b/>
                <w:bCs/>
                <w:sz w:val="21"/>
                <w:szCs w:val="21"/>
              </w:rPr>
              <w:t>Difference</w:t>
            </w:r>
            <w:r w:rsidRPr="007F6332">
              <w:rPr>
                <w:rFonts w:cs="Arial"/>
                <w:sz w:val="21"/>
                <w:szCs w:val="21"/>
              </w:rPr>
              <w:t xml:space="preserve"> Capital </w:t>
            </w:r>
          </w:p>
        </w:tc>
        <w:tc>
          <w:tcPr>
            <w:tcW w:w="946" w:type="dxa"/>
            <w:tcBorders>
              <w:top w:val="nil"/>
              <w:left w:val="nil"/>
              <w:bottom w:val="nil"/>
              <w:right w:val="nil"/>
            </w:tcBorders>
            <w:shd w:val="clear" w:color="auto" w:fill="BFBFBF" w:themeFill="background1" w:themeFillShade="BF"/>
            <w:noWrap/>
            <w:vAlign w:val="center"/>
            <w:hideMark/>
          </w:tcPr>
          <w:p w14:paraId="20ED5764" w14:textId="77777777" w:rsidR="00771B61" w:rsidRPr="007F6332" w:rsidRDefault="00771B61" w:rsidP="00CD33D0">
            <w:pPr>
              <w:jc w:val="right"/>
              <w:rPr>
                <w:rFonts w:cs="Arial"/>
                <w:sz w:val="21"/>
                <w:szCs w:val="21"/>
              </w:rPr>
            </w:pPr>
            <w:r w:rsidRPr="007F6332">
              <w:rPr>
                <w:rFonts w:cs="Arial"/>
                <w:sz w:val="21"/>
                <w:szCs w:val="21"/>
              </w:rPr>
              <w:t>-51</w:t>
            </w:r>
          </w:p>
        </w:tc>
        <w:tc>
          <w:tcPr>
            <w:tcW w:w="947" w:type="dxa"/>
            <w:tcBorders>
              <w:top w:val="nil"/>
              <w:left w:val="nil"/>
              <w:bottom w:val="nil"/>
              <w:right w:val="nil"/>
            </w:tcBorders>
            <w:shd w:val="clear" w:color="auto" w:fill="BFBFBF" w:themeFill="background1" w:themeFillShade="BF"/>
            <w:noWrap/>
            <w:vAlign w:val="center"/>
            <w:hideMark/>
          </w:tcPr>
          <w:p w14:paraId="4C3E4A5B" w14:textId="77777777" w:rsidR="00771B61" w:rsidRPr="007F6332" w:rsidRDefault="00771B61" w:rsidP="00CD33D0">
            <w:pPr>
              <w:jc w:val="right"/>
              <w:rPr>
                <w:rFonts w:cs="Arial"/>
                <w:sz w:val="21"/>
                <w:szCs w:val="21"/>
              </w:rPr>
            </w:pPr>
            <w:r w:rsidRPr="007F6332">
              <w:rPr>
                <w:rFonts w:cs="Arial"/>
                <w:sz w:val="21"/>
                <w:szCs w:val="21"/>
              </w:rPr>
              <w:t>-104</w:t>
            </w:r>
          </w:p>
        </w:tc>
        <w:tc>
          <w:tcPr>
            <w:tcW w:w="947" w:type="dxa"/>
            <w:tcBorders>
              <w:top w:val="nil"/>
              <w:left w:val="nil"/>
              <w:bottom w:val="nil"/>
              <w:right w:val="nil"/>
            </w:tcBorders>
            <w:shd w:val="clear" w:color="auto" w:fill="BFBFBF" w:themeFill="background1" w:themeFillShade="BF"/>
            <w:noWrap/>
            <w:vAlign w:val="center"/>
            <w:hideMark/>
          </w:tcPr>
          <w:p w14:paraId="0CB7534A" w14:textId="77777777" w:rsidR="00771B61" w:rsidRPr="007F6332" w:rsidRDefault="00771B61" w:rsidP="00CD33D0">
            <w:pPr>
              <w:jc w:val="right"/>
              <w:rPr>
                <w:rFonts w:cs="Arial"/>
                <w:sz w:val="21"/>
                <w:szCs w:val="21"/>
              </w:rPr>
            </w:pPr>
            <w:r w:rsidRPr="007F6332">
              <w:rPr>
                <w:rFonts w:cs="Arial"/>
                <w:sz w:val="21"/>
                <w:szCs w:val="21"/>
              </w:rPr>
              <w:t>-173</w:t>
            </w:r>
          </w:p>
        </w:tc>
        <w:tc>
          <w:tcPr>
            <w:tcW w:w="946" w:type="dxa"/>
            <w:tcBorders>
              <w:top w:val="nil"/>
              <w:left w:val="nil"/>
              <w:bottom w:val="nil"/>
              <w:right w:val="nil"/>
            </w:tcBorders>
            <w:shd w:val="clear" w:color="auto" w:fill="BFBFBF" w:themeFill="background1" w:themeFillShade="BF"/>
            <w:noWrap/>
            <w:vAlign w:val="center"/>
            <w:hideMark/>
          </w:tcPr>
          <w:p w14:paraId="7002E345" w14:textId="77777777" w:rsidR="00771B61" w:rsidRPr="007F6332" w:rsidRDefault="00771B61" w:rsidP="00CD33D0">
            <w:pPr>
              <w:jc w:val="right"/>
              <w:rPr>
                <w:rFonts w:cs="Arial"/>
                <w:sz w:val="21"/>
                <w:szCs w:val="21"/>
              </w:rPr>
            </w:pPr>
            <w:r w:rsidRPr="007F6332">
              <w:rPr>
                <w:rFonts w:cs="Arial"/>
                <w:sz w:val="21"/>
                <w:szCs w:val="21"/>
              </w:rPr>
              <w:t>-221</w:t>
            </w:r>
          </w:p>
        </w:tc>
        <w:tc>
          <w:tcPr>
            <w:tcW w:w="947" w:type="dxa"/>
            <w:tcBorders>
              <w:top w:val="nil"/>
              <w:left w:val="nil"/>
              <w:bottom w:val="nil"/>
              <w:right w:val="nil"/>
            </w:tcBorders>
            <w:shd w:val="clear" w:color="auto" w:fill="BFBFBF" w:themeFill="background1" w:themeFillShade="BF"/>
            <w:noWrap/>
            <w:vAlign w:val="center"/>
            <w:hideMark/>
          </w:tcPr>
          <w:p w14:paraId="39D5C068" w14:textId="77777777" w:rsidR="00771B61" w:rsidRPr="007F6332" w:rsidRDefault="00771B61" w:rsidP="00CD33D0">
            <w:pPr>
              <w:jc w:val="right"/>
              <w:rPr>
                <w:rFonts w:cs="Arial"/>
                <w:sz w:val="21"/>
                <w:szCs w:val="21"/>
              </w:rPr>
            </w:pPr>
            <w:r w:rsidRPr="007F6332">
              <w:rPr>
                <w:rFonts w:cs="Arial"/>
                <w:sz w:val="21"/>
                <w:szCs w:val="21"/>
              </w:rPr>
              <w:t>-517</w:t>
            </w:r>
          </w:p>
        </w:tc>
        <w:tc>
          <w:tcPr>
            <w:tcW w:w="947" w:type="dxa"/>
            <w:tcBorders>
              <w:top w:val="nil"/>
              <w:left w:val="nil"/>
              <w:bottom w:val="nil"/>
              <w:right w:val="nil"/>
            </w:tcBorders>
            <w:shd w:val="clear" w:color="auto" w:fill="BFBFBF" w:themeFill="background1" w:themeFillShade="BF"/>
            <w:noWrap/>
            <w:vAlign w:val="center"/>
            <w:hideMark/>
          </w:tcPr>
          <w:p w14:paraId="584336D0" w14:textId="77777777" w:rsidR="00771B61" w:rsidRPr="007F6332" w:rsidRDefault="00771B61" w:rsidP="00CD33D0">
            <w:pPr>
              <w:jc w:val="right"/>
              <w:rPr>
                <w:rFonts w:cs="Arial"/>
                <w:sz w:val="21"/>
                <w:szCs w:val="21"/>
              </w:rPr>
            </w:pPr>
            <w:r w:rsidRPr="007F6332">
              <w:rPr>
                <w:rFonts w:cs="Arial"/>
                <w:sz w:val="21"/>
                <w:szCs w:val="21"/>
              </w:rPr>
              <w:t>-549</w:t>
            </w:r>
          </w:p>
        </w:tc>
      </w:tr>
      <w:tr w:rsidR="003D58DB" w:rsidRPr="007F6332" w14:paraId="322CBC8C" w14:textId="77777777" w:rsidTr="003D58DB">
        <w:trPr>
          <w:trHeight w:val="227"/>
        </w:trPr>
        <w:tc>
          <w:tcPr>
            <w:tcW w:w="3762" w:type="dxa"/>
            <w:tcBorders>
              <w:top w:val="nil"/>
              <w:left w:val="nil"/>
              <w:bottom w:val="nil"/>
              <w:right w:val="nil"/>
            </w:tcBorders>
            <w:noWrap/>
            <w:vAlign w:val="center"/>
            <w:hideMark/>
          </w:tcPr>
          <w:p w14:paraId="39C60938" w14:textId="77777777" w:rsidR="00771B61" w:rsidRPr="007F6332" w:rsidRDefault="00771B61" w:rsidP="00BA3C62">
            <w:pPr>
              <w:rPr>
                <w:rFonts w:cs="Arial"/>
                <w:sz w:val="21"/>
                <w:szCs w:val="21"/>
              </w:rPr>
            </w:pPr>
            <w:r w:rsidRPr="007F6332">
              <w:rPr>
                <w:rFonts w:cs="Arial"/>
                <w:b/>
                <w:bCs/>
                <w:sz w:val="21"/>
                <w:szCs w:val="21"/>
              </w:rPr>
              <w:t>Difference</w:t>
            </w:r>
            <w:r w:rsidRPr="007F6332">
              <w:rPr>
                <w:rFonts w:cs="Arial"/>
                <w:sz w:val="21"/>
                <w:szCs w:val="21"/>
              </w:rPr>
              <w:t xml:space="preserve"> Capacity Building </w:t>
            </w:r>
          </w:p>
        </w:tc>
        <w:tc>
          <w:tcPr>
            <w:tcW w:w="946" w:type="dxa"/>
            <w:tcBorders>
              <w:top w:val="nil"/>
              <w:left w:val="nil"/>
              <w:bottom w:val="nil"/>
              <w:right w:val="nil"/>
            </w:tcBorders>
            <w:noWrap/>
            <w:vAlign w:val="center"/>
            <w:hideMark/>
          </w:tcPr>
          <w:p w14:paraId="7D5C752B" w14:textId="77777777" w:rsidR="00771B61" w:rsidRPr="007F6332" w:rsidRDefault="00771B61" w:rsidP="00CD33D0">
            <w:pPr>
              <w:jc w:val="right"/>
              <w:rPr>
                <w:rFonts w:cs="Arial"/>
                <w:sz w:val="21"/>
                <w:szCs w:val="21"/>
              </w:rPr>
            </w:pPr>
            <w:r w:rsidRPr="007F6332">
              <w:rPr>
                <w:rFonts w:cs="Arial"/>
                <w:sz w:val="21"/>
                <w:szCs w:val="21"/>
              </w:rPr>
              <w:t>99</w:t>
            </w:r>
          </w:p>
        </w:tc>
        <w:tc>
          <w:tcPr>
            <w:tcW w:w="947" w:type="dxa"/>
            <w:tcBorders>
              <w:top w:val="nil"/>
              <w:left w:val="nil"/>
              <w:bottom w:val="nil"/>
              <w:right w:val="nil"/>
            </w:tcBorders>
            <w:noWrap/>
            <w:vAlign w:val="center"/>
            <w:hideMark/>
          </w:tcPr>
          <w:p w14:paraId="5F07EBEE" w14:textId="77777777" w:rsidR="00771B61" w:rsidRPr="007F6332" w:rsidRDefault="00771B61" w:rsidP="00CD33D0">
            <w:pPr>
              <w:jc w:val="right"/>
              <w:rPr>
                <w:rFonts w:cs="Arial"/>
                <w:sz w:val="21"/>
                <w:szCs w:val="21"/>
              </w:rPr>
            </w:pPr>
            <w:r w:rsidRPr="007F6332">
              <w:rPr>
                <w:rFonts w:cs="Arial"/>
                <w:sz w:val="21"/>
                <w:szCs w:val="21"/>
              </w:rPr>
              <w:t>-463</w:t>
            </w:r>
          </w:p>
        </w:tc>
        <w:tc>
          <w:tcPr>
            <w:tcW w:w="947" w:type="dxa"/>
            <w:tcBorders>
              <w:top w:val="nil"/>
              <w:left w:val="nil"/>
              <w:bottom w:val="nil"/>
              <w:right w:val="nil"/>
            </w:tcBorders>
            <w:noWrap/>
            <w:vAlign w:val="center"/>
            <w:hideMark/>
          </w:tcPr>
          <w:p w14:paraId="4DF2E64C" w14:textId="77777777" w:rsidR="00771B61" w:rsidRPr="007F6332" w:rsidRDefault="00771B61" w:rsidP="00CD33D0">
            <w:pPr>
              <w:jc w:val="right"/>
              <w:rPr>
                <w:rFonts w:cs="Arial"/>
                <w:sz w:val="21"/>
                <w:szCs w:val="21"/>
              </w:rPr>
            </w:pPr>
            <w:r w:rsidRPr="007F6332">
              <w:rPr>
                <w:rFonts w:cs="Arial"/>
                <w:sz w:val="21"/>
                <w:szCs w:val="21"/>
              </w:rPr>
              <w:t>-1,448</w:t>
            </w:r>
          </w:p>
        </w:tc>
        <w:tc>
          <w:tcPr>
            <w:tcW w:w="946" w:type="dxa"/>
            <w:tcBorders>
              <w:top w:val="nil"/>
              <w:left w:val="nil"/>
              <w:bottom w:val="nil"/>
              <w:right w:val="nil"/>
            </w:tcBorders>
            <w:noWrap/>
            <w:vAlign w:val="center"/>
            <w:hideMark/>
          </w:tcPr>
          <w:p w14:paraId="7A79CD78" w14:textId="77777777" w:rsidR="00771B61" w:rsidRPr="007F6332" w:rsidRDefault="00771B61" w:rsidP="00CD33D0">
            <w:pPr>
              <w:jc w:val="right"/>
              <w:rPr>
                <w:rFonts w:cs="Arial"/>
                <w:sz w:val="21"/>
                <w:szCs w:val="21"/>
              </w:rPr>
            </w:pPr>
            <w:r w:rsidRPr="007F6332">
              <w:rPr>
                <w:rFonts w:cs="Arial"/>
                <w:sz w:val="21"/>
                <w:szCs w:val="21"/>
              </w:rPr>
              <w:t>-1,782</w:t>
            </w:r>
          </w:p>
        </w:tc>
        <w:tc>
          <w:tcPr>
            <w:tcW w:w="947" w:type="dxa"/>
            <w:tcBorders>
              <w:top w:val="nil"/>
              <w:left w:val="nil"/>
              <w:bottom w:val="nil"/>
              <w:right w:val="nil"/>
            </w:tcBorders>
            <w:noWrap/>
            <w:vAlign w:val="center"/>
            <w:hideMark/>
          </w:tcPr>
          <w:p w14:paraId="2DCC68F5" w14:textId="77777777" w:rsidR="00771B61" w:rsidRPr="007F6332" w:rsidRDefault="00771B61" w:rsidP="00CD33D0">
            <w:pPr>
              <w:jc w:val="right"/>
              <w:rPr>
                <w:rFonts w:cs="Arial"/>
                <w:sz w:val="21"/>
                <w:szCs w:val="21"/>
              </w:rPr>
            </w:pPr>
            <w:r w:rsidRPr="007F6332">
              <w:rPr>
                <w:rFonts w:cs="Arial"/>
                <w:sz w:val="21"/>
                <w:szCs w:val="21"/>
              </w:rPr>
              <w:t>-4,107</w:t>
            </w:r>
          </w:p>
        </w:tc>
        <w:tc>
          <w:tcPr>
            <w:tcW w:w="947" w:type="dxa"/>
            <w:tcBorders>
              <w:top w:val="nil"/>
              <w:left w:val="nil"/>
              <w:bottom w:val="nil"/>
              <w:right w:val="nil"/>
            </w:tcBorders>
            <w:noWrap/>
            <w:vAlign w:val="center"/>
            <w:hideMark/>
          </w:tcPr>
          <w:p w14:paraId="15E35C4B" w14:textId="77777777" w:rsidR="00771B61" w:rsidRPr="007F6332" w:rsidRDefault="00771B61" w:rsidP="00CD33D0">
            <w:pPr>
              <w:jc w:val="right"/>
              <w:rPr>
                <w:rFonts w:cs="Arial"/>
                <w:sz w:val="21"/>
                <w:szCs w:val="21"/>
              </w:rPr>
            </w:pPr>
            <w:r w:rsidRPr="007F6332">
              <w:rPr>
                <w:rFonts w:cs="Arial"/>
                <w:sz w:val="21"/>
                <w:szCs w:val="21"/>
              </w:rPr>
              <w:t>-3,594</w:t>
            </w:r>
          </w:p>
        </w:tc>
      </w:tr>
      <w:tr w:rsidR="003D58DB" w:rsidRPr="007F6332" w14:paraId="57AD73C1" w14:textId="77777777" w:rsidTr="003D58DB">
        <w:trPr>
          <w:trHeight w:val="227"/>
        </w:trPr>
        <w:tc>
          <w:tcPr>
            <w:tcW w:w="3762" w:type="dxa"/>
            <w:tcBorders>
              <w:top w:val="nil"/>
              <w:left w:val="nil"/>
              <w:bottom w:val="nil"/>
              <w:right w:val="nil"/>
            </w:tcBorders>
            <w:shd w:val="clear" w:color="auto" w:fill="B499B7"/>
            <w:noWrap/>
            <w:vAlign w:val="center"/>
            <w:hideMark/>
          </w:tcPr>
          <w:p w14:paraId="2FBBCD70" w14:textId="34553B9B" w:rsidR="00771B61" w:rsidRPr="007F6332" w:rsidRDefault="00771B61" w:rsidP="00BA3C62">
            <w:pPr>
              <w:rPr>
                <w:rFonts w:cs="Arial"/>
                <w:b/>
                <w:bCs/>
                <w:sz w:val="21"/>
                <w:szCs w:val="21"/>
              </w:rPr>
            </w:pPr>
            <w:r w:rsidRPr="007F6332">
              <w:rPr>
                <w:rFonts w:cs="Arial"/>
                <w:b/>
                <w:bCs/>
                <w:sz w:val="21"/>
                <w:szCs w:val="21"/>
              </w:rPr>
              <w:t>Total</w:t>
            </w:r>
            <w:r w:rsidR="003D58DB" w:rsidRPr="007F6332">
              <w:rPr>
                <w:rFonts w:cs="Arial"/>
                <w:b/>
                <w:bCs/>
                <w:sz w:val="21"/>
                <w:szCs w:val="21"/>
              </w:rPr>
              <w:t xml:space="preserve"> Difference</w:t>
            </w:r>
          </w:p>
        </w:tc>
        <w:tc>
          <w:tcPr>
            <w:tcW w:w="946" w:type="dxa"/>
            <w:tcBorders>
              <w:top w:val="nil"/>
              <w:left w:val="nil"/>
              <w:bottom w:val="nil"/>
              <w:right w:val="nil"/>
            </w:tcBorders>
            <w:shd w:val="clear" w:color="auto" w:fill="B499B7"/>
            <w:noWrap/>
            <w:vAlign w:val="center"/>
            <w:hideMark/>
          </w:tcPr>
          <w:p w14:paraId="52C52125" w14:textId="77777777" w:rsidR="00771B61" w:rsidRPr="007F6332" w:rsidRDefault="00771B61" w:rsidP="00CD33D0">
            <w:pPr>
              <w:jc w:val="right"/>
              <w:rPr>
                <w:rFonts w:cs="Arial"/>
                <w:b/>
                <w:bCs/>
                <w:sz w:val="21"/>
                <w:szCs w:val="21"/>
              </w:rPr>
            </w:pPr>
            <w:r w:rsidRPr="007F6332">
              <w:rPr>
                <w:rFonts w:cs="Arial"/>
                <w:b/>
                <w:bCs/>
                <w:sz w:val="21"/>
                <w:szCs w:val="21"/>
              </w:rPr>
              <w:t>3,346</w:t>
            </w:r>
          </w:p>
        </w:tc>
        <w:tc>
          <w:tcPr>
            <w:tcW w:w="947" w:type="dxa"/>
            <w:tcBorders>
              <w:top w:val="nil"/>
              <w:left w:val="nil"/>
              <w:bottom w:val="nil"/>
              <w:right w:val="nil"/>
            </w:tcBorders>
            <w:shd w:val="clear" w:color="auto" w:fill="B499B7"/>
            <w:noWrap/>
            <w:vAlign w:val="center"/>
            <w:hideMark/>
          </w:tcPr>
          <w:p w14:paraId="6F957203" w14:textId="77777777" w:rsidR="00771B61" w:rsidRPr="007F6332" w:rsidRDefault="00771B61" w:rsidP="00CD33D0">
            <w:pPr>
              <w:jc w:val="right"/>
              <w:rPr>
                <w:rFonts w:cs="Arial"/>
                <w:b/>
                <w:bCs/>
                <w:sz w:val="21"/>
                <w:szCs w:val="21"/>
              </w:rPr>
            </w:pPr>
            <w:r w:rsidRPr="007F6332">
              <w:rPr>
                <w:rFonts w:cs="Arial"/>
                <w:b/>
                <w:bCs/>
                <w:sz w:val="21"/>
                <w:szCs w:val="21"/>
              </w:rPr>
              <w:t>2,413</w:t>
            </w:r>
          </w:p>
        </w:tc>
        <w:tc>
          <w:tcPr>
            <w:tcW w:w="947" w:type="dxa"/>
            <w:tcBorders>
              <w:top w:val="nil"/>
              <w:left w:val="nil"/>
              <w:bottom w:val="nil"/>
              <w:right w:val="nil"/>
            </w:tcBorders>
            <w:shd w:val="clear" w:color="auto" w:fill="B499B7"/>
            <w:noWrap/>
            <w:vAlign w:val="center"/>
            <w:hideMark/>
          </w:tcPr>
          <w:p w14:paraId="5343DAAB" w14:textId="77777777" w:rsidR="00771B61" w:rsidRPr="007F6332" w:rsidRDefault="00771B61" w:rsidP="00CD33D0">
            <w:pPr>
              <w:jc w:val="right"/>
              <w:rPr>
                <w:rFonts w:cs="Arial"/>
                <w:b/>
                <w:bCs/>
                <w:sz w:val="21"/>
                <w:szCs w:val="21"/>
              </w:rPr>
            </w:pPr>
            <w:r w:rsidRPr="007F6332">
              <w:rPr>
                <w:rFonts w:cs="Arial"/>
                <w:b/>
                <w:bCs/>
                <w:sz w:val="21"/>
                <w:szCs w:val="21"/>
              </w:rPr>
              <w:t>640</w:t>
            </w:r>
          </w:p>
        </w:tc>
        <w:tc>
          <w:tcPr>
            <w:tcW w:w="946" w:type="dxa"/>
            <w:tcBorders>
              <w:top w:val="nil"/>
              <w:left w:val="nil"/>
              <w:bottom w:val="nil"/>
              <w:right w:val="nil"/>
            </w:tcBorders>
            <w:shd w:val="clear" w:color="auto" w:fill="B499B7"/>
            <w:noWrap/>
            <w:vAlign w:val="center"/>
            <w:hideMark/>
          </w:tcPr>
          <w:p w14:paraId="6D28BC71" w14:textId="77777777" w:rsidR="00771B61" w:rsidRPr="007F6332" w:rsidRDefault="00771B61" w:rsidP="00CD33D0">
            <w:pPr>
              <w:jc w:val="right"/>
              <w:rPr>
                <w:rFonts w:cs="Arial"/>
                <w:b/>
                <w:bCs/>
                <w:sz w:val="21"/>
                <w:szCs w:val="21"/>
              </w:rPr>
            </w:pPr>
            <w:r w:rsidRPr="007F6332">
              <w:rPr>
                <w:rFonts w:cs="Arial"/>
                <w:b/>
                <w:bCs/>
                <w:sz w:val="21"/>
                <w:szCs w:val="21"/>
              </w:rPr>
              <w:t>-80</w:t>
            </w:r>
          </w:p>
        </w:tc>
        <w:tc>
          <w:tcPr>
            <w:tcW w:w="947" w:type="dxa"/>
            <w:tcBorders>
              <w:top w:val="nil"/>
              <w:left w:val="nil"/>
              <w:bottom w:val="nil"/>
              <w:right w:val="nil"/>
            </w:tcBorders>
            <w:shd w:val="clear" w:color="auto" w:fill="B499B7"/>
            <w:noWrap/>
            <w:vAlign w:val="center"/>
            <w:hideMark/>
          </w:tcPr>
          <w:p w14:paraId="4ED23196" w14:textId="77777777" w:rsidR="00771B61" w:rsidRPr="007F6332" w:rsidRDefault="00771B61" w:rsidP="00CD33D0">
            <w:pPr>
              <w:jc w:val="right"/>
              <w:rPr>
                <w:rFonts w:cs="Arial"/>
                <w:b/>
                <w:bCs/>
                <w:sz w:val="21"/>
                <w:szCs w:val="21"/>
              </w:rPr>
            </w:pPr>
            <w:r w:rsidRPr="007F6332">
              <w:rPr>
                <w:rFonts w:cs="Arial"/>
                <w:b/>
                <w:bCs/>
                <w:sz w:val="21"/>
                <w:szCs w:val="21"/>
              </w:rPr>
              <w:t>-4,214</w:t>
            </w:r>
          </w:p>
        </w:tc>
        <w:tc>
          <w:tcPr>
            <w:tcW w:w="947" w:type="dxa"/>
            <w:tcBorders>
              <w:top w:val="nil"/>
              <w:left w:val="nil"/>
              <w:bottom w:val="nil"/>
              <w:right w:val="nil"/>
            </w:tcBorders>
            <w:shd w:val="clear" w:color="auto" w:fill="B499B7"/>
            <w:noWrap/>
            <w:vAlign w:val="center"/>
            <w:hideMark/>
          </w:tcPr>
          <w:p w14:paraId="70C52F1E" w14:textId="77777777" w:rsidR="00771B61" w:rsidRPr="007F6332" w:rsidRDefault="00771B61" w:rsidP="00CD33D0">
            <w:pPr>
              <w:jc w:val="right"/>
              <w:rPr>
                <w:rFonts w:cs="Arial"/>
                <w:b/>
                <w:bCs/>
                <w:sz w:val="21"/>
                <w:szCs w:val="21"/>
              </w:rPr>
            </w:pPr>
            <w:r w:rsidRPr="007F6332">
              <w:rPr>
                <w:rFonts w:cs="Arial"/>
                <w:b/>
                <w:bCs/>
                <w:sz w:val="21"/>
                <w:szCs w:val="21"/>
              </w:rPr>
              <w:t>6,319</w:t>
            </w:r>
          </w:p>
        </w:tc>
      </w:tr>
      <w:tr w:rsidR="003D58DB" w:rsidRPr="007F6332" w14:paraId="01B1243F"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343E95A5" w14:textId="77777777" w:rsidR="00771B61" w:rsidRPr="007F6332" w:rsidRDefault="00771B61" w:rsidP="00BA3C62">
            <w:pPr>
              <w:rPr>
                <w:rFonts w:cs="Arial"/>
                <w:sz w:val="21"/>
                <w:szCs w:val="21"/>
              </w:rPr>
            </w:pPr>
            <w:r w:rsidRPr="007F6332">
              <w:rPr>
                <w:rFonts w:cs="Arial"/>
                <w:b/>
                <w:bCs/>
                <w:sz w:val="21"/>
                <w:szCs w:val="21"/>
              </w:rPr>
              <w:t>% Difference</w:t>
            </w:r>
            <w:r w:rsidRPr="007F6332">
              <w:rPr>
                <w:rFonts w:cs="Arial"/>
                <w:sz w:val="21"/>
                <w:szCs w:val="21"/>
              </w:rPr>
              <w:t xml:space="preserve"> Core Daily Activities</w:t>
            </w:r>
          </w:p>
        </w:tc>
        <w:tc>
          <w:tcPr>
            <w:tcW w:w="946" w:type="dxa"/>
            <w:tcBorders>
              <w:top w:val="nil"/>
              <w:left w:val="nil"/>
              <w:bottom w:val="nil"/>
              <w:right w:val="nil"/>
            </w:tcBorders>
            <w:shd w:val="clear" w:color="auto" w:fill="BFBFBF" w:themeFill="background1" w:themeFillShade="BF"/>
            <w:noWrap/>
            <w:vAlign w:val="center"/>
            <w:hideMark/>
          </w:tcPr>
          <w:p w14:paraId="5FFFAF4F" w14:textId="77777777" w:rsidR="00771B61" w:rsidRPr="007F6332" w:rsidRDefault="00771B61" w:rsidP="00CD33D0">
            <w:pPr>
              <w:jc w:val="right"/>
              <w:rPr>
                <w:rFonts w:cs="Arial"/>
                <w:sz w:val="21"/>
                <w:szCs w:val="21"/>
              </w:rPr>
            </w:pPr>
            <w:r w:rsidRPr="007F6332">
              <w:rPr>
                <w:rFonts w:cs="Arial"/>
                <w:sz w:val="21"/>
                <w:szCs w:val="21"/>
              </w:rPr>
              <w:t>9%</w:t>
            </w:r>
          </w:p>
        </w:tc>
        <w:tc>
          <w:tcPr>
            <w:tcW w:w="947" w:type="dxa"/>
            <w:tcBorders>
              <w:top w:val="nil"/>
              <w:left w:val="nil"/>
              <w:bottom w:val="nil"/>
              <w:right w:val="nil"/>
            </w:tcBorders>
            <w:shd w:val="clear" w:color="auto" w:fill="BFBFBF" w:themeFill="background1" w:themeFillShade="BF"/>
            <w:noWrap/>
            <w:vAlign w:val="center"/>
            <w:hideMark/>
          </w:tcPr>
          <w:p w14:paraId="6EF557C4" w14:textId="77777777" w:rsidR="00771B61" w:rsidRPr="007F6332" w:rsidRDefault="00771B61" w:rsidP="00CD33D0">
            <w:pPr>
              <w:jc w:val="right"/>
              <w:rPr>
                <w:rFonts w:cs="Arial"/>
                <w:sz w:val="21"/>
                <w:szCs w:val="21"/>
              </w:rPr>
            </w:pPr>
            <w:r w:rsidRPr="007F6332">
              <w:rPr>
                <w:rFonts w:cs="Arial"/>
                <w:sz w:val="21"/>
                <w:szCs w:val="21"/>
              </w:rPr>
              <w:t>7%</w:t>
            </w:r>
          </w:p>
        </w:tc>
        <w:tc>
          <w:tcPr>
            <w:tcW w:w="947" w:type="dxa"/>
            <w:tcBorders>
              <w:top w:val="nil"/>
              <w:left w:val="nil"/>
              <w:bottom w:val="nil"/>
              <w:right w:val="nil"/>
            </w:tcBorders>
            <w:shd w:val="clear" w:color="auto" w:fill="BFBFBF" w:themeFill="background1" w:themeFillShade="BF"/>
            <w:noWrap/>
            <w:vAlign w:val="center"/>
            <w:hideMark/>
          </w:tcPr>
          <w:p w14:paraId="5534F3E3" w14:textId="77777777" w:rsidR="00771B61" w:rsidRPr="007F6332" w:rsidRDefault="00771B61" w:rsidP="00CD33D0">
            <w:pPr>
              <w:jc w:val="right"/>
              <w:rPr>
                <w:rFonts w:cs="Arial"/>
                <w:sz w:val="21"/>
                <w:szCs w:val="21"/>
              </w:rPr>
            </w:pPr>
            <w:r w:rsidRPr="007F6332">
              <w:rPr>
                <w:rFonts w:cs="Arial"/>
                <w:sz w:val="21"/>
                <w:szCs w:val="21"/>
              </w:rPr>
              <w:t>4%</w:t>
            </w:r>
          </w:p>
        </w:tc>
        <w:tc>
          <w:tcPr>
            <w:tcW w:w="946" w:type="dxa"/>
            <w:tcBorders>
              <w:top w:val="nil"/>
              <w:left w:val="nil"/>
              <w:bottom w:val="nil"/>
              <w:right w:val="nil"/>
            </w:tcBorders>
            <w:shd w:val="clear" w:color="auto" w:fill="BFBFBF" w:themeFill="background1" w:themeFillShade="BF"/>
            <w:noWrap/>
            <w:vAlign w:val="center"/>
            <w:hideMark/>
          </w:tcPr>
          <w:p w14:paraId="6B7D24B4" w14:textId="77777777" w:rsidR="00771B61" w:rsidRPr="007F6332" w:rsidRDefault="00771B61" w:rsidP="00CD33D0">
            <w:pPr>
              <w:jc w:val="right"/>
              <w:rPr>
                <w:rFonts w:cs="Arial"/>
                <w:sz w:val="21"/>
                <w:szCs w:val="21"/>
              </w:rPr>
            </w:pPr>
            <w:r w:rsidRPr="007F6332">
              <w:rPr>
                <w:rFonts w:cs="Arial"/>
                <w:sz w:val="21"/>
                <w:szCs w:val="21"/>
              </w:rPr>
              <w:t>3%</w:t>
            </w:r>
          </w:p>
        </w:tc>
        <w:tc>
          <w:tcPr>
            <w:tcW w:w="947" w:type="dxa"/>
            <w:tcBorders>
              <w:top w:val="nil"/>
              <w:left w:val="nil"/>
              <w:bottom w:val="nil"/>
              <w:right w:val="nil"/>
            </w:tcBorders>
            <w:shd w:val="clear" w:color="auto" w:fill="BFBFBF" w:themeFill="background1" w:themeFillShade="BF"/>
            <w:noWrap/>
            <w:vAlign w:val="center"/>
            <w:hideMark/>
          </w:tcPr>
          <w:p w14:paraId="3AF5F40B" w14:textId="77777777" w:rsidR="00771B61" w:rsidRPr="007F6332" w:rsidRDefault="00771B61" w:rsidP="00CD33D0">
            <w:pPr>
              <w:jc w:val="right"/>
              <w:rPr>
                <w:rFonts w:cs="Arial"/>
                <w:sz w:val="21"/>
                <w:szCs w:val="21"/>
              </w:rPr>
            </w:pPr>
            <w:r w:rsidRPr="007F6332">
              <w:rPr>
                <w:rFonts w:cs="Arial"/>
                <w:sz w:val="21"/>
                <w:szCs w:val="21"/>
              </w:rPr>
              <w:t>-1%</w:t>
            </w:r>
          </w:p>
        </w:tc>
        <w:tc>
          <w:tcPr>
            <w:tcW w:w="947" w:type="dxa"/>
            <w:tcBorders>
              <w:top w:val="nil"/>
              <w:left w:val="nil"/>
              <w:bottom w:val="nil"/>
              <w:right w:val="nil"/>
            </w:tcBorders>
            <w:shd w:val="clear" w:color="auto" w:fill="BFBFBF" w:themeFill="background1" w:themeFillShade="BF"/>
            <w:noWrap/>
            <w:vAlign w:val="center"/>
            <w:hideMark/>
          </w:tcPr>
          <w:p w14:paraId="08A01E25" w14:textId="77777777" w:rsidR="00771B61" w:rsidRPr="007F6332" w:rsidRDefault="00771B61" w:rsidP="00CD33D0">
            <w:pPr>
              <w:jc w:val="right"/>
              <w:rPr>
                <w:rFonts w:cs="Arial"/>
                <w:sz w:val="21"/>
                <w:szCs w:val="21"/>
              </w:rPr>
            </w:pPr>
            <w:r w:rsidRPr="007F6332">
              <w:rPr>
                <w:rFonts w:cs="Arial"/>
                <w:sz w:val="21"/>
                <w:szCs w:val="21"/>
              </w:rPr>
              <w:t>5%</w:t>
            </w:r>
          </w:p>
        </w:tc>
      </w:tr>
      <w:tr w:rsidR="003D58DB" w:rsidRPr="007F6332" w14:paraId="6F732ECE" w14:textId="77777777" w:rsidTr="003D58DB">
        <w:trPr>
          <w:trHeight w:val="227"/>
        </w:trPr>
        <w:tc>
          <w:tcPr>
            <w:tcW w:w="3762" w:type="dxa"/>
            <w:tcBorders>
              <w:top w:val="nil"/>
              <w:left w:val="nil"/>
              <w:bottom w:val="nil"/>
              <w:right w:val="nil"/>
            </w:tcBorders>
            <w:noWrap/>
            <w:vAlign w:val="center"/>
            <w:hideMark/>
          </w:tcPr>
          <w:p w14:paraId="03C83E36" w14:textId="77777777" w:rsidR="00771B61" w:rsidRPr="007F6332" w:rsidRDefault="00771B61" w:rsidP="00BA3C62">
            <w:pPr>
              <w:rPr>
                <w:rFonts w:cs="Arial"/>
                <w:sz w:val="21"/>
                <w:szCs w:val="21"/>
              </w:rPr>
            </w:pPr>
            <w:r w:rsidRPr="007F6332">
              <w:rPr>
                <w:rFonts w:cs="Arial"/>
                <w:b/>
                <w:bCs/>
                <w:sz w:val="21"/>
                <w:szCs w:val="21"/>
              </w:rPr>
              <w:t>% Difference</w:t>
            </w:r>
            <w:r w:rsidRPr="007F6332">
              <w:rPr>
                <w:rFonts w:cs="Arial"/>
                <w:sz w:val="21"/>
                <w:szCs w:val="21"/>
              </w:rPr>
              <w:t xml:space="preserve"> Core Social Community Civic</w:t>
            </w:r>
          </w:p>
        </w:tc>
        <w:tc>
          <w:tcPr>
            <w:tcW w:w="946" w:type="dxa"/>
            <w:tcBorders>
              <w:top w:val="nil"/>
              <w:left w:val="nil"/>
              <w:bottom w:val="nil"/>
              <w:right w:val="nil"/>
            </w:tcBorders>
            <w:noWrap/>
            <w:vAlign w:val="center"/>
            <w:hideMark/>
          </w:tcPr>
          <w:p w14:paraId="34074F5F" w14:textId="77777777" w:rsidR="00771B61" w:rsidRPr="007F6332" w:rsidRDefault="00771B61" w:rsidP="00CD33D0">
            <w:pPr>
              <w:jc w:val="right"/>
              <w:rPr>
                <w:rFonts w:cs="Arial"/>
                <w:sz w:val="21"/>
                <w:szCs w:val="21"/>
              </w:rPr>
            </w:pPr>
            <w:r w:rsidRPr="007F6332">
              <w:rPr>
                <w:rFonts w:cs="Arial"/>
                <w:sz w:val="21"/>
                <w:szCs w:val="21"/>
              </w:rPr>
              <w:t>24%</w:t>
            </w:r>
          </w:p>
        </w:tc>
        <w:tc>
          <w:tcPr>
            <w:tcW w:w="947" w:type="dxa"/>
            <w:tcBorders>
              <w:top w:val="nil"/>
              <w:left w:val="nil"/>
              <w:bottom w:val="nil"/>
              <w:right w:val="nil"/>
            </w:tcBorders>
            <w:noWrap/>
            <w:vAlign w:val="center"/>
            <w:hideMark/>
          </w:tcPr>
          <w:p w14:paraId="177CD15D" w14:textId="77777777" w:rsidR="00771B61" w:rsidRPr="007F6332" w:rsidRDefault="00771B61" w:rsidP="00CD33D0">
            <w:pPr>
              <w:jc w:val="right"/>
              <w:rPr>
                <w:rFonts w:cs="Arial"/>
                <w:sz w:val="21"/>
                <w:szCs w:val="21"/>
              </w:rPr>
            </w:pPr>
            <w:r w:rsidRPr="007F6332">
              <w:rPr>
                <w:rFonts w:cs="Arial"/>
                <w:sz w:val="21"/>
                <w:szCs w:val="21"/>
              </w:rPr>
              <w:t>20%</w:t>
            </w:r>
          </w:p>
        </w:tc>
        <w:tc>
          <w:tcPr>
            <w:tcW w:w="947" w:type="dxa"/>
            <w:tcBorders>
              <w:top w:val="nil"/>
              <w:left w:val="nil"/>
              <w:bottom w:val="nil"/>
              <w:right w:val="nil"/>
            </w:tcBorders>
            <w:noWrap/>
            <w:vAlign w:val="center"/>
            <w:hideMark/>
          </w:tcPr>
          <w:p w14:paraId="2A78898E" w14:textId="77777777" w:rsidR="00771B61" w:rsidRPr="007F6332" w:rsidRDefault="00771B61" w:rsidP="00CD33D0">
            <w:pPr>
              <w:jc w:val="right"/>
              <w:rPr>
                <w:rFonts w:cs="Arial"/>
                <w:sz w:val="21"/>
                <w:szCs w:val="21"/>
              </w:rPr>
            </w:pPr>
            <w:r w:rsidRPr="007F6332">
              <w:rPr>
                <w:rFonts w:cs="Arial"/>
                <w:sz w:val="21"/>
                <w:szCs w:val="21"/>
              </w:rPr>
              <w:t>16%</w:t>
            </w:r>
          </w:p>
        </w:tc>
        <w:tc>
          <w:tcPr>
            <w:tcW w:w="946" w:type="dxa"/>
            <w:tcBorders>
              <w:top w:val="nil"/>
              <w:left w:val="nil"/>
              <w:bottom w:val="nil"/>
              <w:right w:val="nil"/>
            </w:tcBorders>
            <w:noWrap/>
            <w:vAlign w:val="center"/>
            <w:hideMark/>
          </w:tcPr>
          <w:p w14:paraId="6D41E795" w14:textId="77777777" w:rsidR="00771B61" w:rsidRPr="007F6332" w:rsidRDefault="00771B61" w:rsidP="00CD33D0">
            <w:pPr>
              <w:jc w:val="right"/>
              <w:rPr>
                <w:rFonts w:cs="Arial"/>
                <w:sz w:val="21"/>
                <w:szCs w:val="21"/>
              </w:rPr>
            </w:pPr>
            <w:r w:rsidRPr="007F6332">
              <w:rPr>
                <w:rFonts w:cs="Arial"/>
                <w:sz w:val="21"/>
                <w:szCs w:val="21"/>
              </w:rPr>
              <w:t>15%</w:t>
            </w:r>
          </w:p>
        </w:tc>
        <w:tc>
          <w:tcPr>
            <w:tcW w:w="947" w:type="dxa"/>
            <w:tcBorders>
              <w:top w:val="nil"/>
              <w:left w:val="nil"/>
              <w:bottom w:val="nil"/>
              <w:right w:val="nil"/>
            </w:tcBorders>
            <w:noWrap/>
            <w:vAlign w:val="center"/>
            <w:hideMark/>
          </w:tcPr>
          <w:p w14:paraId="145E4345" w14:textId="77777777" w:rsidR="00771B61" w:rsidRPr="007F6332" w:rsidRDefault="00771B61" w:rsidP="00CD33D0">
            <w:pPr>
              <w:jc w:val="right"/>
              <w:rPr>
                <w:rFonts w:cs="Arial"/>
                <w:sz w:val="21"/>
                <w:szCs w:val="21"/>
              </w:rPr>
            </w:pPr>
            <w:r w:rsidRPr="007F6332">
              <w:rPr>
                <w:rFonts w:cs="Arial"/>
                <w:sz w:val="21"/>
                <w:szCs w:val="21"/>
              </w:rPr>
              <w:t>9%</w:t>
            </w:r>
          </w:p>
        </w:tc>
        <w:tc>
          <w:tcPr>
            <w:tcW w:w="947" w:type="dxa"/>
            <w:tcBorders>
              <w:top w:val="nil"/>
              <w:left w:val="nil"/>
              <w:bottom w:val="nil"/>
              <w:right w:val="nil"/>
            </w:tcBorders>
            <w:noWrap/>
            <w:vAlign w:val="center"/>
            <w:hideMark/>
          </w:tcPr>
          <w:p w14:paraId="7F475ACC" w14:textId="77777777" w:rsidR="00771B61" w:rsidRPr="007F6332" w:rsidRDefault="00771B61" w:rsidP="00CD33D0">
            <w:pPr>
              <w:jc w:val="right"/>
              <w:rPr>
                <w:rFonts w:cs="Arial"/>
                <w:sz w:val="21"/>
                <w:szCs w:val="21"/>
              </w:rPr>
            </w:pPr>
            <w:r w:rsidRPr="007F6332">
              <w:rPr>
                <w:rFonts w:cs="Arial"/>
                <w:sz w:val="21"/>
                <w:szCs w:val="21"/>
              </w:rPr>
              <w:t>18%</w:t>
            </w:r>
          </w:p>
        </w:tc>
      </w:tr>
      <w:tr w:rsidR="003D58DB" w:rsidRPr="007F6332" w14:paraId="6537AB31"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30D787DA" w14:textId="77777777" w:rsidR="00771B61" w:rsidRPr="007F6332" w:rsidRDefault="00771B61" w:rsidP="00BA3C62">
            <w:pPr>
              <w:rPr>
                <w:rFonts w:cs="Arial"/>
                <w:sz w:val="21"/>
                <w:szCs w:val="21"/>
              </w:rPr>
            </w:pPr>
            <w:r w:rsidRPr="007F6332">
              <w:rPr>
                <w:rFonts w:cs="Arial"/>
                <w:b/>
                <w:bCs/>
                <w:sz w:val="21"/>
                <w:szCs w:val="21"/>
              </w:rPr>
              <w:t>% Difference</w:t>
            </w:r>
            <w:r w:rsidRPr="007F6332">
              <w:rPr>
                <w:rFonts w:cs="Arial"/>
                <w:sz w:val="21"/>
                <w:szCs w:val="21"/>
              </w:rPr>
              <w:t xml:space="preserve"> Core Transport</w:t>
            </w:r>
          </w:p>
        </w:tc>
        <w:tc>
          <w:tcPr>
            <w:tcW w:w="946" w:type="dxa"/>
            <w:tcBorders>
              <w:top w:val="nil"/>
              <w:left w:val="nil"/>
              <w:bottom w:val="nil"/>
              <w:right w:val="nil"/>
            </w:tcBorders>
            <w:shd w:val="clear" w:color="auto" w:fill="BFBFBF" w:themeFill="background1" w:themeFillShade="BF"/>
            <w:noWrap/>
            <w:vAlign w:val="center"/>
            <w:hideMark/>
          </w:tcPr>
          <w:p w14:paraId="57838924" w14:textId="77777777" w:rsidR="00771B61" w:rsidRPr="007F6332" w:rsidRDefault="00771B61" w:rsidP="00CD33D0">
            <w:pPr>
              <w:jc w:val="right"/>
              <w:rPr>
                <w:rFonts w:cs="Arial"/>
                <w:sz w:val="21"/>
                <w:szCs w:val="21"/>
              </w:rPr>
            </w:pPr>
            <w:r w:rsidRPr="007F6332">
              <w:rPr>
                <w:rFonts w:cs="Arial"/>
                <w:sz w:val="21"/>
                <w:szCs w:val="21"/>
              </w:rPr>
              <w:t>-15%</w:t>
            </w:r>
          </w:p>
        </w:tc>
        <w:tc>
          <w:tcPr>
            <w:tcW w:w="947" w:type="dxa"/>
            <w:tcBorders>
              <w:top w:val="nil"/>
              <w:left w:val="nil"/>
              <w:bottom w:val="nil"/>
              <w:right w:val="nil"/>
            </w:tcBorders>
            <w:shd w:val="clear" w:color="auto" w:fill="BFBFBF" w:themeFill="background1" w:themeFillShade="BF"/>
            <w:noWrap/>
            <w:vAlign w:val="center"/>
            <w:hideMark/>
          </w:tcPr>
          <w:p w14:paraId="6C3106D6" w14:textId="77777777" w:rsidR="00771B61" w:rsidRPr="007F6332" w:rsidRDefault="00771B61" w:rsidP="00CD33D0">
            <w:pPr>
              <w:jc w:val="right"/>
              <w:rPr>
                <w:rFonts w:cs="Arial"/>
                <w:sz w:val="21"/>
                <w:szCs w:val="21"/>
              </w:rPr>
            </w:pPr>
            <w:r w:rsidRPr="007F6332">
              <w:rPr>
                <w:rFonts w:cs="Arial"/>
                <w:sz w:val="21"/>
                <w:szCs w:val="21"/>
              </w:rPr>
              <w:t>-19%</w:t>
            </w:r>
          </w:p>
        </w:tc>
        <w:tc>
          <w:tcPr>
            <w:tcW w:w="947" w:type="dxa"/>
            <w:tcBorders>
              <w:top w:val="nil"/>
              <w:left w:val="nil"/>
              <w:bottom w:val="nil"/>
              <w:right w:val="nil"/>
            </w:tcBorders>
            <w:shd w:val="clear" w:color="auto" w:fill="BFBFBF" w:themeFill="background1" w:themeFillShade="BF"/>
            <w:noWrap/>
            <w:vAlign w:val="center"/>
            <w:hideMark/>
          </w:tcPr>
          <w:p w14:paraId="2FE03B00" w14:textId="77777777" w:rsidR="00771B61" w:rsidRPr="007F6332" w:rsidRDefault="00771B61" w:rsidP="00CD33D0">
            <w:pPr>
              <w:jc w:val="right"/>
              <w:rPr>
                <w:rFonts w:cs="Arial"/>
                <w:sz w:val="21"/>
                <w:szCs w:val="21"/>
              </w:rPr>
            </w:pPr>
            <w:r w:rsidRPr="007F6332">
              <w:rPr>
                <w:rFonts w:cs="Arial"/>
                <w:sz w:val="21"/>
                <w:szCs w:val="21"/>
              </w:rPr>
              <w:t>-22%</w:t>
            </w:r>
          </w:p>
        </w:tc>
        <w:tc>
          <w:tcPr>
            <w:tcW w:w="946" w:type="dxa"/>
            <w:tcBorders>
              <w:top w:val="nil"/>
              <w:left w:val="nil"/>
              <w:bottom w:val="nil"/>
              <w:right w:val="nil"/>
            </w:tcBorders>
            <w:shd w:val="clear" w:color="auto" w:fill="BFBFBF" w:themeFill="background1" w:themeFillShade="BF"/>
            <w:noWrap/>
            <w:vAlign w:val="center"/>
            <w:hideMark/>
          </w:tcPr>
          <w:p w14:paraId="48444132" w14:textId="77777777" w:rsidR="00771B61" w:rsidRPr="007F6332" w:rsidRDefault="00771B61" w:rsidP="00CD33D0">
            <w:pPr>
              <w:jc w:val="right"/>
              <w:rPr>
                <w:rFonts w:cs="Arial"/>
                <w:sz w:val="21"/>
                <w:szCs w:val="21"/>
              </w:rPr>
            </w:pPr>
            <w:r w:rsidRPr="007F6332">
              <w:rPr>
                <w:rFonts w:cs="Arial"/>
                <w:sz w:val="21"/>
                <w:szCs w:val="21"/>
              </w:rPr>
              <w:t>-24%</w:t>
            </w:r>
          </w:p>
        </w:tc>
        <w:tc>
          <w:tcPr>
            <w:tcW w:w="947" w:type="dxa"/>
            <w:tcBorders>
              <w:top w:val="nil"/>
              <w:left w:val="nil"/>
              <w:bottom w:val="nil"/>
              <w:right w:val="nil"/>
            </w:tcBorders>
            <w:shd w:val="clear" w:color="auto" w:fill="BFBFBF" w:themeFill="background1" w:themeFillShade="BF"/>
            <w:noWrap/>
            <w:vAlign w:val="center"/>
            <w:hideMark/>
          </w:tcPr>
          <w:p w14:paraId="7D85FEF7" w14:textId="77777777" w:rsidR="00771B61" w:rsidRPr="007F6332" w:rsidRDefault="00771B61" w:rsidP="00CD33D0">
            <w:pPr>
              <w:jc w:val="right"/>
              <w:rPr>
                <w:rFonts w:cs="Arial"/>
                <w:sz w:val="21"/>
                <w:szCs w:val="21"/>
              </w:rPr>
            </w:pPr>
            <w:r w:rsidRPr="007F6332">
              <w:rPr>
                <w:rFonts w:cs="Arial"/>
                <w:sz w:val="21"/>
                <w:szCs w:val="21"/>
              </w:rPr>
              <w:t>-28%</w:t>
            </w:r>
          </w:p>
        </w:tc>
        <w:tc>
          <w:tcPr>
            <w:tcW w:w="947" w:type="dxa"/>
            <w:tcBorders>
              <w:top w:val="nil"/>
              <w:left w:val="nil"/>
              <w:bottom w:val="nil"/>
              <w:right w:val="nil"/>
            </w:tcBorders>
            <w:shd w:val="clear" w:color="auto" w:fill="BFBFBF" w:themeFill="background1" w:themeFillShade="BF"/>
            <w:noWrap/>
            <w:vAlign w:val="center"/>
            <w:hideMark/>
          </w:tcPr>
          <w:p w14:paraId="189347D6" w14:textId="77777777" w:rsidR="00771B61" w:rsidRPr="007F6332" w:rsidRDefault="00771B61" w:rsidP="00CD33D0">
            <w:pPr>
              <w:jc w:val="right"/>
              <w:rPr>
                <w:rFonts w:cs="Arial"/>
                <w:sz w:val="21"/>
                <w:szCs w:val="21"/>
              </w:rPr>
            </w:pPr>
            <w:r w:rsidRPr="007F6332">
              <w:rPr>
                <w:rFonts w:cs="Arial"/>
                <w:sz w:val="21"/>
                <w:szCs w:val="21"/>
              </w:rPr>
              <w:t>-20%</w:t>
            </w:r>
          </w:p>
        </w:tc>
      </w:tr>
      <w:tr w:rsidR="003D58DB" w:rsidRPr="007F6332" w14:paraId="25C9BEBC" w14:textId="77777777" w:rsidTr="003D58DB">
        <w:trPr>
          <w:trHeight w:val="227"/>
        </w:trPr>
        <w:tc>
          <w:tcPr>
            <w:tcW w:w="3762" w:type="dxa"/>
            <w:tcBorders>
              <w:top w:val="nil"/>
              <w:left w:val="nil"/>
              <w:bottom w:val="nil"/>
              <w:right w:val="nil"/>
            </w:tcBorders>
            <w:noWrap/>
            <w:vAlign w:val="center"/>
            <w:hideMark/>
          </w:tcPr>
          <w:p w14:paraId="23AF5776" w14:textId="77777777" w:rsidR="00771B61" w:rsidRPr="007F6332" w:rsidRDefault="00771B61" w:rsidP="00BA3C62">
            <w:pPr>
              <w:rPr>
                <w:rFonts w:cs="Arial"/>
                <w:sz w:val="21"/>
                <w:szCs w:val="21"/>
              </w:rPr>
            </w:pPr>
            <w:r w:rsidRPr="007F6332">
              <w:rPr>
                <w:rFonts w:cs="Arial"/>
                <w:b/>
                <w:bCs/>
                <w:sz w:val="21"/>
                <w:szCs w:val="21"/>
              </w:rPr>
              <w:t>% Difference</w:t>
            </w:r>
            <w:r w:rsidRPr="007F6332">
              <w:rPr>
                <w:rFonts w:cs="Arial"/>
                <w:sz w:val="21"/>
                <w:szCs w:val="21"/>
              </w:rPr>
              <w:t xml:space="preserve"> Core Consumables</w:t>
            </w:r>
          </w:p>
        </w:tc>
        <w:tc>
          <w:tcPr>
            <w:tcW w:w="946" w:type="dxa"/>
            <w:tcBorders>
              <w:top w:val="nil"/>
              <w:left w:val="nil"/>
              <w:bottom w:val="nil"/>
              <w:right w:val="nil"/>
            </w:tcBorders>
            <w:noWrap/>
            <w:vAlign w:val="center"/>
            <w:hideMark/>
          </w:tcPr>
          <w:p w14:paraId="18BB097C" w14:textId="77777777" w:rsidR="00771B61" w:rsidRPr="007F6332" w:rsidRDefault="00771B61" w:rsidP="00CD33D0">
            <w:pPr>
              <w:jc w:val="right"/>
              <w:rPr>
                <w:rFonts w:cs="Arial"/>
                <w:sz w:val="21"/>
                <w:szCs w:val="21"/>
              </w:rPr>
            </w:pPr>
            <w:r w:rsidRPr="007F6332">
              <w:rPr>
                <w:rFonts w:cs="Arial"/>
                <w:sz w:val="21"/>
                <w:szCs w:val="21"/>
              </w:rPr>
              <w:t>-5%</w:t>
            </w:r>
          </w:p>
        </w:tc>
        <w:tc>
          <w:tcPr>
            <w:tcW w:w="947" w:type="dxa"/>
            <w:tcBorders>
              <w:top w:val="nil"/>
              <w:left w:val="nil"/>
              <w:bottom w:val="nil"/>
              <w:right w:val="nil"/>
            </w:tcBorders>
            <w:noWrap/>
            <w:vAlign w:val="center"/>
            <w:hideMark/>
          </w:tcPr>
          <w:p w14:paraId="5A6795B0" w14:textId="77777777" w:rsidR="00771B61" w:rsidRPr="007F6332" w:rsidRDefault="00771B61" w:rsidP="00CD33D0">
            <w:pPr>
              <w:jc w:val="right"/>
              <w:rPr>
                <w:rFonts w:cs="Arial"/>
                <w:sz w:val="21"/>
                <w:szCs w:val="21"/>
              </w:rPr>
            </w:pPr>
            <w:r w:rsidRPr="007F6332">
              <w:rPr>
                <w:rFonts w:cs="Arial"/>
                <w:sz w:val="21"/>
                <w:szCs w:val="21"/>
              </w:rPr>
              <w:t>-9%</w:t>
            </w:r>
          </w:p>
        </w:tc>
        <w:tc>
          <w:tcPr>
            <w:tcW w:w="947" w:type="dxa"/>
            <w:tcBorders>
              <w:top w:val="nil"/>
              <w:left w:val="nil"/>
              <w:bottom w:val="nil"/>
              <w:right w:val="nil"/>
            </w:tcBorders>
            <w:noWrap/>
            <w:vAlign w:val="center"/>
            <w:hideMark/>
          </w:tcPr>
          <w:p w14:paraId="52E67141" w14:textId="77777777" w:rsidR="00771B61" w:rsidRPr="007F6332" w:rsidRDefault="00771B61" w:rsidP="00CD33D0">
            <w:pPr>
              <w:jc w:val="right"/>
              <w:rPr>
                <w:rFonts w:cs="Arial"/>
                <w:sz w:val="21"/>
                <w:szCs w:val="21"/>
              </w:rPr>
            </w:pPr>
            <w:r w:rsidRPr="007F6332">
              <w:rPr>
                <w:rFonts w:cs="Arial"/>
                <w:sz w:val="21"/>
                <w:szCs w:val="21"/>
              </w:rPr>
              <w:t>-13%</w:t>
            </w:r>
          </w:p>
        </w:tc>
        <w:tc>
          <w:tcPr>
            <w:tcW w:w="946" w:type="dxa"/>
            <w:tcBorders>
              <w:top w:val="nil"/>
              <w:left w:val="nil"/>
              <w:bottom w:val="nil"/>
              <w:right w:val="nil"/>
            </w:tcBorders>
            <w:noWrap/>
            <w:vAlign w:val="center"/>
            <w:hideMark/>
          </w:tcPr>
          <w:p w14:paraId="6D93AF2A" w14:textId="77777777" w:rsidR="00771B61" w:rsidRPr="007F6332" w:rsidRDefault="00771B61" w:rsidP="00CD33D0">
            <w:pPr>
              <w:jc w:val="right"/>
              <w:rPr>
                <w:rFonts w:cs="Arial"/>
                <w:sz w:val="21"/>
                <w:szCs w:val="21"/>
              </w:rPr>
            </w:pPr>
            <w:r w:rsidRPr="007F6332">
              <w:rPr>
                <w:rFonts w:cs="Arial"/>
                <w:sz w:val="21"/>
                <w:szCs w:val="21"/>
              </w:rPr>
              <w:t>-15%</w:t>
            </w:r>
          </w:p>
        </w:tc>
        <w:tc>
          <w:tcPr>
            <w:tcW w:w="947" w:type="dxa"/>
            <w:tcBorders>
              <w:top w:val="nil"/>
              <w:left w:val="nil"/>
              <w:bottom w:val="nil"/>
              <w:right w:val="nil"/>
            </w:tcBorders>
            <w:noWrap/>
            <w:vAlign w:val="center"/>
            <w:hideMark/>
          </w:tcPr>
          <w:p w14:paraId="55B3D551" w14:textId="77777777" w:rsidR="00771B61" w:rsidRPr="007F6332" w:rsidRDefault="00771B61" w:rsidP="00CD33D0">
            <w:pPr>
              <w:jc w:val="right"/>
              <w:rPr>
                <w:rFonts w:cs="Arial"/>
                <w:sz w:val="21"/>
                <w:szCs w:val="21"/>
              </w:rPr>
            </w:pPr>
            <w:r w:rsidRPr="007F6332">
              <w:rPr>
                <w:rFonts w:cs="Arial"/>
                <w:sz w:val="21"/>
                <w:szCs w:val="21"/>
              </w:rPr>
              <w:t>-23%</w:t>
            </w:r>
          </w:p>
        </w:tc>
        <w:tc>
          <w:tcPr>
            <w:tcW w:w="947" w:type="dxa"/>
            <w:tcBorders>
              <w:top w:val="nil"/>
              <w:left w:val="nil"/>
              <w:bottom w:val="nil"/>
              <w:right w:val="nil"/>
            </w:tcBorders>
            <w:noWrap/>
            <w:vAlign w:val="center"/>
            <w:hideMark/>
          </w:tcPr>
          <w:p w14:paraId="6F0B7664" w14:textId="77777777" w:rsidR="00771B61" w:rsidRPr="007F6332" w:rsidRDefault="00771B61" w:rsidP="00CD33D0">
            <w:pPr>
              <w:jc w:val="right"/>
              <w:rPr>
                <w:rFonts w:cs="Arial"/>
                <w:sz w:val="21"/>
                <w:szCs w:val="21"/>
              </w:rPr>
            </w:pPr>
            <w:r w:rsidRPr="007F6332">
              <w:rPr>
                <w:rFonts w:cs="Arial"/>
                <w:sz w:val="21"/>
                <w:szCs w:val="21"/>
              </w:rPr>
              <w:t>-11%</w:t>
            </w:r>
          </w:p>
        </w:tc>
      </w:tr>
      <w:tr w:rsidR="003D58DB" w:rsidRPr="007F6332" w14:paraId="1D3A7E6D" w14:textId="77777777" w:rsidTr="003D58DB">
        <w:trPr>
          <w:trHeight w:val="227"/>
        </w:trPr>
        <w:tc>
          <w:tcPr>
            <w:tcW w:w="3762" w:type="dxa"/>
            <w:tcBorders>
              <w:top w:val="nil"/>
              <w:left w:val="nil"/>
              <w:bottom w:val="nil"/>
              <w:right w:val="nil"/>
            </w:tcBorders>
            <w:shd w:val="clear" w:color="auto" w:fill="BFBFBF" w:themeFill="background1" w:themeFillShade="BF"/>
            <w:noWrap/>
            <w:vAlign w:val="center"/>
            <w:hideMark/>
          </w:tcPr>
          <w:p w14:paraId="47A6F50F" w14:textId="77777777" w:rsidR="00771B61" w:rsidRPr="007F6332" w:rsidRDefault="00771B61" w:rsidP="00BA3C62">
            <w:pPr>
              <w:rPr>
                <w:rFonts w:cs="Arial"/>
                <w:sz w:val="21"/>
                <w:szCs w:val="21"/>
              </w:rPr>
            </w:pPr>
            <w:r w:rsidRPr="007F6332">
              <w:rPr>
                <w:rFonts w:cs="Arial"/>
                <w:b/>
                <w:bCs/>
                <w:sz w:val="21"/>
                <w:szCs w:val="21"/>
              </w:rPr>
              <w:t>% Difference</w:t>
            </w:r>
            <w:r w:rsidRPr="007F6332">
              <w:rPr>
                <w:rFonts w:cs="Arial"/>
                <w:sz w:val="21"/>
                <w:szCs w:val="21"/>
              </w:rPr>
              <w:t xml:space="preserve"> Capital </w:t>
            </w:r>
          </w:p>
        </w:tc>
        <w:tc>
          <w:tcPr>
            <w:tcW w:w="946" w:type="dxa"/>
            <w:tcBorders>
              <w:top w:val="nil"/>
              <w:left w:val="nil"/>
              <w:bottom w:val="nil"/>
              <w:right w:val="nil"/>
            </w:tcBorders>
            <w:shd w:val="clear" w:color="auto" w:fill="BFBFBF" w:themeFill="background1" w:themeFillShade="BF"/>
            <w:noWrap/>
            <w:vAlign w:val="center"/>
            <w:hideMark/>
          </w:tcPr>
          <w:p w14:paraId="6B141437" w14:textId="77777777" w:rsidR="00771B61" w:rsidRPr="007F6332" w:rsidRDefault="00771B61" w:rsidP="00CD33D0">
            <w:pPr>
              <w:jc w:val="right"/>
              <w:rPr>
                <w:rFonts w:cs="Arial"/>
                <w:sz w:val="21"/>
                <w:szCs w:val="21"/>
              </w:rPr>
            </w:pPr>
            <w:r w:rsidRPr="007F6332">
              <w:rPr>
                <w:rFonts w:cs="Arial"/>
                <w:sz w:val="21"/>
                <w:szCs w:val="21"/>
              </w:rPr>
              <w:t>-4%</w:t>
            </w:r>
          </w:p>
        </w:tc>
        <w:tc>
          <w:tcPr>
            <w:tcW w:w="947" w:type="dxa"/>
            <w:tcBorders>
              <w:top w:val="nil"/>
              <w:left w:val="nil"/>
              <w:bottom w:val="nil"/>
              <w:right w:val="nil"/>
            </w:tcBorders>
            <w:shd w:val="clear" w:color="auto" w:fill="BFBFBF" w:themeFill="background1" w:themeFillShade="BF"/>
            <w:noWrap/>
            <w:vAlign w:val="center"/>
            <w:hideMark/>
          </w:tcPr>
          <w:p w14:paraId="7C588507" w14:textId="77777777" w:rsidR="00771B61" w:rsidRPr="007F6332" w:rsidRDefault="00771B61" w:rsidP="00CD33D0">
            <w:pPr>
              <w:jc w:val="right"/>
              <w:rPr>
                <w:rFonts w:cs="Arial"/>
                <w:sz w:val="21"/>
                <w:szCs w:val="21"/>
              </w:rPr>
            </w:pPr>
            <w:r w:rsidRPr="007F6332">
              <w:rPr>
                <w:rFonts w:cs="Arial"/>
                <w:sz w:val="21"/>
                <w:szCs w:val="21"/>
              </w:rPr>
              <w:t>-8%</w:t>
            </w:r>
          </w:p>
        </w:tc>
        <w:tc>
          <w:tcPr>
            <w:tcW w:w="947" w:type="dxa"/>
            <w:tcBorders>
              <w:top w:val="nil"/>
              <w:left w:val="nil"/>
              <w:bottom w:val="nil"/>
              <w:right w:val="nil"/>
            </w:tcBorders>
            <w:shd w:val="clear" w:color="auto" w:fill="BFBFBF" w:themeFill="background1" w:themeFillShade="BF"/>
            <w:noWrap/>
            <w:vAlign w:val="center"/>
            <w:hideMark/>
          </w:tcPr>
          <w:p w14:paraId="6AF451E8" w14:textId="77777777" w:rsidR="00771B61" w:rsidRPr="007F6332" w:rsidRDefault="00771B61" w:rsidP="00CD33D0">
            <w:pPr>
              <w:jc w:val="right"/>
              <w:rPr>
                <w:rFonts w:cs="Arial"/>
                <w:sz w:val="21"/>
                <w:szCs w:val="21"/>
              </w:rPr>
            </w:pPr>
            <w:r w:rsidRPr="007F6332">
              <w:rPr>
                <w:rFonts w:cs="Arial"/>
                <w:sz w:val="21"/>
                <w:szCs w:val="21"/>
              </w:rPr>
              <w:t>-12%</w:t>
            </w:r>
          </w:p>
        </w:tc>
        <w:tc>
          <w:tcPr>
            <w:tcW w:w="946" w:type="dxa"/>
            <w:tcBorders>
              <w:top w:val="nil"/>
              <w:left w:val="nil"/>
              <w:bottom w:val="nil"/>
              <w:right w:val="nil"/>
            </w:tcBorders>
            <w:shd w:val="clear" w:color="auto" w:fill="BFBFBF" w:themeFill="background1" w:themeFillShade="BF"/>
            <w:noWrap/>
            <w:vAlign w:val="center"/>
            <w:hideMark/>
          </w:tcPr>
          <w:p w14:paraId="39F70E91" w14:textId="77777777" w:rsidR="00771B61" w:rsidRPr="007F6332" w:rsidRDefault="00771B61" w:rsidP="00CD33D0">
            <w:pPr>
              <w:jc w:val="right"/>
              <w:rPr>
                <w:rFonts w:cs="Arial"/>
                <w:sz w:val="21"/>
                <w:szCs w:val="21"/>
              </w:rPr>
            </w:pPr>
            <w:r w:rsidRPr="007F6332">
              <w:rPr>
                <w:rFonts w:cs="Arial"/>
                <w:sz w:val="21"/>
                <w:szCs w:val="21"/>
              </w:rPr>
              <w:t>-14%</w:t>
            </w:r>
          </w:p>
        </w:tc>
        <w:tc>
          <w:tcPr>
            <w:tcW w:w="947" w:type="dxa"/>
            <w:tcBorders>
              <w:top w:val="nil"/>
              <w:left w:val="nil"/>
              <w:bottom w:val="nil"/>
              <w:right w:val="nil"/>
            </w:tcBorders>
            <w:shd w:val="clear" w:color="auto" w:fill="BFBFBF" w:themeFill="background1" w:themeFillShade="BF"/>
            <w:noWrap/>
            <w:vAlign w:val="center"/>
            <w:hideMark/>
          </w:tcPr>
          <w:p w14:paraId="55F6B00F" w14:textId="77777777" w:rsidR="00771B61" w:rsidRPr="007F6332" w:rsidRDefault="00771B61" w:rsidP="00CD33D0">
            <w:pPr>
              <w:jc w:val="right"/>
              <w:rPr>
                <w:rFonts w:cs="Arial"/>
                <w:sz w:val="21"/>
                <w:szCs w:val="21"/>
              </w:rPr>
            </w:pPr>
            <w:r w:rsidRPr="007F6332">
              <w:rPr>
                <w:rFonts w:cs="Arial"/>
                <w:sz w:val="21"/>
                <w:szCs w:val="21"/>
              </w:rPr>
              <w:t>-22%</w:t>
            </w:r>
          </w:p>
        </w:tc>
        <w:tc>
          <w:tcPr>
            <w:tcW w:w="947" w:type="dxa"/>
            <w:tcBorders>
              <w:top w:val="nil"/>
              <w:left w:val="nil"/>
              <w:bottom w:val="nil"/>
              <w:right w:val="nil"/>
            </w:tcBorders>
            <w:shd w:val="clear" w:color="auto" w:fill="BFBFBF" w:themeFill="background1" w:themeFillShade="BF"/>
            <w:noWrap/>
            <w:vAlign w:val="center"/>
            <w:hideMark/>
          </w:tcPr>
          <w:p w14:paraId="73CD120D" w14:textId="77777777" w:rsidR="00771B61" w:rsidRPr="007F6332" w:rsidRDefault="00771B61" w:rsidP="00CD33D0">
            <w:pPr>
              <w:jc w:val="right"/>
              <w:rPr>
                <w:rFonts w:cs="Arial"/>
                <w:sz w:val="21"/>
                <w:szCs w:val="21"/>
              </w:rPr>
            </w:pPr>
            <w:r w:rsidRPr="007F6332">
              <w:rPr>
                <w:rFonts w:cs="Arial"/>
                <w:sz w:val="21"/>
                <w:szCs w:val="21"/>
              </w:rPr>
              <w:t>-10%</w:t>
            </w:r>
          </w:p>
        </w:tc>
      </w:tr>
      <w:tr w:rsidR="003D58DB" w:rsidRPr="007F6332" w14:paraId="7CF1EE5A" w14:textId="77777777" w:rsidTr="003D58DB">
        <w:trPr>
          <w:trHeight w:val="227"/>
        </w:trPr>
        <w:tc>
          <w:tcPr>
            <w:tcW w:w="3762" w:type="dxa"/>
            <w:tcBorders>
              <w:top w:val="nil"/>
              <w:left w:val="nil"/>
              <w:bottom w:val="nil"/>
              <w:right w:val="nil"/>
            </w:tcBorders>
            <w:noWrap/>
            <w:vAlign w:val="center"/>
            <w:hideMark/>
          </w:tcPr>
          <w:p w14:paraId="6810DF41" w14:textId="77777777" w:rsidR="00771B61" w:rsidRPr="007F6332" w:rsidRDefault="00771B61" w:rsidP="00BA3C62">
            <w:pPr>
              <w:rPr>
                <w:rFonts w:cs="Arial"/>
                <w:sz w:val="21"/>
                <w:szCs w:val="21"/>
              </w:rPr>
            </w:pPr>
            <w:r w:rsidRPr="007F6332">
              <w:rPr>
                <w:rFonts w:cs="Arial"/>
                <w:b/>
                <w:bCs/>
                <w:sz w:val="21"/>
                <w:szCs w:val="21"/>
              </w:rPr>
              <w:t>% Difference</w:t>
            </w:r>
            <w:r w:rsidRPr="007F6332">
              <w:rPr>
                <w:rFonts w:cs="Arial"/>
                <w:sz w:val="21"/>
                <w:szCs w:val="21"/>
              </w:rPr>
              <w:t xml:space="preserve"> Capacity Building </w:t>
            </w:r>
          </w:p>
        </w:tc>
        <w:tc>
          <w:tcPr>
            <w:tcW w:w="946" w:type="dxa"/>
            <w:tcBorders>
              <w:top w:val="nil"/>
              <w:left w:val="nil"/>
              <w:bottom w:val="nil"/>
              <w:right w:val="nil"/>
            </w:tcBorders>
            <w:noWrap/>
            <w:vAlign w:val="center"/>
            <w:hideMark/>
          </w:tcPr>
          <w:p w14:paraId="6A51C1A3" w14:textId="77777777" w:rsidR="00771B61" w:rsidRPr="007F6332" w:rsidRDefault="00771B61" w:rsidP="00CD33D0">
            <w:pPr>
              <w:jc w:val="right"/>
              <w:rPr>
                <w:rFonts w:cs="Arial"/>
                <w:sz w:val="21"/>
                <w:szCs w:val="21"/>
              </w:rPr>
            </w:pPr>
            <w:r w:rsidRPr="007F6332">
              <w:rPr>
                <w:rFonts w:cs="Arial"/>
                <w:sz w:val="21"/>
                <w:szCs w:val="21"/>
              </w:rPr>
              <w:t>1%</w:t>
            </w:r>
          </w:p>
        </w:tc>
        <w:tc>
          <w:tcPr>
            <w:tcW w:w="947" w:type="dxa"/>
            <w:tcBorders>
              <w:top w:val="nil"/>
              <w:left w:val="nil"/>
              <w:bottom w:val="nil"/>
              <w:right w:val="nil"/>
            </w:tcBorders>
            <w:noWrap/>
            <w:vAlign w:val="center"/>
            <w:hideMark/>
          </w:tcPr>
          <w:p w14:paraId="5D7E822C" w14:textId="77777777" w:rsidR="00771B61" w:rsidRPr="007F6332" w:rsidRDefault="00771B61" w:rsidP="00CD33D0">
            <w:pPr>
              <w:jc w:val="right"/>
              <w:rPr>
                <w:rFonts w:cs="Arial"/>
                <w:sz w:val="21"/>
                <w:szCs w:val="21"/>
              </w:rPr>
            </w:pPr>
            <w:r w:rsidRPr="007F6332">
              <w:rPr>
                <w:rFonts w:cs="Arial"/>
                <w:sz w:val="21"/>
                <w:szCs w:val="21"/>
              </w:rPr>
              <w:t>-6%</w:t>
            </w:r>
          </w:p>
        </w:tc>
        <w:tc>
          <w:tcPr>
            <w:tcW w:w="947" w:type="dxa"/>
            <w:tcBorders>
              <w:top w:val="nil"/>
              <w:left w:val="nil"/>
              <w:bottom w:val="nil"/>
              <w:right w:val="nil"/>
            </w:tcBorders>
            <w:noWrap/>
            <w:vAlign w:val="center"/>
            <w:hideMark/>
          </w:tcPr>
          <w:p w14:paraId="5954CAC4" w14:textId="77777777" w:rsidR="00771B61" w:rsidRPr="007F6332" w:rsidRDefault="00771B61" w:rsidP="00CD33D0">
            <w:pPr>
              <w:jc w:val="right"/>
              <w:rPr>
                <w:rFonts w:cs="Arial"/>
                <w:sz w:val="21"/>
                <w:szCs w:val="21"/>
              </w:rPr>
            </w:pPr>
            <w:r w:rsidRPr="007F6332">
              <w:rPr>
                <w:rFonts w:cs="Arial"/>
                <w:sz w:val="21"/>
                <w:szCs w:val="21"/>
              </w:rPr>
              <w:t>-16%</w:t>
            </w:r>
          </w:p>
        </w:tc>
        <w:tc>
          <w:tcPr>
            <w:tcW w:w="946" w:type="dxa"/>
            <w:tcBorders>
              <w:top w:val="nil"/>
              <w:left w:val="nil"/>
              <w:bottom w:val="nil"/>
              <w:right w:val="nil"/>
            </w:tcBorders>
            <w:noWrap/>
            <w:vAlign w:val="center"/>
            <w:hideMark/>
          </w:tcPr>
          <w:p w14:paraId="24F3B9EA" w14:textId="77777777" w:rsidR="00771B61" w:rsidRPr="007F6332" w:rsidRDefault="00771B61" w:rsidP="00CD33D0">
            <w:pPr>
              <w:jc w:val="right"/>
              <w:rPr>
                <w:rFonts w:cs="Arial"/>
                <w:sz w:val="21"/>
                <w:szCs w:val="21"/>
              </w:rPr>
            </w:pPr>
            <w:r w:rsidRPr="007F6332">
              <w:rPr>
                <w:rFonts w:cs="Arial"/>
                <w:sz w:val="21"/>
                <w:szCs w:val="21"/>
              </w:rPr>
              <w:t>-18%</w:t>
            </w:r>
          </w:p>
        </w:tc>
        <w:tc>
          <w:tcPr>
            <w:tcW w:w="947" w:type="dxa"/>
            <w:tcBorders>
              <w:top w:val="nil"/>
              <w:left w:val="nil"/>
              <w:bottom w:val="nil"/>
              <w:right w:val="nil"/>
            </w:tcBorders>
            <w:noWrap/>
            <w:vAlign w:val="center"/>
            <w:hideMark/>
          </w:tcPr>
          <w:p w14:paraId="35301163" w14:textId="77777777" w:rsidR="00771B61" w:rsidRPr="007F6332" w:rsidRDefault="00771B61" w:rsidP="00CD33D0">
            <w:pPr>
              <w:jc w:val="right"/>
              <w:rPr>
                <w:rFonts w:cs="Arial"/>
                <w:sz w:val="21"/>
                <w:szCs w:val="21"/>
              </w:rPr>
            </w:pPr>
            <w:r w:rsidRPr="007F6332">
              <w:rPr>
                <w:rFonts w:cs="Arial"/>
                <w:sz w:val="21"/>
                <w:szCs w:val="21"/>
              </w:rPr>
              <w:t>-25%</w:t>
            </w:r>
          </w:p>
        </w:tc>
        <w:tc>
          <w:tcPr>
            <w:tcW w:w="947" w:type="dxa"/>
            <w:tcBorders>
              <w:top w:val="nil"/>
              <w:left w:val="nil"/>
              <w:bottom w:val="nil"/>
              <w:right w:val="nil"/>
            </w:tcBorders>
            <w:noWrap/>
            <w:vAlign w:val="center"/>
            <w:hideMark/>
          </w:tcPr>
          <w:p w14:paraId="1017D278" w14:textId="77777777" w:rsidR="00771B61" w:rsidRPr="007F6332" w:rsidRDefault="00771B61" w:rsidP="00CD33D0">
            <w:pPr>
              <w:jc w:val="right"/>
              <w:rPr>
                <w:rFonts w:cs="Arial"/>
                <w:sz w:val="21"/>
                <w:szCs w:val="21"/>
              </w:rPr>
            </w:pPr>
            <w:r w:rsidRPr="007F6332">
              <w:rPr>
                <w:rFonts w:cs="Arial"/>
                <w:sz w:val="21"/>
                <w:szCs w:val="21"/>
              </w:rPr>
              <w:t>-11%</w:t>
            </w:r>
          </w:p>
        </w:tc>
      </w:tr>
      <w:tr w:rsidR="003D58DB" w:rsidRPr="007F6332" w14:paraId="50D1FBF5" w14:textId="77777777" w:rsidTr="003D58DB">
        <w:trPr>
          <w:trHeight w:val="227"/>
        </w:trPr>
        <w:tc>
          <w:tcPr>
            <w:tcW w:w="3762" w:type="dxa"/>
            <w:tcBorders>
              <w:top w:val="nil"/>
              <w:left w:val="nil"/>
              <w:right w:val="nil"/>
            </w:tcBorders>
            <w:shd w:val="clear" w:color="auto" w:fill="B499B7"/>
            <w:noWrap/>
            <w:vAlign w:val="center"/>
            <w:hideMark/>
          </w:tcPr>
          <w:p w14:paraId="6851EBB4" w14:textId="2FF56CC3" w:rsidR="00771B61" w:rsidRPr="007F6332" w:rsidRDefault="00771B61" w:rsidP="00BA3C62">
            <w:pPr>
              <w:rPr>
                <w:rFonts w:cs="Arial"/>
                <w:b/>
                <w:bCs/>
                <w:sz w:val="21"/>
                <w:szCs w:val="21"/>
              </w:rPr>
            </w:pPr>
            <w:r w:rsidRPr="007F6332">
              <w:rPr>
                <w:rFonts w:cs="Arial"/>
                <w:b/>
                <w:bCs/>
                <w:sz w:val="21"/>
                <w:szCs w:val="21"/>
              </w:rPr>
              <w:t>Total</w:t>
            </w:r>
            <w:r w:rsidR="003D58DB" w:rsidRPr="007F6332">
              <w:rPr>
                <w:rFonts w:cs="Arial"/>
                <w:b/>
                <w:bCs/>
                <w:sz w:val="21"/>
                <w:szCs w:val="21"/>
              </w:rPr>
              <w:t xml:space="preserve"> % Difference</w:t>
            </w:r>
          </w:p>
        </w:tc>
        <w:tc>
          <w:tcPr>
            <w:tcW w:w="946" w:type="dxa"/>
            <w:tcBorders>
              <w:top w:val="nil"/>
              <w:left w:val="nil"/>
              <w:right w:val="nil"/>
            </w:tcBorders>
            <w:shd w:val="clear" w:color="auto" w:fill="B499B7"/>
            <w:noWrap/>
            <w:vAlign w:val="center"/>
            <w:hideMark/>
          </w:tcPr>
          <w:p w14:paraId="29CC3FB8" w14:textId="77777777" w:rsidR="00771B61" w:rsidRPr="007F6332" w:rsidRDefault="00771B61" w:rsidP="00CD33D0">
            <w:pPr>
              <w:jc w:val="right"/>
              <w:rPr>
                <w:rFonts w:cs="Arial"/>
                <w:b/>
                <w:bCs/>
                <w:sz w:val="21"/>
                <w:szCs w:val="21"/>
              </w:rPr>
            </w:pPr>
            <w:r w:rsidRPr="007F6332">
              <w:rPr>
                <w:rFonts w:cs="Arial"/>
                <w:b/>
                <w:bCs/>
                <w:sz w:val="21"/>
                <w:szCs w:val="21"/>
              </w:rPr>
              <w:t>9%</w:t>
            </w:r>
          </w:p>
        </w:tc>
        <w:tc>
          <w:tcPr>
            <w:tcW w:w="947" w:type="dxa"/>
            <w:tcBorders>
              <w:top w:val="nil"/>
              <w:left w:val="nil"/>
              <w:right w:val="nil"/>
            </w:tcBorders>
            <w:shd w:val="clear" w:color="auto" w:fill="B499B7"/>
            <w:noWrap/>
            <w:vAlign w:val="center"/>
            <w:hideMark/>
          </w:tcPr>
          <w:p w14:paraId="1BB53BD4" w14:textId="77777777" w:rsidR="00771B61" w:rsidRPr="007F6332" w:rsidRDefault="00771B61" w:rsidP="00CD33D0">
            <w:pPr>
              <w:jc w:val="right"/>
              <w:rPr>
                <w:rFonts w:cs="Arial"/>
                <w:b/>
                <w:bCs/>
                <w:sz w:val="21"/>
                <w:szCs w:val="21"/>
              </w:rPr>
            </w:pPr>
            <w:r w:rsidRPr="007F6332">
              <w:rPr>
                <w:rFonts w:cs="Arial"/>
                <w:b/>
                <w:bCs/>
                <w:sz w:val="21"/>
                <w:szCs w:val="21"/>
              </w:rPr>
              <w:t>6%</w:t>
            </w:r>
          </w:p>
        </w:tc>
        <w:tc>
          <w:tcPr>
            <w:tcW w:w="947" w:type="dxa"/>
            <w:tcBorders>
              <w:top w:val="nil"/>
              <w:left w:val="nil"/>
              <w:right w:val="nil"/>
            </w:tcBorders>
            <w:shd w:val="clear" w:color="auto" w:fill="B499B7"/>
            <w:noWrap/>
            <w:vAlign w:val="center"/>
            <w:hideMark/>
          </w:tcPr>
          <w:p w14:paraId="12C50085" w14:textId="77777777" w:rsidR="00771B61" w:rsidRPr="007F6332" w:rsidRDefault="00771B61" w:rsidP="00CD33D0">
            <w:pPr>
              <w:jc w:val="right"/>
              <w:rPr>
                <w:rFonts w:cs="Arial"/>
                <w:b/>
                <w:bCs/>
                <w:sz w:val="21"/>
                <w:szCs w:val="21"/>
              </w:rPr>
            </w:pPr>
            <w:r w:rsidRPr="007F6332">
              <w:rPr>
                <w:rFonts w:cs="Arial"/>
                <w:b/>
                <w:bCs/>
                <w:sz w:val="21"/>
                <w:szCs w:val="21"/>
              </w:rPr>
              <w:t>1%</w:t>
            </w:r>
          </w:p>
        </w:tc>
        <w:tc>
          <w:tcPr>
            <w:tcW w:w="946" w:type="dxa"/>
            <w:tcBorders>
              <w:top w:val="nil"/>
              <w:left w:val="nil"/>
              <w:right w:val="nil"/>
            </w:tcBorders>
            <w:shd w:val="clear" w:color="auto" w:fill="B499B7"/>
            <w:noWrap/>
            <w:vAlign w:val="center"/>
            <w:hideMark/>
          </w:tcPr>
          <w:p w14:paraId="2AB1B341" w14:textId="77777777" w:rsidR="00771B61" w:rsidRPr="007F6332" w:rsidRDefault="00771B61" w:rsidP="00CD33D0">
            <w:pPr>
              <w:jc w:val="right"/>
              <w:rPr>
                <w:rFonts w:cs="Arial"/>
                <w:b/>
                <w:bCs/>
                <w:sz w:val="21"/>
                <w:szCs w:val="21"/>
              </w:rPr>
            </w:pPr>
            <w:r w:rsidRPr="007F6332">
              <w:rPr>
                <w:rFonts w:cs="Arial"/>
                <w:b/>
                <w:bCs/>
                <w:sz w:val="21"/>
                <w:szCs w:val="21"/>
              </w:rPr>
              <w:t>0%</w:t>
            </w:r>
          </w:p>
        </w:tc>
        <w:tc>
          <w:tcPr>
            <w:tcW w:w="947" w:type="dxa"/>
            <w:tcBorders>
              <w:top w:val="nil"/>
              <w:left w:val="nil"/>
              <w:right w:val="nil"/>
            </w:tcBorders>
            <w:shd w:val="clear" w:color="auto" w:fill="B499B7"/>
            <w:noWrap/>
            <w:vAlign w:val="center"/>
            <w:hideMark/>
          </w:tcPr>
          <w:p w14:paraId="7E367C48" w14:textId="77777777" w:rsidR="00771B61" w:rsidRPr="007F6332" w:rsidRDefault="00771B61" w:rsidP="00CD33D0">
            <w:pPr>
              <w:jc w:val="right"/>
              <w:rPr>
                <w:rFonts w:cs="Arial"/>
                <w:b/>
                <w:bCs/>
                <w:sz w:val="21"/>
                <w:szCs w:val="21"/>
              </w:rPr>
            </w:pPr>
            <w:r w:rsidRPr="007F6332">
              <w:rPr>
                <w:rFonts w:cs="Arial"/>
                <w:b/>
                <w:bCs/>
                <w:sz w:val="21"/>
                <w:szCs w:val="21"/>
              </w:rPr>
              <w:t>-4%</w:t>
            </w:r>
          </w:p>
        </w:tc>
        <w:tc>
          <w:tcPr>
            <w:tcW w:w="947" w:type="dxa"/>
            <w:tcBorders>
              <w:top w:val="nil"/>
              <w:left w:val="nil"/>
              <w:right w:val="nil"/>
            </w:tcBorders>
            <w:shd w:val="clear" w:color="auto" w:fill="B499B7"/>
            <w:noWrap/>
            <w:vAlign w:val="center"/>
            <w:hideMark/>
          </w:tcPr>
          <w:p w14:paraId="0B4AD4CA" w14:textId="77777777" w:rsidR="00771B61" w:rsidRPr="007F6332" w:rsidRDefault="00771B61" w:rsidP="00CD33D0">
            <w:pPr>
              <w:jc w:val="right"/>
              <w:rPr>
                <w:rFonts w:cs="Arial"/>
                <w:b/>
                <w:bCs/>
                <w:sz w:val="21"/>
                <w:szCs w:val="21"/>
              </w:rPr>
            </w:pPr>
            <w:r w:rsidRPr="007F6332">
              <w:rPr>
                <w:rFonts w:cs="Arial"/>
                <w:b/>
                <w:bCs/>
                <w:sz w:val="21"/>
                <w:szCs w:val="21"/>
              </w:rPr>
              <w:t>3%</w:t>
            </w:r>
          </w:p>
        </w:tc>
      </w:tr>
    </w:tbl>
    <w:p w14:paraId="175D3CA3" w14:textId="77777777" w:rsidR="00D553EA" w:rsidRPr="007F6332" w:rsidRDefault="00D553EA" w:rsidP="00EA3AC8">
      <w:pPr>
        <w:spacing w:before="240"/>
        <w:rPr>
          <w:rFonts w:cs="Arial"/>
          <w:b/>
          <w:bCs/>
          <w:color w:val="6B2976"/>
          <w:sz w:val="24"/>
        </w:rPr>
      </w:pPr>
    </w:p>
    <w:p w14:paraId="45C86871" w14:textId="6EEC0796" w:rsidR="005A6405" w:rsidRPr="007F6332" w:rsidRDefault="005A6405" w:rsidP="00B45B70">
      <w:pPr>
        <w:pStyle w:val="FSRHeading4"/>
      </w:pPr>
      <w:r w:rsidRPr="007F6332">
        <w:lastRenderedPageBreak/>
        <w:t>Scheme expenses as proportion of Gross Domestic Product (GDP)</w:t>
      </w:r>
    </w:p>
    <w:p w14:paraId="1913A447" w14:textId="77777777" w:rsidR="00B91D74" w:rsidRPr="007F6332" w:rsidRDefault="005A6405" w:rsidP="00B91D74">
      <w:pPr>
        <w:rPr>
          <w:rFonts w:cs="Arial"/>
        </w:rPr>
      </w:pPr>
      <w:r w:rsidRPr="007F6332">
        <w:rPr>
          <w:rFonts w:cs="Arial"/>
        </w:rPr>
        <w:t>Total Scheme expenses (accrual basis) are estimated to represent 1.61% of GDP in 2023-24, increasing to 1.89% in 2026-27 and 2.33% in 2032-33. For ages 0 to 64, this is 1.46% of GDP in 2023-24, 1.</w:t>
      </w:r>
      <w:r w:rsidR="009C3194" w:rsidRPr="007F6332">
        <w:rPr>
          <w:rFonts w:cs="Arial"/>
        </w:rPr>
        <w:t>66</w:t>
      </w:r>
      <w:r w:rsidRPr="007F6332">
        <w:rPr>
          <w:rFonts w:cs="Arial"/>
        </w:rPr>
        <w:t>% of GDP in 2026-27 and 1.99% of GDP in 2032-33. Scheme expenses as a proportion of GDP are projected to be lower than the previous review (Figure A.1 and A.2).</w:t>
      </w:r>
    </w:p>
    <w:p w14:paraId="3698FA99" w14:textId="2A945F2A" w:rsidR="005A6405" w:rsidRPr="007F6332" w:rsidRDefault="005A6405" w:rsidP="00B45B70">
      <w:pPr>
        <w:pStyle w:val="FiguresandTablesHeading5"/>
      </w:pPr>
      <w:r w:rsidRPr="007F6332">
        <w:t>Figure A.1</w:t>
      </w:r>
      <w:r w:rsidR="006C6D15" w:rsidRPr="007F6332">
        <w:t>:</w:t>
      </w:r>
      <w:r w:rsidRPr="007F6332">
        <w:t xml:space="preserve"> Comparison of Scheme expenses (accrual basis) as a proportion of GDP – all ages</w:t>
      </w:r>
    </w:p>
    <w:p w14:paraId="199709F4" w14:textId="1256BA29" w:rsidR="005A6405" w:rsidRPr="007F6332" w:rsidRDefault="008312F7" w:rsidP="005A6405">
      <w:pPr>
        <w:rPr>
          <w:rFonts w:eastAsiaTheme="majorEastAsia" w:cs="Arial"/>
          <w:b/>
          <w:iCs/>
        </w:rPr>
      </w:pPr>
      <w:r w:rsidRPr="007F6332">
        <w:rPr>
          <w:rFonts w:cs="Arial"/>
          <w:noProof/>
        </w:rPr>
        <w:drawing>
          <wp:inline distT="0" distB="0" distL="0" distR="0" wp14:anchorId="4B2BCF01" wp14:editId="728570C7">
            <wp:extent cx="5565997" cy="3238734"/>
            <wp:effectExtent l="0" t="0" r="0" b="0"/>
            <wp:docPr id="1352665295" name="Picture 2" descr="Figure A.1:&#10;The chart compares scheme expenses - all ages (on an accrual basis) as a proportion of GDP, showing a decrease for June 2023 projections compared to June 2022 projections.  &#10;2023-24, the proportion is 1.61% for June 2023 projections compared to 1.68% for the June 2022 projections.&#10;2024-25, the proportion is 1.76% for the June 2023 projections compared to 1.85% for the June 2022 projections.&#10;2025-26, the proportion is 1.83% for the June 2023 projections, compared to 2.01% for the June 2022 projections.&#10;2026-27, the proportion is 1.89% for the June 2023 projections, compared to 2.11% for the June 2022 projections.&#10;2032-33, the proportion is 2.33% for the June 2023 projections, compared to 2.75% for the June 2022 proj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65295" name="Picture 2" descr="Figure A.1:&#10;The chart compares scheme expenses - all ages (on an accrual basis) as a proportion of GDP, showing a decrease for June 2023 projections compared to June 2022 projections.  &#10;2023-24, the proportion is 1.61% for June 2023 projections compared to 1.68% for the June 2022 projections.&#10;2024-25, the proportion is 1.76% for the June 2023 projections compared to 1.85% for the June 2022 projections.&#10;2025-26, the proportion is 1.83% for the June 2023 projections, compared to 2.01% for the June 2022 projections.&#10;2026-27, the proportion is 1.89% for the June 2023 projections, compared to 2.11% for the June 2022 projections.&#10;2032-33, the proportion is 2.33% for the June 2023 projections, compared to 2.75% for the June 2022 projections."/>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569134" cy="3240559"/>
                    </a:xfrm>
                    <a:prstGeom prst="rect">
                      <a:avLst/>
                    </a:prstGeom>
                    <a:noFill/>
                    <a:ln>
                      <a:noFill/>
                    </a:ln>
                  </pic:spPr>
                </pic:pic>
              </a:graphicData>
            </a:graphic>
          </wp:inline>
        </w:drawing>
      </w:r>
    </w:p>
    <w:p w14:paraId="1F90F921" w14:textId="77777777" w:rsidR="00F17001" w:rsidRPr="007F6332" w:rsidRDefault="00F17001">
      <w:pPr>
        <w:spacing w:line="276" w:lineRule="auto"/>
        <w:rPr>
          <w:rFonts w:eastAsiaTheme="majorEastAsia" w:cs="Arial"/>
          <w:b/>
          <w:iCs/>
        </w:rPr>
      </w:pPr>
      <w:r w:rsidRPr="007F6332">
        <w:rPr>
          <w:rFonts w:cs="Arial"/>
        </w:rPr>
        <w:br w:type="page"/>
      </w:r>
    </w:p>
    <w:p w14:paraId="1ED437D9" w14:textId="0A134028" w:rsidR="008326BB" w:rsidRPr="007F6332" w:rsidRDefault="008326BB" w:rsidP="00B45B70">
      <w:pPr>
        <w:pStyle w:val="FiguresandTablesHeading5"/>
        <w:rPr>
          <w:bCs/>
        </w:rPr>
      </w:pPr>
      <w:r w:rsidRPr="007F6332">
        <w:lastRenderedPageBreak/>
        <w:t>Figure A.2: Comparison of Scheme expenses (accrual basis) as a proportion of GDP –ages 0 to 64</w:t>
      </w:r>
    </w:p>
    <w:p w14:paraId="58279EFF" w14:textId="7906CCE4" w:rsidR="008312F7" w:rsidRPr="007F6332" w:rsidRDefault="006404F9" w:rsidP="005A6405">
      <w:pPr>
        <w:rPr>
          <w:rFonts w:cs="Arial"/>
          <w:b/>
          <w:bCs/>
        </w:rPr>
      </w:pPr>
      <w:r w:rsidRPr="007F6332">
        <w:rPr>
          <w:rFonts w:cs="Arial"/>
          <w:b/>
          <w:bCs/>
          <w:noProof/>
        </w:rPr>
        <w:drawing>
          <wp:inline distT="0" distB="0" distL="0" distR="0" wp14:anchorId="064533AD" wp14:editId="7D3810BC">
            <wp:extent cx="5669083" cy="3533429"/>
            <wp:effectExtent l="0" t="0" r="8255" b="0"/>
            <wp:docPr id="1536634761" name="Picture 2" descr="Figure A.2:&#10;The chart compares scheme expenses (on an accrual basis) - participants aged 0 to 64 as a proportion of GDP, showing a decrease for June 2023 projections compared to June 2022 projections. &#10;2023-24, the proportion is 1.46% for the June 2023 projections compared to 1.54% for the June 2022 projections.&#10;2024-25, the proportion is 1.58% for the June 2023 projections compared to 1.68% for the June 2022 projections.&#10;2025-26, the proportion is 1.62% for the June 2023 projections compared to 1.81% for the June 2022 projections.&#10;2026-27, the proportion is 1.66% for the June 2023 projections compared to 1.88% for the June 2022 projections.&#10;2032-33, the proportion is 1.99% for the June 2023 projections compared to 2.39% for the June 2022 proje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34761" name="Picture 2" descr="Figure A.2:&#10;The chart compares scheme expenses (on an accrual basis) - participants aged 0 to 64 as a proportion of GDP, showing a decrease for June 2023 projections compared to June 2022 projections. &#10;2023-24, the proportion is 1.46% for the June 2023 projections compared to 1.54% for the June 2022 projections.&#10;2024-25, the proportion is 1.58% for the June 2023 projections compared to 1.68% for the June 2022 projections.&#10;2025-26, the proportion is 1.62% for the June 2023 projections compared to 1.81% for the June 2022 projections.&#10;2026-27, the proportion is 1.66% for the June 2023 projections compared to 1.88% for the June 2022 projections.&#10;2032-33, the proportion is 1.99% for the June 2023 projections compared to 2.39% for the June 2022 projections.&#1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681157" cy="3540955"/>
                    </a:xfrm>
                    <a:prstGeom prst="rect">
                      <a:avLst/>
                    </a:prstGeom>
                    <a:noFill/>
                  </pic:spPr>
                </pic:pic>
              </a:graphicData>
            </a:graphic>
          </wp:inline>
        </w:drawing>
      </w:r>
    </w:p>
    <w:p w14:paraId="2F0E4685" w14:textId="77777777" w:rsidR="00AD33D4" w:rsidRPr="007F6332" w:rsidRDefault="00AD33D4" w:rsidP="00AD33D4">
      <w:pPr>
        <w:rPr>
          <w:rFonts w:cs="Arial"/>
        </w:rPr>
        <w:sectPr w:rsidR="00AD33D4" w:rsidRPr="007F6332" w:rsidSect="00CE7E91">
          <w:pgSz w:w="11906" w:h="16838"/>
          <w:pgMar w:top="1440" w:right="1416" w:bottom="1440" w:left="1440" w:header="708" w:footer="850" w:gutter="0"/>
          <w:cols w:space="708"/>
          <w:titlePg/>
          <w:docGrid w:linePitch="360"/>
        </w:sectPr>
      </w:pPr>
    </w:p>
    <w:p w14:paraId="0111AE6B" w14:textId="246D1B9F" w:rsidR="00317448" w:rsidRPr="007F6332" w:rsidRDefault="00AD33D4" w:rsidP="008B34A8">
      <w:pPr>
        <w:pStyle w:val="FSRHeading3"/>
      </w:pPr>
      <w:bookmarkStart w:id="298" w:name="_Toc152615019"/>
      <w:r w:rsidRPr="007F6332">
        <w:lastRenderedPageBreak/>
        <w:t>Appendix B</w:t>
      </w:r>
      <w:r w:rsidR="0045538E" w:rsidRPr="007F6332">
        <w:tab/>
      </w:r>
      <w:r w:rsidR="008F1C3E" w:rsidRPr="007F6332">
        <w:t>Reconciliation to previous review</w:t>
      </w:r>
      <w:bookmarkEnd w:id="298"/>
    </w:p>
    <w:p w14:paraId="1E5CF772" w14:textId="624FAC05" w:rsidR="00317448" w:rsidRPr="007F6332" w:rsidRDefault="00332A4E" w:rsidP="00317448">
      <w:pPr>
        <w:rPr>
          <w:rFonts w:cs="Arial"/>
        </w:rPr>
      </w:pPr>
      <w:r w:rsidRPr="007F6332">
        <w:rPr>
          <w:rFonts w:cs="Arial"/>
        </w:rPr>
        <w:t>Projected participant numbers at 30 June 2024 are estimated to be around 22,900 higher than at the previous review. This is mainly driven by the higher expected number of new entrants joining the Scheme. At 30 June 2033, projected participant numbers are expected to be around 32,500 lower than at the previous review. This is due to the growing effect on the Scheme of an expected increased rate of participants leaving the Scheme.</w:t>
      </w:r>
      <w:r w:rsidR="00317448" w:rsidRPr="007F6332">
        <w:rPr>
          <w:rFonts w:cs="Arial"/>
        </w:rPr>
        <w:t xml:space="preserve"> </w:t>
      </w:r>
    </w:p>
    <w:p w14:paraId="6F8D8935" w14:textId="77777777" w:rsidR="00317448" w:rsidRPr="007F6332" w:rsidRDefault="00317448" w:rsidP="00A148ED">
      <w:pPr>
        <w:pStyle w:val="FiguresandTablesHeading4"/>
        <w:rPr>
          <w:lang w:val="en-AU"/>
        </w:rPr>
      </w:pPr>
      <w:r w:rsidRPr="007F6332">
        <w:rPr>
          <w:lang w:val="en-AU"/>
        </w:rPr>
        <w:t>Table B.1: Change in projected participant numbers compared to previous review</w:t>
      </w:r>
    </w:p>
    <w:tbl>
      <w:tblPr>
        <w:tblW w:w="9045" w:type="dxa"/>
        <w:tblBorders>
          <w:bottom w:val="single" w:sz="4" w:space="0" w:color="auto"/>
        </w:tblBorders>
        <w:tblLook w:val="04A0" w:firstRow="1" w:lastRow="0" w:firstColumn="1" w:lastColumn="0" w:noHBand="0" w:noVBand="1"/>
      </w:tblPr>
      <w:tblGrid>
        <w:gridCol w:w="3029"/>
        <w:gridCol w:w="1213"/>
        <w:gridCol w:w="1212"/>
        <w:gridCol w:w="1212"/>
        <w:gridCol w:w="1184"/>
        <w:gridCol w:w="1195"/>
      </w:tblGrid>
      <w:tr w:rsidR="0045538E" w:rsidRPr="007F6332" w14:paraId="53EA6290" w14:textId="77777777" w:rsidTr="00CE7E91">
        <w:trPr>
          <w:trHeight w:val="280"/>
        </w:trPr>
        <w:tc>
          <w:tcPr>
            <w:tcW w:w="0" w:type="auto"/>
            <w:shd w:val="clear" w:color="000000" w:fill="6B2976"/>
            <w:vAlign w:val="center"/>
            <w:hideMark/>
          </w:tcPr>
          <w:p w14:paraId="70E023ED" w14:textId="05F28A6A" w:rsidR="0045538E" w:rsidRPr="007F6332" w:rsidRDefault="0045538E" w:rsidP="00CD3C3B">
            <w:pPr>
              <w:spacing w:after="0" w:line="240" w:lineRule="auto"/>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Change in projected participant numbers</w:t>
            </w:r>
            <w:r w:rsidR="009C3194" w:rsidRPr="007F6332">
              <w:rPr>
                <w:rFonts w:eastAsia="Times New Roman" w:cs="Arial"/>
                <w:b/>
                <w:bCs/>
                <w:color w:val="FFFFFF" w:themeColor="background1"/>
                <w:szCs w:val="22"/>
                <w:lang w:val="en-AU" w:eastAsia="en-AU"/>
              </w:rPr>
              <w:t xml:space="preserve"> at 30 June</w:t>
            </w:r>
          </w:p>
        </w:tc>
        <w:tc>
          <w:tcPr>
            <w:tcW w:w="0" w:type="auto"/>
            <w:shd w:val="clear" w:color="000000" w:fill="6B2976"/>
            <w:noWrap/>
            <w:vAlign w:val="center"/>
            <w:hideMark/>
          </w:tcPr>
          <w:p w14:paraId="64FD97E9"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2024</w:t>
            </w:r>
          </w:p>
        </w:tc>
        <w:tc>
          <w:tcPr>
            <w:tcW w:w="0" w:type="auto"/>
            <w:shd w:val="clear" w:color="000000" w:fill="6B2976"/>
            <w:noWrap/>
            <w:vAlign w:val="center"/>
            <w:hideMark/>
          </w:tcPr>
          <w:p w14:paraId="3FE30150"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2025</w:t>
            </w:r>
          </w:p>
        </w:tc>
        <w:tc>
          <w:tcPr>
            <w:tcW w:w="0" w:type="auto"/>
            <w:tcBorders>
              <w:right w:val="dashed" w:sz="8" w:space="0" w:color="auto"/>
            </w:tcBorders>
            <w:shd w:val="clear" w:color="000000" w:fill="6B2976"/>
            <w:noWrap/>
            <w:vAlign w:val="center"/>
            <w:hideMark/>
          </w:tcPr>
          <w:p w14:paraId="22FD7613"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2026</w:t>
            </w:r>
          </w:p>
        </w:tc>
        <w:tc>
          <w:tcPr>
            <w:tcW w:w="0" w:type="auto"/>
            <w:tcBorders>
              <w:left w:val="dashed" w:sz="8" w:space="0" w:color="auto"/>
              <w:bottom w:val="nil"/>
              <w:right w:val="single" w:sz="4" w:space="0" w:color="auto"/>
            </w:tcBorders>
            <w:shd w:val="clear" w:color="000000" w:fill="6B2976"/>
            <w:noWrap/>
            <w:vAlign w:val="center"/>
            <w:hideMark/>
          </w:tcPr>
          <w:p w14:paraId="64DF0EED" w14:textId="5C8CA5AC"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2027</w:t>
            </w:r>
          </w:p>
        </w:tc>
        <w:tc>
          <w:tcPr>
            <w:tcW w:w="0" w:type="auto"/>
            <w:tcBorders>
              <w:left w:val="single" w:sz="4" w:space="0" w:color="auto"/>
              <w:bottom w:val="nil"/>
            </w:tcBorders>
            <w:shd w:val="clear" w:color="000000" w:fill="6B2976"/>
            <w:noWrap/>
            <w:vAlign w:val="center"/>
            <w:hideMark/>
          </w:tcPr>
          <w:p w14:paraId="7C368DC9"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2033</w:t>
            </w:r>
          </w:p>
        </w:tc>
      </w:tr>
      <w:tr w:rsidR="0045538E" w:rsidRPr="007F6332" w14:paraId="3C6DD87F" w14:textId="77777777" w:rsidTr="00CE7E91">
        <w:trPr>
          <w:trHeight w:val="280"/>
        </w:trPr>
        <w:tc>
          <w:tcPr>
            <w:tcW w:w="0" w:type="auto"/>
            <w:shd w:val="clear" w:color="auto" w:fill="808285"/>
            <w:vAlign w:val="center"/>
            <w:hideMark/>
          </w:tcPr>
          <w:p w14:paraId="61D4029B" w14:textId="77777777" w:rsidR="0045538E" w:rsidRPr="007F6332" w:rsidRDefault="0045538E" w:rsidP="00CD3C3B">
            <w:pPr>
              <w:spacing w:after="0" w:line="240" w:lineRule="auto"/>
              <w:rPr>
                <w:rFonts w:eastAsia="Times New Roman" w:cs="Arial"/>
                <w:b/>
                <w:bCs/>
                <w:szCs w:val="22"/>
                <w:lang w:val="en-AU" w:eastAsia="en-AU"/>
              </w:rPr>
            </w:pPr>
            <w:r w:rsidRPr="007F6332">
              <w:rPr>
                <w:rFonts w:eastAsia="Times New Roman" w:cs="Arial"/>
                <w:b/>
                <w:bCs/>
                <w:szCs w:val="22"/>
                <w:lang w:val="en-AU" w:eastAsia="en-AU"/>
              </w:rPr>
              <w:t>June 2022 projections</w:t>
            </w:r>
          </w:p>
        </w:tc>
        <w:tc>
          <w:tcPr>
            <w:tcW w:w="0" w:type="auto"/>
            <w:shd w:val="clear" w:color="auto" w:fill="808285"/>
            <w:noWrap/>
            <w:vAlign w:val="center"/>
            <w:hideMark/>
          </w:tcPr>
          <w:p w14:paraId="1D74DB6A"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646,012</w:t>
            </w:r>
          </w:p>
        </w:tc>
        <w:tc>
          <w:tcPr>
            <w:tcW w:w="0" w:type="auto"/>
            <w:shd w:val="clear" w:color="auto" w:fill="808285"/>
            <w:noWrap/>
            <w:vAlign w:val="center"/>
            <w:hideMark/>
          </w:tcPr>
          <w:p w14:paraId="27122296"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693,889</w:t>
            </w:r>
          </w:p>
        </w:tc>
        <w:tc>
          <w:tcPr>
            <w:tcW w:w="0" w:type="auto"/>
            <w:tcBorders>
              <w:right w:val="dashed" w:sz="8" w:space="0" w:color="auto"/>
            </w:tcBorders>
            <w:shd w:val="clear" w:color="auto" w:fill="808285"/>
            <w:noWrap/>
            <w:vAlign w:val="center"/>
            <w:hideMark/>
          </w:tcPr>
          <w:p w14:paraId="7DC5AD5B"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741,077</w:t>
            </w:r>
          </w:p>
        </w:tc>
        <w:tc>
          <w:tcPr>
            <w:tcW w:w="0" w:type="auto"/>
            <w:tcBorders>
              <w:left w:val="dashed" w:sz="8" w:space="0" w:color="auto"/>
              <w:bottom w:val="nil"/>
              <w:right w:val="single" w:sz="4" w:space="0" w:color="auto"/>
            </w:tcBorders>
            <w:shd w:val="clear" w:color="auto" w:fill="808285"/>
            <w:noWrap/>
            <w:vAlign w:val="center"/>
            <w:hideMark/>
          </w:tcPr>
          <w:p w14:paraId="2398663C"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787,820</w:t>
            </w:r>
          </w:p>
        </w:tc>
        <w:tc>
          <w:tcPr>
            <w:tcW w:w="0" w:type="auto"/>
            <w:tcBorders>
              <w:left w:val="single" w:sz="4" w:space="0" w:color="auto"/>
              <w:bottom w:val="nil"/>
            </w:tcBorders>
            <w:shd w:val="clear" w:color="auto" w:fill="808285"/>
            <w:noWrap/>
            <w:vAlign w:val="center"/>
            <w:hideMark/>
          </w:tcPr>
          <w:p w14:paraId="2896CE1C"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1,062,787</w:t>
            </w:r>
          </w:p>
        </w:tc>
      </w:tr>
      <w:tr w:rsidR="0045538E" w:rsidRPr="007F6332" w14:paraId="776EBB5C" w14:textId="77777777" w:rsidTr="00CE7E91">
        <w:trPr>
          <w:trHeight w:val="642"/>
        </w:trPr>
        <w:tc>
          <w:tcPr>
            <w:tcW w:w="0" w:type="auto"/>
            <w:shd w:val="clear" w:color="auto" w:fill="auto"/>
            <w:vAlign w:val="center"/>
            <w:hideMark/>
          </w:tcPr>
          <w:p w14:paraId="5D174F2F" w14:textId="77777777" w:rsidR="0045538E" w:rsidRPr="007F6332" w:rsidRDefault="0045538E" w:rsidP="00CD3C3B">
            <w:pPr>
              <w:spacing w:after="0" w:line="240" w:lineRule="auto"/>
              <w:rPr>
                <w:rFonts w:eastAsia="Times New Roman" w:cs="Arial"/>
                <w:szCs w:val="22"/>
                <w:lang w:val="en-AU" w:eastAsia="en-AU"/>
              </w:rPr>
            </w:pPr>
            <w:r w:rsidRPr="007F6332">
              <w:rPr>
                <w:rFonts w:eastAsia="Times New Roman" w:cs="Arial"/>
                <w:szCs w:val="22"/>
                <w:lang w:val="en-AU" w:eastAsia="en-AU"/>
              </w:rPr>
              <w:t>a) Experience between June 2022 and June 2023</w:t>
            </w:r>
          </w:p>
        </w:tc>
        <w:tc>
          <w:tcPr>
            <w:tcW w:w="0" w:type="auto"/>
            <w:shd w:val="clear" w:color="auto" w:fill="auto"/>
            <w:noWrap/>
            <w:vAlign w:val="center"/>
            <w:hideMark/>
          </w:tcPr>
          <w:p w14:paraId="6245B01D"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+6,139</w:t>
            </w:r>
          </w:p>
        </w:tc>
        <w:tc>
          <w:tcPr>
            <w:tcW w:w="0" w:type="auto"/>
            <w:shd w:val="clear" w:color="auto" w:fill="auto"/>
            <w:noWrap/>
            <w:vAlign w:val="center"/>
            <w:hideMark/>
          </w:tcPr>
          <w:p w14:paraId="268233E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+4,683</w:t>
            </w:r>
          </w:p>
        </w:tc>
        <w:tc>
          <w:tcPr>
            <w:tcW w:w="0" w:type="auto"/>
            <w:tcBorders>
              <w:right w:val="dashed" w:sz="8" w:space="0" w:color="auto"/>
            </w:tcBorders>
            <w:shd w:val="clear" w:color="auto" w:fill="auto"/>
            <w:noWrap/>
            <w:vAlign w:val="center"/>
            <w:hideMark/>
          </w:tcPr>
          <w:p w14:paraId="6C0E3048"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+3,692</w:t>
            </w:r>
          </w:p>
        </w:tc>
        <w:tc>
          <w:tcPr>
            <w:tcW w:w="0" w:type="auto"/>
            <w:tcBorders>
              <w:left w:val="dashed" w:sz="8" w:space="0" w:color="auto"/>
              <w:bottom w:val="nil"/>
              <w:right w:val="single" w:sz="4" w:space="0" w:color="auto"/>
            </w:tcBorders>
            <w:shd w:val="clear" w:color="auto" w:fill="auto"/>
            <w:noWrap/>
            <w:vAlign w:val="center"/>
            <w:hideMark/>
          </w:tcPr>
          <w:p w14:paraId="775F34A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+3,038</w:t>
            </w:r>
          </w:p>
        </w:tc>
        <w:tc>
          <w:tcPr>
            <w:tcW w:w="0" w:type="auto"/>
            <w:tcBorders>
              <w:left w:val="single" w:sz="4" w:space="0" w:color="auto"/>
              <w:bottom w:val="nil"/>
            </w:tcBorders>
            <w:shd w:val="clear" w:color="auto" w:fill="auto"/>
            <w:noWrap/>
            <w:vAlign w:val="center"/>
            <w:hideMark/>
          </w:tcPr>
          <w:p w14:paraId="1A743700"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+2,541</w:t>
            </w:r>
          </w:p>
        </w:tc>
      </w:tr>
      <w:tr w:rsidR="0045538E" w:rsidRPr="007F6332" w14:paraId="1E23BF51" w14:textId="77777777" w:rsidTr="00CE7E91">
        <w:trPr>
          <w:trHeight w:val="290"/>
        </w:trPr>
        <w:tc>
          <w:tcPr>
            <w:tcW w:w="0" w:type="auto"/>
            <w:shd w:val="clear" w:color="auto" w:fill="A7A9AC"/>
            <w:vAlign w:val="center"/>
            <w:hideMark/>
          </w:tcPr>
          <w:p w14:paraId="6E16B9BF" w14:textId="77777777" w:rsidR="0045538E" w:rsidRPr="007F6332" w:rsidRDefault="0045538E" w:rsidP="00CD3C3B">
            <w:pPr>
              <w:spacing w:after="0" w:line="240" w:lineRule="auto"/>
              <w:rPr>
                <w:rFonts w:eastAsia="Times New Roman" w:cs="Arial"/>
                <w:szCs w:val="22"/>
                <w:lang w:val="en-AU" w:eastAsia="en-AU"/>
              </w:rPr>
            </w:pPr>
            <w:r w:rsidRPr="007F6332">
              <w:rPr>
                <w:rFonts w:eastAsia="Times New Roman" w:cs="Arial"/>
                <w:szCs w:val="22"/>
                <w:lang w:val="en-AU" w:eastAsia="en-AU"/>
              </w:rPr>
              <w:t>b) General population growth</w:t>
            </w:r>
          </w:p>
        </w:tc>
        <w:tc>
          <w:tcPr>
            <w:tcW w:w="0" w:type="auto"/>
            <w:shd w:val="clear" w:color="auto" w:fill="A7A9AC"/>
            <w:noWrap/>
            <w:vAlign w:val="center"/>
            <w:hideMark/>
          </w:tcPr>
          <w:p w14:paraId="78E0C20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+0</w:t>
            </w:r>
          </w:p>
        </w:tc>
        <w:tc>
          <w:tcPr>
            <w:tcW w:w="0" w:type="auto"/>
            <w:shd w:val="clear" w:color="auto" w:fill="A7A9AC"/>
            <w:noWrap/>
            <w:vAlign w:val="center"/>
            <w:hideMark/>
          </w:tcPr>
          <w:p w14:paraId="617F96AC"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+94</w:t>
            </w:r>
          </w:p>
        </w:tc>
        <w:tc>
          <w:tcPr>
            <w:tcW w:w="0" w:type="auto"/>
            <w:tcBorders>
              <w:right w:val="dashed" w:sz="8" w:space="0" w:color="auto"/>
            </w:tcBorders>
            <w:shd w:val="clear" w:color="auto" w:fill="A7A9AC"/>
            <w:noWrap/>
            <w:vAlign w:val="center"/>
            <w:hideMark/>
          </w:tcPr>
          <w:p w14:paraId="76C43D7E"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+280</w:t>
            </w:r>
          </w:p>
        </w:tc>
        <w:tc>
          <w:tcPr>
            <w:tcW w:w="0" w:type="auto"/>
            <w:tcBorders>
              <w:left w:val="dashed" w:sz="8" w:space="0" w:color="auto"/>
              <w:bottom w:val="nil"/>
              <w:right w:val="single" w:sz="4" w:space="0" w:color="auto"/>
            </w:tcBorders>
            <w:shd w:val="clear" w:color="auto" w:fill="A7A9AC"/>
            <w:noWrap/>
            <w:vAlign w:val="center"/>
            <w:hideMark/>
          </w:tcPr>
          <w:p w14:paraId="6177F206"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+548</w:t>
            </w:r>
          </w:p>
        </w:tc>
        <w:tc>
          <w:tcPr>
            <w:tcW w:w="0" w:type="auto"/>
            <w:tcBorders>
              <w:left w:val="single" w:sz="4" w:space="0" w:color="auto"/>
              <w:bottom w:val="nil"/>
            </w:tcBorders>
            <w:shd w:val="clear" w:color="auto" w:fill="A7A9AC"/>
            <w:noWrap/>
            <w:vAlign w:val="center"/>
            <w:hideMark/>
          </w:tcPr>
          <w:p w14:paraId="518CB5B5"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+2,905</w:t>
            </w:r>
          </w:p>
        </w:tc>
      </w:tr>
      <w:tr w:rsidR="0045538E" w:rsidRPr="007F6332" w14:paraId="764EF207" w14:textId="77777777" w:rsidTr="00CE7E91">
        <w:trPr>
          <w:trHeight w:val="290"/>
        </w:trPr>
        <w:tc>
          <w:tcPr>
            <w:tcW w:w="0" w:type="auto"/>
            <w:shd w:val="clear" w:color="auto" w:fill="auto"/>
            <w:vAlign w:val="center"/>
            <w:hideMark/>
          </w:tcPr>
          <w:p w14:paraId="5C6F42BE" w14:textId="77777777" w:rsidR="0045538E" w:rsidRPr="007F6332" w:rsidRDefault="0045538E" w:rsidP="00CD3C3B">
            <w:pPr>
              <w:spacing w:after="0" w:line="240" w:lineRule="auto"/>
              <w:rPr>
                <w:rFonts w:eastAsia="Times New Roman" w:cs="Arial"/>
                <w:szCs w:val="22"/>
                <w:lang w:val="en-AU" w:eastAsia="en-AU"/>
              </w:rPr>
            </w:pPr>
            <w:r w:rsidRPr="007F6332">
              <w:rPr>
                <w:rFonts w:eastAsia="Times New Roman" w:cs="Arial"/>
                <w:szCs w:val="22"/>
                <w:lang w:val="en-AU" w:eastAsia="en-AU"/>
              </w:rPr>
              <w:t>c) Change in mortality assumptions</w:t>
            </w:r>
          </w:p>
        </w:tc>
        <w:tc>
          <w:tcPr>
            <w:tcW w:w="0" w:type="auto"/>
            <w:shd w:val="clear" w:color="auto" w:fill="auto"/>
            <w:noWrap/>
            <w:vAlign w:val="center"/>
            <w:hideMark/>
          </w:tcPr>
          <w:p w14:paraId="33605555"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-239</w:t>
            </w:r>
          </w:p>
        </w:tc>
        <w:tc>
          <w:tcPr>
            <w:tcW w:w="0" w:type="auto"/>
            <w:shd w:val="clear" w:color="auto" w:fill="auto"/>
            <w:noWrap/>
            <w:vAlign w:val="center"/>
            <w:hideMark/>
          </w:tcPr>
          <w:p w14:paraId="11B65D5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-510</w:t>
            </w:r>
          </w:p>
        </w:tc>
        <w:tc>
          <w:tcPr>
            <w:tcW w:w="0" w:type="auto"/>
            <w:tcBorders>
              <w:right w:val="dashed" w:sz="8" w:space="0" w:color="auto"/>
            </w:tcBorders>
            <w:shd w:val="clear" w:color="auto" w:fill="auto"/>
            <w:noWrap/>
            <w:vAlign w:val="center"/>
            <w:hideMark/>
          </w:tcPr>
          <w:p w14:paraId="1C27CD0A"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-804</w:t>
            </w:r>
          </w:p>
        </w:tc>
        <w:tc>
          <w:tcPr>
            <w:tcW w:w="0" w:type="auto"/>
            <w:tcBorders>
              <w:left w:val="dashed" w:sz="8" w:space="0" w:color="auto"/>
              <w:bottom w:val="nil"/>
              <w:right w:val="single" w:sz="4" w:space="0" w:color="auto"/>
            </w:tcBorders>
            <w:shd w:val="clear" w:color="auto" w:fill="auto"/>
            <w:noWrap/>
            <w:vAlign w:val="center"/>
            <w:hideMark/>
          </w:tcPr>
          <w:p w14:paraId="3DF1CAD4"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-1,118</w:t>
            </w:r>
          </w:p>
        </w:tc>
        <w:tc>
          <w:tcPr>
            <w:tcW w:w="0" w:type="auto"/>
            <w:tcBorders>
              <w:left w:val="single" w:sz="4" w:space="0" w:color="auto"/>
              <w:bottom w:val="nil"/>
            </w:tcBorders>
            <w:shd w:val="clear" w:color="auto" w:fill="auto"/>
            <w:noWrap/>
            <w:vAlign w:val="center"/>
            <w:hideMark/>
          </w:tcPr>
          <w:p w14:paraId="7FFF0AD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-3,337</w:t>
            </w:r>
          </w:p>
        </w:tc>
      </w:tr>
      <w:tr w:rsidR="0045538E" w:rsidRPr="007F6332" w14:paraId="53047C53" w14:textId="77777777" w:rsidTr="00CE7E91">
        <w:trPr>
          <w:trHeight w:val="570"/>
        </w:trPr>
        <w:tc>
          <w:tcPr>
            <w:tcW w:w="0" w:type="auto"/>
            <w:shd w:val="clear" w:color="auto" w:fill="A7A9AC"/>
            <w:vAlign w:val="center"/>
            <w:hideMark/>
          </w:tcPr>
          <w:p w14:paraId="4DA7EB5B" w14:textId="77777777" w:rsidR="0045538E" w:rsidRPr="007F6332" w:rsidRDefault="0045538E" w:rsidP="00CD3C3B">
            <w:pPr>
              <w:spacing w:after="0" w:line="240" w:lineRule="auto"/>
              <w:rPr>
                <w:rFonts w:eastAsia="Times New Roman" w:cs="Arial"/>
                <w:szCs w:val="22"/>
                <w:lang w:val="en-AU" w:eastAsia="en-AU"/>
              </w:rPr>
            </w:pPr>
            <w:r w:rsidRPr="007F6332">
              <w:rPr>
                <w:rFonts w:eastAsia="Times New Roman" w:cs="Arial"/>
                <w:szCs w:val="22"/>
                <w:lang w:val="en-AU" w:eastAsia="en-AU"/>
              </w:rPr>
              <w:t>d) Change in assumptions relating to participants leaving the Scheme</w:t>
            </w:r>
          </w:p>
        </w:tc>
        <w:tc>
          <w:tcPr>
            <w:tcW w:w="0" w:type="auto"/>
            <w:shd w:val="clear" w:color="auto" w:fill="A7A9AC"/>
            <w:noWrap/>
            <w:vAlign w:val="center"/>
            <w:hideMark/>
          </w:tcPr>
          <w:p w14:paraId="3DFCE2CB"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-3,993</w:t>
            </w:r>
          </w:p>
        </w:tc>
        <w:tc>
          <w:tcPr>
            <w:tcW w:w="0" w:type="auto"/>
            <w:shd w:val="clear" w:color="auto" w:fill="A7A9AC"/>
            <w:noWrap/>
            <w:vAlign w:val="center"/>
            <w:hideMark/>
          </w:tcPr>
          <w:p w14:paraId="29954C55"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-7,702</w:t>
            </w:r>
          </w:p>
        </w:tc>
        <w:tc>
          <w:tcPr>
            <w:tcW w:w="0" w:type="auto"/>
            <w:tcBorders>
              <w:right w:val="dashed" w:sz="8" w:space="0" w:color="auto"/>
            </w:tcBorders>
            <w:shd w:val="clear" w:color="auto" w:fill="A7A9AC"/>
            <w:noWrap/>
            <w:vAlign w:val="center"/>
            <w:hideMark/>
          </w:tcPr>
          <w:p w14:paraId="5F9E1066"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-13,729</w:t>
            </w:r>
          </w:p>
        </w:tc>
        <w:tc>
          <w:tcPr>
            <w:tcW w:w="0" w:type="auto"/>
            <w:tcBorders>
              <w:left w:val="dashed" w:sz="8" w:space="0" w:color="auto"/>
              <w:bottom w:val="nil"/>
              <w:right w:val="single" w:sz="4" w:space="0" w:color="auto"/>
            </w:tcBorders>
            <w:shd w:val="clear" w:color="auto" w:fill="A7A9AC"/>
            <w:noWrap/>
            <w:vAlign w:val="center"/>
            <w:hideMark/>
          </w:tcPr>
          <w:p w14:paraId="4DE809BF"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-18,209</w:t>
            </w:r>
          </w:p>
        </w:tc>
        <w:tc>
          <w:tcPr>
            <w:tcW w:w="0" w:type="auto"/>
            <w:tcBorders>
              <w:left w:val="single" w:sz="4" w:space="0" w:color="auto"/>
              <w:bottom w:val="nil"/>
            </w:tcBorders>
            <w:shd w:val="clear" w:color="auto" w:fill="A7A9AC"/>
            <w:noWrap/>
            <w:vAlign w:val="center"/>
            <w:hideMark/>
          </w:tcPr>
          <w:p w14:paraId="59CAC56B"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-40,373</w:t>
            </w:r>
          </w:p>
        </w:tc>
      </w:tr>
      <w:tr w:rsidR="0045538E" w:rsidRPr="007F6332" w14:paraId="420D837E" w14:textId="77777777" w:rsidTr="00CE7E91">
        <w:trPr>
          <w:trHeight w:val="371"/>
        </w:trPr>
        <w:tc>
          <w:tcPr>
            <w:tcW w:w="0" w:type="auto"/>
            <w:shd w:val="clear" w:color="auto" w:fill="auto"/>
            <w:vAlign w:val="center"/>
            <w:hideMark/>
          </w:tcPr>
          <w:p w14:paraId="6E226FEA" w14:textId="77777777" w:rsidR="0045538E" w:rsidRPr="007F6332" w:rsidRDefault="0045538E" w:rsidP="00CD3C3B">
            <w:pPr>
              <w:spacing w:after="0" w:line="240" w:lineRule="auto"/>
              <w:rPr>
                <w:rFonts w:eastAsia="Times New Roman" w:cs="Arial"/>
                <w:szCs w:val="22"/>
                <w:lang w:val="en-AU" w:eastAsia="en-AU"/>
              </w:rPr>
            </w:pPr>
            <w:r w:rsidRPr="007F6332">
              <w:rPr>
                <w:rFonts w:eastAsia="Times New Roman" w:cs="Arial"/>
                <w:szCs w:val="22"/>
                <w:lang w:val="en-AU" w:eastAsia="en-AU"/>
              </w:rPr>
              <w:t>e) Change in new entrant assumptions</w:t>
            </w:r>
          </w:p>
        </w:tc>
        <w:tc>
          <w:tcPr>
            <w:tcW w:w="0" w:type="auto"/>
            <w:shd w:val="clear" w:color="auto" w:fill="auto"/>
            <w:noWrap/>
            <w:vAlign w:val="center"/>
            <w:hideMark/>
          </w:tcPr>
          <w:p w14:paraId="3A2C5633"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+19,373</w:t>
            </w:r>
          </w:p>
        </w:tc>
        <w:tc>
          <w:tcPr>
            <w:tcW w:w="0" w:type="auto"/>
            <w:shd w:val="clear" w:color="auto" w:fill="auto"/>
            <w:noWrap/>
            <w:vAlign w:val="center"/>
            <w:hideMark/>
          </w:tcPr>
          <w:p w14:paraId="51F3B57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+21,732</w:t>
            </w:r>
          </w:p>
        </w:tc>
        <w:tc>
          <w:tcPr>
            <w:tcW w:w="0" w:type="auto"/>
            <w:tcBorders>
              <w:right w:val="dashed" w:sz="8" w:space="0" w:color="auto"/>
            </w:tcBorders>
            <w:shd w:val="clear" w:color="auto" w:fill="auto"/>
            <w:noWrap/>
            <w:vAlign w:val="center"/>
            <w:hideMark/>
          </w:tcPr>
          <w:p w14:paraId="0D85BFB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+20,835</w:t>
            </w:r>
          </w:p>
        </w:tc>
        <w:tc>
          <w:tcPr>
            <w:tcW w:w="0" w:type="auto"/>
            <w:tcBorders>
              <w:left w:val="dashed" w:sz="8" w:space="0" w:color="auto"/>
              <w:bottom w:val="nil"/>
              <w:right w:val="single" w:sz="4" w:space="0" w:color="auto"/>
            </w:tcBorders>
            <w:shd w:val="clear" w:color="auto" w:fill="auto"/>
            <w:noWrap/>
            <w:vAlign w:val="center"/>
            <w:hideMark/>
          </w:tcPr>
          <w:p w14:paraId="5F18CABC"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+18,031</w:t>
            </w:r>
          </w:p>
        </w:tc>
        <w:tc>
          <w:tcPr>
            <w:tcW w:w="0" w:type="auto"/>
            <w:tcBorders>
              <w:left w:val="single" w:sz="4" w:space="0" w:color="auto"/>
              <w:bottom w:val="nil"/>
            </w:tcBorders>
            <w:shd w:val="clear" w:color="auto" w:fill="auto"/>
            <w:noWrap/>
            <w:vAlign w:val="center"/>
            <w:hideMark/>
          </w:tcPr>
          <w:p w14:paraId="552686C8"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+8,801</w:t>
            </w:r>
          </w:p>
        </w:tc>
      </w:tr>
      <w:tr w:rsidR="0045538E" w:rsidRPr="007F6332" w14:paraId="40A5EDC0" w14:textId="77777777" w:rsidTr="00CE7E91">
        <w:trPr>
          <w:trHeight w:val="290"/>
        </w:trPr>
        <w:tc>
          <w:tcPr>
            <w:tcW w:w="0" w:type="auto"/>
            <w:shd w:val="clear" w:color="auto" w:fill="A7A9AC"/>
            <w:vAlign w:val="center"/>
            <w:hideMark/>
          </w:tcPr>
          <w:p w14:paraId="1B7A54A3" w14:textId="77777777" w:rsidR="0045538E" w:rsidRPr="007F6332" w:rsidRDefault="0045538E" w:rsidP="00CD3C3B">
            <w:pPr>
              <w:spacing w:after="0" w:line="240" w:lineRule="auto"/>
              <w:rPr>
                <w:rFonts w:eastAsia="Times New Roman" w:cs="Arial"/>
                <w:szCs w:val="22"/>
                <w:lang w:val="en-AU" w:eastAsia="en-AU"/>
              </w:rPr>
            </w:pPr>
            <w:r w:rsidRPr="007F6332">
              <w:rPr>
                <w:rFonts w:eastAsia="Times New Roman" w:cs="Arial"/>
                <w:szCs w:val="22"/>
                <w:lang w:val="en-AU" w:eastAsia="en-AU"/>
              </w:rPr>
              <w:t>f) Change in immigration assumptions</w:t>
            </w:r>
          </w:p>
        </w:tc>
        <w:tc>
          <w:tcPr>
            <w:tcW w:w="0" w:type="auto"/>
            <w:shd w:val="clear" w:color="auto" w:fill="A7A9AC"/>
            <w:noWrap/>
            <w:vAlign w:val="center"/>
            <w:hideMark/>
          </w:tcPr>
          <w:p w14:paraId="3F0DBF37"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+1,426</w:t>
            </w:r>
          </w:p>
        </w:tc>
        <w:tc>
          <w:tcPr>
            <w:tcW w:w="0" w:type="auto"/>
            <w:shd w:val="clear" w:color="auto" w:fill="A7A9AC"/>
            <w:noWrap/>
            <w:vAlign w:val="center"/>
            <w:hideMark/>
          </w:tcPr>
          <w:p w14:paraId="0D6D7E32"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+3,091</w:t>
            </w:r>
          </w:p>
        </w:tc>
        <w:tc>
          <w:tcPr>
            <w:tcW w:w="0" w:type="auto"/>
            <w:tcBorders>
              <w:right w:val="dashed" w:sz="8" w:space="0" w:color="auto"/>
            </w:tcBorders>
            <w:shd w:val="clear" w:color="auto" w:fill="A7A9AC"/>
            <w:noWrap/>
            <w:vAlign w:val="center"/>
            <w:hideMark/>
          </w:tcPr>
          <w:p w14:paraId="3C8EF624"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+4,233</w:t>
            </w:r>
          </w:p>
        </w:tc>
        <w:tc>
          <w:tcPr>
            <w:tcW w:w="0" w:type="auto"/>
            <w:tcBorders>
              <w:left w:val="dashed" w:sz="8" w:space="0" w:color="auto"/>
              <w:bottom w:val="nil"/>
              <w:right w:val="single" w:sz="4" w:space="0" w:color="auto"/>
            </w:tcBorders>
            <w:shd w:val="clear" w:color="auto" w:fill="A7A9AC"/>
            <w:noWrap/>
            <w:vAlign w:val="center"/>
            <w:hideMark/>
          </w:tcPr>
          <w:p w14:paraId="5385A2D6"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+4,952</w:t>
            </w:r>
          </w:p>
        </w:tc>
        <w:tc>
          <w:tcPr>
            <w:tcW w:w="0" w:type="auto"/>
            <w:tcBorders>
              <w:left w:val="single" w:sz="4" w:space="0" w:color="auto"/>
              <w:bottom w:val="nil"/>
            </w:tcBorders>
            <w:shd w:val="clear" w:color="auto" w:fill="A7A9AC"/>
            <w:noWrap/>
            <w:vAlign w:val="center"/>
            <w:hideMark/>
          </w:tcPr>
          <w:p w14:paraId="48C4CAD3"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+9,010</w:t>
            </w:r>
          </w:p>
        </w:tc>
      </w:tr>
      <w:tr w:rsidR="0045538E" w:rsidRPr="007F6332" w14:paraId="1DB494FB" w14:textId="77777777" w:rsidTr="00CE7E91">
        <w:trPr>
          <w:trHeight w:val="233"/>
        </w:trPr>
        <w:tc>
          <w:tcPr>
            <w:tcW w:w="0" w:type="auto"/>
            <w:shd w:val="clear" w:color="auto" w:fill="auto"/>
            <w:vAlign w:val="center"/>
            <w:hideMark/>
          </w:tcPr>
          <w:p w14:paraId="389EA436" w14:textId="77777777" w:rsidR="0045538E" w:rsidRPr="007F6332" w:rsidRDefault="0045538E" w:rsidP="00CD3C3B">
            <w:pPr>
              <w:spacing w:after="0" w:line="240" w:lineRule="auto"/>
              <w:rPr>
                <w:rFonts w:eastAsia="Times New Roman" w:cs="Arial"/>
                <w:szCs w:val="22"/>
                <w:lang w:val="en-AU" w:eastAsia="en-AU"/>
              </w:rPr>
            </w:pPr>
            <w:r w:rsidRPr="007F6332">
              <w:rPr>
                <w:rFonts w:eastAsia="Times New Roman" w:cs="Arial"/>
                <w:szCs w:val="22"/>
                <w:lang w:val="en-AU" w:eastAsia="en-AU"/>
              </w:rPr>
              <w:t>g) Change in transition assumptions</w:t>
            </w:r>
            <w:r w:rsidRPr="007F6332">
              <w:rPr>
                <w:rStyle w:val="FootnoteReference"/>
                <w:rFonts w:eastAsia="Times New Roman" w:cs="Arial"/>
                <w:szCs w:val="22"/>
                <w:lang w:val="en-AU" w:eastAsia="en-AU"/>
              </w:rPr>
              <w:footnoteReference w:id="168"/>
            </w:r>
          </w:p>
        </w:tc>
        <w:tc>
          <w:tcPr>
            <w:tcW w:w="0" w:type="auto"/>
            <w:shd w:val="clear" w:color="auto" w:fill="auto"/>
            <w:noWrap/>
            <w:vAlign w:val="center"/>
            <w:hideMark/>
          </w:tcPr>
          <w:p w14:paraId="390E6DB4"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+189</w:t>
            </w:r>
          </w:p>
        </w:tc>
        <w:tc>
          <w:tcPr>
            <w:tcW w:w="0" w:type="auto"/>
            <w:shd w:val="clear" w:color="auto" w:fill="auto"/>
            <w:noWrap/>
            <w:vAlign w:val="center"/>
            <w:hideMark/>
          </w:tcPr>
          <w:p w14:paraId="7993742B"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-471</w:t>
            </w:r>
          </w:p>
        </w:tc>
        <w:tc>
          <w:tcPr>
            <w:tcW w:w="0" w:type="auto"/>
            <w:tcBorders>
              <w:right w:val="dashed" w:sz="8" w:space="0" w:color="auto"/>
            </w:tcBorders>
            <w:shd w:val="clear" w:color="auto" w:fill="auto"/>
            <w:noWrap/>
            <w:vAlign w:val="center"/>
            <w:hideMark/>
          </w:tcPr>
          <w:p w14:paraId="28DC9766"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-1,562</w:t>
            </w:r>
          </w:p>
        </w:tc>
        <w:tc>
          <w:tcPr>
            <w:tcW w:w="0" w:type="auto"/>
            <w:tcBorders>
              <w:left w:val="dashed" w:sz="8" w:space="0" w:color="auto"/>
              <w:bottom w:val="nil"/>
              <w:right w:val="single" w:sz="4" w:space="0" w:color="auto"/>
            </w:tcBorders>
            <w:shd w:val="clear" w:color="auto" w:fill="auto"/>
            <w:noWrap/>
            <w:vAlign w:val="center"/>
            <w:hideMark/>
          </w:tcPr>
          <w:p w14:paraId="31A8EE9C"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-2,865</w:t>
            </w:r>
          </w:p>
        </w:tc>
        <w:tc>
          <w:tcPr>
            <w:tcW w:w="0" w:type="auto"/>
            <w:tcBorders>
              <w:left w:val="single" w:sz="4" w:space="0" w:color="auto"/>
              <w:bottom w:val="nil"/>
            </w:tcBorders>
            <w:shd w:val="clear" w:color="auto" w:fill="auto"/>
            <w:noWrap/>
            <w:vAlign w:val="center"/>
            <w:hideMark/>
          </w:tcPr>
          <w:p w14:paraId="38D6A63F"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-11,998</w:t>
            </w:r>
          </w:p>
        </w:tc>
      </w:tr>
      <w:tr w:rsidR="0045538E" w:rsidRPr="007F6332" w14:paraId="7118BE65" w14:textId="77777777" w:rsidTr="00CE7E91">
        <w:trPr>
          <w:trHeight w:val="280"/>
        </w:trPr>
        <w:tc>
          <w:tcPr>
            <w:tcW w:w="0" w:type="auto"/>
            <w:shd w:val="clear" w:color="auto" w:fill="808285"/>
            <w:vAlign w:val="center"/>
            <w:hideMark/>
          </w:tcPr>
          <w:p w14:paraId="33C42FB6" w14:textId="77777777" w:rsidR="0045538E" w:rsidRPr="007F6332" w:rsidRDefault="0045538E" w:rsidP="00CD3C3B">
            <w:pPr>
              <w:spacing w:after="0" w:line="240" w:lineRule="auto"/>
              <w:rPr>
                <w:rFonts w:eastAsia="Times New Roman" w:cs="Arial"/>
                <w:b/>
                <w:bCs/>
                <w:szCs w:val="22"/>
                <w:lang w:val="en-AU" w:eastAsia="en-AU"/>
              </w:rPr>
            </w:pPr>
            <w:r w:rsidRPr="007F6332">
              <w:rPr>
                <w:rFonts w:eastAsia="Times New Roman" w:cs="Arial"/>
                <w:b/>
                <w:bCs/>
                <w:szCs w:val="22"/>
                <w:lang w:val="en-AU" w:eastAsia="en-AU"/>
              </w:rPr>
              <w:t>June 2023 projections</w:t>
            </w:r>
          </w:p>
        </w:tc>
        <w:tc>
          <w:tcPr>
            <w:tcW w:w="0" w:type="auto"/>
            <w:shd w:val="clear" w:color="auto" w:fill="808285"/>
            <w:noWrap/>
            <w:vAlign w:val="center"/>
            <w:hideMark/>
          </w:tcPr>
          <w:p w14:paraId="08671A62"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668,907</w:t>
            </w:r>
          </w:p>
        </w:tc>
        <w:tc>
          <w:tcPr>
            <w:tcW w:w="0" w:type="auto"/>
            <w:shd w:val="clear" w:color="auto" w:fill="808285"/>
            <w:noWrap/>
            <w:vAlign w:val="center"/>
            <w:hideMark/>
          </w:tcPr>
          <w:p w14:paraId="766BDD17"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714,805</w:t>
            </w:r>
          </w:p>
        </w:tc>
        <w:tc>
          <w:tcPr>
            <w:tcW w:w="0" w:type="auto"/>
            <w:tcBorders>
              <w:right w:val="dashed" w:sz="8" w:space="0" w:color="auto"/>
            </w:tcBorders>
            <w:shd w:val="clear" w:color="auto" w:fill="808285"/>
            <w:noWrap/>
            <w:vAlign w:val="center"/>
            <w:hideMark/>
          </w:tcPr>
          <w:p w14:paraId="230DC41A"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754,022</w:t>
            </w:r>
          </w:p>
        </w:tc>
        <w:tc>
          <w:tcPr>
            <w:tcW w:w="0" w:type="auto"/>
            <w:tcBorders>
              <w:left w:val="dashed" w:sz="8" w:space="0" w:color="auto"/>
              <w:bottom w:val="nil"/>
              <w:right w:val="single" w:sz="4" w:space="0" w:color="auto"/>
            </w:tcBorders>
            <w:shd w:val="clear" w:color="auto" w:fill="808285"/>
            <w:noWrap/>
            <w:vAlign w:val="center"/>
            <w:hideMark/>
          </w:tcPr>
          <w:p w14:paraId="6228DFF3"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792,200</w:t>
            </w:r>
          </w:p>
        </w:tc>
        <w:tc>
          <w:tcPr>
            <w:tcW w:w="0" w:type="auto"/>
            <w:tcBorders>
              <w:left w:val="single" w:sz="4" w:space="0" w:color="auto"/>
              <w:bottom w:val="nil"/>
            </w:tcBorders>
            <w:shd w:val="clear" w:color="auto" w:fill="808285"/>
            <w:noWrap/>
            <w:vAlign w:val="center"/>
            <w:hideMark/>
          </w:tcPr>
          <w:p w14:paraId="55246A8E"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1,030,337</w:t>
            </w:r>
          </w:p>
        </w:tc>
      </w:tr>
      <w:tr w:rsidR="0045538E" w:rsidRPr="007F6332" w14:paraId="0C548AE3" w14:textId="77777777" w:rsidTr="00CE7E91">
        <w:trPr>
          <w:trHeight w:val="520"/>
        </w:trPr>
        <w:tc>
          <w:tcPr>
            <w:tcW w:w="0" w:type="auto"/>
            <w:shd w:val="clear" w:color="auto" w:fill="B398B8"/>
            <w:vAlign w:val="center"/>
            <w:hideMark/>
          </w:tcPr>
          <w:p w14:paraId="5D4D2FB6" w14:textId="77777777" w:rsidR="0045538E" w:rsidRPr="007F6332" w:rsidRDefault="0045538E" w:rsidP="00CD3C3B">
            <w:pPr>
              <w:spacing w:after="0" w:line="240" w:lineRule="auto"/>
              <w:rPr>
                <w:rFonts w:eastAsia="Times New Roman" w:cs="Arial"/>
                <w:b/>
                <w:bCs/>
                <w:szCs w:val="22"/>
                <w:lang w:val="en-AU" w:eastAsia="en-AU"/>
              </w:rPr>
            </w:pPr>
            <w:r w:rsidRPr="007F6332">
              <w:rPr>
                <w:rFonts w:eastAsia="Times New Roman" w:cs="Arial"/>
                <w:b/>
                <w:bCs/>
                <w:szCs w:val="22"/>
                <w:lang w:val="en-AU" w:eastAsia="en-AU"/>
              </w:rPr>
              <w:t>Total movement from June 2022 projections to June 2023 projections</w:t>
            </w:r>
          </w:p>
        </w:tc>
        <w:tc>
          <w:tcPr>
            <w:tcW w:w="0" w:type="auto"/>
            <w:shd w:val="clear" w:color="auto" w:fill="B398B8"/>
            <w:vAlign w:val="center"/>
            <w:hideMark/>
          </w:tcPr>
          <w:p w14:paraId="752C3F3E"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+22,895 (+3.5%)</w:t>
            </w:r>
          </w:p>
        </w:tc>
        <w:tc>
          <w:tcPr>
            <w:tcW w:w="0" w:type="auto"/>
            <w:shd w:val="clear" w:color="auto" w:fill="B398B8"/>
            <w:vAlign w:val="center"/>
            <w:hideMark/>
          </w:tcPr>
          <w:p w14:paraId="3D831D77"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+20,917 (+3.0%)</w:t>
            </w:r>
          </w:p>
        </w:tc>
        <w:tc>
          <w:tcPr>
            <w:tcW w:w="0" w:type="auto"/>
            <w:tcBorders>
              <w:right w:val="dashed" w:sz="8" w:space="0" w:color="auto"/>
            </w:tcBorders>
            <w:shd w:val="clear" w:color="auto" w:fill="B398B8"/>
            <w:vAlign w:val="center"/>
            <w:hideMark/>
          </w:tcPr>
          <w:p w14:paraId="6A0E4674"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+12,945 (+1.7%)</w:t>
            </w:r>
          </w:p>
        </w:tc>
        <w:tc>
          <w:tcPr>
            <w:tcW w:w="0" w:type="auto"/>
            <w:tcBorders>
              <w:left w:val="dashed" w:sz="8" w:space="0" w:color="auto"/>
              <w:bottom w:val="single" w:sz="4" w:space="0" w:color="auto"/>
              <w:right w:val="single" w:sz="4" w:space="0" w:color="auto"/>
            </w:tcBorders>
            <w:shd w:val="clear" w:color="auto" w:fill="B398B8"/>
            <w:vAlign w:val="center"/>
            <w:hideMark/>
          </w:tcPr>
          <w:p w14:paraId="40B1C361"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+4,379 (+0.6%)</w:t>
            </w:r>
          </w:p>
        </w:tc>
        <w:tc>
          <w:tcPr>
            <w:tcW w:w="0" w:type="auto"/>
            <w:tcBorders>
              <w:left w:val="single" w:sz="4" w:space="0" w:color="auto"/>
              <w:bottom w:val="single" w:sz="4" w:space="0" w:color="auto"/>
            </w:tcBorders>
            <w:shd w:val="clear" w:color="auto" w:fill="B398B8"/>
            <w:vAlign w:val="center"/>
            <w:hideMark/>
          </w:tcPr>
          <w:p w14:paraId="7EA14803" w14:textId="77777777" w:rsidR="0045538E" w:rsidRPr="007F6332" w:rsidRDefault="0045538E" w:rsidP="00CD3C3B">
            <w:pPr>
              <w:spacing w:after="0" w:line="240" w:lineRule="auto"/>
              <w:jc w:val="right"/>
              <w:rPr>
                <w:rFonts w:eastAsia="Times New Roman" w:cs="Arial"/>
                <w:b/>
                <w:bCs/>
                <w:szCs w:val="22"/>
                <w:lang w:val="en-AU" w:eastAsia="en-AU"/>
              </w:rPr>
            </w:pPr>
            <w:r w:rsidRPr="007F6332">
              <w:rPr>
                <w:rFonts w:eastAsia="Times New Roman" w:cs="Arial"/>
                <w:b/>
                <w:bCs/>
                <w:szCs w:val="22"/>
                <w:lang w:val="en-AU" w:eastAsia="en-AU"/>
              </w:rPr>
              <w:t>-32,450</w:t>
            </w:r>
            <w:r w:rsidRPr="007F6332">
              <w:rPr>
                <w:rFonts w:eastAsia="Times New Roman" w:cs="Arial"/>
                <w:b/>
                <w:bCs/>
                <w:szCs w:val="22"/>
                <w:lang w:val="en-AU" w:eastAsia="en-AU"/>
              </w:rPr>
              <w:br/>
              <w:t xml:space="preserve"> (-3.1%)</w:t>
            </w:r>
          </w:p>
        </w:tc>
      </w:tr>
    </w:tbl>
    <w:p w14:paraId="5D6699F5" w14:textId="77777777" w:rsidR="00332A4E" w:rsidRPr="007F6332" w:rsidRDefault="00332A4E" w:rsidP="00317448">
      <w:pPr>
        <w:rPr>
          <w:rFonts w:cs="Arial"/>
        </w:rPr>
      </w:pPr>
    </w:p>
    <w:p w14:paraId="1C76119D" w14:textId="0FC76DDE" w:rsidR="00317448" w:rsidRPr="007F6332" w:rsidRDefault="00332A4E" w:rsidP="00317448">
      <w:pPr>
        <w:rPr>
          <w:rFonts w:cs="Arial"/>
        </w:rPr>
      </w:pPr>
      <w:r w:rsidRPr="007F6332">
        <w:rPr>
          <w:rFonts w:cs="Arial"/>
        </w:rPr>
        <w:t>For 2023-24, Scheme expenses are projected to be 8.5% higher than the previous review. This is mainly attributable to the additional growth assumptions relating to participants transitioning into SIL, and the increases to normal inflation based on the 2022-23 Annual Pricing Review. Scheme expenses are projected to be lower than the previous review from the 2026-27 projection year onwards, due to changes in the additional growth assumptions over the medium to long term.</w:t>
      </w:r>
    </w:p>
    <w:p w14:paraId="0BF78950" w14:textId="77777777" w:rsidR="00317448" w:rsidRPr="007F6332" w:rsidRDefault="00317448" w:rsidP="00A148ED">
      <w:pPr>
        <w:pStyle w:val="FiguresandTablesHeading4"/>
        <w:rPr>
          <w:lang w:val="en-AU"/>
        </w:rPr>
      </w:pPr>
      <w:r w:rsidRPr="007F6332">
        <w:rPr>
          <w:lang w:val="en-AU"/>
        </w:rPr>
        <w:lastRenderedPageBreak/>
        <w:t>Table B.2: Change in projected Scheme expenses (accrual basis) compared to previous review</w:t>
      </w:r>
    </w:p>
    <w:tbl>
      <w:tblPr>
        <w:tblW w:w="9639" w:type="dxa"/>
        <w:tblLook w:val="04A0" w:firstRow="1" w:lastRow="0" w:firstColumn="1" w:lastColumn="0" w:noHBand="0" w:noVBand="1"/>
      </w:tblPr>
      <w:tblGrid>
        <w:gridCol w:w="2692"/>
        <w:gridCol w:w="1187"/>
        <w:gridCol w:w="1187"/>
        <w:gridCol w:w="1187"/>
        <w:gridCol w:w="1187"/>
        <w:gridCol w:w="1187"/>
        <w:gridCol w:w="1012"/>
      </w:tblGrid>
      <w:tr w:rsidR="0045538E" w:rsidRPr="007F6332" w14:paraId="663CFC1D" w14:textId="77777777" w:rsidTr="00B91D74">
        <w:trPr>
          <w:trHeight w:val="567"/>
        </w:trPr>
        <w:tc>
          <w:tcPr>
            <w:tcW w:w="2693" w:type="dxa"/>
            <w:tcBorders>
              <w:bottom w:val="single" w:sz="4" w:space="0" w:color="000000"/>
            </w:tcBorders>
            <w:shd w:val="clear" w:color="000000" w:fill="6B2976"/>
            <w:vAlign w:val="center"/>
            <w:hideMark/>
          </w:tcPr>
          <w:p w14:paraId="71B0E253" w14:textId="77777777" w:rsidR="0045538E" w:rsidRPr="007F6332" w:rsidRDefault="0045538E" w:rsidP="00CD3C3B">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Change in projected Scheme expenses ($m)</w:t>
            </w:r>
          </w:p>
        </w:tc>
        <w:tc>
          <w:tcPr>
            <w:tcW w:w="0" w:type="auto"/>
            <w:tcBorders>
              <w:bottom w:val="single" w:sz="4" w:space="0" w:color="auto"/>
            </w:tcBorders>
            <w:shd w:val="clear" w:color="000000" w:fill="6B2976"/>
            <w:noWrap/>
            <w:vAlign w:val="center"/>
            <w:hideMark/>
          </w:tcPr>
          <w:p w14:paraId="386DEBBA" w14:textId="649E16D7" w:rsidR="0045538E" w:rsidRPr="007F6332" w:rsidRDefault="0045538E" w:rsidP="00CD756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2023-24</w:t>
            </w:r>
          </w:p>
        </w:tc>
        <w:tc>
          <w:tcPr>
            <w:tcW w:w="0" w:type="auto"/>
            <w:tcBorders>
              <w:bottom w:val="single" w:sz="4" w:space="0" w:color="auto"/>
            </w:tcBorders>
            <w:shd w:val="clear" w:color="000000" w:fill="6B2976"/>
            <w:noWrap/>
            <w:vAlign w:val="center"/>
            <w:hideMark/>
          </w:tcPr>
          <w:p w14:paraId="01C5C819"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2024-25</w:t>
            </w:r>
          </w:p>
        </w:tc>
        <w:tc>
          <w:tcPr>
            <w:tcW w:w="0" w:type="auto"/>
            <w:tcBorders>
              <w:bottom w:val="single" w:sz="4" w:space="0" w:color="auto"/>
            </w:tcBorders>
            <w:shd w:val="clear" w:color="000000" w:fill="6B2976"/>
            <w:noWrap/>
            <w:vAlign w:val="center"/>
            <w:hideMark/>
          </w:tcPr>
          <w:p w14:paraId="57D5D5E0"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2025-26</w:t>
            </w:r>
          </w:p>
        </w:tc>
        <w:tc>
          <w:tcPr>
            <w:tcW w:w="0" w:type="auto"/>
            <w:tcBorders>
              <w:bottom w:val="single" w:sz="4" w:space="0" w:color="auto"/>
              <w:right w:val="dashed" w:sz="8" w:space="0" w:color="auto"/>
            </w:tcBorders>
            <w:shd w:val="clear" w:color="000000" w:fill="6B2976"/>
            <w:noWrap/>
            <w:vAlign w:val="center"/>
            <w:hideMark/>
          </w:tcPr>
          <w:p w14:paraId="5D44B6D2"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2026-27</w:t>
            </w:r>
          </w:p>
        </w:tc>
        <w:tc>
          <w:tcPr>
            <w:tcW w:w="0" w:type="auto"/>
            <w:tcBorders>
              <w:left w:val="dashed" w:sz="8" w:space="0" w:color="auto"/>
              <w:right w:val="single" w:sz="4" w:space="0" w:color="auto"/>
            </w:tcBorders>
            <w:shd w:val="clear" w:color="000000" w:fill="6B2976"/>
            <w:noWrap/>
            <w:vAlign w:val="center"/>
            <w:hideMark/>
          </w:tcPr>
          <w:p w14:paraId="0165957F"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2032-33</w:t>
            </w:r>
          </w:p>
        </w:tc>
        <w:tc>
          <w:tcPr>
            <w:tcW w:w="1012" w:type="dxa"/>
            <w:tcBorders>
              <w:left w:val="single" w:sz="4" w:space="0" w:color="auto"/>
            </w:tcBorders>
            <w:shd w:val="clear" w:color="000000" w:fill="6B2976"/>
            <w:noWrap/>
            <w:vAlign w:val="center"/>
            <w:hideMark/>
          </w:tcPr>
          <w:p w14:paraId="3124E275"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Total</w:t>
            </w:r>
          </w:p>
          <w:p w14:paraId="6F107A9E"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2023-27</w:t>
            </w:r>
          </w:p>
        </w:tc>
      </w:tr>
      <w:tr w:rsidR="0045538E" w:rsidRPr="007F6332" w14:paraId="78533A0F" w14:textId="77777777" w:rsidTr="00CD33D0">
        <w:trPr>
          <w:trHeight w:val="280"/>
        </w:trPr>
        <w:tc>
          <w:tcPr>
            <w:tcW w:w="2693" w:type="dxa"/>
            <w:tcBorders>
              <w:top w:val="nil"/>
            </w:tcBorders>
            <w:shd w:val="clear" w:color="auto" w:fill="58595B"/>
            <w:vAlign w:val="center"/>
            <w:hideMark/>
          </w:tcPr>
          <w:p w14:paraId="4CA0DEBE" w14:textId="77777777" w:rsidR="0045538E" w:rsidRPr="007F6332" w:rsidRDefault="0045538E" w:rsidP="00CD3C3B">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June 2022 projections</w:t>
            </w:r>
          </w:p>
        </w:tc>
        <w:tc>
          <w:tcPr>
            <w:tcW w:w="0" w:type="auto"/>
            <w:tcBorders>
              <w:top w:val="nil"/>
            </w:tcBorders>
            <w:shd w:val="clear" w:color="auto" w:fill="58595B"/>
            <w:noWrap/>
            <w:vAlign w:val="center"/>
            <w:hideMark/>
          </w:tcPr>
          <w:p w14:paraId="528E02AD"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38,133</w:t>
            </w:r>
          </w:p>
        </w:tc>
        <w:tc>
          <w:tcPr>
            <w:tcW w:w="0" w:type="auto"/>
            <w:tcBorders>
              <w:top w:val="nil"/>
            </w:tcBorders>
            <w:shd w:val="clear" w:color="auto" w:fill="58595B"/>
            <w:noWrap/>
            <w:vAlign w:val="center"/>
            <w:hideMark/>
          </w:tcPr>
          <w:p w14:paraId="2D099704"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44,116</w:t>
            </w:r>
          </w:p>
        </w:tc>
        <w:tc>
          <w:tcPr>
            <w:tcW w:w="0" w:type="auto"/>
            <w:tcBorders>
              <w:top w:val="nil"/>
            </w:tcBorders>
            <w:shd w:val="clear" w:color="auto" w:fill="58595B"/>
            <w:noWrap/>
            <w:vAlign w:val="center"/>
            <w:hideMark/>
          </w:tcPr>
          <w:p w14:paraId="63F34B12"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50,344</w:t>
            </w:r>
          </w:p>
        </w:tc>
        <w:tc>
          <w:tcPr>
            <w:tcW w:w="0" w:type="auto"/>
            <w:tcBorders>
              <w:top w:val="nil"/>
              <w:right w:val="dashed" w:sz="8" w:space="0" w:color="auto"/>
            </w:tcBorders>
            <w:shd w:val="clear" w:color="auto" w:fill="58595B"/>
            <w:noWrap/>
            <w:vAlign w:val="center"/>
            <w:hideMark/>
          </w:tcPr>
          <w:p w14:paraId="0793CA7C"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55,510</w:t>
            </w:r>
          </w:p>
        </w:tc>
        <w:tc>
          <w:tcPr>
            <w:tcW w:w="0" w:type="auto"/>
            <w:tcBorders>
              <w:top w:val="nil"/>
              <w:left w:val="dashed" w:sz="8" w:space="0" w:color="auto"/>
              <w:right w:val="single" w:sz="4" w:space="0" w:color="auto"/>
            </w:tcBorders>
            <w:shd w:val="clear" w:color="auto" w:fill="58595B"/>
            <w:noWrap/>
            <w:vAlign w:val="center"/>
            <w:hideMark/>
          </w:tcPr>
          <w:p w14:paraId="4BCB9B76"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96,966</w:t>
            </w:r>
          </w:p>
        </w:tc>
        <w:tc>
          <w:tcPr>
            <w:tcW w:w="1012" w:type="dxa"/>
            <w:tcBorders>
              <w:top w:val="nil"/>
              <w:left w:val="single" w:sz="4" w:space="0" w:color="auto"/>
            </w:tcBorders>
            <w:shd w:val="clear" w:color="auto" w:fill="58595B"/>
            <w:noWrap/>
            <w:vAlign w:val="center"/>
            <w:hideMark/>
          </w:tcPr>
          <w:p w14:paraId="5D17E258" w14:textId="77777777" w:rsidR="0045538E" w:rsidRPr="007F6332" w:rsidRDefault="0045538E" w:rsidP="00CD3C3B">
            <w:pPr>
              <w:spacing w:after="0" w:line="240" w:lineRule="auto"/>
              <w:jc w:val="right"/>
              <w:rPr>
                <w:rFonts w:eastAsia="Times New Roman" w:cs="Arial"/>
                <w:b/>
                <w:bCs/>
                <w:color w:val="FFFFFF"/>
                <w:szCs w:val="22"/>
                <w:lang w:val="en-AU" w:eastAsia="en-AU"/>
              </w:rPr>
            </w:pPr>
            <w:r w:rsidRPr="007F6332">
              <w:rPr>
                <w:rFonts w:eastAsia="Times New Roman" w:cs="Arial"/>
                <w:b/>
                <w:bCs/>
                <w:color w:val="FFFFFF"/>
                <w:szCs w:val="22"/>
                <w:lang w:val="en-AU" w:eastAsia="en-AU"/>
              </w:rPr>
              <w:t>188,103</w:t>
            </w:r>
          </w:p>
        </w:tc>
      </w:tr>
      <w:tr w:rsidR="0045538E" w:rsidRPr="007F6332" w14:paraId="035D4BB9" w14:textId="77777777" w:rsidTr="00CD33D0">
        <w:trPr>
          <w:trHeight w:val="395"/>
        </w:trPr>
        <w:tc>
          <w:tcPr>
            <w:tcW w:w="2693" w:type="dxa"/>
            <w:tcBorders>
              <w:top w:val="nil"/>
            </w:tcBorders>
            <w:shd w:val="clear" w:color="auto" w:fill="auto"/>
            <w:vAlign w:val="center"/>
            <w:hideMark/>
          </w:tcPr>
          <w:p w14:paraId="2BE74776"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a) Experience between June 2022 and June 2023</w:t>
            </w:r>
          </w:p>
        </w:tc>
        <w:tc>
          <w:tcPr>
            <w:tcW w:w="0" w:type="auto"/>
            <w:tcBorders>
              <w:top w:val="nil"/>
            </w:tcBorders>
            <w:shd w:val="clear" w:color="auto" w:fill="auto"/>
            <w:noWrap/>
            <w:vAlign w:val="center"/>
            <w:hideMark/>
          </w:tcPr>
          <w:p w14:paraId="62AD5700"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+387</w:t>
            </w:r>
          </w:p>
        </w:tc>
        <w:tc>
          <w:tcPr>
            <w:tcW w:w="0" w:type="auto"/>
            <w:tcBorders>
              <w:top w:val="nil"/>
            </w:tcBorders>
            <w:shd w:val="clear" w:color="auto" w:fill="auto"/>
            <w:noWrap/>
            <w:vAlign w:val="center"/>
            <w:hideMark/>
          </w:tcPr>
          <w:p w14:paraId="2EEF92BD"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+162</w:t>
            </w:r>
          </w:p>
        </w:tc>
        <w:tc>
          <w:tcPr>
            <w:tcW w:w="0" w:type="auto"/>
            <w:tcBorders>
              <w:top w:val="nil"/>
            </w:tcBorders>
            <w:shd w:val="clear" w:color="auto" w:fill="auto"/>
            <w:noWrap/>
            <w:vAlign w:val="center"/>
            <w:hideMark/>
          </w:tcPr>
          <w:p w14:paraId="37DD1A2D"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+172</w:t>
            </w:r>
          </w:p>
        </w:tc>
        <w:tc>
          <w:tcPr>
            <w:tcW w:w="0" w:type="auto"/>
            <w:tcBorders>
              <w:top w:val="nil"/>
              <w:right w:val="dashed" w:sz="8" w:space="0" w:color="auto"/>
            </w:tcBorders>
            <w:shd w:val="clear" w:color="auto" w:fill="auto"/>
            <w:noWrap/>
            <w:vAlign w:val="center"/>
            <w:hideMark/>
          </w:tcPr>
          <w:p w14:paraId="38420F0F"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+179</w:t>
            </w:r>
          </w:p>
        </w:tc>
        <w:tc>
          <w:tcPr>
            <w:tcW w:w="0" w:type="auto"/>
            <w:tcBorders>
              <w:top w:val="nil"/>
              <w:left w:val="dashed" w:sz="8" w:space="0" w:color="auto"/>
              <w:right w:val="single" w:sz="4" w:space="0" w:color="auto"/>
            </w:tcBorders>
            <w:shd w:val="clear" w:color="auto" w:fill="auto"/>
            <w:noWrap/>
            <w:vAlign w:val="center"/>
            <w:hideMark/>
          </w:tcPr>
          <w:p w14:paraId="59487CB4"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+450</w:t>
            </w:r>
          </w:p>
        </w:tc>
        <w:tc>
          <w:tcPr>
            <w:tcW w:w="1012" w:type="dxa"/>
            <w:tcBorders>
              <w:top w:val="nil"/>
              <w:left w:val="single" w:sz="4" w:space="0" w:color="auto"/>
            </w:tcBorders>
            <w:shd w:val="clear" w:color="auto" w:fill="auto"/>
            <w:noWrap/>
            <w:vAlign w:val="center"/>
            <w:hideMark/>
          </w:tcPr>
          <w:p w14:paraId="4CE4DF74"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+898</w:t>
            </w:r>
          </w:p>
        </w:tc>
      </w:tr>
      <w:tr w:rsidR="0045538E" w:rsidRPr="007F6332" w14:paraId="3E0870A6" w14:textId="77777777" w:rsidTr="00CD33D0">
        <w:trPr>
          <w:trHeight w:val="290"/>
        </w:trPr>
        <w:tc>
          <w:tcPr>
            <w:tcW w:w="2693" w:type="dxa"/>
            <w:tcBorders>
              <w:top w:val="nil"/>
            </w:tcBorders>
            <w:shd w:val="clear" w:color="auto" w:fill="808285"/>
            <w:vAlign w:val="center"/>
            <w:hideMark/>
          </w:tcPr>
          <w:p w14:paraId="2D2E9EDF"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b) General population growth</w:t>
            </w:r>
          </w:p>
        </w:tc>
        <w:tc>
          <w:tcPr>
            <w:tcW w:w="0" w:type="auto"/>
            <w:tcBorders>
              <w:top w:val="nil"/>
            </w:tcBorders>
            <w:shd w:val="clear" w:color="auto" w:fill="808285"/>
            <w:noWrap/>
            <w:vAlign w:val="center"/>
            <w:hideMark/>
          </w:tcPr>
          <w:p w14:paraId="7091A05C"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+0</w:t>
            </w:r>
          </w:p>
        </w:tc>
        <w:tc>
          <w:tcPr>
            <w:tcW w:w="0" w:type="auto"/>
            <w:tcBorders>
              <w:top w:val="nil"/>
            </w:tcBorders>
            <w:shd w:val="clear" w:color="auto" w:fill="808285"/>
            <w:noWrap/>
            <w:vAlign w:val="center"/>
            <w:hideMark/>
          </w:tcPr>
          <w:p w14:paraId="1DC1D0FA"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w:t>
            </w:r>
          </w:p>
        </w:tc>
        <w:tc>
          <w:tcPr>
            <w:tcW w:w="0" w:type="auto"/>
            <w:tcBorders>
              <w:top w:val="nil"/>
            </w:tcBorders>
            <w:shd w:val="clear" w:color="auto" w:fill="808285"/>
            <w:noWrap/>
            <w:vAlign w:val="center"/>
            <w:hideMark/>
          </w:tcPr>
          <w:p w14:paraId="2F7ABB7F"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+5</w:t>
            </w:r>
          </w:p>
        </w:tc>
        <w:tc>
          <w:tcPr>
            <w:tcW w:w="0" w:type="auto"/>
            <w:tcBorders>
              <w:top w:val="nil"/>
              <w:right w:val="dashed" w:sz="8" w:space="0" w:color="auto"/>
            </w:tcBorders>
            <w:shd w:val="clear" w:color="auto" w:fill="808285"/>
            <w:noWrap/>
            <w:vAlign w:val="center"/>
            <w:hideMark/>
          </w:tcPr>
          <w:p w14:paraId="1277C537"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+13</w:t>
            </w:r>
          </w:p>
        </w:tc>
        <w:tc>
          <w:tcPr>
            <w:tcW w:w="0" w:type="auto"/>
            <w:tcBorders>
              <w:top w:val="nil"/>
              <w:left w:val="dashed" w:sz="8" w:space="0" w:color="auto"/>
              <w:right w:val="single" w:sz="4" w:space="0" w:color="auto"/>
            </w:tcBorders>
            <w:shd w:val="clear" w:color="auto" w:fill="808285"/>
            <w:noWrap/>
            <w:vAlign w:val="center"/>
            <w:hideMark/>
          </w:tcPr>
          <w:p w14:paraId="17D58CCD"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+147</w:t>
            </w:r>
          </w:p>
        </w:tc>
        <w:tc>
          <w:tcPr>
            <w:tcW w:w="1012" w:type="dxa"/>
            <w:tcBorders>
              <w:top w:val="nil"/>
              <w:left w:val="single" w:sz="4" w:space="0" w:color="auto"/>
            </w:tcBorders>
            <w:shd w:val="clear" w:color="auto" w:fill="808285"/>
            <w:noWrap/>
            <w:vAlign w:val="center"/>
            <w:hideMark/>
          </w:tcPr>
          <w:p w14:paraId="76874253"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+19</w:t>
            </w:r>
          </w:p>
        </w:tc>
      </w:tr>
      <w:tr w:rsidR="0045538E" w:rsidRPr="007F6332" w14:paraId="53408399" w14:textId="77777777" w:rsidTr="00CD33D0">
        <w:trPr>
          <w:trHeight w:val="290"/>
        </w:trPr>
        <w:tc>
          <w:tcPr>
            <w:tcW w:w="2693" w:type="dxa"/>
            <w:shd w:val="clear" w:color="auto" w:fill="auto"/>
            <w:vAlign w:val="center"/>
            <w:hideMark/>
          </w:tcPr>
          <w:p w14:paraId="64D66BF1"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c) Change in mortality assumptions</w:t>
            </w:r>
          </w:p>
        </w:tc>
        <w:tc>
          <w:tcPr>
            <w:tcW w:w="0" w:type="auto"/>
            <w:shd w:val="clear" w:color="auto" w:fill="auto"/>
            <w:noWrap/>
            <w:vAlign w:val="center"/>
            <w:hideMark/>
          </w:tcPr>
          <w:p w14:paraId="10F7DC03"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-10</w:t>
            </w:r>
          </w:p>
        </w:tc>
        <w:tc>
          <w:tcPr>
            <w:tcW w:w="0" w:type="auto"/>
            <w:shd w:val="clear" w:color="auto" w:fill="auto"/>
            <w:noWrap/>
            <w:vAlign w:val="center"/>
            <w:hideMark/>
          </w:tcPr>
          <w:p w14:paraId="0FC0224E"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-36</w:t>
            </w:r>
          </w:p>
        </w:tc>
        <w:tc>
          <w:tcPr>
            <w:tcW w:w="0" w:type="auto"/>
            <w:shd w:val="clear" w:color="auto" w:fill="auto"/>
            <w:noWrap/>
            <w:vAlign w:val="center"/>
            <w:hideMark/>
          </w:tcPr>
          <w:p w14:paraId="58F0BB30"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-71</w:t>
            </w:r>
          </w:p>
        </w:tc>
        <w:tc>
          <w:tcPr>
            <w:tcW w:w="0" w:type="auto"/>
            <w:tcBorders>
              <w:right w:val="dashed" w:sz="8" w:space="0" w:color="auto"/>
            </w:tcBorders>
            <w:shd w:val="clear" w:color="auto" w:fill="auto"/>
            <w:noWrap/>
            <w:vAlign w:val="center"/>
            <w:hideMark/>
          </w:tcPr>
          <w:p w14:paraId="264A0AC3"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-111</w:t>
            </w:r>
          </w:p>
        </w:tc>
        <w:tc>
          <w:tcPr>
            <w:tcW w:w="0" w:type="auto"/>
            <w:tcBorders>
              <w:left w:val="dashed" w:sz="8" w:space="0" w:color="auto"/>
              <w:right w:val="single" w:sz="4" w:space="0" w:color="auto"/>
            </w:tcBorders>
            <w:shd w:val="clear" w:color="auto" w:fill="auto"/>
            <w:noWrap/>
            <w:vAlign w:val="center"/>
            <w:hideMark/>
          </w:tcPr>
          <w:p w14:paraId="018BAB04"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-525</w:t>
            </w:r>
          </w:p>
        </w:tc>
        <w:tc>
          <w:tcPr>
            <w:tcW w:w="1012" w:type="dxa"/>
            <w:tcBorders>
              <w:left w:val="single" w:sz="4" w:space="0" w:color="auto"/>
            </w:tcBorders>
            <w:shd w:val="clear" w:color="auto" w:fill="auto"/>
            <w:noWrap/>
            <w:vAlign w:val="center"/>
            <w:hideMark/>
          </w:tcPr>
          <w:p w14:paraId="662C7990"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-228</w:t>
            </w:r>
          </w:p>
        </w:tc>
      </w:tr>
      <w:tr w:rsidR="0045538E" w:rsidRPr="007F6332" w14:paraId="21424194" w14:textId="77777777" w:rsidTr="00CD33D0">
        <w:trPr>
          <w:trHeight w:val="570"/>
        </w:trPr>
        <w:tc>
          <w:tcPr>
            <w:tcW w:w="2693" w:type="dxa"/>
            <w:shd w:val="clear" w:color="auto" w:fill="808285"/>
            <w:vAlign w:val="center"/>
            <w:hideMark/>
          </w:tcPr>
          <w:p w14:paraId="6D05544E"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d) Change in assumptions relating to participants leaving the Scheme</w:t>
            </w:r>
          </w:p>
        </w:tc>
        <w:tc>
          <w:tcPr>
            <w:tcW w:w="0" w:type="auto"/>
            <w:shd w:val="clear" w:color="auto" w:fill="808285"/>
            <w:noWrap/>
            <w:vAlign w:val="center"/>
            <w:hideMark/>
          </w:tcPr>
          <w:p w14:paraId="0080185F"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-42</w:t>
            </w:r>
          </w:p>
        </w:tc>
        <w:tc>
          <w:tcPr>
            <w:tcW w:w="0" w:type="auto"/>
            <w:shd w:val="clear" w:color="auto" w:fill="808285"/>
            <w:noWrap/>
            <w:vAlign w:val="center"/>
            <w:hideMark/>
          </w:tcPr>
          <w:p w14:paraId="4D33948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-132</w:t>
            </w:r>
          </w:p>
        </w:tc>
        <w:tc>
          <w:tcPr>
            <w:tcW w:w="0" w:type="auto"/>
            <w:shd w:val="clear" w:color="auto" w:fill="808285"/>
            <w:noWrap/>
            <w:vAlign w:val="center"/>
            <w:hideMark/>
          </w:tcPr>
          <w:p w14:paraId="4ED50835"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-246</w:t>
            </w:r>
          </w:p>
        </w:tc>
        <w:tc>
          <w:tcPr>
            <w:tcW w:w="0" w:type="auto"/>
            <w:tcBorders>
              <w:right w:val="dashed" w:sz="8" w:space="0" w:color="auto"/>
            </w:tcBorders>
            <w:shd w:val="clear" w:color="auto" w:fill="808285"/>
            <w:noWrap/>
            <w:vAlign w:val="center"/>
            <w:hideMark/>
          </w:tcPr>
          <w:p w14:paraId="5DA8BB6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-379</w:t>
            </w:r>
          </w:p>
        </w:tc>
        <w:tc>
          <w:tcPr>
            <w:tcW w:w="0" w:type="auto"/>
            <w:tcBorders>
              <w:left w:val="dashed" w:sz="8" w:space="0" w:color="auto"/>
              <w:right w:val="single" w:sz="4" w:space="0" w:color="auto"/>
            </w:tcBorders>
            <w:shd w:val="clear" w:color="auto" w:fill="808285"/>
            <w:noWrap/>
            <w:vAlign w:val="center"/>
            <w:hideMark/>
          </w:tcPr>
          <w:p w14:paraId="2D2A830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-1,532</w:t>
            </w:r>
          </w:p>
        </w:tc>
        <w:tc>
          <w:tcPr>
            <w:tcW w:w="1012" w:type="dxa"/>
            <w:tcBorders>
              <w:left w:val="single" w:sz="4" w:space="0" w:color="auto"/>
            </w:tcBorders>
            <w:shd w:val="clear" w:color="auto" w:fill="808285"/>
            <w:noWrap/>
            <w:vAlign w:val="center"/>
            <w:hideMark/>
          </w:tcPr>
          <w:p w14:paraId="52F1CC95"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-798</w:t>
            </w:r>
          </w:p>
        </w:tc>
      </w:tr>
      <w:tr w:rsidR="0045538E" w:rsidRPr="007F6332" w14:paraId="61045050" w14:textId="77777777" w:rsidTr="00CD33D0">
        <w:trPr>
          <w:trHeight w:val="600"/>
        </w:trPr>
        <w:tc>
          <w:tcPr>
            <w:tcW w:w="2693" w:type="dxa"/>
            <w:shd w:val="clear" w:color="auto" w:fill="auto"/>
            <w:vAlign w:val="center"/>
            <w:hideMark/>
          </w:tcPr>
          <w:p w14:paraId="05DA8F41"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 xml:space="preserve">e) Change in new entrant assumptions </w:t>
            </w:r>
          </w:p>
        </w:tc>
        <w:tc>
          <w:tcPr>
            <w:tcW w:w="0" w:type="auto"/>
            <w:shd w:val="clear" w:color="auto" w:fill="auto"/>
            <w:noWrap/>
            <w:vAlign w:val="center"/>
            <w:hideMark/>
          </w:tcPr>
          <w:p w14:paraId="2CB664D7"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+217</w:t>
            </w:r>
          </w:p>
        </w:tc>
        <w:tc>
          <w:tcPr>
            <w:tcW w:w="0" w:type="auto"/>
            <w:shd w:val="clear" w:color="auto" w:fill="auto"/>
            <w:noWrap/>
            <w:vAlign w:val="center"/>
            <w:hideMark/>
          </w:tcPr>
          <w:p w14:paraId="6C4756BB"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+300</w:t>
            </w:r>
          </w:p>
        </w:tc>
        <w:tc>
          <w:tcPr>
            <w:tcW w:w="0" w:type="auto"/>
            <w:shd w:val="clear" w:color="auto" w:fill="auto"/>
            <w:noWrap/>
            <w:vAlign w:val="center"/>
            <w:hideMark/>
          </w:tcPr>
          <w:p w14:paraId="07D740D8"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+289</w:t>
            </w:r>
          </w:p>
        </w:tc>
        <w:tc>
          <w:tcPr>
            <w:tcW w:w="0" w:type="auto"/>
            <w:tcBorders>
              <w:right w:val="dashed" w:sz="8" w:space="0" w:color="auto"/>
            </w:tcBorders>
            <w:shd w:val="clear" w:color="auto" w:fill="auto"/>
            <w:noWrap/>
            <w:vAlign w:val="center"/>
            <w:hideMark/>
          </w:tcPr>
          <w:p w14:paraId="67DF4A26"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+148</w:t>
            </w:r>
          </w:p>
        </w:tc>
        <w:tc>
          <w:tcPr>
            <w:tcW w:w="0" w:type="auto"/>
            <w:tcBorders>
              <w:left w:val="dashed" w:sz="8" w:space="0" w:color="auto"/>
              <w:right w:val="single" w:sz="4" w:space="0" w:color="auto"/>
            </w:tcBorders>
            <w:shd w:val="clear" w:color="auto" w:fill="auto"/>
            <w:noWrap/>
            <w:vAlign w:val="center"/>
            <w:hideMark/>
          </w:tcPr>
          <w:p w14:paraId="7C2C9008"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-1,619</w:t>
            </w:r>
          </w:p>
        </w:tc>
        <w:tc>
          <w:tcPr>
            <w:tcW w:w="1012" w:type="dxa"/>
            <w:tcBorders>
              <w:left w:val="single" w:sz="4" w:space="0" w:color="auto"/>
            </w:tcBorders>
            <w:shd w:val="clear" w:color="auto" w:fill="auto"/>
            <w:noWrap/>
            <w:vAlign w:val="center"/>
            <w:hideMark/>
          </w:tcPr>
          <w:p w14:paraId="549E8940"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+955</w:t>
            </w:r>
          </w:p>
        </w:tc>
      </w:tr>
      <w:tr w:rsidR="0045538E" w:rsidRPr="007F6332" w14:paraId="2DBBA109" w14:textId="77777777" w:rsidTr="00CD33D0">
        <w:trPr>
          <w:trHeight w:val="290"/>
        </w:trPr>
        <w:tc>
          <w:tcPr>
            <w:tcW w:w="2693" w:type="dxa"/>
            <w:tcBorders>
              <w:top w:val="nil"/>
            </w:tcBorders>
            <w:shd w:val="clear" w:color="auto" w:fill="808285"/>
            <w:vAlign w:val="center"/>
            <w:hideMark/>
          </w:tcPr>
          <w:p w14:paraId="7D89F4C3"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f) Change related to updates for immigration policy</w:t>
            </w:r>
          </w:p>
        </w:tc>
        <w:tc>
          <w:tcPr>
            <w:tcW w:w="0" w:type="auto"/>
            <w:tcBorders>
              <w:top w:val="nil"/>
            </w:tcBorders>
            <w:shd w:val="clear" w:color="auto" w:fill="808285"/>
            <w:noWrap/>
            <w:vAlign w:val="center"/>
            <w:hideMark/>
          </w:tcPr>
          <w:p w14:paraId="307FC5AA"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+15</w:t>
            </w:r>
          </w:p>
        </w:tc>
        <w:tc>
          <w:tcPr>
            <w:tcW w:w="0" w:type="auto"/>
            <w:tcBorders>
              <w:top w:val="nil"/>
            </w:tcBorders>
            <w:shd w:val="clear" w:color="auto" w:fill="808285"/>
            <w:noWrap/>
            <w:vAlign w:val="center"/>
            <w:hideMark/>
          </w:tcPr>
          <w:p w14:paraId="30CEE918"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+69</w:t>
            </w:r>
          </w:p>
        </w:tc>
        <w:tc>
          <w:tcPr>
            <w:tcW w:w="0" w:type="auto"/>
            <w:tcBorders>
              <w:top w:val="nil"/>
            </w:tcBorders>
            <w:shd w:val="clear" w:color="auto" w:fill="808285"/>
            <w:noWrap/>
            <w:vAlign w:val="center"/>
            <w:hideMark/>
          </w:tcPr>
          <w:p w14:paraId="0CD10B7F"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+147</w:t>
            </w:r>
          </w:p>
        </w:tc>
        <w:tc>
          <w:tcPr>
            <w:tcW w:w="0" w:type="auto"/>
            <w:tcBorders>
              <w:top w:val="nil"/>
              <w:right w:val="dashed" w:sz="8" w:space="0" w:color="auto"/>
            </w:tcBorders>
            <w:shd w:val="clear" w:color="auto" w:fill="808285"/>
            <w:noWrap/>
            <w:vAlign w:val="center"/>
            <w:hideMark/>
          </w:tcPr>
          <w:p w14:paraId="4AB2CF7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+212</w:t>
            </w:r>
          </w:p>
        </w:tc>
        <w:tc>
          <w:tcPr>
            <w:tcW w:w="0" w:type="auto"/>
            <w:tcBorders>
              <w:top w:val="nil"/>
              <w:left w:val="dashed" w:sz="8" w:space="0" w:color="auto"/>
              <w:right w:val="single" w:sz="4" w:space="0" w:color="auto"/>
            </w:tcBorders>
            <w:shd w:val="clear" w:color="auto" w:fill="808285"/>
            <w:noWrap/>
            <w:vAlign w:val="center"/>
            <w:hideMark/>
          </w:tcPr>
          <w:p w14:paraId="48CD06C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+618</w:t>
            </w:r>
          </w:p>
        </w:tc>
        <w:tc>
          <w:tcPr>
            <w:tcW w:w="1012" w:type="dxa"/>
            <w:tcBorders>
              <w:top w:val="nil"/>
              <w:left w:val="single" w:sz="4" w:space="0" w:color="auto"/>
            </w:tcBorders>
            <w:shd w:val="clear" w:color="auto" w:fill="808285"/>
            <w:noWrap/>
            <w:vAlign w:val="center"/>
            <w:hideMark/>
          </w:tcPr>
          <w:p w14:paraId="7C88F8BF"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+445</w:t>
            </w:r>
          </w:p>
        </w:tc>
      </w:tr>
      <w:tr w:rsidR="0045538E" w:rsidRPr="007F6332" w14:paraId="2164CB17" w14:textId="77777777" w:rsidTr="00CD33D0">
        <w:trPr>
          <w:trHeight w:val="290"/>
        </w:trPr>
        <w:tc>
          <w:tcPr>
            <w:tcW w:w="2693" w:type="dxa"/>
            <w:shd w:val="clear" w:color="auto" w:fill="auto"/>
            <w:vAlign w:val="center"/>
            <w:hideMark/>
          </w:tcPr>
          <w:p w14:paraId="121DB49B"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g) Change in developmental delay transition assumptions</w:t>
            </w:r>
            <w:r w:rsidRPr="007F6332">
              <w:rPr>
                <w:rStyle w:val="FootnoteReference"/>
                <w:rFonts w:eastAsia="Times New Roman" w:cs="Arial"/>
                <w:color w:val="000000"/>
                <w:szCs w:val="22"/>
                <w:lang w:val="en-AU" w:eastAsia="en-AU"/>
              </w:rPr>
              <w:footnoteReference w:id="169"/>
            </w:r>
          </w:p>
        </w:tc>
        <w:tc>
          <w:tcPr>
            <w:tcW w:w="0" w:type="auto"/>
            <w:shd w:val="clear" w:color="auto" w:fill="auto"/>
            <w:noWrap/>
            <w:vAlign w:val="center"/>
            <w:hideMark/>
          </w:tcPr>
          <w:p w14:paraId="18A66C16"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-20</w:t>
            </w:r>
          </w:p>
        </w:tc>
        <w:tc>
          <w:tcPr>
            <w:tcW w:w="0" w:type="auto"/>
            <w:shd w:val="clear" w:color="auto" w:fill="auto"/>
            <w:noWrap/>
            <w:vAlign w:val="center"/>
            <w:hideMark/>
          </w:tcPr>
          <w:p w14:paraId="438D504C"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-72</w:t>
            </w:r>
          </w:p>
        </w:tc>
        <w:tc>
          <w:tcPr>
            <w:tcW w:w="0" w:type="auto"/>
            <w:shd w:val="clear" w:color="auto" w:fill="auto"/>
            <w:noWrap/>
            <w:vAlign w:val="center"/>
            <w:hideMark/>
          </w:tcPr>
          <w:p w14:paraId="1F4E585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-128</w:t>
            </w:r>
          </w:p>
        </w:tc>
        <w:tc>
          <w:tcPr>
            <w:tcW w:w="0" w:type="auto"/>
            <w:tcBorders>
              <w:right w:val="dashed" w:sz="8" w:space="0" w:color="auto"/>
            </w:tcBorders>
            <w:shd w:val="clear" w:color="auto" w:fill="auto"/>
            <w:noWrap/>
            <w:vAlign w:val="center"/>
            <w:hideMark/>
          </w:tcPr>
          <w:p w14:paraId="1B9ED3B3"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-187</w:t>
            </w:r>
          </w:p>
        </w:tc>
        <w:tc>
          <w:tcPr>
            <w:tcW w:w="0" w:type="auto"/>
            <w:tcBorders>
              <w:left w:val="dashed" w:sz="8" w:space="0" w:color="auto"/>
              <w:right w:val="single" w:sz="4" w:space="0" w:color="auto"/>
            </w:tcBorders>
            <w:shd w:val="clear" w:color="auto" w:fill="auto"/>
            <w:noWrap/>
            <w:vAlign w:val="center"/>
            <w:hideMark/>
          </w:tcPr>
          <w:p w14:paraId="372C3D50"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-759</w:t>
            </w:r>
          </w:p>
        </w:tc>
        <w:tc>
          <w:tcPr>
            <w:tcW w:w="1012" w:type="dxa"/>
            <w:tcBorders>
              <w:left w:val="single" w:sz="4" w:space="0" w:color="auto"/>
            </w:tcBorders>
            <w:shd w:val="clear" w:color="auto" w:fill="auto"/>
            <w:noWrap/>
            <w:vAlign w:val="center"/>
            <w:hideMark/>
          </w:tcPr>
          <w:p w14:paraId="37390440"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-407</w:t>
            </w:r>
          </w:p>
        </w:tc>
      </w:tr>
      <w:tr w:rsidR="0045538E" w:rsidRPr="007F6332" w14:paraId="7E7E9B68" w14:textId="77777777" w:rsidTr="00CD33D0">
        <w:trPr>
          <w:trHeight w:val="570"/>
        </w:trPr>
        <w:tc>
          <w:tcPr>
            <w:tcW w:w="2693" w:type="dxa"/>
            <w:tcBorders>
              <w:top w:val="nil"/>
            </w:tcBorders>
            <w:shd w:val="clear" w:color="auto" w:fill="808285"/>
            <w:vAlign w:val="center"/>
            <w:hideMark/>
          </w:tcPr>
          <w:p w14:paraId="32D001E8"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h) Change in assumptions relating to participant transitions into SIL</w:t>
            </w:r>
          </w:p>
        </w:tc>
        <w:tc>
          <w:tcPr>
            <w:tcW w:w="0" w:type="auto"/>
            <w:tcBorders>
              <w:top w:val="nil"/>
            </w:tcBorders>
            <w:shd w:val="clear" w:color="auto" w:fill="808285"/>
            <w:noWrap/>
            <w:vAlign w:val="center"/>
            <w:hideMark/>
          </w:tcPr>
          <w:p w14:paraId="70E5DEDF"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+814</w:t>
            </w:r>
          </w:p>
        </w:tc>
        <w:tc>
          <w:tcPr>
            <w:tcW w:w="0" w:type="auto"/>
            <w:tcBorders>
              <w:top w:val="nil"/>
            </w:tcBorders>
            <w:shd w:val="clear" w:color="auto" w:fill="808285"/>
            <w:noWrap/>
            <w:vAlign w:val="center"/>
            <w:hideMark/>
          </w:tcPr>
          <w:p w14:paraId="3DA3F6B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+1,429</w:t>
            </w:r>
          </w:p>
        </w:tc>
        <w:tc>
          <w:tcPr>
            <w:tcW w:w="0" w:type="auto"/>
            <w:tcBorders>
              <w:top w:val="nil"/>
            </w:tcBorders>
            <w:shd w:val="clear" w:color="auto" w:fill="808285"/>
            <w:noWrap/>
            <w:vAlign w:val="center"/>
            <w:hideMark/>
          </w:tcPr>
          <w:p w14:paraId="563BAA82"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+1,705</w:t>
            </w:r>
          </w:p>
        </w:tc>
        <w:tc>
          <w:tcPr>
            <w:tcW w:w="0" w:type="auto"/>
            <w:tcBorders>
              <w:top w:val="nil"/>
              <w:right w:val="dashed" w:sz="8" w:space="0" w:color="auto"/>
            </w:tcBorders>
            <w:shd w:val="clear" w:color="auto" w:fill="808285"/>
            <w:noWrap/>
            <w:vAlign w:val="center"/>
            <w:hideMark/>
          </w:tcPr>
          <w:p w14:paraId="4A091EA2"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+1,904</w:t>
            </w:r>
          </w:p>
        </w:tc>
        <w:tc>
          <w:tcPr>
            <w:tcW w:w="0" w:type="auto"/>
            <w:tcBorders>
              <w:top w:val="nil"/>
              <w:left w:val="dashed" w:sz="8" w:space="0" w:color="auto"/>
              <w:right w:val="single" w:sz="4" w:space="0" w:color="auto"/>
            </w:tcBorders>
            <w:shd w:val="clear" w:color="auto" w:fill="808285"/>
            <w:noWrap/>
            <w:vAlign w:val="center"/>
            <w:hideMark/>
          </w:tcPr>
          <w:p w14:paraId="5AE90BC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+1,917</w:t>
            </w:r>
          </w:p>
        </w:tc>
        <w:tc>
          <w:tcPr>
            <w:tcW w:w="1012" w:type="dxa"/>
            <w:tcBorders>
              <w:top w:val="nil"/>
              <w:left w:val="single" w:sz="4" w:space="0" w:color="auto"/>
            </w:tcBorders>
            <w:shd w:val="clear" w:color="auto" w:fill="808285"/>
            <w:noWrap/>
            <w:vAlign w:val="center"/>
            <w:hideMark/>
          </w:tcPr>
          <w:p w14:paraId="3975FD2E"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+5,852</w:t>
            </w:r>
          </w:p>
        </w:tc>
      </w:tr>
      <w:tr w:rsidR="0045538E" w:rsidRPr="007F6332" w14:paraId="414CB100" w14:textId="77777777" w:rsidTr="00CD33D0">
        <w:trPr>
          <w:trHeight w:val="523"/>
        </w:trPr>
        <w:tc>
          <w:tcPr>
            <w:tcW w:w="2693" w:type="dxa"/>
            <w:tcBorders>
              <w:top w:val="nil"/>
            </w:tcBorders>
            <w:shd w:val="clear" w:color="auto" w:fill="auto"/>
            <w:vAlign w:val="center"/>
            <w:hideMark/>
          </w:tcPr>
          <w:p w14:paraId="5A1CF2D8"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i) Change to average payment assumptions</w:t>
            </w:r>
          </w:p>
        </w:tc>
        <w:tc>
          <w:tcPr>
            <w:tcW w:w="0" w:type="auto"/>
            <w:tcBorders>
              <w:top w:val="nil"/>
            </w:tcBorders>
            <w:shd w:val="clear" w:color="auto" w:fill="auto"/>
            <w:noWrap/>
            <w:vAlign w:val="center"/>
            <w:hideMark/>
          </w:tcPr>
          <w:p w14:paraId="239D314C"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+310</w:t>
            </w:r>
          </w:p>
        </w:tc>
        <w:tc>
          <w:tcPr>
            <w:tcW w:w="0" w:type="auto"/>
            <w:tcBorders>
              <w:top w:val="nil"/>
            </w:tcBorders>
            <w:shd w:val="clear" w:color="auto" w:fill="auto"/>
            <w:noWrap/>
            <w:vAlign w:val="center"/>
            <w:hideMark/>
          </w:tcPr>
          <w:p w14:paraId="6078E88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+364</w:t>
            </w:r>
          </w:p>
        </w:tc>
        <w:tc>
          <w:tcPr>
            <w:tcW w:w="0" w:type="auto"/>
            <w:tcBorders>
              <w:top w:val="nil"/>
            </w:tcBorders>
            <w:shd w:val="clear" w:color="auto" w:fill="auto"/>
            <w:noWrap/>
            <w:vAlign w:val="center"/>
            <w:hideMark/>
          </w:tcPr>
          <w:p w14:paraId="197C8A0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+403</w:t>
            </w:r>
          </w:p>
        </w:tc>
        <w:tc>
          <w:tcPr>
            <w:tcW w:w="0" w:type="auto"/>
            <w:tcBorders>
              <w:top w:val="nil"/>
              <w:right w:val="dashed" w:sz="8" w:space="0" w:color="auto"/>
            </w:tcBorders>
            <w:shd w:val="clear" w:color="auto" w:fill="auto"/>
            <w:noWrap/>
            <w:vAlign w:val="center"/>
            <w:hideMark/>
          </w:tcPr>
          <w:p w14:paraId="59C847B2"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+392</w:t>
            </w:r>
          </w:p>
        </w:tc>
        <w:tc>
          <w:tcPr>
            <w:tcW w:w="0" w:type="auto"/>
            <w:tcBorders>
              <w:top w:val="nil"/>
              <w:left w:val="dashed" w:sz="8" w:space="0" w:color="auto"/>
              <w:right w:val="single" w:sz="4" w:space="0" w:color="auto"/>
            </w:tcBorders>
            <w:shd w:val="clear" w:color="auto" w:fill="auto"/>
            <w:noWrap/>
            <w:vAlign w:val="center"/>
            <w:hideMark/>
          </w:tcPr>
          <w:p w14:paraId="73735BFD"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+271</w:t>
            </w:r>
          </w:p>
        </w:tc>
        <w:tc>
          <w:tcPr>
            <w:tcW w:w="1012" w:type="dxa"/>
            <w:tcBorders>
              <w:top w:val="nil"/>
              <w:left w:val="single" w:sz="4" w:space="0" w:color="auto"/>
            </w:tcBorders>
            <w:shd w:val="clear" w:color="auto" w:fill="auto"/>
            <w:noWrap/>
            <w:vAlign w:val="center"/>
            <w:hideMark/>
          </w:tcPr>
          <w:p w14:paraId="2B9D016E"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+1,469</w:t>
            </w:r>
          </w:p>
        </w:tc>
      </w:tr>
      <w:tr w:rsidR="0045538E" w:rsidRPr="007F6332" w14:paraId="69B68412" w14:textId="77777777" w:rsidTr="00CD33D0">
        <w:trPr>
          <w:trHeight w:val="570"/>
        </w:trPr>
        <w:tc>
          <w:tcPr>
            <w:tcW w:w="2693" w:type="dxa"/>
            <w:tcBorders>
              <w:top w:val="nil"/>
            </w:tcBorders>
            <w:shd w:val="clear" w:color="auto" w:fill="808285"/>
            <w:vAlign w:val="center"/>
            <w:hideMark/>
          </w:tcPr>
          <w:p w14:paraId="362F3740"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j) Changes to normal inflation based on 2022-23 Annual Pricing Review</w:t>
            </w:r>
          </w:p>
        </w:tc>
        <w:tc>
          <w:tcPr>
            <w:tcW w:w="0" w:type="auto"/>
            <w:tcBorders>
              <w:top w:val="nil"/>
            </w:tcBorders>
            <w:shd w:val="clear" w:color="auto" w:fill="808285"/>
            <w:noWrap/>
            <w:vAlign w:val="center"/>
            <w:hideMark/>
          </w:tcPr>
          <w:p w14:paraId="4C675B74"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+526</w:t>
            </w:r>
          </w:p>
        </w:tc>
        <w:tc>
          <w:tcPr>
            <w:tcW w:w="0" w:type="auto"/>
            <w:tcBorders>
              <w:top w:val="nil"/>
            </w:tcBorders>
            <w:shd w:val="clear" w:color="auto" w:fill="808285"/>
            <w:noWrap/>
            <w:vAlign w:val="center"/>
            <w:hideMark/>
          </w:tcPr>
          <w:p w14:paraId="342C5CBD"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+254</w:t>
            </w:r>
          </w:p>
        </w:tc>
        <w:tc>
          <w:tcPr>
            <w:tcW w:w="0" w:type="auto"/>
            <w:tcBorders>
              <w:top w:val="nil"/>
            </w:tcBorders>
            <w:shd w:val="clear" w:color="auto" w:fill="808285"/>
            <w:noWrap/>
            <w:vAlign w:val="center"/>
            <w:hideMark/>
          </w:tcPr>
          <w:p w14:paraId="24EE9235"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+280</w:t>
            </w:r>
          </w:p>
        </w:tc>
        <w:tc>
          <w:tcPr>
            <w:tcW w:w="0" w:type="auto"/>
            <w:tcBorders>
              <w:top w:val="nil"/>
              <w:right w:val="dashed" w:sz="8" w:space="0" w:color="auto"/>
            </w:tcBorders>
            <w:shd w:val="clear" w:color="auto" w:fill="808285"/>
            <w:noWrap/>
            <w:vAlign w:val="center"/>
            <w:hideMark/>
          </w:tcPr>
          <w:p w14:paraId="6F6BC308"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+308</w:t>
            </w:r>
          </w:p>
        </w:tc>
        <w:tc>
          <w:tcPr>
            <w:tcW w:w="0" w:type="auto"/>
            <w:tcBorders>
              <w:top w:val="nil"/>
              <w:left w:val="dashed" w:sz="8" w:space="0" w:color="auto"/>
              <w:right w:val="single" w:sz="4" w:space="0" w:color="auto"/>
            </w:tcBorders>
            <w:shd w:val="clear" w:color="auto" w:fill="808285"/>
            <w:noWrap/>
            <w:vAlign w:val="center"/>
            <w:hideMark/>
          </w:tcPr>
          <w:p w14:paraId="14260A90"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+631</w:t>
            </w:r>
          </w:p>
        </w:tc>
        <w:tc>
          <w:tcPr>
            <w:tcW w:w="1012" w:type="dxa"/>
            <w:tcBorders>
              <w:top w:val="nil"/>
              <w:left w:val="single" w:sz="4" w:space="0" w:color="auto"/>
            </w:tcBorders>
            <w:shd w:val="clear" w:color="auto" w:fill="808285"/>
            <w:noWrap/>
            <w:vAlign w:val="center"/>
            <w:hideMark/>
          </w:tcPr>
          <w:p w14:paraId="126FE525"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+1,368</w:t>
            </w:r>
          </w:p>
        </w:tc>
      </w:tr>
      <w:tr w:rsidR="0045538E" w:rsidRPr="007F6332" w14:paraId="5626BE33" w14:textId="77777777" w:rsidTr="00CD33D0">
        <w:trPr>
          <w:trHeight w:val="290"/>
        </w:trPr>
        <w:tc>
          <w:tcPr>
            <w:tcW w:w="2693" w:type="dxa"/>
            <w:tcBorders>
              <w:top w:val="nil"/>
            </w:tcBorders>
            <w:shd w:val="clear" w:color="auto" w:fill="auto"/>
            <w:vAlign w:val="center"/>
            <w:hideMark/>
          </w:tcPr>
          <w:p w14:paraId="19F59942"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k) Changes to other normal inflation assumptions</w:t>
            </w:r>
          </w:p>
        </w:tc>
        <w:tc>
          <w:tcPr>
            <w:tcW w:w="0" w:type="auto"/>
            <w:tcBorders>
              <w:top w:val="nil"/>
            </w:tcBorders>
            <w:shd w:val="clear" w:color="auto" w:fill="auto"/>
            <w:noWrap/>
            <w:vAlign w:val="center"/>
            <w:hideMark/>
          </w:tcPr>
          <w:p w14:paraId="7E052FF8"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+81</w:t>
            </w:r>
          </w:p>
        </w:tc>
        <w:tc>
          <w:tcPr>
            <w:tcW w:w="0" w:type="auto"/>
            <w:tcBorders>
              <w:top w:val="nil"/>
            </w:tcBorders>
            <w:shd w:val="clear" w:color="auto" w:fill="auto"/>
            <w:noWrap/>
            <w:vAlign w:val="center"/>
            <w:hideMark/>
          </w:tcPr>
          <w:p w14:paraId="280E49BC"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+140</w:t>
            </w:r>
          </w:p>
        </w:tc>
        <w:tc>
          <w:tcPr>
            <w:tcW w:w="0" w:type="auto"/>
            <w:tcBorders>
              <w:top w:val="nil"/>
            </w:tcBorders>
            <w:shd w:val="clear" w:color="auto" w:fill="auto"/>
            <w:noWrap/>
            <w:vAlign w:val="center"/>
            <w:hideMark/>
          </w:tcPr>
          <w:p w14:paraId="472F88E3"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+262</w:t>
            </w:r>
          </w:p>
        </w:tc>
        <w:tc>
          <w:tcPr>
            <w:tcW w:w="0" w:type="auto"/>
            <w:tcBorders>
              <w:top w:val="nil"/>
              <w:right w:val="dashed" w:sz="8" w:space="0" w:color="auto"/>
            </w:tcBorders>
            <w:shd w:val="clear" w:color="auto" w:fill="auto"/>
            <w:noWrap/>
            <w:vAlign w:val="center"/>
            <w:hideMark/>
          </w:tcPr>
          <w:p w14:paraId="05A35345"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+401</w:t>
            </w:r>
          </w:p>
        </w:tc>
        <w:tc>
          <w:tcPr>
            <w:tcW w:w="0" w:type="auto"/>
            <w:tcBorders>
              <w:top w:val="nil"/>
              <w:left w:val="dashed" w:sz="8" w:space="0" w:color="auto"/>
              <w:right w:val="single" w:sz="4" w:space="0" w:color="auto"/>
            </w:tcBorders>
            <w:shd w:val="clear" w:color="auto" w:fill="auto"/>
            <w:noWrap/>
            <w:vAlign w:val="center"/>
            <w:hideMark/>
          </w:tcPr>
          <w:p w14:paraId="65BE39A2"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+1,899</w:t>
            </w:r>
          </w:p>
        </w:tc>
        <w:tc>
          <w:tcPr>
            <w:tcW w:w="1012" w:type="dxa"/>
            <w:tcBorders>
              <w:top w:val="nil"/>
              <w:left w:val="single" w:sz="4" w:space="0" w:color="auto"/>
            </w:tcBorders>
            <w:shd w:val="clear" w:color="auto" w:fill="auto"/>
            <w:noWrap/>
            <w:vAlign w:val="center"/>
            <w:hideMark/>
          </w:tcPr>
          <w:p w14:paraId="4DB5E533"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+883</w:t>
            </w:r>
          </w:p>
        </w:tc>
      </w:tr>
      <w:tr w:rsidR="0045538E" w:rsidRPr="007F6332" w14:paraId="6A7A0988" w14:textId="77777777" w:rsidTr="00CD33D0">
        <w:trPr>
          <w:trHeight w:val="290"/>
        </w:trPr>
        <w:tc>
          <w:tcPr>
            <w:tcW w:w="2693" w:type="dxa"/>
            <w:shd w:val="clear" w:color="auto" w:fill="808285"/>
            <w:vAlign w:val="center"/>
            <w:hideMark/>
          </w:tcPr>
          <w:p w14:paraId="275BA137" w14:textId="77777777" w:rsidR="0045538E" w:rsidRPr="007F6332" w:rsidRDefault="0045538E" w:rsidP="00CD3C3B">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l) Changes to additional growth assumptions</w:t>
            </w:r>
          </w:p>
        </w:tc>
        <w:tc>
          <w:tcPr>
            <w:tcW w:w="0" w:type="auto"/>
            <w:shd w:val="clear" w:color="auto" w:fill="808285"/>
            <w:noWrap/>
            <w:vAlign w:val="center"/>
            <w:hideMark/>
          </w:tcPr>
          <w:p w14:paraId="01448A0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+950</w:t>
            </w:r>
          </w:p>
        </w:tc>
        <w:tc>
          <w:tcPr>
            <w:tcW w:w="0" w:type="auto"/>
            <w:shd w:val="clear" w:color="auto" w:fill="808285"/>
            <w:noWrap/>
            <w:vAlign w:val="center"/>
            <w:hideMark/>
          </w:tcPr>
          <w:p w14:paraId="3D702096"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-221</w:t>
            </w:r>
          </w:p>
        </w:tc>
        <w:tc>
          <w:tcPr>
            <w:tcW w:w="0" w:type="auto"/>
            <w:shd w:val="clear" w:color="auto" w:fill="808285"/>
            <w:noWrap/>
            <w:vAlign w:val="center"/>
            <w:hideMark/>
          </w:tcPr>
          <w:p w14:paraId="119EDF81"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-2,374</w:t>
            </w:r>
          </w:p>
        </w:tc>
        <w:tc>
          <w:tcPr>
            <w:tcW w:w="0" w:type="auto"/>
            <w:tcBorders>
              <w:right w:val="dashed" w:sz="8" w:space="0" w:color="auto"/>
            </w:tcBorders>
            <w:shd w:val="clear" w:color="auto" w:fill="808285"/>
            <w:noWrap/>
            <w:vAlign w:val="center"/>
            <w:hideMark/>
          </w:tcPr>
          <w:p w14:paraId="16F121F8"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-3,183</w:t>
            </w:r>
          </w:p>
        </w:tc>
        <w:tc>
          <w:tcPr>
            <w:tcW w:w="0" w:type="auto"/>
            <w:tcBorders>
              <w:left w:val="dashed" w:sz="8" w:space="0" w:color="auto"/>
              <w:right w:val="single" w:sz="4" w:space="0" w:color="auto"/>
            </w:tcBorders>
            <w:shd w:val="clear" w:color="auto" w:fill="808285"/>
            <w:noWrap/>
            <w:vAlign w:val="center"/>
            <w:hideMark/>
          </w:tcPr>
          <w:p w14:paraId="3BB0F339"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-6,124</w:t>
            </w:r>
          </w:p>
        </w:tc>
        <w:tc>
          <w:tcPr>
            <w:tcW w:w="1012" w:type="dxa"/>
            <w:tcBorders>
              <w:left w:val="single" w:sz="4" w:space="0" w:color="auto"/>
            </w:tcBorders>
            <w:shd w:val="clear" w:color="auto" w:fill="808285"/>
            <w:noWrap/>
            <w:vAlign w:val="center"/>
            <w:hideMark/>
          </w:tcPr>
          <w:p w14:paraId="0E6F9A2B" w14:textId="77777777" w:rsidR="0045538E" w:rsidRPr="007F6332" w:rsidRDefault="0045538E" w:rsidP="00CD3C3B">
            <w:pPr>
              <w:spacing w:after="0" w:line="240" w:lineRule="auto"/>
              <w:jc w:val="right"/>
              <w:rPr>
                <w:rFonts w:eastAsia="Times New Roman" w:cs="Arial"/>
                <w:szCs w:val="22"/>
                <w:lang w:val="en-AU" w:eastAsia="en-AU"/>
              </w:rPr>
            </w:pPr>
            <w:r w:rsidRPr="007F6332">
              <w:rPr>
                <w:rFonts w:eastAsia="Times New Roman" w:cs="Arial"/>
                <w:szCs w:val="22"/>
                <w:lang w:val="en-AU" w:eastAsia="en-AU"/>
              </w:rPr>
              <w:t>-4,827</w:t>
            </w:r>
          </w:p>
        </w:tc>
      </w:tr>
      <w:tr w:rsidR="0045538E" w:rsidRPr="007F6332" w14:paraId="3D52E9BE" w14:textId="77777777" w:rsidTr="00CD33D0">
        <w:trPr>
          <w:trHeight w:val="280"/>
        </w:trPr>
        <w:tc>
          <w:tcPr>
            <w:tcW w:w="2693" w:type="dxa"/>
            <w:tcBorders>
              <w:top w:val="nil"/>
            </w:tcBorders>
            <w:shd w:val="clear" w:color="auto" w:fill="58595B"/>
            <w:vAlign w:val="center"/>
            <w:hideMark/>
          </w:tcPr>
          <w:p w14:paraId="66CCA329" w14:textId="77777777" w:rsidR="0045538E" w:rsidRPr="007F6332" w:rsidRDefault="0045538E" w:rsidP="00CD3C3B">
            <w:pPr>
              <w:spacing w:after="0" w:line="240" w:lineRule="auto"/>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June 2023 projections</w:t>
            </w:r>
          </w:p>
        </w:tc>
        <w:tc>
          <w:tcPr>
            <w:tcW w:w="0" w:type="auto"/>
            <w:tcBorders>
              <w:top w:val="nil"/>
            </w:tcBorders>
            <w:shd w:val="clear" w:color="auto" w:fill="58595B"/>
            <w:noWrap/>
            <w:vAlign w:val="center"/>
            <w:hideMark/>
          </w:tcPr>
          <w:p w14:paraId="539C464B"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41,360</w:t>
            </w:r>
          </w:p>
        </w:tc>
        <w:tc>
          <w:tcPr>
            <w:tcW w:w="0" w:type="auto"/>
            <w:tcBorders>
              <w:top w:val="nil"/>
            </w:tcBorders>
            <w:shd w:val="clear" w:color="auto" w:fill="58595B"/>
            <w:noWrap/>
            <w:vAlign w:val="center"/>
            <w:hideMark/>
          </w:tcPr>
          <w:p w14:paraId="2D418264"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46,376</w:t>
            </w:r>
          </w:p>
        </w:tc>
        <w:tc>
          <w:tcPr>
            <w:tcW w:w="0" w:type="auto"/>
            <w:tcBorders>
              <w:top w:val="nil"/>
            </w:tcBorders>
            <w:shd w:val="clear" w:color="auto" w:fill="58595B"/>
            <w:noWrap/>
            <w:vAlign w:val="center"/>
            <w:hideMark/>
          </w:tcPr>
          <w:p w14:paraId="4533F352"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50,788</w:t>
            </w:r>
          </w:p>
        </w:tc>
        <w:tc>
          <w:tcPr>
            <w:tcW w:w="0" w:type="auto"/>
            <w:tcBorders>
              <w:top w:val="nil"/>
              <w:right w:val="dashed" w:sz="8" w:space="0" w:color="auto"/>
            </w:tcBorders>
            <w:shd w:val="clear" w:color="auto" w:fill="58595B"/>
            <w:noWrap/>
            <w:vAlign w:val="center"/>
            <w:hideMark/>
          </w:tcPr>
          <w:p w14:paraId="750A6515"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55,207</w:t>
            </w:r>
          </w:p>
        </w:tc>
        <w:tc>
          <w:tcPr>
            <w:tcW w:w="0" w:type="auto"/>
            <w:tcBorders>
              <w:top w:val="nil"/>
              <w:left w:val="dashed" w:sz="8" w:space="0" w:color="auto"/>
              <w:right w:val="single" w:sz="4" w:space="0" w:color="auto"/>
            </w:tcBorders>
            <w:shd w:val="clear" w:color="auto" w:fill="58595B"/>
            <w:noWrap/>
            <w:vAlign w:val="center"/>
            <w:hideMark/>
          </w:tcPr>
          <w:p w14:paraId="2AD4BDBB"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92,341</w:t>
            </w:r>
          </w:p>
        </w:tc>
        <w:tc>
          <w:tcPr>
            <w:tcW w:w="1012" w:type="dxa"/>
            <w:tcBorders>
              <w:top w:val="nil"/>
              <w:left w:val="single" w:sz="4" w:space="0" w:color="auto"/>
            </w:tcBorders>
            <w:shd w:val="clear" w:color="auto" w:fill="58595B"/>
            <w:noWrap/>
            <w:vAlign w:val="center"/>
            <w:hideMark/>
          </w:tcPr>
          <w:p w14:paraId="3E7F8660" w14:textId="77777777" w:rsidR="0045538E" w:rsidRPr="007F6332" w:rsidRDefault="0045538E" w:rsidP="00CD3C3B">
            <w:pPr>
              <w:spacing w:after="0" w:line="240" w:lineRule="auto"/>
              <w:jc w:val="right"/>
              <w:rPr>
                <w:rFonts w:eastAsia="Times New Roman" w:cs="Arial"/>
                <w:b/>
                <w:bCs/>
                <w:color w:val="FFFFFF" w:themeColor="background1"/>
                <w:szCs w:val="22"/>
                <w:lang w:val="en-AU" w:eastAsia="en-AU"/>
              </w:rPr>
            </w:pPr>
            <w:r w:rsidRPr="007F6332">
              <w:rPr>
                <w:rFonts w:eastAsia="Times New Roman" w:cs="Arial"/>
                <w:b/>
                <w:bCs/>
                <w:color w:val="FFFFFF" w:themeColor="background1"/>
                <w:szCs w:val="22"/>
                <w:lang w:val="en-AU" w:eastAsia="en-AU"/>
              </w:rPr>
              <w:t>193,731</w:t>
            </w:r>
          </w:p>
        </w:tc>
      </w:tr>
      <w:tr w:rsidR="0045538E" w:rsidRPr="007F6332" w14:paraId="7B221E24" w14:textId="77777777" w:rsidTr="00B91D74">
        <w:trPr>
          <w:trHeight w:val="520"/>
        </w:trPr>
        <w:tc>
          <w:tcPr>
            <w:tcW w:w="2693" w:type="dxa"/>
            <w:tcBorders>
              <w:top w:val="nil"/>
              <w:bottom w:val="single" w:sz="4" w:space="0" w:color="auto"/>
            </w:tcBorders>
            <w:shd w:val="clear" w:color="auto" w:fill="B398B8"/>
            <w:vAlign w:val="center"/>
            <w:hideMark/>
          </w:tcPr>
          <w:p w14:paraId="30DDE1D6" w14:textId="77777777" w:rsidR="0045538E" w:rsidRPr="007F6332" w:rsidRDefault="0045538E" w:rsidP="00CD3C3B">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 movement from June 2022 projections to June 2023 projections</w:t>
            </w:r>
          </w:p>
        </w:tc>
        <w:tc>
          <w:tcPr>
            <w:tcW w:w="0" w:type="auto"/>
            <w:tcBorders>
              <w:top w:val="nil"/>
              <w:bottom w:val="single" w:sz="4" w:space="0" w:color="auto"/>
            </w:tcBorders>
            <w:shd w:val="clear" w:color="auto" w:fill="B398B8"/>
            <w:vAlign w:val="center"/>
            <w:hideMark/>
          </w:tcPr>
          <w:p w14:paraId="4B2D90FA" w14:textId="77777777" w:rsidR="0045538E" w:rsidRPr="007F6332" w:rsidRDefault="0045538E" w:rsidP="00CD3C3B">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+3,227</w:t>
            </w:r>
            <w:r w:rsidRPr="007F6332">
              <w:rPr>
                <w:rFonts w:eastAsia="Times New Roman" w:cs="Arial"/>
                <w:b/>
                <w:bCs/>
                <w:color w:val="000000"/>
                <w:szCs w:val="22"/>
                <w:lang w:val="en-AU" w:eastAsia="en-AU"/>
              </w:rPr>
              <w:br/>
              <w:t>(+8.5%)</w:t>
            </w:r>
          </w:p>
        </w:tc>
        <w:tc>
          <w:tcPr>
            <w:tcW w:w="0" w:type="auto"/>
            <w:tcBorders>
              <w:top w:val="nil"/>
              <w:bottom w:val="single" w:sz="4" w:space="0" w:color="auto"/>
            </w:tcBorders>
            <w:shd w:val="clear" w:color="auto" w:fill="B398B8"/>
            <w:vAlign w:val="center"/>
            <w:hideMark/>
          </w:tcPr>
          <w:p w14:paraId="2E1FB68A" w14:textId="77777777" w:rsidR="0045538E" w:rsidRPr="007F6332" w:rsidRDefault="0045538E" w:rsidP="00CD3C3B">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+2,260</w:t>
            </w:r>
            <w:r w:rsidRPr="007F6332">
              <w:rPr>
                <w:rFonts w:eastAsia="Times New Roman" w:cs="Arial"/>
                <w:b/>
                <w:bCs/>
                <w:color w:val="000000"/>
                <w:szCs w:val="22"/>
                <w:lang w:val="en-AU" w:eastAsia="en-AU"/>
              </w:rPr>
              <w:br/>
              <w:t>(+5.1%)</w:t>
            </w:r>
          </w:p>
        </w:tc>
        <w:tc>
          <w:tcPr>
            <w:tcW w:w="0" w:type="auto"/>
            <w:tcBorders>
              <w:top w:val="nil"/>
              <w:bottom w:val="single" w:sz="4" w:space="0" w:color="auto"/>
            </w:tcBorders>
            <w:shd w:val="clear" w:color="auto" w:fill="B398B8"/>
            <w:vAlign w:val="center"/>
            <w:hideMark/>
          </w:tcPr>
          <w:p w14:paraId="11AA9F4E" w14:textId="77777777" w:rsidR="0045538E" w:rsidRPr="007F6332" w:rsidRDefault="0045538E" w:rsidP="00CD3C3B">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+444</w:t>
            </w:r>
            <w:r w:rsidRPr="007F6332">
              <w:rPr>
                <w:rFonts w:eastAsia="Times New Roman" w:cs="Arial"/>
                <w:b/>
                <w:bCs/>
                <w:color w:val="000000"/>
                <w:szCs w:val="22"/>
                <w:lang w:val="en-AU" w:eastAsia="en-AU"/>
              </w:rPr>
              <w:br/>
              <w:t>(+0.9%)</w:t>
            </w:r>
          </w:p>
        </w:tc>
        <w:tc>
          <w:tcPr>
            <w:tcW w:w="0" w:type="auto"/>
            <w:tcBorders>
              <w:top w:val="nil"/>
              <w:bottom w:val="single" w:sz="4" w:space="0" w:color="auto"/>
              <w:right w:val="dashed" w:sz="8" w:space="0" w:color="auto"/>
            </w:tcBorders>
            <w:shd w:val="clear" w:color="auto" w:fill="B398B8"/>
            <w:vAlign w:val="center"/>
            <w:hideMark/>
          </w:tcPr>
          <w:p w14:paraId="59AE3EA3" w14:textId="77777777" w:rsidR="0045538E" w:rsidRPr="007F6332" w:rsidRDefault="0045538E" w:rsidP="00CD3C3B">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-303</w:t>
            </w:r>
            <w:r w:rsidRPr="007F6332">
              <w:rPr>
                <w:rFonts w:eastAsia="Times New Roman" w:cs="Arial"/>
                <w:b/>
                <w:bCs/>
                <w:color w:val="000000"/>
                <w:szCs w:val="22"/>
                <w:lang w:val="en-AU" w:eastAsia="en-AU"/>
              </w:rPr>
              <w:br/>
              <w:t>(-0.5%)</w:t>
            </w:r>
          </w:p>
        </w:tc>
        <w:tc>
          <w:tcPr>
            <w:tcW w:w="0" w:type="auto"/>
            <w:tcBorders>
              <w:top w:val="nil"/>
              <w:left w:val="dashed" w:sz="8" w:space="0" w:color="auto"/>
              <w:bottom w:val="single" w:sz="4" w:space="0" w:color="auto"/>
              <w:right w:val="single" w:sz="4" w:space="0" w:color="auto"/>
            </w:tcBorders>
            <w:shd w:val="clear" w:color="auto" w:fill="B398B8"/>
            <w:vAlign w:val="center"/>
            <w:hideMark/>
          </w:tcPr>
          <w:p w14:paraId="0CA5E21D" w14:textId="77777777" w:rsidR="0045538E" w:rsidRPr="007F6332" w:rsidRDefault="0045538E" w:rsidP="00CD3C3B">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-4,625</w:t>
            </w:r>
            <w:r w:rsidRPr="007F6332">
              <w:rPr>
                <w:rFonts w:eastAsia="Times New Roman" w:cs="Arial"/>
                <w:b/>
                <w:bCs/>
                <w:color w:val="000000"/>
                <w:szCs w:val="22"/>
                <w:lang w:val="en-AU" w:eastAsia="en-AU"/>
              </w:rPr>
              <w:br/>
              <w:t>(-4.8%)</w:t>
            </w:r>
          </w:p>
        </w:tc>
        <w:tc>
          <w:tcPr>
            <w:tcW w:w="1012" w:type="dxa"/>
            <w:tcBorders>
              <w:top w:val="nil"/>
              <w:left w:val="single" w:sz="4" w:space="0" w:color="auto"/>
              <w:bottom w:val="single" w:sz="4" w:space="0" w:color="auto"/>
            </w:tcBorders>
            <w:shd w:val="clear" w:color="auto" w:fill="B398B8"/>
            <w:vAlign w:val="center"/>
            <w:hideMark/>
          </w:tcPr>
          <w:p w14:paraId="52E01F6B" w14:textId="77777777" w:rsidR="0045538E" w:rsidRPr="007F6332" w:rsidRDefault="0045538E" w:rsidP="00CD3C3B">
            <w:pPr>
              <w:spacing w:after="0" w:line="240" w:lineRule="auto"/>
              <w:jc w:val="right"/>
              <w:rPr>
                <w:rFonts w:eastAsia="Times New Roman" w:cs="Arial"/>
                <w:b/>
                <w:bCs/>
                <w:color w:val="000000"/>
                <w:szCs w:val="22"/>
                <w:lang w:val="en-AU" w:eastAsia="en-AU"/>
              </w:rPr>
            </w:pPr>
            <w:r w:rsidRPr="007F6332">
              <w:rPr>
                <w:rFonts w:eastAsia="Times New Roman" w:cs="Arial"/>
                <w:b/>
                <w:bCs/>
                <w:color w:val="000000"/>
                <w:szCs w:val="22"/>
                <w:lang w:val="en-AU" w:eastAsia="en-AU"/>
              </w:rPr>
              <w:t>+5,628</w:t>
            </w:r>
            <w:r w:rsidRPr="007F6332">
              <w:rPr>
                <w:rFonts w:eastAsia="Times New Roman" w:cs="Arial"/>
                <w:b/>
                <w:bCs/>
                <w:color w:val="000000"/>
                <w:szCs w:val="22"/>
                <w:lang w:val="en-AU" w:eastAsia="en-AU"/>
              </w:rPr>
              <w:br/>
              <w:t>(+3.0%)</w:t>
            </w:r>
          </w:p>
        </w:tc>
      </w:tr>
    </w:tbl>
    <w:p w14:paraId="386CAB22" w14:textId="77777777" w:rsidR="00AD33D4" w:rsidRPr="007F6332" w:rsidRDefault="00AD33D4" w:rsidP="00AD33D4">
      <w:pPr>
        <w:rPr>
          <w:rFonts w:cs="Arial"/>
        </w:rPr>
        <w:sectPr w:rsidR="00AD33D4" w:rsidRPr="007F6332" w:rsidSect="00CE7E91">
          <w:pgSz w:w="11906" w:h="16838"/>
          <w:pgMar w:top="1440" w:right="1416" w:bottom="1440" w:left="1440" w:header="708" w:footer="850" w:gutter="0"/>
          <w:cols w:space="708"/>
          <w:titlePg/>
          <w:docGrid w:linePitch="360"/>
        </w:sectPr>
      </w:pPr>
    </w:p>
    <w:p w14:paraId="530F2EEF" w14:textId="152E0B1A" w:rsidR="00AD33D4" w:rsidRPr="007F6332" w:rsidRDefault="00AD33D4" w:rsidP="008B34A8">
      <w:pPr>
        <w:pStyle w:val="FSRHeading3"/>
      </w:pPr>
      <w:bookmarkStart w:id="299" w:name="_Toc152615020"/>
      <w:r w:rsidRPr="007F6332">
        <w:lastRenderedPageBreak/>
        <w:t>Appendix C</w:t>
      </w:r>
      <w:r w:rsidR="004804C4" w:rsidRPr="007F6332">
        <w:tab/>
      </w:r>
      <w:r w:rsidR="007A7CBF" w:rsidRPr="007F6332">
        <w:t>State and territory breakdown</w:t>
      </w:r>
      <w:bookmarkEnd w:id="299"/>
    </w:p>
    <w:p w14:paraId="1483CFBB" w14:textId="77777777" w:rsidR="00332A4E" w:rsidRPr="007F6332" w:rsidRDefault="00332A4E" w:rsidP="00332A4E">
      <w:pPr>
        <w:pStyle w:val="FSRnormal"/>
        <w:rPr>
          <w:rFonts w:cs="Arial"/>
        </w:rPr>
      </w:pPr>
      <w:r w:rsidRPr="007F6332">
        <w:rPr>
          <w:rFonts w:cs="Arial"/>
        </w:rPr>
        <w:t>The projection model projects participant numbers and support costs at a Scheme level. A separate model is used to allocate projected Scheme participant numbers and Scheme expenses by State and Territory. The resulting Scheme participant numbers and Scheme expenses by jurisdiction are shown in Tables C.1 and C.2.</w:t>
      </w:r>
    </w:p>
    <w:p w14:paraId="6270BB57" w14:textId="77777777" w:rsidR="006447C1" w:rsidRPr="007F6332" w:rsidRDefault="006447C1" w:rsidP="00A148ED">
      <w:pPr>
        <w:pStyle w:val="FSRHeading4"/>
      </w:pPr>
      <w:r w:rsidRPr="007F6332">
        <w:t>Scheme participant numbers by jurisdiction</w:t>
      </w:r>
    </w:p>
    <w:p w14:paraId="0F1A7E5E" w14:textId="60DD606A" w:rsidR="007A7CBF" w:rsidRPr="007F6332" w:rsidRDefault="007A7CBF" w:rsidP="00A148ED">
      <w:pPr>
        <w:pStyle w:val="FiguresandTablesHeading5"/>
      </w:pPr>
      <w:r w:rsidRPr="007F6332">
        <w:t>Table C.1: Projected participant numbers by jurisdiction</w:t>
      </w:r>
      <w:r w:rsidR="00CD756B" w:rsidRPr="007F6332">
        <w:t xml:space="preserve"> 30 June</w:t>
      </w:r>
    </w:p>
    <w:tbl>
      <w:tblPr>
        <w:tblW w:w="9072" w:type="dxa"/>
        <w:tblLook w:val="04A0" w:firstRow="1" w:lastRow="0" w:firstColumn="1" w:lastColumn="0" w:noHBand="0" w:noVBand="1"/>
      </w:tblPr>
      <w:tblGrid>
        <w:gridCol w:w="1564"/>
        <w:gridCol w:w="1503"/>
        <w:gridCol w:w="1502"/>
        <w:gridCol w:w="1502"/>
        <w:gridCol w:w="1512"/>
        <w:gridCol w:w="1489"/>
      </w:tblGrid>
      <w:tr w:rsidR="007A7CBF" w:rsidRPr="007F6332" w14:paraId="3D04C092" w14:textId="77777777" w:rsidTr="00CD756B">
        <w:trPr>
          <w:trHeight w:val="290"/>
        </w:trPr>
        <w:tc>
          <w:tcPr>
            <w:tcW w:w="0" w:type="auto"/>
            <w:shd w:val="clear" w:color="auto" w:fill="6B2976"/>
            <w:vAlign w:val="center"/>
            <w:hideMark/>
          </w:tcPr>
          <w:p w14:paraId="246C9915" w14:textId="2B84A9A9" w:rsidR="007A7CBF" w:rsidRPr="007F6332" w:rsidRDefault="00653D3D" w:rsidP="00CD756B">
            <w:pPr>
              <w:spacing w:after="0" w:line="240" w:lineRule="auto"/>
              <w:rPr>
                <w:rFonts w:eastAsia="Times New Roman" w:cs="Arial"/>
                <w:b/>
                <w:bCs/>
                <w:color w:val="FFFFFF"/>
                <w:szCs w:val="22"/>
                <w:lang w:eastAsia="en-AU"/>
              </w:rPr>
            </w:pPr>
            <w:r w:rsidRPr="007F6332">
              <w:rPr>
                <w:rFonts w:eastAsia="Times New Roman" w:cs="Arial"/>
                <w:b/>
                <w:bCs/>
                <w:color w:val="FFFFFF"/>
                <w:lang w:eastAsia="en-AU"/>
              </w:rPr>
              <w:t>Participant numbers</w:t>
            </w:r>
          </w:p>
        </w:tc>
        <w:tc>
          <w:tcPr>
            <w:tcW w:w="1503" w:type="dxa"/>
            <w:shd w:val="clear" w:color="auto" w:fill="6B2976"/>
            <w:noWrap/>
            <w:vAlign w:val="center"/>
            <w:hideMark/>
          </w:tcPr>
          <w:p w14:paraId="75397DFD" w14:textId="09F202CD" w:rsidR="007A7CBF" w:rsidRPr="007F6332" w:rsidRDefault="00653D3D">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 xml:space="preserve"> </w:t>
            </w:r>
            <w:r w:rsidR="007A7CBF" w:rsidRPr="007F6332">
              <w:rPr>
                <w:rFonts w:eastAsia="Times New Roman" w:cs="Arial"/>
                <w:b/>
                <w:bCs/>
                <w:color w:val="FFFFFF"/>
                <w:lang w:eastAsia="en-AU"/>
              </w:rPr>
              <w:t>2024</w:t>
            </w:r>
          </w:p>
        </w:tc>
        <w:tc>
          <w:tcPr>
            <w:tcW w:w="1502" w:type="dxa"/>
            <w:shd w:val="clear" w:color="auto" w:fill="6B2976"/>
            <w:noWrap/>
            <w:vAlign w:val="center"/>
            <w:hideMark/>
          </w:tcPr>
          <w:p w14:paraId="39A33810" w14:textId="24622FC4"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w:t>
            </w:r>
          </w:p>
        </w:tc>
        <w:tc>
          <w:tcPr>
            <w:tcW w:w="1502" w:type="dxa"/>
            <w:tcBorders>
              <w:right w:val="dashed" w:sz="8" w:space="0" w:color="auto"/>
            </w:tcBorders>
            <w:shd w:val="clear" w:color="auto" w:fill="6B2976"/>
            <w:noWrap/>
            <w:vAlign w:val="center"/>
            <w:hideMark/>
          </w:tcPr>
          <w:p w14:paraId="45AAA00B" w14:textId="65CF3C01"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w:t>
            </w:r>
          </w:p>
        </w:tc>
        <w:tc>
          <w:tcPr>
            <w:tcW w:w="1512" w:type="dxa"/>
            <w:tcBorders>
              <w:left w:val="dashed" w:sz="8" w:space="0" w:color="auto"/>
              <w:right w:val="single" w:sz="4" w:space="0" w:color="auto"/>
            </w:tcBorders>
            <w:shd w:val="clear" w:color="auto" w:fill="6B2976"/>
            <w:noWrap/>
            <w:vAlign w:val="center"/>
            <w:hideMark/>
          </w:tcPr>
          <w:p w14:paraId="3DCAA4DB" w14:textId="5A3DEF58"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2027</w:t>
            </w:r>
          </w:p>
        </w:tc>
        <w:tc>
          <w:tcPr>
            <w:tcW w:w="1489" w:type="dxa"/>
            <w:tcBorders>
              <w:left w:val="single" w:sz="4" w:space="0" w:color="auto"/>
            </w:tcBorders>
            <w:shd w:val="clear" w:color="auto" w:fill="6B2976"/>
            <w:noWrap/>
            <w:vAlign w:val="center"/>
            <w:hideMark/>
          </w:tcPr>
          <w:p w14:paraId="22233DC0" w14:textId="65B3B23D"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2033</w:t>
            </w:r>
          </w:p>
        </w:tc>
      </w:tr>
      <w:tr w:rsidR="007A7CBF" w:rsidRPr="007F6332" w14:paraId="7D6FA2C1" w14:textId="77777777" w:rsidTr="00CE7E91">
        <w:trPr>
          <w:trHeight w:val="290"/>
        </w:trPr>
        <w:tc>
          <w:tcPr>
            <w:tcW w:w="1564" w:type="dxa"/>
            <w:shd w:val="clear" w:color="000000" w:fill="A7A9AC"/>
            <w:noWrap/>
            <w:vAlign w:val="bottom"/>
            <w:hideMark/>
          </w:tcPr>
          <w:p w14:paraId="7A5C885D"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NSW</w:t>
            </w:r>
          </w:p>
        </w:tc>
        <w:tc>
          <w:tcPr>
            <w:tcW w:w="1503" w:type="dxa"/>
            <w:shd w:val="clear" w:color="000000" w:fill="A7A9AC"/>
            <w:noWrap/>
            <w:vAlign w:val="bottom"/>
            <w:hideMark/>
          </w:tcPr>
          <w:p w14:paraId="4AE84422"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198,341</w:t>
            </w:r>
          </w:p>
        </w:tc>
        <w:tc>
          <w:tcPr>
            <w:tcW w:w="1502" w:type="dxa"/>
            <w:shd w:val="clear" w:color="000000" w:fill="A7A9AC"/>
            <w:noWrap/>
            <w:vAlign w:val="bottom"/>
            <w:hideMark/>
          </w:tcPr>
          <w:p w14:paraId="4B8A9901"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211,737</w:t>
            </w:r>
          </w:p>
        </w:tc>
        <w:tc>
          <w:tcPr>
            <w:tcW w:w="1502" w:type="dxa"/>
            <w:tcBorders>
              <w:right w:val="dashed" w:sz="8" w:space="0" w:color="auto"/>
            </w:tcBorders>
            <w:shd w:val="clear" w:color="000000" w:fill="A7A9AC"/>
            <w:noWrap/>
            <w:vAlign w:val="bottom"/>
            <w:hideMark/>
          </w:tcPr>
          <w:p w14:paraId="1F1C8E3C"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223,154</w:t>
            </w:r>
          </w:p>
        </w:tc>
        <w:tc>
          <w:tcPr>
            <w:tcW w:w="1512" w:type="dxa"/>
            <w:tcBorders>
              <w:left w:val="dashed" w:sz="8" w:space="0" w:color="auto"/>
              <w:right w:val="single" w:sz="4" w:space="0" w:color="auto"/>
            </w:tcBorders>
            <w:shd w:val="clear" w:color="000000" w:fill="A7A9AC"/>
            <w:noWrap/>
            <w:vAlign w:val="bottom"/>
            <w:hideMark/>
          </w:tcPr>
          <w:p w14:paraId="25896997"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234,286</w:t>
            </w:r>
          </w:p>
        </w:tc>
        <w:tc>
          <w:tcPr>
            <w:tcW w:w="1489" w:type="dxa"/>
            <w:tcBorders>
              <w:top w:val="nil"/>
              <w:left w:val="single" w:sz="4" w:space="0" w:color="auto"/>
              <w:right w:val="nil"/>
            </w:tcBorders>
            <w:shd w:val="clear" w:color="000000" w:fill="A7A9AC"/>
            <w:noWrap/>
            <w:vAlign w:val="bottom"/>
            <w:hideMark/>
          </w:tcPr>
          <w:p w14:paraId="23A49EDF"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304,642</w:t>
            </w:r>
          </w:p>
        </w:tc>
      </w:tr>
      <w:tr w:rsidR="00EA3AC8" w:rsidRPr="007F6332" w14:paraId="5D9AA9E3" w14:textId="77777777" w:rsidTr="00CE7E91">
        <w:trPr>
          <w:trHeight w:val="290"/>
        </w:trPr>
        <w:tc>
          <w:tcPr>
            <w:tcW w:w="1564" w:type="dxa"/>
            <w:shd w:val="clear" w:color="auto" w:fill="auto"/>
            <w:noWrap/>
            <w:vAlign w:val="bottom"/>
            <w:hideMark/>
          </w:tcPr>
          <w:p w14:paraId="3EC3CCD6"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VIC</w:t>
            </w:r>
          </w:p>
        </w:tc>
        <w:tc>
          <w:tcPr>
            <w:tcW w:w="1503" w:type="dxa"/>
            <w:shd w:val="clear" w:color="auto" w:fill="auto"/>
            <w:noWrap/>
            <w:vAlign w:val="bottom"/>
            <w:hideMark/>
          </w:tcPr>
          <w:p w14:paraId="7895F7FE"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179,406</w:t>
            </w:r>
          </w:p>
        </w:tc>
        <w:tc>
          <w:tcPr>
            <w:tcW w:w="1502" w:type="dxa"/>
            <w:shd w:val="clear" w:color="auto" w:fill="auto"/>
            <w:noWrap/>
            <w:vAlign w:val="bottom"/>
            <w:hideMark/>
          </w:tcPr>
          <w:p w14:paraId="2C57CBB4"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191,265</w:t>
            </w:r>
          </w:p>
        </w:tc>
        <w:tc>
          <w:tcPr>
            <w:tcW w:w="1502" w:type="dxa"/>
            <w:tcBorders>
              <w:right w:val="dashed" w:sz="8" w:space="0" w:color="auto"/>
            </w:tcBorders>
            <w:shd w:val="clear" w:color="auto" w:fill="auto"/>
            <w:noWrap/>
            <w:vAlign w:val="bottom"/>
            <w:hideMark/>
          </w:tcPr>
          <w:p w14:paraId="3F2E78C1"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201,236</w:t>
            </w:r>
          </w:p>
        </w:tc>
        <w:tc>
          <w:tcPr>
            <w:tcW w:w="1512" w:type="dxa"/>
            <w:tcBorders>
              <w:left w:val="dashed" w:sz="8" w:space="0" w:color="auto"/>
              <w:right w:val="single" w:sz="4" w:space="0" w:color="auto"/>
            </w:tcBorders>
            <w:shd w:val="clear" w:color="auto" w:fill="auto"/>
            <w:noWrap/>
            <w:vAlign w:val="bottom"/>
            <w:hideMark/>
          </w:tcPr>
          <w:p w14:paraId="74DB5F13"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210,923</w:t>
            </w:r>
          </w:p>
        </w:tc>
        <w:tc>
          <w:tcPr>
            <w:tcW w:w="1489" w:type="dxa"/>
            <w:tcBorders>
              <w:top w:val="nil"/>
              <w:left w:val="single" w:sz="4" w:space="0" w:color="auto"/>
              <w:bottom w:val="nil"/>
              <w:right w:val="nil"/>
            </w:tcBorders>
            <w:shd w:val="clear" w:color="auto" w:fill="auto"/>
            <w:noWrap/>
            <w:vAlign w:val="bottom"/>
            <w:hideMark/>
          </w:tcPr>
          <w:p w14:paraId="1EDB4960"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272,040</w:t>
            </w:r>
          </w:p>
        </w:tc>
      </w:tr>
      <w:tr w:rsidR="007A7CBF" w:rsidRPr="007F6332" w14:paraId="3670BCDF" w14:textId="77777777" w:rsidTr="00CE7E91">
        <w:trPr>
          <w:trHeight w:val="290"/>
        </w:trPr>
        <w:tc>
          <w:tcPr>
            <w:tcW w:w="1564" w:type="dxa"/>
            <w:shd w:val="clear" w:color="000000" w:fill="A7A9AC"/>
            <w:noWrap/>
            <w:vAlign w:val="bottom"/>
            <w:hideMark/>
          </w:tcPr>
          <w:p w14:paraId="11744448"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QLD</w:t>
            </w:r>
          </w:p>
        </w:tc>
        <w:tc>
          <w:tcPr>
            <w:tcW w:w="1503" w:type="dxa"/>
            <w:shd w:val="clear" w:color="000000" w:fill="A7A9AC"/>
            <w:noWrap/>
            <w:vAlign w:val="bottom"/>
            <w:hideMark/>
          </w:tcPr>
          <w:p w14:paraId="346C3754"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144,955</w:t>
            </w:r>
          </w:p>
        </w:tc>
        <w:tc>
          <w:tcPr>
            <w:tcW w:w="1502" w:type="dxa"/>
            <w:shd w:val="clear" w:color="000000" w:fill="A7A9AC"/>
            <w:noWrap/>
            <w:vAlign w:val="bottom"/>
            <w:hideMark/>
          </w:tcPr>
          <w:p w14:paraId="36935BB2"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154,986</w:t>
            </w:r>
          </w:p>
        </w:tc>
        <w:tc>
          <w:tcPr>
            <w:tcW w:w="1502" w:type="dxa"/>
            <w:tcBorders>
              <w:right w:val="dashed" w:sz="8" w:space="0" w:color="auto"/>
            </w:tcBorders>
            <w:shd w:val="clear" w:color="000000" w:fill="A7A9AC"/>
            <w:noWrap/>
            <w:vAlign w:val="bottom"/>
            <w:hideMark/>
          </w:tcPr>
          <w:p w14:paraId="4E318EC2"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163,505</w:t>
            </w:r>
          </w:p>
        </w:tc>
        <w:tc>
          <w:tcPr>
            <w:tcW w:w="1512" w:type="dxa"/>
            <w:tcBorders>
              <w:left w:val="dashed" w:sz="8" w:space="0" w:color="auto"/>
              <w:right w:val="single" w:sz="4" w:space="0" w:color="auto"/>
            </w:tcBorders>
            <w:shd w:val="clear" w:color="000000" w:fill="A7A9AC"/>
            <w:noWrap/>
            <w:vAlign w:val="bottom"/>
            <w:hideMark/>
          </w:tcPr>
          <w:p w14:paraId="5E3E932C"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171,781</w:t>
            </w:r>
          </w:p>
        </w:tc>
        <w:tc>
          <w:tcPr>
            <w:tcW w:w="1489" w:type="dxa"/>
            <w:tcBorders>
              <w:top w:val="nil"/>
              <w:left w:val="single" w:sz="4" w:space="0" w:color="auto"/>
              <w:right w:val="nil"/>
            </w:tcBorders>
            <w:shd w:val="clear" w:color="000000" w:fill="A7A9AC"/>
            <w:noWrap/>
            <w:vAlign w:val="bottom"/>
            <w:hideMark/>
          </w:tcPr>
          <w:p w14:paraId="21A0F200"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222,395</w:t>
            </w:r>
          </w:p>
        </w:tc>
      </w:tr>
      <w:tr w:rsidR="00EA3AC8" w:rsidRPr="007F6332" w14:paraId="336DC532" w14:textId="77777777" w:rsidTr="00CE7E91">
        <w:trPr>
          <w:trHeight w:val="290"/>
        </w:trPr>
        <w:tc>
          <w:tcPr>
            <w:tcW w:w="1564" w:type="dxa"/>
            <w:shd w:val="clear" w:color="auto" w:fill="auto"/>
            <w:noWrap/>
            <w:vAlign w:val="bottom"/>
            <w:hideMark/>
          </w:tcPr>
          <w:p w14:paraId="1E0A8CCF"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SA</w:t>
            </w:r>
          </w:p>
        </w:tc>
        <w:tc>
          <w:tcPr>
            <w:tcW w:w="1503" w:type="dxa"/>
            <w:shd w:val="clear" w:color="auto" w:fill="auto"/>
            <w:noWrap/>
            <w:vAlign w:val="bottom"/>
            <w:hideMark/>
          </w:tcPr>
          <w:p w14:paraId="15C893DB"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57,004</w:t>
            </w:r>
          </w:p>
        </w:tc>
        <w:tc>
          <w:tcPr>
            <w:tcW w:w="1502" w:type="dxa"/>
            <w:shd w:val="clear" w:color="auto" w:fill="auto"/>
            <w:noWrap/>
            <w:vAlign w:val="bottom"/>
            <w:hideMark/>
          </w:tcPr>
          <w:p w14:paraId="4ADCE3F1"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61,150</w:t>
            </w:r>
          </w:p>
        </w:tc>
        <w:tc>
          <w:tcPr>
            <w:tcW w:w="1502" w:type="dxa"/>
            <w:tcBorders>
              <w:right w:val="dashed" w:sz="8" w:space="0" w:color="auto"/>
            </w:tcBorders>
            <w:shd w:val="clear" w:color="auto" w:fill="auto"/>
            <w:noWrap/>
            <w:vAlign w:val="bottom"/>
            <w:hideMark/>
          </w:tcPr>
          <w:p w14:paraId="172174E9"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64,752</w:t>
            </w:r>
          </w:p>
        </w:tc>
        <w:tc>
          <w:tcPr>
            <w:tcW w:w="1512" w:type="dxa"/>
            <w:tcBorders>
              <w:left w:val="dashed" w:sz="8" w:space="0" w:color="auto"/>
              <w:right w:val="single" w:sz="4" w:space="0" w:color="auto"/>
            </w:tcBorders>
            <w:shd w:val="clear" w:color="auto" w:fill="auto"/>
            <w:noWrap/>
            <w:vAlign w:val="bottom"/>
            <w:hideMark/>
          </w:tcPr>
          <w:p w14:paraId="798ED8BF"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68,256</w:t>
            </w:r>
          </w:p>
        </w:tc>
        <w:tc>
          <w:tcPr>
            <w:tcW w:w="1489" w:type="dxa"/>
            <w:tcBorders>
              <w:top w:val="nil"/>
              <w:left w:val="single" w:sz="4" w:space="0" w:color="auto"/>
              <w:bottom w:val="nil"/>
              <w:right w:val="nil"/>
            </w:tcBorders>
            <w:shd w:val="clear" w:color="auto" w:fill="auto"/>
            <w:noWrap/>
            <w:vAlign w:val="bottom"/>
            <w:hideMark/>
          </w:tcPr>
          <w:p w14:paraId="781E09E0"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89,267</w:t>
            </w:r>
          </w:p>
        </w:tc>
      </w:tr>
      <w:tr w:rsidR="007A7CBF" w:rsidRPr="007F6332" w14:paraId="6A0A7DB0" w14:textId="77777777" w:rsidTr="00CE7E91">
        <w:trPr>
          <w:trHeight w:val="290"/>
        </w:trPr>
        <w:tc>
          <w:tcPr>
            <w:tcW w:w="1564" w:type="dxa"/>
            <w:shd w:val="clear" w:color="000000" w:fill="A7A9AC"/>
            <w:noWrap/>
            <w:vAlign w:val="bottom"/>
            <w:hideMark/>
          </w:tcPr>
          <w:p w14:paraId="1532DB85"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WA</w:t>
            </w:r>
          </w:p>
        </w:tc>
        <w:tc>
          <w:tcPr>
            <w:tcW w:w="1503" w:type="dxa"/>
            <w:shd w:val="clear" w:color="000000" w:fill="A7A9AC"/>
            <w:noWrap/>
            <w:vAlign w:val="bottom"/>
            <w:hideMark/>
          </w:tcPr>
          <w:p w14:paraId="5B1C3450"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57,751</w:t>
            </w:r>
          </w:p>
        </w:tc>
        <w:tc>
          <w:tcPr>
            <w:tcW w:w="1502" w:type="dxa"/>
            <w:shd w:val="clear" w:color="000000" w:fill="A7A9AC"/>
            <w:noWrap/>
            <w:vAlign w:val="bottom"/>
            <w:hideMark/>
          </w:tcPr>
          <w:p w14:paraId="640FC756"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61,966</w:t>
            </w:r>
          </w:p>
        </w:tc>
        <w:tc>
          <w:tcPr>
            <w:tcW w:w="1502" w:type="dxa"/>
            <w:tcBorders>
              <w:right w:val="dashed" w:sz="8" w:space="0" w:color="auto"/>
            </w:tcBorders>
            <w:shd w:val="clear" w:color="000000" w:fill="A7A9AC"/>
            <w:noWrap/>
            <w:vAlign w:val="bottom"/>
            <w:hideMark/>
          </w:tcPr>
          <w:p w14:paraId="4C5F2C1F"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65,699</w:t>
            </w:r>
          </w:p>
        </w:tc>
        <w:tc>
          <w:tcPr>
            <w:tcW w:w="1512" w:type="dxa"/>
            <w:tcBorders>
              <w:left w:val="dashed" w:sz="8" w:space="0" w:color="auto"/>
              <w:right w:val="single" w:sz="4" w:space="0" w:color="auto"/>
            </w:tcBorders>
            <w:shd w:val="clear" w:color="000000" w:fill="A7A9AC"/>
            <w:noWrap/>
            <w:vAlign w:val="bottom"/>
            <w:hideMark/>
          </w:tcPr>
          <w:p w14:paraId="7A2C8117"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69,358</w:t>
            </w:r>
          </w:p>
        </w:tc>
        <w:tc>
          <w:tcPr>
            <w:tcW w:w="1489" w:type="dxa"/>
            <w:tcBorders>
              <w:top w:val="nil"/>
              <w:left w:val="single" w:sz="4" w:space="0" w:color="auto"/>
              <w:bottom w:val="nil"/>
              <w:right w:val="nil"/>
            </w:tcBorders>
            <w:shd w:val="clear" w:color="000000" w:fill="A7A9AC"/>
            <w:noWrap/>
            <w:vAlign w:val="bottom"/>
            <w:hideMark/>
          </w:tcPr>
          <w:p w14:paraId="18615BC6"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92,297</w:t>
            </w:r>
          </w:p>
        </w:tc>
      </w:tr>
      <w:tr w:rsidR="00EA3AC8" w:rsidRPr="007F6332" w14:paraId="7160DFFD" w14:textId="77777777" w:rsidTr="00CE7E91">
        <w:trPr>
          <w:trHeight w:val="290"/>
        </w:trPr>
        <w:tc>
          <w:tcPr>
            <w:tcW w:w="1564" w:type="dxa"/>
            <w:shd w:val="clear" w:color="auto" w:fill="auto"/>
            <w:noWrap/>
            <w:vAlign w:val="bottom"/>
            <w:hideMark/>
          </w:tcPr>
          <w:p w14:paraId="2F84C312"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TAS</w:t>
            </w:r>
          </w:p>
        </w:tc>
        <w:tc>
          <w:tcPr>
            <w:tcW w:w="1503" w:type="dxa"/>
            <w:shd w:val="clear" w:color="auto" w:fill="auto"/>
            <w:noWrap/>
            <w:vAlign w:val="bottom"/>
            <w:hideMark/>
          </w:tcPr>
          <w:p w14:paraId="133C663A"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14,417</w:t>
            </w:r>
          </w:p>
        </w:tc>
        <w:tc>
          <w:tcPr>
            <w:tcW w:w="1502" w:type="dxa"/>
            <w:shd w:val="clear" w:color="auto" w:fill="auto"/>
            <w:noWrap/>
            <w:vAlign w:val="bottom"/>
            <w:hideMark/>
          </w:tcPr>
          <w:p w14:paraId="0F2A8D00"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15,460</w:t>
            </w:r>
          </w:p>
        </w:tc>
        <w:tc>
          <w:tcPr>
            <w:tcW w:w="1502" w:type="dxa"/>
            <w:tcBorders>
              <w:right w:val="dashed" w:sz="8" w:space="0" w:color="auto"/>
            </w:tcBorders>
            <w:shd w:val="clear" w:color="auto" w:fill="auto"/>
            <w:noWrap/>
            <w:vAlign w:val="bottom"/>
            <w:hideMark/>
          </w:tcPr>
          <w:p w14:paraId="6E6FE8E0"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16,387</w:t>
            </w:r>
          </w:p>
        </w:tc>
        <w:tc>
          <w:tcPr>
            <w:tcW w:w="1512" w:type="dxa"/>
            <w:tcBorders>
              <w:left w:val="dashed" w:sz="8" w:space="0" w:color="auto"/>
              <w:right w:val="single" w:sz="4" w:space="0" w:color="auto"/>
            </w:tcBorders>
            <w:shd w:val="clear" w:color="auto" w:fill="auto"/>
            <w:noWrap/>
            <w:vAlign w:val="bottom"/>
            <w:hideMark/>
          </w:tcPr>
          <w:p w14:paraId="5645DC33"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17,297</w:t>
            </w:r>
          </w:p>
        </w:tc>
        <w:tc>
          <w:tcPr>
            <w:tcW w:w="1489" w:type="dxa"/>
            <w:tcBorders>
              <w:top w:val="nil"/>
              <w:left w:val="single" w:sz="4" w:space="0" w:color="auto"/>
              <w:bottom w:val="nil"/>
              <w:right w:val="nil"/>
            </w:tcBorders>
            <w:shd w:val="clear" w:color="auto" w:fill="auto"/>
            <w:noWrap/>
            <w:vAlign w:val="bottom"/>
            <w:hideMark/>
          </w:tcPr>
          <w:p w14:paraId="511D700F"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23,116</w:t>
            </w:r>
          </w:p>
        </w:tc>
      </w:tr>
      <w:tr w:rsidR="007A7CBF" w:rsidRPr="007F6332" w14:paraId="1238DEFA" w14:textId="77777777" w:rsidTr="00CE7E91">
        <w:trPr>
          <w:trHeight w:val="290"/>
        </w:trPr>
        <w:tc>
          <w:tcPr>
            <w:tcW w:w="1564" w:type="dxa"/>
            <w:shd w:val="clear" w:color="000000" w:fill="A7A9AC"/>
            <w:noWrap/>
            <w:vAlign w:val="bottom"/>
            <w:hideMark/>
          </w:tcPr>
          <w:p w14:paraId="2C7DE65F"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ACT</w:t>
            </w:r>
          </w:p>
        </w:tc>
        <w:tc>
          <w:tcPr>
            <w:tcW w:w="1503" w:type="dxa"/>
            <w:shd w:val="clear" w:color="000000" w:fill="A7A9AC"/>
            <w:noWrap/>
            <w:vAlign w:val="bottom"/>
            <w:hideMark/>
          </w:tcPr>
          <w:p w14:paraId="74FB8EEB"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10,942</w:t>
            </w:r>
          </w:p>
        </w:tc>
        <w:tc>
          <w:tcPr>
            <w:tcW w:w="1502" w:type="dxa"/>
            <w:shd w:val="clear" w:color="000000" w:fill="A7A9AC"/>
            <w:noWrap/>
            <w:vAlign w:val="bottom"/>
            <w:hideMark/>
          </w:tcPr>
          <w:p w14:paraId="71A6C75A"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11,761</w:t>
            </w:r>
          </w:p>
        </w:tc>
        <w:tc>
          <w:tcPr>
            <w:tcW w:w="1502" w:type="dxa"/>
            <w:tcBorders>
              <w:right w:val="dashed" w:sz="8" w:space="0" w:color="auto"/>
            </w:tcBorders>
            <w:shd w:val="clear" w:color="000000" w:fill="A7A9AC"/>
            <w:noWrap/>
            <w:vAlign w:val="bottom"/>
            <w:hideMark/>
          </w:tcPr>
          <w:p w14:paraId="263ABCCF"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12,489</w:t>
            </w:r>
          </w:p>
        </w:tc>
        <w:tc>
          <w:tcPr>
            <w:tcW w:w="1512" w:type="dxa"/>
            <w:tcBorders>
              <w:left w:val="dashed" w:sz="8" w:space="0" w:color="auto"/>
              <w:right w:val="single" w:sz="4" w:space="0" w:color="auto"/>
            </w:tcBorders>
            <w:shd w:val="clear" w:color="000000" w:fill="A7A9AC"/>
            <w:noWrap/>
            <w:vAlign w:val="bottom"/>
            <w:hideMark/>
          </w:tcPr>
          <w:p w14:paraId="366A2771"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13,199</w:t>
            </w:r>
          </w:p>
        </w:tc>
        <w:tc>
          <w:tcPr>
            <w:tcW w:w="1489" w:type="dxa"/>
            <w:tcBorders>
              <w:top w:val="nil"/>
              <w:left w:val="single" w:sz="4" w:space="0" w:color="auto"/>
              <w:bottom w:val="nil"/>
              <w:right w:val="nil"/>
            </w:tcBorders>
            <w:shd w:val="clear" w:color="000000" w:fill="A7A9AC"/>
            <w:noWrap/>
            <w:vAlign w:val="bottom"/>
            <w:hideMark/>
          </w:tcPr>
          <w:p w14:paraId="2177F684"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17,580</w:t>
            </w:r>
          </w:p>
        </w:tc>
      </w:tr>
      <w:tr w:rsidR="00EA3AC8" w:rsidRPr="007F6332" w14:paraId="59843B80" w14:textId="77777777" w:rsidTr="00CE7E91">
        <w:trPr>
          <w:trHeight w:val="290"/>
        </w:trPr>
        <w:tc>
          <w:tcPr>
            <w:tcW w:w="1564" w:type="dxa"/>
            <w:shd w:val="clear" w:color="auto" w:fill="auto"/>
            <w:noWrap/>
            <w:vAlign w:val="bottom"/>
            <w:hideMark/>
          </w:tcPr>
          <w:p w14:paraId="2ACED910"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NT</w:t>
            </w:r>
          </w:p>
        </w:tc>
        <w:tc>
          <w:tcPr>
            <w:tcW w:w="1503" w:type="dxa"/>
            <w:shd w:val="clear" w:color="auto" w:fill="auto"/>
            <w:noWrap/>
            <w:vAlign w:val="bottom"/>
            <w:hideMark/>
          </w:tcPr>
          <w:p w14:paraId="5C6A1626"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6,090</w:t>
            </w:r>
          </w:p>
        </w:tc>
        <w:tc>
          <w:tcPr>
            <w:tcW w:w="1502" w:type="dxa"/>
            <w:shd w:val="clear" w:color="auto" w:fill="auto"/>
            <w:noWrap/>
            <w:vAlign w:val="bottom"/>
            <w:hideMark/>
          </w:tcPr>
          <w:p w14:paraId="6CE099C0"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6,480</w:t>
            </w:r>
          </w:p>
        </w:tc>
        <w:tc>
          <w:tcPr>
            <w:tcW w:w="1502" w:type="dxa"/>
            <w:tcBorders>
              <w:right w:val="dashed" w:sz="8" w:space="0" w:color="auto"/>
            </w:tcBorders>
            <w:shd w:val="clear" w:color="auto" w:fill="auto"/>
            <w:noWrap/>
            <w:vAlign w:val="bottom"/>
            <w:hideMark/>
          </w:tcPr>
          <w:p w14:paraId="7F7754CE"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6,799</w:t>
            </w:r>
          </w:p>
        </w:tc>
        <w:tc>
          <w:tcPr>
            <w:tcW w:w="1512" w:type="dxa"/>
            <w:tcBorders>
              <w:left w:val="dashed" w:sz="8" w:space="0" w:color="auto"/>
              <w:right w:val="single" w:sz="4" w:space="0" w:color="auto"/>
            </w:tcBorders>
            <w:shd w:val="clear" w:color="auto" w:fill="auto"/>
            <w:noWrap/>
            <w:vAlign w:val="bottom"/>
            <w:hideMark/>
          </w:tcPr>
          <w:p w14:paraId="1FFD5EFF"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7,101</w:t>
            </w:r>
          </w:p>
        </w:tc>
        <w:tc>
          <w:tcPr>
            <w:tcW w:w="1489" w:type="dxa"/>
            <w:tcBorders>
              <w:top w:val="nil"/>
              <w:left w:val="single" w:sz="4" w:space="0" w:color="auto"/>
              <w:right w:val="nil"/>
            </w:tcBorders>
            <w:shd w:val="clear" w:color="auto" w:fill="auto"/>
            <w:noWrap/>
            <w:vAlign w:val="bottom"/>
            <w:hideMark/>
          </w:tcPr>
          <w:p w14:paraId="56320F5D"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9,001</w:t>
            </w:r>
          </w:p>
        </w:tc>
      </w:tr>
      <w:tr w:rsidR="00EA3AC8" w:rsidRPr="007F6332" w14:paraId="0A9364D6" w14:textId="77777777" w:rsidTr="00CE7E91">
        <w:trPr>
          <w:trHeight w:val="290"/>
        </w:trPr>
        <w:tc>
          <w:tcPr>
            <w:tcW w:w="1564" w:type="dxa"/>
            <w:tcBorders>
              <w:left w:val="nil"/>
              <w:bottom w:val="single" w:sz="4" w:space="0" w:color="auto"/>
            </w:tcBorders>
            <w:shd w:val="clear" w:color="auto" w:fill="B398B8"/>
            <w:noWrap/>
            <w:vAlign w:val="bottom"/>
            <w:hideMark/>
          </w:tcPr>
          <w:p w14:paraId="40EB79BD" w14:textId="77777777" w:rsidR="007A7CBF" w:rsidRPr="007F6332" w:rsidRDefault="007A7CBF">
            <w:pPr>
              <w:spacing w:after="0" w:line="240" w:lineRule="auto"/>
              <w:rPr>
                <w:rFonts w:eastAsia="Times New Roman" w:cs="Arial"/>
                <w:b/>
                <w:bCs/>
                <w:color w:val="000000"/>
                <w:lang w:eastAsia="en-AU"/>
              </w:rPr>
            </w:pPr>
            <w:r w:rsidRPr="007F6332">
              <w:rPr>
                <w:rFonts w:eastAsia="Times New Roman" w:cs="Arial"/>
                <w:b/>
                <w:bCs/>
                <w:color w:val="000000"/>
                <w:lang w:eastAsia="en-AU"/>
              </w:rPr>
              <w:t>Total</w:t>
            </w:r>
          </w:p>
        </w:tc>
        <w:tc>
          <w:tcPr>
            <w:tcW w:w="1503" w:type="dxa"/>
            <w:tcBorders>
              <w:bottom w:val="single" w:sz="4" w:space="0" w:color="auto"/>
            </w:tcBorders>
            <w:shd w:val="clear" w:color="auto" w:fill="B398B8"/>
            <w:noWrap/>
            <w:vAlign w:val="bottom"/>
            <w:hideMark/>
          </w:tcPr>
          <w:p w14:paraId="24AA1224"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668,907</w:t>
            </w:r>
          </w:p>
        </w:tc>
        <w:tc>
          <w:tcPr>
            <w:tcW w:w="1502" w:type="dxa"/>
            <w:tcBorders>
              <w:bottom w:val="single" w:sz="4" w:space="0" w:color="auto"/>
            </w:tcBorders>
            <w:shd w:val="clear" w:color="auto" w:fill="B398B8"/>
            <w:noWrap/>
            <w:vAlign w:val="bottom"/>
            <w:hideMark/>
          </w:tcPr>
          <w:p w14:paraId="2B86B7AF"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714,805</w:t>
            </w:r>
          </w:p>
        </w:tc>
        <w:tc>
          <w:tcPr>
            <w:tcW w:w="1502" w:type="dxa"/>
            <w:tcBorders>
              <w:bottom w:val="single" w:sz="4" w:space="0" w:color="auto"/>
              <w:right w:val="dashed" w:sz="8" w:space="0" w:color="auto"/>
            </w:tcBorders>
            <w:shd w:val="clear" w:color="auto" w:fill="B398B8"/>
            <w:noWrap/>
            <w:vAlign w:val="bottom"/>
            <w:hideMark/>
          </w:tcPr>
          <w:p w14:paraId="6A418EC9"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754,022</w:t>
            </w:r>
          </w:p>
        </w:tc>
        <w:tc>
          <w:tcPr>
            <w:tcW w:w="1512" w:type="dxa"/>
            <w:tcBorders>
              <w:left w:val="dashed" w:sz="8" w:space="0" w:color="auto"/>
              <w:bottom w:val="single" w:sz="4" w:space="0" w:color="auto"/>
              <w:right w:val="single" w:sz="4" w:space="0" w:color="auto"/>
            </w:tcBorders>
            <w:shd w:val="clear" w:color="auto" w:fill="B398B8"/>
            <w:noWrap/>
            <w:vAlign w:val="bottom"/>
            <w:hideMark/>
          </w:tcPr>
          <w:p w14:paraId="700FA988"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792,200</w:t>
            </w:r>
          </w:p>
        </w:tc>
        <w:tc>
          <w:tcPr>
            <w:tcW w:w="1489" w:type="dxa"/>
            <w:tcBorders>
              <w:left w:val="single" w:sz="4" w:space="0" w:color="auto"/>
              <w:bottom w:val="single" w:sz="4" w:space="0" w:color="auto"/>
              <w:right w:val="nil"/>
            </w:tcBorders>
            <w:shd w:val="clear" w:color="auto" w:fill="B398B8"/>
            <w:noWrap/>
            <w:vAlign w:val="bottom"/>
            <w:hideMark/>
          </w:tcPr>
          <w:p w14:paraId="23E7B18E"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1,030,337</w:t>
            </w:r>
          </w:p>
        </w:tc>
      </w:tr>
    </w:tbl>
    <w:p w14:paraId="29D6F626" w14:textId="44801062" w:rsidR="0005257E" w:rsidRPr="007F6332" w:rsidRDefault="0005257E" w:rsidP="00A148ED">
      <w:pPr>
        <w:pStyle w:val="FSRHeading4"/>
      </w:pPr>
      <w:r w:rsidRPr="007F6332">
        <w:t xml:space="preserve">Scheme expenses by </w:t>
      </w:r>
      <w:r w:rsidR="00F26AC5" w:rsidRPr="007F6332">
        <w:t>jurisdiction</w:t>
      </w:r>
    </w:p>
    <w:p w14:paraId="6909E251" w14:textId="23B4BF49" w:rsidR="006447C1" w:rsidRPr="007F6332" w:rsidRDefault="006447C1" w:rsidP="00A148ED">
      <w:pPr>
        <w:pStyle w:val="FiguresandTablesHeading5"/>
      </w:pPr>
      <w:r w:rsidRPr="007F6332">
        <w:t>Table C.2: Projected Scheme expenses by jurisdiction</w:t>
      </w:r>
    </w:p>
    <w:tbl>
      <w:tblPr>
        <w:tblW w:w="9088" w:type="dxa"/>
        <w:tblLook w:val="04A0" w:firstRow="1" w:lastRow="0" w:firstColumn="1" w:lastColumn="0" w:noHBand="0" w:noVBand="1"/>
      </w:tblPr>
      <w:tblGrid>
        <w:gridCol w:w="1985"/>
        <w:gridCol w:w="1292"/>
        <w:gridCol w:w="1401"/>
        <w:gridCol w:w="1418"/>
        <w:gridCol w:w="1417"/>
        <w:gridCol w:w="1575"/>
      </w:tblGrid>
      <w:tr w:rsidR="007A7CBF" w:rsidRPr="007F6332" w14:paraId="1D1CFDE9" w14:textId="77777777" w:rsidTr="00CD756B">
        <w:trPr>
          <w:trHeight w:val="290"/>
        </w:trPr>
        <w:tc>
          <w:tcPr>
            <w:tcW w:w="1985" w:type="dxa"/>
            <w:shd w:val="clear" w:color="auto" w:fill="6B2976"/>
            <w:vAlign w:val="center"/>
            <w:hideMark/>
          </w:tcPr>
          <w:p w14:paraId="2E324D45" w14:textId="699368DA" w:rsidR="007A7CBF" w:rsidRPr="007F6332" w:rsidRDefault="00EA3AC8">
            <w:pPr>
              <w:spacing w:after="0"/>
              <w:rPr>
                <w:rFonts w:eastAsia="Times New Roman" w:cs="Arial"/>
                <w:b/>
                <w:bCs/>
                <w:color w:val="FFFFFF"/>
                <w:szCs w:val="22"/>
                <w:lang w:eastAsia="en-AU"/>
              </w:rPr>
            </w:pPr>
            <w:r w:rsidRPr="007F6332">
              <w:rPr>
                <w:rFonts w:eastAsia="Times New Roman" w:cs="Arial"/>
                <w:b/>
                <w:bCs/>
                <w:color w:val="FFFFFF"/>
                <w:lang w:eastAsia="en-AU"/>
              </w:rPr>
              <w:t>Scheme expenses ($m)</w:t>
            </w:r>
          </w:p>
        </w:tc>
        <w:tc>
          <w:tcPr>
            <w:tcW w:w="1292" w:type="dxa"/>
            <w:shd w:val="clear" w:color="auto" w:fill="6B2976"/>
            <w:noWrap/>
            <w:vAlign w:val="center"/>
            <w:hideMark/>
          </w:tcPr>
          <w:p w14:paraId="5ACB2901" w14:textId="3A0EF922"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2023-24</w:t>
            </w:r>
          </w:p>
        </w:tc>
        <w:tc>
          <w:tcPr>
            <w:tcW w:w="1401" w:type="dxa"/>
            <w:shd w:val="clear" w:color="auto" w:fill="6B2976"/>
            <w:noWrap/>
            <w:vAlign w:val="center"/>
            <w:hideMark/>
          </w:tcPr>
          <w:p w14:paraId="3EF0FC81" w14:textId="76E32BB9"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2024-25</w:t>
            </w:r>
          </w:p>
        </w:tc>
        <w:tc>
          <w:tcPr>
            <w:tcW w:w="1418" w:type="dxa"/>
            <w:tcBorders>
              <w:right w:val="dashed" w:sz="8" w:space="0" w:color="auto"/>
            </w:tcBorders>
            <w:shd w:val="clear" w:color="auto" w:fill="6B2976"/>
            <w:noWrap/>
            <w:vAlign w:val="center"/>
            <w:hideMark/>
          </w:tcPr>
          <w:p w14:paraId="3E13C558" w14:textId="4A8C651A"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2025-26</w:t>
            </w:r>
          </w:p>
        </w:tc>
        <w:tc>
          <w:tcPr>
            <w:tcW w:w="1417" w:type="dxa"/>
            <w:tcBorders>
              <w:left w:val="dashed" w:sz="8" w:space="0" w:color="auto"/>
              <w:right w:val="single" w:sz="4" w:space="0" w:color="auto"/>
            </w:tcBorders>
            <w:shd w:val="clear" w:color="auto" w:fill="6B2976"/>
            <w:noWrap/>
            <w:vAlign w:val="center"/>
            <w:hideMark/>
          </w:tcPr>
          <w:p w14:paraId="17868AB3" w14:textId="24657657"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2026-27</w:t>
            </w:r>
          </w:p>
        </w:tc>
        <w:tc>
          <w:tcPr>
            <w:tcW w:w="1575" w:type="dxa"/>
            <w:tcBorders>
              <w:left w:val="single" w:sz="4" w:space="0" w:color="auto"/>
            </w:tcBorders>
            <w:shd w:val="clear" w:color="auto" w:fill="6B2976"/>
            <w:noWrap/>
            <w:vAlign w:val="center"/>
            <w:hideMark/>
          </w:tcPr>
          <w:p w14:paraId="1F83C4AE" w14:textId="63799C34" w:rsidR="007A7CBF" w:rsidRPr="007F6332" w:rsidRDefault="007A7CBF">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2032-33</w:t>
            </w:r>
          </w:p>
        </w:tc>
      </w:tr>
      <w:tr w:rsidR="007A7CBF" w:rsidRPr="007F6332" w14:paraId="2EDBED52" w14:textId="77777777" w:rsidTr="00CE7E91">
        <w:trPr>
          <w:trHeight w:val="290"/>
        </w:trPr>
        <w:tc>
          <w:tcPr>
            <w:tcW w:w="1985" w:type="dxa"/>
            <w:shd w:val="clear" w:color="auto" w:fill="auto"/>
            <w:noWrap/>
            <w:vAlign w:val="bottom"/>
            <w:hideMark/>
          </w:tcPr>
          <w:p w14:paraId="7C459E0C"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NSW</w:t>
            </w:r>
          </w:p>
        </w:tc>
        <w:tc>
          <w:tcPr>
            <w:tcW w:w="1292" w:type="dxa"/>
            <w:shd w:val="clear" w:color="auto" w:fill="auto"/>
            <w:noWrap/>
            <w:vAlign w:val="bottom"/>
            <w:hideMark/>
          </w:tcPr>
          <w:p w14:paraId="15CD1A5D"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12,928</w:t>
            </w:r>
          </w:p>
        </w:tc>
        <w:tc>
          <w:tcPr>
            <w:tcW w:w="1401" w:type="dxa"/>
            <w:shd w:val="clear" w:color="auto" w:fill="auto"/>
            <w:noWrap/>
            <w:vAlign w:val="bottom"/>
            <w:hideMark/>
          </w:tcPr>
          <w:p w14:paraId="787919C1"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14,482</w:t>
            </w:r>
          </w:p>
        </w:tc>
        <w:tc>
          <w:tcPr>
            <w:tcW w:w="1418" w:type="dxa"/>
            <w:tcBorders>
              <w:right w:val="dashed" w:sz="8" w:space="0" w:color="auto"/>
            </w:tcBorders>
            <w:shd w:val="clear" w:color="auto" w:fill="auto"/>
            <w:noWrap/>
            <w:vAlign w:val="bottom"/>
            <w:hideMark/>
          </w:tcPr>
          <w:p w14:paraId="58DDF540"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15,853</w:t>
            </w:r>
          </w:p>
        </w:tc>
        <w:tc>
          <w:tcPr>
            <w:tcW w:w="1417" w:type="dxa"/>
            <w:tcBorders>
              <w:left w:val="dashed" w:sz="8" w:space="0" w:color="auto"/>
              <w:right w:val="single" w:sz="4" w:space="0" w:color="auto"/>
            </w:tcBorders>
            <w:shd w:val="clear" w:color="auto" w:fill="auto"/>
            <w:noWrap/>
            <w:vAlign w:val="bottom"/>
            <w:hideMark/>
          </w:tcPr>
          <w:p w14:paraId="56168711"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17,232</w:t>
            </w:r>
          </w:p>
        </w:tc>
        <w:tc>
          <w:tcPr>
            <w:tcW w:w="1575" w:type="dxa"/>
            <w:tcBorders>
              <w:top w:val="nil"/>
              <w:left w:val="single" w:sz="4" w:space="0" w:color="auto"/>
              <w:bottom w:val="nil"/>
              <w:right w:val="nil"/>
            </w:tcBorders>
            <w:shd w:val="clear" w:color="auto" w:fill="auto"/>
            <w:noWrap/>
            <w:vAlign w:val="bottom"/>
            <w:hideMark/>
          </w:tcPr>
          <w:p w14:paraId="394889D1"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28,847</w:t>
            </w:r>
          </w:p>
        </w:tc>
      </w:tr>
      <w:tr w:rsidR="00EA3AC8" w:rsidRPr="007F6332" w14:paraId="5A765705" w14:textId="77777777" w:rsidTr="00CE7E91">
        <w:trPr>
          <w:trHeight w:val="290"/>
        </w:trPr>
        <w:tc>
          <w:tcPr>
            <w:tcW w:w="1985" w:type="dxa"/>
            <w:shd w:val="clear" w:color="000000" w:fill="A7A9AC"/>
            <w:noWrap/>
            <w:vAlign w:val="bottom"/>
            <w:hideMark/>
          </w:tcPr>
          <w:p w14:paraId="462C26D3"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VIC</w:t>
            </w:r>
          </w:p>
        </w:tc>
        <w:tc>
          <w:tcPr>
            <w:tcW w:w="1292" w:type="dxa"/>
            <w:shd w:val="clear" w:color="000000" w:fill="A7A9AC"/>
            <w:noWrap/>
            <w:vAlign w:val="bottom"/>
            <w:hideMark/>
          </w:tcPr>
          <w:p w14:paraId="26DA43CC"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10,262</w:t>
            </w:r>
          </w:p>
        </w:tc>
        <w:tc>
          <w:tcPr>
            <w:tcW w:w="1401" w:type="dxa"/>
            <w:shd w:val="clear" w:color="000000" w:fill="A7A9AC"/>
            <w:noWrap/>
            <w:vAlign w:val="bottom"/>
            <w:hideMark/>
          </w:tcPr>
          <w:p w14:paraId="1E67A61A"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11,522</w:t>
            </w:r>
          </w:p>
        </w:tc>
        <w:tc>
          <w:tcPr>
            <w:tcW w:w="1418" w:type="dxa"/>
            <w:tcBorders>
              <w:right w:val="dashed" w:sz="8" w:space="0" w:color="auto"/>
            </w:tcBorders>
            <w:shd w:val="clear" w:color="000000" w:fill="A7A9AC"/>
            <w:noWrap/>
            <w:vAlign w:val="bottom"/>
            <w:hideMark/>
          </w:tcPr>
          <w:p w14:paraId="095C07BE"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12,604</w:t>
            </w:r>
          </w:p>
        </w:tc>
        <w:tc>
          <w:tcPr>
            <w:tcW w:w="1417" w:type="dxa"/>
            <w:tcBorders>
              <w:left w:val="dashed" w:sz="8" w:space="0" w:color="auto"/>
              <w:right w:val="single" w:sz="4" w:space="0" w:color="auto"/>
            </w:tcBorders>
            <w:shd w:val="clear" w:color="000000" w:fill="A7A9AC"/>
            <w:noWrap/>
            <w:vAlign w:val="bottom"/>
            <w:hideMark/>
          </w:tcPr>
          <w:p w14:paraId="2AA1C4C3"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13,692</w:t>
            </w:r>
          </w:p>
        </w:tc>
        <w:tc>
          <w:tcPr>
            <w:tcW w:w="1575" w:type="dxa"/>
            <w:tcBorders>
              <w:top w:val="nil"/>
              <w:left w:val="single" w:sz="4" w:space="0" w:color="auto"/>
              <w:bottom w:val="nil"/>
              <w:right w:val="nil"/>
            </w:tcBorders>
            <w:shd w:val="clear" w:color="000000" w:fill="A7A9AC"/>
            <w:noWrap/>
            <w:vAlign w:val="bottom"/>
            <w:hideMark/>
          </w:tcPr>
          <w:p w14:paraId="1B064449"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22,867</w:t>
            </w:r>
          </w:p>
        </w:tc>
      </w:tr>
      <w:tr w:rsidR="007A7CBF" w:rsidRPr="007F6332" w14:paraId="51814E53" w14:textId="77777777" w:rsidTr="00CE7E91">
        <w:trPr>
          <w:trHeight w:val="290"/>
        </w:trPr>
        <w:tc>
          <w:tcPr>
            <w:tcW w:w="1985" w:type="dxa"/>
            <w:shd w:val="clear" w:color="auto" w:fill="auto"/>
            <w:noWrap/>
            <w:vAlign w:val="bottom"/>
            <w:hideMark/>
          </w:tcPr>
          <w:p w14:paraId="08F544FE"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QLD</w:t>
            </w:r>
          </w:p>
        </w:tc>
        <w:tc>
          <w:tcPr>
            <w:tcW w:w="1292" w:type="dxa"/>
            <w:shd w:val="clear" w:color="auto" w:fill="auto"/>
            <w:noWrap/>
            <w:vAlign w:val="bottom"/>
            <w:hideMark/>
          </w:tcPr>
          <w:p w14:paraId="44648683"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8,836</w:t>
            </w:r>
          </w:p>
        </w:tc>
        <w:tc>
          <w:tcPr>
            <w:tcW w:w="1401" w:type="dxa"/>
            <w:shd w:val="clear" w:color="auto" w:fill="auto"/>
            <w:noWrap/>
            <w:vAlign w:val="bottom"/>
            <w:hideMark/>
          </w:tcPr>
          <w:p w14:paraId="5F8918F1"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9,889</w:t>
            </w:r>
          </w:p>
        </w:tc>
        <w:tc>
          <w:tcPr>
            <w:tcW w:w="1418" w:type="dxa"/>
            <w:tcBorders>
              <w:right w:val="dashed" w:sz="8" w:space="0" w:color="auto"/>
            </w:tcBorders>
            <w:shd w:val="clear" w:color="auto" w:fill="auto"/>
            <w:noWrap/>
            <w:vAlign w:val="bottom"/>
            <w:hideMark/>
          </w:tcPr>
          <w:p w14:paraId="298ECF16"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10,833</w:t>
            </w:r>
          </w:p>
        </w:tc>
        <w:tc>
          <w:tcPr>
            <w:tcW w:w="1417" w:type="dxa"/>
            <w:tcBorders>
              <w:left w:val="dashed" w:sz="8" w:space="0" w:color="auto"/>
              <w:right w:val="single" w:sz="4" w:space="0" w:color="auto"/>
            </w:tcBorders>
            <w:shd w:val="clear" w:color="auto" w:fill="auto"/>
            <w:noWrap/>
            <w:vAlign w:val="bottom"/>
            <w:hideMark/>
          </w:tcPr>
          <w:p w14:paraId="66AB4A4B"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11,783</w:t>
            </w:r>
          </w:p>
        </w:tc>
        <w:tc>
          <w:tcPr>
            <w:tcW w:w="1575" w:type="dxa"/>
            <w:tcBorders>
              <w:top w:val="nil"/>
              <w:left w:val="single" w:sz="4" w:space="0" w:color="auto"/>
              <w:bottom w:val="nil"/>
              <w:right w:val="nil"/>
            </w:tcBorders>
            <w:shd w:val="clear" w:color="auto" w:fill="auto"/>
            <w:noWrap/>
            <w:vAlign w:val="bottom"/>
            <w:hideMark/>
          </w:tcPr>
          <w:p w14:paraId="544E0E24"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19,753</w:t>
            </w:r>
          </w:p>
        </w:tc>
      </w:tr>
      <w:tr w:rsidR="00EA3AC8" w:rsidRPr="007F6332" w14:paraId="3DDD3873" w14:textId="77777777" w:rsidTr="00CE7E91">
        <w:trPr>
          <w:trHeight w:val="290"/>
        </w:trPr>
        <w:tc>
          <w:tcPr>
            <w:tcW w:w="1985" w:type="dxa"/>
            <w:shd w:val="clear" w:color="000000" w:fill="A7A9AC"/>
            <w:noWrap/>
            <w:vAlign w:val="bottom"/>
            <w:hideMark/>
          </w:tcPr>
          <w:p w14:paraId="68A6986C"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SA</w:t>
            </w:r>
          </w:p>
        </w:tc>
        <w:tc>
          <w:tcPr>
            <w:tcW w:w="1292" w:type="dxa"/>
            <w:shd w:val="clear" w:color="000000" w:fill="A7A9AC"/>
            <w:noWrap/>
            <w:vAlign w:val="bottom"/>
            <w:hideMark/>
          </w:tcPr>
          <w:p w14:paraId="5A325202"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3,544</w:t>
            </w:r>
          </w:p>
        </w:tc>
        <w:tc>
          <w:tcPr>
            <w:tcW w:w="1401" w:type="dxa"/>
            <w:shd w:val="clear" w:color="000000" w:fill="A7A9AC"/>
            <w:noWrap/>
            <w:vAlign w:val="bottom"/>
            <w:hideMark/>
          </w:tcPr>
          <w:p w14:paraId="5780EA58"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3,990</w:t>
            </w:r>
          </w:p>
        </w:tc>
        <w:tc>
          <w:tcPr>
            <w:tcW w:w="1418" w:type="dxa"/>
            <w:tcBorders>
              <w:right w:val="dashed" w:sz="8" w:space="0" w:color="auto"/>
            </w:tcBorders>
            <w:shd w:val="clear" w:color="000000" w:fill="A7A9AC"/>
            <w:noWrap/>
            <w:vAlign w:val="bottom"/>
            <w:hideMark/>
          </w:tcPr>
          <w:p w14:paraId="07AB2716"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4,381</w:t>
            </w:r>
          </w:p>
        </w:tc>
        <w:tc>
          <w:tcPr>
            <w:tcW w:w="1417" w:type="dxa"/>
            <w:tcBorders>
              <w:left w:val="dashed" w:sz="8" w:space="0" w:color="auto"/>
              <w:right w:val="single" w:sz="4" w:space="0" w:color="auto"/>
            </w:tcBorders>
            <w:shd w:val="clear" w:color="000000" w:fill="A7A9AC"/>
            <w:noWrap/>
            <w:vAlign w:val="bottom"/>
            <w:hideMark/>
          </w:tcPr>
          <w:p w14:paraId="4C0726CC"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4,766</w:t>
            </w:r>
          </w:p>
        </w:tc>
        <w:tc>
          <w:tcPr>
            <w:tcW w:w="1575" w:type="dxa"/>
            <w:tcBorders>
              <w:top w:val="nil"/>
              <w:left w:val="single" w:sz="4" w:space="0" w:color="auto"/>
              <w:bottom w:val="nil"/>
              <w:right w:val="nil"/>
            </w:tcBorders>
            <w:shd w:val="clear" w:color="000000" w:fill="A7A9AC"/>
            <w:noWrap/>
            <w:vAlign w:val="bottom"/>
            <w:hideMark/>
          </w:tcPr>
          <w:p w14:paraId="4968359A"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7,971</w:t>
            </w:r>
          </w:p>
        </w:tc>
      </w:tr>
      <w:tr w:rsidR="007A7CBF" w:rsidRPr="007F6332" w14:paraId="00B9B07F" w14:textId="77777777" w:rsidTr="00CE7E91">
        <w:trPr>
          <w:trHeight w:val="290"/>
        </w:trPr>
        <w:tc>
          <w:tcPr>
            <w:tcW w:w="1985" w:type="dxa"/>
            <w:shd w:val="clear" w:color="auto" w:fill="auto"/>
            <w:noWrap/>
            <w:vAlign w:val="bottom"/>
            <w:hideMark/>
          </w:tcPr>
          <w:p w14:paraId="6ACB7602"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WA</w:t>
            </w:r>
          </w:p>
        </w:tc>
        <w:tc>
          <w:tcPr>
            <w:tcW w:w="1292" w:type="dxa"/>
            <w:shd w:val="clear" w:color="auto" w:fill="auto"/>
            <w:noWrap/>
            <w:vAlign w:val="bottom"/>
            <w:hideMark/>
          </w:tcPr>
          <w:p w14:paraId="1A7B0997"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3,549</w:t>
            </w:r>
          </w:p>
        </w:tc>
        <w:tc>
          <w:tcPr>
            <w:tcW w:w="1401" w:type="dxa"/>
            <w:shd w:val="clear" w:color="auto" w:fill="auto"/>
            <w:noWrap/>
            <w:vAlign w:val="bottom"/>
            <w:hideMark/>
          </w:tcPr>
          <w:p w14:paraId="7D2B97D4"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4,010</w:t>
            </w:r>
          </w:p>
        </w:tc>
        <w:tc>
          <w:tcPr>
            <w:tcW w:w="1418" w:type="dxa"/>
            <w:tcBorders>
              <w:right w:val="dashed" w:sz="8" w:space="0" w:color="auto"/>
            </w:tcBorders>
            <w:shd w:val="clear" w:color="auto" w:fill="auto"/>
            <w:noWrap/>
            <w:vAlign w:val="bottom"/>
            <w:hideMark/>
          </w:tcPr>
          <w:p w14:paraId="0C6CA624"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4,392</w:t>
            </w:r>
          </w:p>
        </w:tc>
        <w:tc>
          <w:tcPr>
            <w:tcW w:w="1417" w:type="dxa"/>
            <w:tcBorders>
              <w:left w:val="dashed" w:sz="8" w:space="0" w:color="auto"/>
              <w:right w:val="single" w:sz="4" w:space="0" w:color="auto"/>
            </w:tcBorders>
            <w:shd w:val="clear" w:color="auto" w:fill="auto"/>
            <w:noWrap/>
            <w:vAlign w:val="bottom"/>
            <w:hideMark/>
          </w:tcPr>
          <w:p w14:paraId="3F2E6BF3"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4,773</w:t>
            </w:r>
          </w:p>
        </w:tc>
        <w:tc>
          <w:tcPr>
            <w:tcW w:w="1575" w:type="dxa"/>
            <w:tcBorders>
              <w:top w:val="nil"/>
              <w:left w:val="single" w:sz="4" w:space="0" w:color="auto"/>
              <w:bottom w:val="nil"/>
              <w:right w:val="nil"/>
            </w:tcBorders>
            <w:shd w:val="clear" w:color="auto" w:fill="auto"/>
            <w:noWrap/>
            <w:vAlign w:val="bottom"/>
            <w:hideMark/>
          </w:tcPr>
          <w:p w14:paraId="72F01DF2"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7,993</w:t>
            </w:r>
          </w:p>
        </w:tc>
      </w:tr>
      <w:tr w:rsidR="00EA3AC8" w:rsidRPr="007F6332" w14:paraId="12EC8939" w14:textId="77777777" w:rsidTr="00CE7E91">
        <w:trPr>
          <w:trHeight w:val="290"/>
        </w:trPr>
        <w:tc>
          <w:tcPr>
            <w:tcW w:w="1985" w:type="dxa"/>
            <w:shd w:val="clear" w:color="000000" w:fill="A7A9AC"/>
            <w:noWrap/>
            <w:vAlign w:val="bottom"/>
            <w:hideMark/>
          </w:tcPr>
          <w:p w14:paraId="6EB4BB0C"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TAS</w:t>
            </w:r>
          </w:p>
        </w:tc>
        <w:tc>
          <w:tcPr>
            <w:tcW w:w="1292" w:type="dxa"/>
            <w:shd w:val="clear" w:color="000000" w:fill="A7A9AC"/>
            <w:noWrap/>
            <w:vAlign w:val="bottom"/>
            <w:hideMark/>
          </w:tcPr>
          <w:p w14:paraId="26789D12"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967</w:t>
            </w:r>
          </w:p>
        </w:tc>
        <w:tc>
          <w:tcPr>
            <w:tcW w:w="1401" w:type="dxa"/>
            <w:shd w:val="clear" w:color="000000" w:fill="A7A9AC"/>
            <w:noWrap/>
            <w:vAlign w:val="bottom"/>
            <w:hideMark/>
          </w:tcPr>
          <w:p w14:paraId="7C2E7528"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1,050</w:t>
            </w:r>
          </w:p>
        </w:tc>
        <w:tc>
          <w:tcPr>
            <w:tcW w:w="1418" w:type="dxa"/>
            <w:tcBorders>
              <w:right w:val="dashed" w:sz="8" w:space="0" w:color="auto"/>
            </w:tcBorders>
            <w:shd w:val="clear" w:color="000000" w:fill="A7A9AC"/>
            <w:noWrap/>
            <w:vAlign w:val="bottom"/>
            <w:hideMark/>
          </w:tcPr>
          <w:p w14:paraId="1D517386"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1,155</w:t>
            </w:r>
          </w:p>
        </w:tc>
        <w:tc>
          <w:tcPr>
            <w:tcW w:w="1417" w:type="dxa"/>
            <w:tcBorders>
              <w:left w:val="dashed" w:sz="8" w:space="0" w:color="auto"/>
              <w:right w:val="single" w:sz="4" w:space="0" w:color="auto"/>
            </w:tcBorders>
            <w:shd w:val="clear" w:color="000000" w:fill="A7A9AC"/>
            <w:noWrap/>
            <w:vAlign w:val="bottom"/>
            <w:hideMark/>
          </w:tcPr>
          <w:p w14:paraId="58C9960C"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1,259</w:t>
            </w:r>
          </w:p>
        </w:tc>
        <w:tc>
          <w:tcPr>
            <w:tcW w:w="1575" w:type="dxa"/>
            <w:tcBorders>
              <w:top w:val="nil"/>
              <w:left w:val="single" w:sz="4" w:space="0" w:color="auto"/>
              <w:bottom w:val="nil"/>
              <w:right w:val="nil"/>
            </w:tcBorders>
            <w:shd w:val="clear" w:color="000000" w:fill="A7A9AC"/>
            <w:noWrap/>
            <w:vAlign w:val="bottom"/>
            <w:hideMark/>
          </w:tcPr>
          <w:p w14:paraId="488E374E"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2,122</w:t>
            </w:r>
          </w:p>
        </w:tc>
      </w:tr>
      <w:tr w:rsidR="007A7CBF" w:rsidRPr="007F6332" w14:paraId="053E76F3" w14:textId="77777777" w:rsidTr="00CE7E91">
        <w:trPr>
          <w:trHeight w:val="290"/>
        </w:trPr>
        <w:tc>
          <w:tcPr>
            <w:tcW w:w="1985" w:type="dxa"/>
            <w:shd w:val="clear" w:color="auto" w:fill="auto"/>
            <w:noWrap/>
            <w:vAlign w:val="bottom"/>
            <w:hideMark/>
          </w:tcPr>
          <w:p w14:paraId="17591A0A"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ACT</w:t>
            </w:r>
          </w:p>
        </w:tc>
        <w:tc>
          <w:tcPr>
            <w:tcW w:w="1292" w:type="dxa"/>
            <w:shd w:val="clear" w:color="auto" w:fill="auto"/>
            <w:noWrap/>
            <w:vAlign w:val="bottom"/>
            <w:hideMark/>
          </w:tcPr>
          <w:p w14:paraId="5048AC4D"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619</w:t>
            </w:r>
          </w:p>
        </w:tc>
        <w:tc>
          <w:tcPr>
            <w:tcW w:w="1401" w:type="dxa"/>
            <w:shd w:val="clear" w:color="auto" w:fill="auto"/>
            <w:noWrap/>
            <w:vAlign w:val="bottom"/>
            <w:hideMark/>
          </w:tcPr>
          <w:p w14:paraId="0F06E86F"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685</w:t>
            </w:r>
          </w:p>
        </w:tc>
        <w:tc>
          <w:tcPr>
            <w:tcW w:w="1418" w:type="dxa"/>
            <w:tcBorders>
              <w:right w:val="dashed" w:sz="8" w:space="0" w:color="auto"/>
            </w:tcBorders>
            <w:shd w:val="clear" w:color="auto" w:fill="auto"/>
            <w:noWrap/>
            <w:vAlign w:val="bottom"/>
            <w:hideMark/>
          </w:tcPr>
          <w:p w14:paraId="170F915D"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751</w:t>
            </w:r>
          </w:p>
        </w:tc>
        <w:tc>
          <w:tcPr>
            <w:tcW w:w="1417" w:type="dxa"/>
            <w:tcBorders>
              <w:left w:val="dashed" w:sz="8" w:space="0" w:color="auto"/>
              <w:right w:val="single" w:sz="4" w:space="0" w:color="auto"/>
            </w:tcBorders>
            <w:shd w:val="clear" w:color="auto" w:fill="auto"/>
            <w:noWrap/>
            <w:vAlign w:val="bottom"/>
            <w:hideMark/>
          </w:tcPr>
          <w:p w14:paraId="4B48689D"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817</w:t>
            </w:r>
          </w:p>
        </w:tc>
        <w:tc>
          <w:tcPr>
            <w:tcW w:w="1575" w:type="dxa"/>
            <w:tcBorders>
              <w:top w:val="nil"/>
              <w:left w:val="single" w:sz="4" w:space="0" w:color="auto"/>
              <w:bottom w:val="nil"/>
              <w:right w:val="nil"/>
            </w:tcBorders>
            <w:shd w:val="clear" w:color="auto" w:fill="auto"/>
            <w:noWrap/>
            <w:vAlign w:val="bottom"/>
            <w:hideMark/>
          </w:tcPr>
          <w:p w14:paraId="33E221FB"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1,360</w:t>
            </w:r>
          </w:p>
        </w:tc>
      </w:tr>
      <w:tr w:rsidR="00EA3AC8" w:rsidRPr="007F6332" w14:paraId="7640E3E5" w14:textId="77777777" w:rsidTr="00CE7E91">
        <w:trPr>
          <w:trHeight w:val="290"/>
        </w:trPr>
        <w:tc>
          <w:tcPr>
            <w:tcW w:w="1985" w:type="dxa"/>
            <w:shd w:val="clear" w:color="000000" w:fill="A7A9AC"/>
            <w:noWrap/>
            <w:vAlign w:val="bottom"/>
            <w:hideMark/>
          </w:tcPr>
          <w:p w14:paraId="4865F6CF" w14:textId="77777777" w:rsidR="007A7CBF" w:rsidRPr="007F6332" w:rsidRDefault="007A7CBF">
            <w:pPr>
              <w:spacing w:after="0" w:line="240" w:lineRule="auto"/>
              <w:rPr>
                <w:rFonts w:eastAsia="Times New Roman" w:cs="Arial"/>
                <w:color w:val="000000"/>
                <w:lang w:eastAsia="en-AU"/>
              </w:rPr>
            </w:pPr>
            <w:r w:rsidRPr="007F6332">
              <w:rPr>
                <w:rFonts w:eastAsia="Times New Roman" w:cs="Arial"/>
                <w:color w:val="000000"/>
                <w:lang w:eastAsia="en-AU"/>
              </w:rPr>
              <w:t>NT</w:t>
            </w:r>
          </w:p>
        </w:tc>
        <w:tc>
          <w:tcPr>
            <w:tcW w:w="1292" w:type="dxa"/>
            <w:shd w:val="clear" w:color="000000" w:fill="A7A9AC"/>
            <w:noWrap/>
            <w:vAlign w:val="bottom"/>
            <w:hideMark/>
          </w:tcPr>
          <w:p w14:paraId="0ABA3553"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656</w:t>
            </w:r>
          </w:p>
        </w:tc>
        <w:tc>
          <w:tcPr>
            <w:tcW w:w="1401" w:type="dxa"/>
            <w:shd w:val="clear" w:color="000000" w:fill="A7A9AC"/>
            <w:noWrap/>
            <w:vAlign w:val="bottom"/>
            <w:hideMark/>
          </w:tcPr>
          <w:p w14:paraId="249C67A1"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748</w:t>
            </w:r>
          </w:p>
        </w:tc>
        <w:tc>
          <w:tcPr>
            <w:tcW w:w="1418" w:type="dxa"/>
            <w:tcBorders>
              <w:right w:val="dashed" w:sz="8" w:space="0" w:color="auto"/>
            </w:tcBorders>
            <w:shd w:val="clear" w:color="000000" w:fill="A7A9AC"/>
            <w:noWrap/>
            <w:vAlign w:val="bottom"/>
            <w:hideMark/>
          </w:tcPr>
          <w:p w14:paraId="1F4040FD"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818</w:t>
            </w:r>
          </w:p>
        </w:tc>
        <w:tc>
          <w:tcPr>
            <w:tcW w:w="1417" w:type="dxa"/>
            <w:tcBorders>
              <w:left w:val="dashed" w:sz="8" w:space="0" w:color="auto"/>
              <w:right w:val="single" w:sz="4" w:space="0" w:color="auto"/>
            </w:tcBorders>
            <w:shd w:val="clear" w:color="000000" w:fill="A7A9AC"/>
            <w:noWrap/>
            <w:vAlign w:val="bottom"/>
            <w:hideMark/>
          </w:tcPr>
          <w:p w14:paraId="7F09F7E8" w14:textId="77777777" w:rsidR="007A7CBF" w:rsidRPr="007F6332" w:rsidRDefault="007A7CBF">
            <w:pPr>
              <w:spacing w:after="0" w:line="240" w:lineRule="auto"/>
              <w:jc w:val="right"/>
              <w:rPr>
                <w:rFonts w:eastAsia="Times New Roman" w:cs="Arial"/>
                <w:color w:val="000000"/>
                <w:lang w:eastAsia="en-AU"/>
              </w:rPr>
            </w:pPr>
            <w:r w:rsidRPr="007F6332">
              <w:rPr>
                <w:rFonts w:eastAsia="Times New Roman" w:cs="Arial"/>
                <w:color w:val="000000"/>
                <w:lang w:eastAsia="en-AU"/>
              </w:rPr>
              <w:t>884</w:t>
            </w:r>
          </w:p>
        </w:tc>
        <w:tc>
          <w:tcPr>
            <w:tcW w:w="1575" w:type="dxa"/>
            <w:tcBorders>
              <w:top w:val="nil"/>
              <w:left w:val="single" w:sz="4" w:space="0" w:color="auto"/>
              <w:right w:val="nil"/>
            </w:tcBorders>
            <w:shd w:val="clear" w:color="000000" w:fill="A7A9AC"/>
            <w:noWrap/>
            <w:vAlign w:val="bottom"/>
            <w:hideMark/>
          </w:tcPr>
          <w:p w14:paraId="3C7882DB"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1,428</w:t>
            </w:r>
          </w:p>
        </w:tc>
      </w:tr>
      <w:tr w:rsidR="00EA3AC8" w:rsidRPr="007F6332" w14:paraId="3EE6E604" w14:textId="77777777" w:rsidTr="00CE7E91">
        <w:trPr>
          <w:trHeight w:val="290"/>
        </w:trPr>
        <w:tc>
          <w:tcPr>
            <w:tcW w:w="1985" w:type="dxa"/>
            <w:tcBorders>
              <w:left w:val="nil"/>
              <w:bottom w:val="single" w:sz="4" w:space="0" w:color="auto"/>
            </w:tcBorders>
            <w:shd w:val="clear" w:color="auto" w:fill="B398B8"/>
            <w:noWrap/>
            <w:vAlign w:val="bottom"/>
            <w:hideMark/>
          </w:tcPr>
          <w:p w14:paraId="3273CE50" w14:textId="77777777" w:rsidR="007A7CBF" w:rsidRPr="007F6332" w:rsidRDefault="007A7CBF">
            <w:pPr>
              <w:spacing w:after="0" w:line="240" w:lineRule="auto"/>
              <w:rPr>
                <w:rFonts w:eastAsia="Times New Roman" w:cs="Arial"/>
                <w:b/>
                <w:bCs/>
                <w:color w:val="000000"/>
                <w:lang w:eastAsia="en-AU"/>
              </w:rPr>
            </w:pPr>
            <w:r w:rsidRPr="007F6332">
              <w:rPr>
                <w:rFonts w:eastAsia="Times New Roman" w:cs="Arial"/>
                <w:b/>
                <w:bCs/>
                <w:color w:val="000000"/>
                <w:lang w:eastAsia="en-AU"/>
              </w:rPr>
              <w:t>Total</w:t>
            </w:r>
          </w:p>
        </w:tc>
        <w:tc>
          <w:tcPr>
            <w:tcW w:w="1292" w:type="dxa"/>
            <w:tcBorders>
              <w:bottom w:val="single" w:sz="4" w:space="0" w:color="auto"/>
            </w:tcBorders>
            <w:shd w:val="clear" w:color="auto" w:fill="B398B8"/>
            <w:noWrap/>
            <w:vAlign w:val="bottom"/>
            <w:hideMark/>
          </w:tcPr>
          <w:p w14:paraId="1FBEB24C"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41,360</w:t>
            </w:r>
          </w:p>
        </w:tc>
        <w:tc>
          <w:tcPr>
            <w:tcW w:w="1401" w:type="dxa"/>
            <w:tcBorders>
              <w:bottom w:val="single" w:sz="4" w:space="0" w:color="auto"/>
            </w:tcBorders>
            <w:shd w:val="clear" w:color="auto" w:fill="B398B8"/>
            <w:noWrap/>
            <w:vAlign w:val="bottom"/>
            <w:hideMark/>
          </w:tcPr>
          <w:p w14:paraId="71CAE247"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46,376</w:t>
            </w:r>
          </w:p>
        </w:tc>
        <w:tc>
          <w:tcPr>
            <w:tcW w:w="1418" w:type="dxa"/>
            <w:tcBorders>
              <w:bottom w:val="single" w:sz="4" w:space="0" w:color="auto"/>
              <w:right w:val="dashed" w:sz="8" w:space="0" w:color="auto"/>
            </w:tcBorders>
            <w:shd w:val="clear" w:color="auto" w:fill="B398B8"/>
            <w:noWrap/>
            <w:vAlign w:val="bottom"/>
            <w:hideMark/>
          </w:tcPr>
          <w:p w14:paraId="0F57A160"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50,788</w:t>
            </w:r>
          </w:p>
        </w:tc>
        <w:tc>
          <w:tcPr>
            <w:tcW w:w="1417" w:type="dxa"/>
            <w:tcBorders>
              <w:left w:val="dashed" w:sz="8" w:space="0" w:color="auto"/>
              <w:bottom w:val="single" w:sz="4" w:space="0" w:color="auto"/>
              <w:right w:val="single" w:sz="4" w:space="0" w:color="auto"/>
            </w:tcBorders>
            <w:shd w:val="clear" w:color="auto" w:fill="B398B8"/>
            <w:noWrap/>
            <w:vAlign w:val="bottom"/>
            <w:hideMark/>
          </w:tcPr>
          <w:p w14:paraId="2FD6A2CA"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55,207</w:t>
            </w:r>
          </w:p>
        </w:tc>
        <w:tc>
          <w:tcPr>
            <w:tcW w:w="1575" w:type="dxa"/>
            <w:tcBorders>
              <w:left w:val="single" w:sz="4" w:space="0" w:color="auto"/>
              <w:bottom w:val="single" w:sz="4" w:space="0" w:color="auto"/>
              <w:right w:val="nil"/>
            </w:tcBorders>
            <w:shd w:val="clear" w:color="auto" w:fill="B398B8"/>
            <w:noWrap/>
            <w:vAlign w:val="bottom"/>
            <w:hideMark/>
          </w:tcPr>
          <w:p w14:paraId="582FDABA" w14:textId="77777777" w:rsidR="007A7CBF" w:rsidRPr="007F6332" w:rsidRDefault="007A7CBF">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92,341</w:t>
            </w:r>
          </w:p>
        </w:tc>
      </w:tr>
    </w:tbl>
    <w:p w14:paraId="684021BB" w14:textId="51AE3692" w:rsidR="006447C1" w:rsidRPr="007F6332" w:rsidRDefault="006447C1" w:rsidP="00A148ED">
      <w:pPr>
        <w:pStyle w:val="FSRHeading4"/>
      </w:pPr>
      <w:r w:rsidRPr="007F6332">
        <w:t>Participation rates by jurisdiction</w:t>
      </w:r>
    </w:p>
    <w:p w14:paraId="079FA3AD" w14:textId="587EE956" w:rsidR="006447C1" w:rsidRPr="007F6332" w:rsidRDefault="006447C1" w:rsidP="00F26AC5">
      <w:pPr>
        <w:rPr>
          <w:rFonts w:cs="Arial"/>
        </w:rPr>
      </w:pPr>
      <w:r w:rsidRPr="007F6332">
        <w:rPr>
          <w:rFonts w:cs="Arial"/>
          <w:bCs/>
        </w:rPr>
        <w:t xml:space="preserve">Participation rates refer to the proportion of the general population that have a disability and are accessing Scheme supports. Table C.3 shows the projected participation rates by jurisdiction for people aged 0 to 64 years. Participation rates are projected to increase significantly over the short and medium to long term, across all states and territories. Participation rates are comparatively lower in WA and NT and highest in SA. </w:t>
      </w:r>
      <w:r w:rsidRPr="007F6332">
        <w:rPr>
          <w:rFonts w:cs="Arial"/>
          <w:bCs/>
          <w:color w:val="002060"/>
        </w:rPr>
        <w:t xml:space="preserve"> </w:t>
      </w:r>
    </w:p>
    <w:p w14:paraId="09E07505" w14:textId="77777777" w:rsidR="006447C1" w:rsidRPr="007F6332" w:rsidRDefault="006447C1">
      <w:pPr>
        <w:spacing w:line="276" w:lineRule="auto"/>
        <w:rPr>
          <w:rFonts w:eastAsiaTheme="majorEastAsia" w:cs="Arial"/>
          <w:b/>
          <w:bCs/>
          <w:iCs/>
        </w:rPr>
      </w:pPr>
      <w:r w:rsidRPr="007F6332">
        <w:rPr>
          <w:rFonts w:cs="Arial"/>
          <w:bCs/>
        </w:rPr>
        <w:br w:type="page"/>
      </w:r>
    </w:p>
    <w:p w14:paraId="743E9C6D" w14:textId="209B88EB" w:rsidR="00AD33D4" w:rsidRPr="007F6332" w:rsidRDefault="00665C28" w:rsidP="00A148ED">
      <w:pPr>
        <w:pStyle w:val="FiguresandTablesHeading5"/>
      </w:pPr>
      <w:r w:rsidRPr="007F6332">
        <w:lastRenderedPageBreak/>
        <w:t>Table C.3: Projected participation rates by jurisdiction</w:t>
      </w:r>
    </w:p>
    <w:tbl>
      <w:tblPr>
        <w:tblW w:w="9440" w:type="dxa"/>
        <w:tblLook w:val="04A0" w:firstRow="1" w:lastRow="0" w:firstColumn="1" w:lastColumn="0" w:noHBand="0" w:noVBand="1"/>
      </w:tblPr>
      <w:tblGrid>
        <w:gridCol w:w="1564"/>
        <w:gridCol w:w="1576"/>
        <w:gridCol w:w="1575"/>
        <w:gridCol w:w="1575"/>
        <w:gridCol w:w="1575"/>
        <w:gridCol w:w="1575"/>
      </w:tblGrid>
      <w:tr w:rsidR="006447C1" w:rsidRPr="007F6332" w14:paraId="5C85896B" w14:textId="77777777" w:rsidTr="006C7455">
        <w:trPr>
          <w:trHeight w:val="290"/>
        </w:trPr>
        <w:tc>
          <w:tcPr>
            <w:tcW w:w="1564" w:type="dxa"/>
            <w:vMerge w:val="restart"/>
            <w:tcBorders>
              <w:top w:val="nil"/>
              <w:left w:val="nil"/>
              <w:bottom w:val="nil"/>
              <w:right w:val="nil"/>
            </w:tcBorders>
            <w:shd w:val="clear" w:color="000000" w:fill="6B2976"/>
            <w:vAlign w:val="center"/>
            <w:hideMark/>
          </w:tcPr>
          <w:p w14:paraId="21CCF53E" w14:textId="77777777" w:rsidR="006447C1" w:rsidRPr="007F6332" w:rsidRDefault="006447C1" w:rsidP="006C7455">
            <w:pPr>
              <w:spacing w:after="0" w:line="240" w:lineRule="auto"/>
              <w:rPr>
                <w:rFonts w:eastAsia="Times New Roman" w:cs="Arial"/>
                <w:b/>
                <w:bCs/>
                <w:color w:val="FFFFFF"/>
                <w:szCs w:val="22"/>
                <w:lang w:val="en-AU" w:eastAsia="en-AU"/>
              </w:rPr>
            </w:pPr>
            <w:r w:rsidRPr="007F6332">
              <w:rPr>
                <w:rFonts w:eastAsia="Times New Roman" w:cs="Arial"/>
                <w:b/>
                <w:bCs/>
                <w:color w:val="FFFFFF"/>
                <w:szCs w:val="22"/>
                <w:lang w:val="en-AU" w:eastAsia="en-AU"/>
              </w:rPr>
              <w:t>Participation rate (%)</w:t>
            </w:r>
          </w:p>
        </w:tc>
        <w:tc>
          <w:tcPr>
            <w:tcW w:w="7876" w:type="dxa"/>
            <w:gridSpan w:val="5"/>
            <w:tcBorders>
              <w:top w:val="nil"/>
              <w:left w:val="nil"/>
              <w:bottom w:val="nil"/>
              <w:right w:val="nil"/>
            </w:tcBorders>
            <w:shd w:val="clear" w:color="000000" w:fill="6B2976"/>
            <w:noWrap/>
            <w:vAlign w:val="bottom"/>
            <w:hideMark/>
          </w:tcPr>
          <w:p w14:paraId="4EE90584" w14:textId="77777777" w:rsidR="006447C1" w:rsidRPr="007F6332" w:rsidRDefault="006447C1" w:rsidP="006C7455">
            <w:pPr>
              <w:spacing w:after="0" w:line="240" w:lineRule="auto"/>
              <w:jc w:val="center"/>
              <w:rPr>
                <w:rFonts w:eastAsia="Times New Roman" w:cs="Arial"/>
                <w:b/>
                <w:bCs/>
                <w:color w:val="FFFFFF"/>
                <w:szCs w:val="22"/>
                <w:lang w:val="en-AU" w:eastAsia="en-AU"/>
              </w:rPr>
            </w:pPr>
          </w:p>
        </w:tc>
      </w:tr>
      <w:tr w:rsidR="006447C1" w:rsidRPr="007F6332" w14:paraId="029685AD" w14:textId="77777777" w:rsidTr="006C7455">
        <w:trPr>
          <w:trHeight w:val="290"/>
        </w:trPr>
        <w:tc>
          <w:tcPr>
            <w:tcW w:w="1564" w:type="dxa"/>
            <w:vMerge/>
            <w:tcBorders>
              <w:top w:val="nil"/>
              <w:left w:val="nil"/>
              <w:bottom w:val="nil"/>
              <w:right w:val="nil"/>
            </w:tcBorders>
            <w:vAlign w:val="center"/>
            <w:hideMark/>
          </w:tcPr>
          <w:p w14:paraId="09F5C05D" w14:textId="77777777" w:rsidR="006447C1" w:rsidRPr="007F6332" w:rsidRDefault="006447C1" w:rsidP="006C7455">
            <w:pPr>
              <w:spacing w:after="0" w:line="240" w:lineRule="auto"/>
              <w:rPr>
                <w:rFonts w:eastAsia="Times New Roman" w:cs="Arial"/>
                <w:b/>
                <w:bCs/>
                <w:color w:val="FFFFFF"/>
                <w:szCs w:val="22"/>
                <w:lang w:val="en-AU" w:eastAsia="en-AU"/>
              </w:rPr>
            </w:pPr>
          </w:p>
        </w:tc>
        <w:tc>
          <w:tcPr>
            <w:tcW w:w="1576" w:type="dxa"/>
            <w:tcBorders>
              <w:top w:val="nil"/>
              <w:left w:val="nil"/>
              <w:bottom w:val="nil"/>
              <w:right w:val="nil"/>
            </w:tcBorders>
            <w:shd w:val="clear" w:color="000000" w:fill="6B2976"/>
            <w:noWrap/>
            <w:vAlign w:val="bottom"/>
            <w:hideMark/>
          </w:tcPr>
          <w:p w14:paraId="33E1783E" w14:textId="77777777" w:rsidR="006447C1" w:rsidRPr="007F6332" w:rsidRDefault="006447C1" w:rsidP="006C745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2023-24</w:t>
            </w:r>
          </w:p>
        </w:tc>
        <w:tc>
          <w:tcPr>
            <w:tcW w:w="1575" w:type="dxa"/>
            <w:tcBorders>
              <w:top w:val="nil"/>
              <w:left w:val="nil"/>
              <w:bottom w:val="nil"/>
              <w:right w:val="nil"/>
            </w:tcBorders>
            <w:shd w:val="clear" w:color="000000" w:fill="6B2976"/>
            <w:noWrap/>
            <w:vAlign w:val="bottom"/>
            <w:hideMark/>
          </w:tcPr>
          <w:p w14:paraId="6BCEAECC" w14:textId="77777777" w:rsidR="006447C1" w:rsidRPr="007F6332" w:rsidRDefault="006447C1" w:rsidP="006C745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2024-25</w:t>
            </w:r>
          </w:p>
        </w:tc>
        <w:tc>
          <w:tcPr>
            <w:tcW w:w="1575" w:type="dxa"/>
            <w:tcBorders>
              <w:top w:val="nil"/>
              <w:left w:val="nil"/>
              <w:bottom w:val="nil"/>
              <w:right w:val="nil"/>
            </w:tcBorders>
            <w:shd w:val="clear" w:color="000000" w:fill="6B2976"/>
            <w:noWrap/>
            <w:vAlign w:val="bottom"/>
            <w:hideMark/>
          </w:tcPr>
          <w:p w14:paraId="7314C4DD" w14:textId="77777777" w:rsidR="006447C1" w:rsidRPr="007F6332" w:rsidRDefault="006447C1" w:rsidP="006C745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2025-26</w:t>
            </w:r>
          </w:p>
        </w:tc>
        <w:tc>
          <w:tcPr>
            <w:tcW w:w="1575" w:type="dxa"/>
            <w:tcBorders>
              <w:top w:val="nil"/>
              <w:left w:val="nil"/>
              <w:bottom w:val="nil"/>
              <w:right w:val="nil"/>
            </w:tcBorders>
            <w:shd w:val="clear" w:color="000000" w:fill="6B2976"/>
            <w:noWrap/>
            <w:vAlign w:val="bottom"/>
            <w:hideMark/>
          </w:tcPr>
          <w:p w14:paraId="7ED13CC1" w14:textId="77777777" w:rsidR="006447C1" w:rsidRPr="007F6332" w:rsidRDefault="006447C1" w:rsidP="006C745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2026-27</w:t>
            </w:r>
          </w:p>
        </w:tc>
        <w:tc>
          <w:tcPr>
            <w:tcW w:w="1575" w:type="dxa"/>
            <w:tcBorders>
              <w:top w:val="nil"/>
              <w:left w:val="nil"/>
              <w:bottom w:val="nil"/>
              <w:right w:val="nil"/>
            </w:tcBorders>
            <w:shd w:val="clear" w:color="000000" w:fill="6B2976"/>
            <w:noWrap/>
            <w:vAlign w:val="bottom"/>
            <w:hideMark/>
          </w:tcPr>
          <w:p w14:paraId="3C14BCA9" w14:textId="77777777" w:rsidR="006447C1" w:rsidRPr="007F6332" w:rsidRDefault="006447C1" w:rsidP="006C7455">
            <w:pPr>
              <w:spacing w:after="0" w:line="240" w:lineRule="auto"/>
              <w:jc w:val="center"/>
              <w:rPr>
                <w:rFonts w:eastAsia="Times New Roman" w:cs="Arial"/>
                <w:b/>
                <w:bCs/>
                <w:color w:val="FFFFFF"/>
                <w:szCs w:val="22"/>
                <w:lang w:val="en-AU" w:eastAsia="en-AU"/>
              </w:rPr>
            </w:pPr>
            <w:r w:rsidRPr="007F6332">
              <w:rPr>
                <w:rFonts w:eastAsia="Times New Roman" w:cs="Arial"/>
                <w:b/>
                <w:bCs/>
                <w:color w:val="FFFFFF"/>
                <w:szCs w:val="22"/>
                <w:lang w:val="en-AU" w:eastAsia="en-AU"/>
              </w:rPr>
              <w:t>2032-33</w:t>
            </w:r>
          </w:p>
        </w:tc>
      </w:tr>
      <w:tr w:rsidR="006447C1" w:rsidRPr="007F6332" w14:paraId="58C0EAB7" w14:textId="77777777" w:rsidTr="006C7455">
        <w:trPr>
          <w:trHeight w:val="290"/>
        </w:trPr>
        <w:tc>
          <w:tcPr>
            <w:tcW w:w="1564" w:type="dxa"/>
            <w:tcBorders>
              <w:top w:val="nil"/>
              <w:left w:val="nil"/>
              <w:bottom w:val="nil"/>
              <w:right w:val="nil"/>
            </w:tcBorders>
            <w:shd w:val="clear" w:color="auto" w:fill="auto"/>
            <w:noWrap/>
            <w:vAlign w:val="bottom"/>
            <w:hideMark/>
          </w:tcPr>
          <w:p w14:paraId="6392EF00" w14:textId="77777777" w:rsidR="006447C1" w:rsidRPr="007F6332" w:rsidRDefault="006447C1" w:rsidP="006C745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NSW</w:t>
            </w:r>
          </w:p>
        </w:tc>
        <w:tc>
          <w:tcPr>
            <w:tcW w:w="1576" w:type="dxa"/>
            <w:tcBorders>
              <w:top w:val="nil"/>
              <w:left w:val="nil"/>
              <w:bottom w:val="nil"/>
              <w:right w:val="nil"/>
            </w:tcBorders>
            <w:shd w:val="clear" w:color="auto" w:fill="auto"/>
            <w:noWrap/>
            <w:vAlign w:val="bottom"/>
            <w:hideMark/>
          </w:tcPr>
          <w:p w14:paraId="16E7B2D7"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2.80%</w:t>
            </w:r>
          </w:p>
        </w:tc>
        <w:tc>
          <w:tcPr>
            <w:tcW w:w="1575" w:type="dxa"/>
            <w:tcBorders>
              <w:top w:val="nil"/>
              <w:left w:val="nil"/>
              <w:bottom w:val="nil"/>
              <w:right w:val="nil"/>
            </w:tcBorders>
            <w:shd w:val="clear" w:color="auto" w:fill="auto"/>
            <w:noWrap/>
            <w:vAlign w:val="bottom"/>
            <w:hideMark/>
          </w:tcPr>
          <w:p w14:paraId="51C4926F"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2.96%</w:t>
            </w:r>
          </w:p>
        </w:tc>
        <w:tc>
          <w:tcPr>
            <w:tcW w:w="1575" w:type="dxa"/>
            <w:tcBorders>
              <w:top w:val="nil"/>
              <w:left w:val="nil"/>
              <w:bottom w:val="nil"/>
              <w:right w:val="nil"/>
            </w:tcBorders>
            <w:shd w:val="clear" w:color="auto" w:fill="auto"/>
            <w:noWrap/>
            <w:vAlign w:val="bottom"/>
            <w:hideMark/>
          </w:tcPr>
          <w:p w14:paraId="7D328C3B"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3.09%</w:t>
            </w:r>
          </w:p>
        </w:tc>
        <w:tc>
          <w:tcPr>
            <w:tcW w:w="1575" w:type="dxa"/>
            <w:tcBorders>
              <w:top w:val="nil"/>
              <w:left w:val="nil"/>
              <w:bottom w:val="nil"/>
              <w:right w:val="nil"/>
            </w:tcBorders>
            <w:shd w:val="clear" w:color="auto" w:fill="auto"/>
            <w:noWrap/>
            <w:vAlign w:val="bottom"/>
            <w:hideMark/>
          </w:tcPr>
          <w:p w14:paraId="173AA075"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3.21%</w:t>
            </w:r>
          </w:p>
        </w:tc>
        <w:tc>
          <w:tcPr>
            <w:tcW w:w="1575" w:type="dxa"/>
            <w:tcBorders>
              <w:top w:val="nil"/>
              <w:left w:val="dotted" w:sz="4" w:space="0" w:color="auto"/>
              <w:bottom w:val="nil"/>
              <w:right w:val="nil"/>
            </w:tcBorders>
            <w:shd w:val="clear" w:color="auto" w:fill="auto"/>
            <w:noWrap/>
            <w:vAlign w:val="bottom"/>
            <w:hideMark/>
          </w:tcPr>
          <w:p w14:paraId="3F2A6712"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3.95%</w:t>
            </w:r>
          </w:p>
        </w:tc>
      </w:tr>
      <w:tr w:rsidR="006447C1" w:rsidRPr="007F6332" w14:paraId="5A423F5B" w14:textId="77777777" w:rsidTr="006C7455">
        <w:trPr>
          <w:trHeight w:val="290"/>
        </w:trPr>
        <w:tc>
          <w:tcPr>
            <w:tcW w:w="1564" w:type="dxa"/>
            <w:tcBorders>
              <w:top w:val="nil"/>
              <w:left w:val="nil"/>
              <w:bottom w:val="nil"/>
              <w:right w:val="nil"/>
            </w:tcBorders>
            <w:shd w:val="clear" w:color="auto" w:fill="BFBFBF" w:themeFill="background1" w:themeFillShade="BF"/>
            <w:noWrap/>
            <w:vAlign w:val="bottom"/>
            <w:hideMark/>
          </w:tcPr>
          <w:p w14:paraId="7BF94BC3" w14:textId="77777777" w:rsidR="006447C1" w:rsidRPr="007F6332" w:rsidRDefault="006447C1" w:rsidP="006C745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VIC</w:t>
            </w:r>
          </w:p>
        </w:tc>
        <w:tc>
          <w:tcPr>
            <w:tcW w:w="1576" w:type="dxa"/>
            <w:tcBorders>
              <w:top w:val="nil"/>
              <w:left w:val="nil"/>
              <w:bottom w:val="nil"/>
              <w:right w:val="nil"/>
            </w:tcBorders>
            <w:shd w:val="clear" w:color="auto" w:fill="BFBFBF" w:themeFill="background1" w:themeFillShade="BF"/>
            <w:noWrap/>
            <w:vAlign w:val="bottom"/>
            <w:hideMark/>
          </w:tcPr>
          <w:p w14:paraId="25DC7D84"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3.01%</w:t>
            </w:r>
          </w:p>
        </w:tc>
        <w:tc>
          <w:tcPr>
            <w:tcW w:w="1575" w:type="dxa"/>
            <w:tcBorders>
              <w:top w:val="nil"/>
              <w:left w:val="nil"/>
              <w:bottom w:val="nil"/>
              <w:right w:val="nil"/>
            </w:tcBorders>
            <w:shd w:val="clear" w:color="auto" w:fill="BFBFBF" w:themeFill="background1" w:themeFillShade="BF"/>
            <w:noWrap/>
            <w:vAlign w:val="bottom"/>
            <w:hideMark/>
          </w:tcPr>
          <w:p w14:paraId="16C7E63B"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3.16%</w:t>
            </w:r>
          </w:p>
        </w:tc>
        <w:tc>
          <w:tcPr>
            <w:tcW w:w="1575" w:type="dxa"/>
            <w:tcBorders>
              <w:top w:val="nil"/>
              <w:left w:val="nil"/>
              <w:bottom w:val="nil"/>
              <w:right w:val="nil"/>
            </w:tcBorders>
            <w:shd w:val="clear" w:color="auto" w:fill="BFBFBF" w:themeFill="background1" w:themeFillShade="BF"/>
            <w:noWrap/>
            <w:vAlign w:val="bottom"/>
            <w:hideMark/>
          </w:tcPr>
          <w:p w14:paraId="0DD81E88"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3.28%</w:t>
            </w:r>
          </w:p>
        </w:tc>
        <w:tc>
          <w:tcPr>
            <w:tcW w:w="1575" w:type="dxa"/>
            <w:tcBorders>
              <w:top w:val="nil"/>
              <w:left w:val="nil"/>
              <w:bottom w:val="nil"/>
              <w:right w:val="nil"/>
            </w:tcBorders>
            <w:shd w:val="clear" w:color="auto" w:fill="BFBFBF" w:themeFill="background1" w:themeFillShade="BF"/>
            <w:noWrap/>
            <w:vAlign w:val="bottom"/>
            <w:hideMark/>
          </w:tcPr>
          <w:p w14:paraId="37180A9E"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3.39%</w:t>
            </w:r>
          </w:p>
        </w:tc>
        <w:tc>
          <w:tcPr>
            <w:tcW w:w="1575" w:type="dxa"/>
            <w:tcBorders>
              <w:top w:val="nil"/>
              <w:left w:val="dotted" w:sz="4" w:space="0" w:color="auto"/>
              <w:bottom w:val="nil"/>
              <w:right w:val="nil"/>
            </w:tcBorders>
            <w:shd w:val="clear" w:color="auto" w:fill="BFBFBF" w:themeFill="background1" w:themeFillShade="BF"/>
            <w:noWrap/>
            <w:vAlign w:val="bottom"/>
            <w:hideMark/>
          </w:tcPr>
          <w:p w14:paraId="305C269E"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4.06%</w:t>
            </w:r>
          </w:p>
        </w:tc>
      </w:tr>
      <w:tr w:rsidR="006447C1" w:rsidRPr="007F6332" w14:paraId="7F5380AD" w14:textId="77777777" w:rsidTr="006C7455">
        <w:trPr>
          <w:trHeight w:val="290"/>
        </w:trPr>
        <w:tc>
          <w:tcPr>
            <w:tcW w:w="1564" w:type="dxa"/>
            <w:tcBorders>
              <w:top w:val="nil"/>
              <w:left w:val="nil"/>
              <w:bottom w:val="nil"/>
              <w:right w:val="nil"/>
            </w:tcBorders>
            <w:shd w:val="clear" w:color="auto" w:fill="auto"/>
            <w:noWrap/>
            <w:vAlign w:val="bottom"/>
            <w:hideMark/>
          </w:tcPr>
          <w:p w14:paraId="3A857C99" w14:textId="77777777" w:rsidR="006447C1" w:rsidRPr="007F6332" w:rsidRDefault="006447C1" w:rsidP="006C745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QLD</w:t>
            </w:r>
          </w:p>
        </w:tc>
        <w:tc>
          <w:tcPr>
            <w:tcW w:w="1576" w:type="dxa"/>
            <w:tcBorders>
              <w:top w:val="nil"/>
              <w:left w:val="nil"/>
              <w:bottom w:val="nil"/>
              <w:right w:val="nil"/>
            </w:tcBorders>
            <w:shd w:val="clear" w:color="auto" w:fill="auto"/>
            <w:noWrap/>
            <w:vAlign w:val="bottom"/>
            <w:hideMark/>
          </w:tcPr>
          <w:p w14:paraId="2E09BAB2"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3.24%</w:t>
            </w:r>
          </w:p>
        </w:tc>
        <w:tc>
          <w:tcPr>
            <w:tcW w:w="1575" w:type="dxa"/>
            <w:tcBorders>
              <w:top w:val="nil"/>
              <w:left w:val="nil"/>
              <w:bottom w:val="nil"/>
              <w:right w:val="nil"/>
            </w:tcBorders>
            <w:shd w:val="clear" w:color="auto" w:fill="auto"/>
            <w:noWrap/>
            <w:vAlign w:val="bottom"/>
            <w:hideMark/>
          </w:tcPr>
          <w:p w14:paraId="464C1295"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3.42%</w:t>
            </w:r>
          </w:p>
        </w:tc>
        <w:tc>
          <w:tcPr>
            <w:tcW w:w="1575" w:type="dxa"/>
            <w:tcBorders>
              <w:top w:val="nil"/>
              <w:left w:val="nil"/>
              <w:bottom w:val="nil"/>
              <w:right w:val="nil"/>
            </w:tcBorders>
            <w:shd w:val="clear" w:color="auto" w:fill="auto"/>
            <w:noWrap/>
            <w:vAlign w:val="bottom"/>
            <w:hideMark/>
          </w:tcPr>
          <w:p w14:paraId="6F71C8C0"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3.57%</w:t>
            </w:r>
          </w:p>
        </w:tc>
        <w:tc>
          <w:tcPr>
            <w:tcW w:w="1575" w:type="dxa"/>
            <w:tcBorders>
              <w:top w:val="nil"/>
              <w:left w:val="nil"/>
              <w:bottom w:val="nil"/>
              <w:right w:val="nil"/>
            </w:tcBorders>
            <w:shd w:val="clear" w:color="auto" w:fill="auto"/>
            <w:noWrap/>
            <w:vAlign w:val="bottom"/>
            <w:hideMark/>
          </w:tcPr>
          <w:p w14:paraId="7B2F59CB"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3.71%</w:t>
            </w:r>
          </w:p>
        </w:tc>
        <w:tc>
          <w:tcPr>
            <w:tcW w:w="1575" w:type="dxa"/>
            <w:tcBorders>
              <w:top w:val="nil"/>
              <w:left w:val="dotted" w:sz="4" w:space="0" w:color="auto"/>
              <w:bottom w:val="nil"/>
              <w:right w:val="nil"/>
            </w:tcBorders>
            <w:shd w:val="clear" w:color="auto" w:fill="auto"/>
            <w:noWrap/>
            <w:vAlign w:val="bottom"/>
            <w:hideMark/>
          </w:tcPr>
          <w:p w14:paraId="6294BE40"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4.51%</w:t>
            </w:r>
          </w:p>
        </w:tc>
      </w:tr>
      <w:tr w:rsidR="006447C1" w:rsidRPr="007F6332" w14:paraId="60AC0743" w14:textId="77777777" w:rsidTr="006C7455">
        <w:trPr>
          <w:trHeight w:val="290"/>
        </w:trPr>
        <w:tc>
          <w:tcPr>
            <w:tcW w:w="1564" w:type="dxa"/>
            <w:tcBorders>
              <w:top w:val="nil"/>
              <w:left w:val="nil"/>
              <w:bottom w:val="nil"/>
              <w:right w:val="nil"/>
            </w:tcBorders>
            <w:shd w:val="clear" w:color="auto" w:fill="BFBFBF" w:themeFill="background1" w:themeFillShade="BF"/>
            <w:noWrap/>
            <w:vAlign w:val="bottom"/>
            <w:hideMark/>
          </w:tcPr>
          <w:p w14:paraId="417C6E79" w14:textId="77777777" w:rsidR="006447C1" w:rsidRPr="007F6332" w:rsidRDefault="006447C1" w:rsidP="006C745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SA</w:t>
            </w:r>
          </w:p>
        </w:tc>
        <w:tc>
          <w:tcPr>
            <w:tcW w:w="1576" w:type="dxa"/>
            <w:tcBorders>
              <w:top w:val="nil"/>
              <w:left w:val="nil"/>
              <w:bottom w:val="nil"/>
              <w:right w:val="nil"/>
            </w:tcBorders>
            <w:shd w:val="clear" w:color="auto" w:fill="BFBFBF" w:themeFill="background1" w:themeFillShade="BF"/>
            <w:noWrap/>
            <w:vAlign w:val="bottom"/>
            <w:hideMark/>
          </w:tcPr>
          <w:p w14:paraId="5DA6FB16"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4.06%</w:t>
            </w:r>
          </w:p>
        </w:tc>
        <w:tc>
          <w:tcPr>
            <w:tcW w:w="1575" w:type="dxa"/>
            <w:tcBorders>
              <w:top w:val="nil"/>
              <w:left w:val="nil"/>
              <w:bottom w:val="nil"/>
              <w:right w:val="nil"/>
            </w:tcBorders>
            <w:shd w:val="clear" w:color="auto" w:fill="BFBFBF" w:themeFill="background1" w:themeFillShade="BF"/>
            <w:noWrap/>
            <w:vAlign w:val="bottom"/>
            <w:hideMark/>
          </w:tcPr>
          <w:p w14:paraId="69FB60BE"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4.34%</w:t>
            </w:r>
          </w:p>
        </w:tc>
        <w:tc>
          <w:tcPr>
            <w:tcW w:w="1575" w:type="dxa"/>
            <w:tcBorders>
              <w:top w:val="nil"/>
              <w:left w:val="nil"/>
              <w:bottom w:val="nil"/>
              <w:right w:val="nil"/>
            </w:tcBorders>
            <w:shd w:val="clear" w:color="auto" w:fill="BFBFBF" w:themeFill="background1" w:themeFillShade="BF"/>
            <w:noWrap/>
            <w:vAlign w:val="bottom"/>
            <w:hideMark/>
          </w:tcPr>
          <w:p w14:paraId="6BBB4C7C"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4.59%</w:t>
            </w:r>
          </w:p>
        </w:tc>
        <w:tc>
          <w:tcPr>
            <w:tcW w:w="1575" w:type="dxa"/>
            <w:tcBorders>
              <w:top w:val="nil"/>
              <w:left w:val="nil"/>
              <w:bottom w:val="nil"/>
              <w:right w:val="nil"/>
            </w:tcBorders>
            <w:shd w:val="clear" w:color="auto" w:fill="BFBFBF" w:themeFill="background1" w:themeFillShade="BF"/>
            <w:noWrap/>
            <w:vAlign w:val="bottom"/>
            <w:hideMark/>
          </w:tcPr>
          <w:p w14:paraId="0B722DBB"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4.82%</w:t>
            </w:r>
          </w:p>
        </w:tc>
        <w:tc>
          <w:tcPr>
            <w:tcW w:w="1575" w:type="dxa"/>
            <w:tcBorders>
              <w:top w:val="nil"/>
              <w:left w:val="dotted" w:sz="4" w:space="0" w:color="auto"/>
              <w:bottom w:val="nil"/>
              <w:right w:val="nil"/>
            </w:tcBorders>
            <w:shd w:val="clear" w:color="auto" w:fill="BFBFBF" w:themeFill="background1" w:themeFillShade="BF"/>
            <w:noWrap/>
            <w:vAlign w:val="bottom"/>
            <w:hideMark/>
          </w:tcPr>
          <w:p w14:paraId="36511C00"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6.20%</w:t>
            </w:r>
          </w:p>
        </w:tc>
      </w:tr>
      <w:tr w:rsidR="006447C1" w:rsidRPr="007F6332" w14:paraId="4DD026C9" w14:textId="77777777" w:rsidTr="006C7455">
        <w:trPr>
          <w:trHeight w:val="290"/>
        </w:trPr>
        <w:tc>
          <w:tcPr>
            <w:tcW w:w="1564" w:type="dxa"/>
            <w:tcBorders>
              <w:top w:val="nil"/>
              <w:left w:val="nil"/>
              <w:bottom w:val="nil"/>
              <w:right w:val="nil"/>
            </w:tcBorders>
            <w:shd w:val="clear" w:color="auto" w:fill="auto"/>
            <w:noWrap/>
            <w:vAlign w:val="bottom"/>
            <w:hideMark/>
          </w:tcPr>
          <w:p w14:paraId="429F7852" w14:textId="77777777" w:rsidR="006447C1" w:rsidRPr="007F6332" w:rsidRDefault="006447C1" w:rsidP="006C745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WA</w:t>
            </w:r>
          </w:p>
        </w:tc>
        <w:tc>
          <w:tcPr>
            <w:tcW w:w="1576" w:type="dxa"/>
            <w:tcBorders>
              <w:top w:val="nil"/>
              <w:left w:val="nil"/>
              <w:bottom w:val="nil"/>
              <w:right w:val="nil"/>
            </w:tcBorders>
            <w:shd w:val="clear" w:color="auto" w:fill="auto"/>
            <w:noWrap/>
            <w:vAlign w:val="bottom"/>
            <w:hideMark/>
          </w:tcPr>
          <w:p w14:paraId="7AD7B99A"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2.53%</w:t>
            </w:r>
          </w:p>
        </w:tc>
        <w:tc>
          <w:tcPr>
            <w:tcW w:w="1575" w:type="dxa"/>
            <w:tcBorders>
              <w:top w:val="nil"/>
              <w:left w:val="nil"/>
              <w:bottom w:val="nil"/>
              <w:right w:val="nil"/>
            </w:tcBorders>
            <w:shd w:val="clear" w:color="auto" w:fill="auto"/>
            <w:noWrap/>
            <w:vAlign w:val="bottom"/>
            <w:hideMark/>
          </w:tcPr>
          <w:p w14:paraId="40F844A7"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2.68%</w:t>
            </w:r>
          </w:p>
        </w:tc>
        <w:tc>
          <w:tcPr>
            <w:tcW w:w="1575" w:type="dxa"/>
            <w:tcBorders>
              <w:top w:val="nil"/>
              <w:left w:val="nil"/>
              <w:bottom w:val="nil"/>
              <w:right w:val="nil"/>
            </w:tcBorders>
            <w:shd w:val="clear" w:color="auto" w:fill="auto"/>
            <w:noWrap/>
            <w:vAlign w:val="bottom"/>
            <w:hideMark/>
          </w:tcPr>
          <w:p w14:paraId="0F6E9050"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2.81%</w:t>
            </w:r>
          </w:p>
        </w:tc>
        <w:tc>
          <w:tcPr>
            <w:tcW w:w="1575" w:type="dxa"/>
            <w:tcBorders>
              <w:top w:val="nil"/>
              <w:left w:val="nil"/>
              <w:bottom w:val="nil"/>
              <w:right w:val="nil"/>
            </w:tcBorders>
            <w:shd w:val="clear" w:color="auto" w:fill="auto"/>
            <w:noWrap/>
            <w:vAlign w:val="bottom"/>
            <w:hideMark/>
          </w:tcPr>
          <w:p w14:paraId="1FA31825"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2.93%</w:t>
            </w:r>
          </w:p>
        </w:tc>
        <w:tc>
          <w:tcPr>
            <w:tcW w:w="1575" w:type="dxa"/>
            <w:tcBorders>
              <w:top w:val="nil"/>
              <w:left w:val="dotted" w:sz="4" w:space="0" w:color="auto"/>
              <w:bottom w:val="nil"/>
              <w:right w:val="nil"/>
            </w:tcBorders>
            <w:shd w:val="clear" w:color="auto" w:fill="auto"/>
            <w:noWrap/>
            <w:vAlign w:val="bottom"/>
            <w:hideMark/>
          </w:tcPr>
          <w:p w14:paraId="4EE1F711"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3.61%</w:t>
            </w:r>
          </w:p>
        </w:tc>
      </w:tr>
      <w:tr w:rsidR="006447C1" w:rsidRPr="007F6332" w14:paraId="33367217" w14:textId="77777777" w:rsidTr="006C7455">
        <w:trPr>
          <w:trHeight w:val="290"/>
        </w:trPr>
        <w:tc>
          <w:tcPr>
            <w:tcW w:w="1564" w:type="dxa"/>
            <w:tcBorders>
              <w:top w:val="nil"/>
              <w:left w:val="nil"/>
              <w:bottom w:val="nil"/>
              <w:right w:val="nil"/>
            </w:tcBorders>
            <w:shd w:val="clear" w:color="auto" w:fill="BFBFBF" w:themeFill="background1" w:themeFillShade="BF"/>
            <w:noWrap/>
            <w:vAlign w:val="bottom"/>
            <w:hideMark/>
          </w:tcPr>
          <w:p w14:paraId="456CBE2B" w14:textId="77777777" w:rsidR="006447C1" w:rsidRPr="007F6332" w:rsidRDefault="006447C1" w:rsidP="006C745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TAS</w:t>
            </w:r>
          </w:p>
        </w:tc>
        <w:tc>
          <w:tcPr>
            <w:tcW w:w="1576" w:type="dxa"/>
            <w:tcBorders>
              <w:top w:val="nil"/>
              <w:left w:val="nil"/>
              <w:bottom w:val="nil"/>
              <w:right w:val="nil"/>
            </w:tcBorders>
            <w:shd w:val="clear" w:color="auto" w:fill="BFBFBF" w:themeFill="background1" w:themeFillShade="BF"/>
            <w:noWrap/>
            <w:vAlign w:val="bottom"/>
            <w:hideMark/>
          </w:tcPr>
          <w:p w14:paraId="77C84698"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3.46%</w:t>
            </w:r>
          </w:p>
        </w:tc>
        <w:tc>
          <w:tcPr>
            <w:tcW w:w="1575" w:type="dxa"/>
            <w:tcBorders>
              <w:top w:val="nil"/>
              <w:left w:val="nil"/>
              <w:bottom w:val="nil"/>
              <w:right w:val="nil"/>
            </w:tcBorders>
            <w:shd w:val="clear" w:color="auto" w:fill="BFBFBF" w:themeFill="background1" w:themeFillShade="BF"/>
            <w:noWrap/>
            <w:vAlign w:val="bottom"/>
            <w:hideMark/>
          </w:tcPr>
          <w:p w14:paraId="5949204A"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3.71%</w:t>
            </w:r>
          </w:p>
        </w:tc>
        <w:tc>
          <w:tcPr>
            <w:tcW w:w="1575" w:type="dxa"/>
            <w:tcBorders>
              <w:top w:val="nil"/>
              <w:left w:val="nil"/>
              <w:bottom w:val="nil"/>
              <w:right w:val="nil"/>
            </w:tcBorders>
            <w:shd w:val="clear" w:color="auto" w:fill="BFBFBF" w:themeFill="background1" w:themeFillShade="BF"/>
            <w:noWrap/>
            <w:vAlign w:val="bottom"/>
            <w:hideMark/>
          </w:tcPr>
          <w:p w14:paraId="6568A673"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3.94%</w:t>
            </w:r>
          </w:p>
        </w:tc>
        <w:tc>
          <w:tcPr>
            <w:tcW w:w="1575" w:type="dxa"/>
            <w:tcBorders>
              <w:top w:val="nil"/>
              <w:left w:val="nil"/>
              <w:bottom w:val="nil"/>
              <w:right w:val="nil"/>
            </w:tcBorders>
            <w:shd w:val="clear" w:color="auto" w:fill="BFBFBF" w:themeFill="background1" w:themeFillShade="BF"/>
            <w:noWrap/>
            <w:vAlign w:val="bottom"/>
            <w:hideMark/>
          </w:tcPr>
          <w:p w14:paraId="7AC6755F"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4.17%</w:t>
            </w:r>
          </w:p>
        </w:tc>
        <w:tc>
          <w:tcPr>
            <w:tcW w:w="1575" w:type="dxa"/>
            <w:tcBorders>
              <w:top w:val="nil"/>
              <w:left w:val="dotted" w:sz="4" w:space="0" w:color="auto"/>
              <w:bottom w:val="nil"/>
              <w:right w:val="nil"/>
            </w:tcBorders>
            <w:shd w:val="clear" w:color="auto" w:fill="BFBFBF" w:themeFill="background1" w:themeFillShade="BF"/>
            <w:noWrap/>
            <w:vAlign w:val="bottom"/>
            <w:hideMark/>
          </w:tcPr>
          <w:p w14:paraId="2A91B76C"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5.59%</w:t>
            </w:r>
          </w:p>
        </w:tc>
      </w:tr>
      <w:tr w:rsidR="006447C1" w:rsidRPr="007F6332" w14:paraId="15FE822A" w14:textId="77777777" w:rsidTr="006C7455">
        <w:trPr>
          <w:trHeight w:val="290"/>
        </w:trPr>
        <w:tc>
          <w:tcPr>
            <w:tcW w:w="1564" w:type="dxa"/>
            <w:tcBorders>
              <w:top w:val="nil"/>
              <w:left w:val="nil"/>
              <w:right w:val="nil"/>
            </w:tcBorders>
            <w:shd w:val="clear" w:color="auto" w:fill="auto"/>
            <w:noWrap/>
            <w:vAlign w:val="bottom"/>
            <w:hideMark/>
          </w:tcPr>
          <w:p w14:paraId="4AC3BD9D" w14:textId="77777777" w:rsidR="006447C1" w:rsidRPr="007F6332" w:rsidRDefault="006447C1" w:rsidP="006C745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ACT</w:t>
            </w:r>
          </w:p>
        </w:tc>
        <w:tc>
          <w:tcPr>
            <w:tcW w:w="1576" w:type="dxa"/>
            <w:tcBorders>
              <w:top w:val="nil"/>
              <w:left w:val="nil"/>
              <w:right w:val="nil"/>
            </w:tcBorders>
            <w:shd w:val="clear" w:color="auto" w:fill="auto"/>
            <w:noWrap/>
            <w:vAlign w:val="bottom"/>
            <w:hideMark/>
          </w:tcPr>
          <w:p w14:paraId="524E0108"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2.77%</w:t>
            </w:r>
          </w:p>
        </w:tc>
        <w:tc>
          <w:tcPr>
            <w:tcW w:w="1575" w:type="dxa"/>
            <w:tcBorders>
              <w:top w:val="nil"/>
              <w:left w:val="nil"/>
              <w:right w:val="nil"/>
            </w:tcBorders>
            <w:shd w:val="clear" w:color="auto" w:fill="auto"/>
            <w:noWrap/>
            <w:vAlign w:val="bottom"/>
            <w:hideMark/>
          </w:tcPr>
          <w:p w14:paraId="158A774F"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2.93%</w:t>
            </w:r>
          </w:p>
        </w:tc>
        <w:tc>
          <w:tcPr>
            <w:tcW w:w="1575" w:type="dxa"/>
            <w:tcBorders>
              <w:top w:val="nil"/>
              <w:left w:val="nil"/>
              <w:right w:val="nil"/>
            </w:tcBorders>
            <w:shd w:val="clear" w:color="auto" w:fill="auto"/>
            <w:noWrap/>
            <w:vAlign w:val="bottom"/>
            <w:hideMark/>
          </w:tcPr>
          <w:p w14:paraId="7C0FDEA6"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3.07%</w:t>
            </w:r>
          </w:p>
        </w:tc>
        <w:tc>
          <w:tcPr>
            <w:tcW w:w="1575" w:type="dxa"/>
            <w:tcBorders>
              <w:top w:val="nil"/>
              <w:left w:val="nil"/>
              <w:right w:val="nil"/>
            </w:tcBorders>
            <w:shd w:val="clear" w:color="auto" w:fill="auto"/>
            <w:noWrap/>
            <w:vAlign w:val="bottom"/>
            <w:hideMark/>
          </w:tcPr>
          <w:p w14:paraId="07DD750D"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3.21%</w:t>
            </w:r>
          </w:p>
        </w:tc>
        <w:tc>
          <w:tcPr>
            <w:tcW w:w="1575" w:type="dxa"/>
            <w:tcBorders>
              <w:top w:val="nil"/>
              <w:left w:val="dotted" w:sz="4" w:space="0" w:color="auto"/>
              <w:right w:val="nil"/>
            </w:tcBorders>
            <w:shd w:val="clear" w:color="auto" w:fill="auto"/>
            <w:noWrap/>
            <w:vAlign w:val="bottom"/>
            <w:hideMark/>
          </w:tcPr>
          <w:p w14:paraId="55E0392E"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3.97%</w:t>
            </w:r>
          </w:p>
        </w:tc>
      </w:tr>
      <w:tr w:rsidR="006447C1" w:rsidRPr="007F6332" w14:paraId="393AF2EC" w14:textId="77777777" w:rsidTr="006C7455">
        <w:trPr>
          <w:trHeight w:val="290"/>
        </w:trPr>
        <w:tc>
          <w:tcPr>
            <w:tcW w:w="1564" w:type="dxa"/>
            <w:tcBorders>
              <w:top w:val="nil"/>
              <w:left w:val="nil"/>
              <w:right w:val="nil"/>
            </w:tcBorders>
            <w:shd w:val="clear" w:color="auto" w:fill="BFBFBF" w:themeFill="background1" w:themeFillShade="BF"/>
            <w:noWrap/>
            <w:vAlign w:val="bottom"/>
            <w:hideMark/>
          </w:tcPr>
          <w:p w14:paraId="5FD440AD" w14:textId="77777777" w:rsidR="006447C1" w:rsidRPr="007F6332" w:rsidRDefault="006447C1" w:rsidP="006C7455">
            <w:pPr>
              <w:spacing w:after="0" w:line="240" w:lineRule="auto"/>
              <w:rPr>
                <w:rFonts w:eastAsia="Times New Roman" w:cs="Arial"/>
                <w:color w:val="000000"/>
                <w:szCs w:val="22"/>
                <w:lang w:val="en-AU" w:eastAsia="en-AU"/>
              </w:rPr>
            </w:pPr>
            <w:r w:rsidRPr="007F6332">
              <w:rPr>
                <w:rFonts w:eastAsia="Times New Roman" w:cs="Arial"/>
                <w:color w:val="000000"/>
                <w:szCs w:val="22"/>
                <w:lang w:val="en-AU" w:eastAsia="en-AU"/>
              </w:rPr>
              <w:t>NT</w:t>
            </w:r>
          </w:p>
        </w:tc>
        <w:tc>
          <w:tcPr>
            <w:tcW w:w="1576" w:type="dxa"/>
            <w:tcBorders>
              <w:top w:val="nil"/>
              <w:left w:val="nil"/>
              <w:right w:val="nil"/>
            </w:tcBorders>
            <w:shd w:val="clear" w:color="auto" w:fill="BFBFBF" w:themeFill="background1" w:themeFillShade="BF"/>
            <w:noWrap/>
            <w:vAlign w:val="bottom"/>
            <w:hideMark/>
          </w:tcPr>
          <w:p w14:paraId="6CC20842"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2.57%</w:t>
            </w:r>
          </w:p>
        </w:tc>
        <w:tc>
          <w:tcPr>
            <w:tcW w:w="1575" w:type="dxa"/>
            <w:tcBorders>
              <w:top w:val="nil"/>
              <w:left w:val="nil"/>
              <w:right w:val="nil"/>
            </w:tcBorders>
            <w:shd w:val="clear" w:color="auto" w:fill="BFBFBF" w:themeFill="background1" w:themeFillShade="BF"/>
            <w:noWrap/>
            <w:vAlign w:val="bottom"/>
            <w:hideMark/>
          </w:tcPr>
          <w:p w14:paraId="6AC3BCE4"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2.71%</w:t>
            </w:r>
          </w:p>
        </w:tc>
        <w:tc>
          <w:tcPr>
            <w:tcW w:w="1575" w:type="dxa"/>
            <w:tcBorders>
              <w:top w:val="nil"/>
              <w:left w:val="nil"/>
              <w:right w:val="nil"/>
            </w:tcBorders>
            <w:shd w:val="clear" w:color="auto" w:fill="BFBFBF" w:themeFill="background1" w:themeFillShade="BF"/>
            <w:noWrap/>
            <w:vAlign w:val="bottom"/>
            <w:hideMark/>
          </w:tcPr>
          <w:p w14:paraId="72326CD6"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2.81%</w:t>
            </w:r>
          </w:p>
        </w:tc>
        <w:tc>
          <w:tcPr>
            <w:tcW w:w="1575" w:type="dxa"/>
            <w:tcBorders>
              <w:top w:val="nil"/>
              <w:left w:val="nil"/>
              <w:right w:val="nil"/>
            </w:tcBorders>
            <w:shd w:val="clear" w:color="auto" w:fill="BFBFBF" w:themeFill="background1" w:themeFillShade="BF"/>
            <w:noWrap/>
            <w:vAlign w:val="bottom"/>
            <w:hideMark/>
          </w:tcPr>
          <w:p w14:paraId="1386512B" w14:textId="77777777" w:rsidR="006447C1" w:rsidRPr="007F6332" w:rsidRDefault="006447C1" w:rsidP="006C7455">
            <w:pPr>
              <w:spacing w:after="0" w:line="240" w:lineRule="auto"/>
              <w:jc w:val="center"/>
              <w:rPr>
                <w:rFonts w:eastAsia="Times New Roman" w:cs="Arial"/>
                <w:color w:val="000000"/>
                <w:szCs w:val="22"/>
                <w:lang w:val="en-AU" w:eastAsia="en-AU"/>
              </w:rPr>
            </w:pPr>
            <w:r w:rsidRPr="007F6332">
              <w:rPr>
                <w:rFonts w:eastAsia="Times New Roman" w:cs="Arial"/>
                <w:color w:val="000000"/>
                <w:szCs w:val="22"/>
                <w:lang w:val="en-AU" w:eastAsia="en-AU"/>
              </w:rPr>
              <w:t>2.90%</w:t>
            </w:r>
          </w:p>
        </w:tc>
        <w:tc>
          <w:tcPr>
            <w:tcW w:w="1575" w:type="dxa"/>
            <w:tcBorders>
              <w:top w:val="nil"/>
              <w:left w:val="dotted" w:sz="4" w:space="0" w:color="auto"/>
              <w:right w:val="nil"/>
            </w:tcBorders>
            <w:shd w:val="clear" w:color="auto" w:fill="BFBFBF" w:themeFill="background1" w:themeFillShade="BF"/>
            <w:noWrap/>
            <w:vAlign w:val="bottom"/>
            <w:hideMark/>
          </w:tcPr>
          <w:p w14:paraId="22E4A92D"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3.43%</w:t>
            </w:r>
          </w:p>
        </w:tc>
      </w:tr>
      <w:tr w:rsidR="006447C1" w:rsidRPr="007F6332" w14:paraId="5C8537E0" w14:textId="77777777" w:rsidTr="006C7455">
        <w:trPr>
          <w:trHeight w:val="290"/>
        </w:trPr>
        <w:tc>
          <w:tcPr>
            <w:tcW w:w="1564" w:type="dxa"/>
            <w:tcBorders>
              <w:left w:val="nil"/>
              <w:bottom w:val="single" w:sz="4" w:space="0" w:color="auto"/>
              <w:right w:val="nil"/>
            </w:tcBorders>
            <w:shd w:val="clear" w:color="auto" w:fill="B398B8"/>
            <w:noWrap/>
            <w:vAlign w:val="bottom"/>
            <w:hideMark/>
          </w:tcPr>
          <w:p w14:paraId="25861DD4" w14:textId="77777777" w:rsidR="006447C1" w:rsidRPr="007F6332" w:rsidRDefault="006447C1" w:rsidP="006C7455">
            <w:pPr>
              <w:spacing w:after="0" w:line="240" w:lineRule="auto"/>
              <w:rPr>
                <w:rFonts w:eastAsia="Times New Roman" w:cs="Arial"/>
                <w:b/>
                <w:bCs/>
                <w:color w:val="000000"/>
                <w:szCs w:val="22"/>
                <w:lang w:val="en-AU" w:eastAsia="en-AU"/>
              </w:rPr>
            </w:pPr>
            <w:r w:rsidRPr="007F6332">
              <w:rPr>
                <w:rFonts w:eastAsia="Times New Roman" w:cs="Arial"/>
                <w:b/>
                <w:bCs/>
                <w:color w:val="000000"/>
                <w:szCs w:val="22"/>
                <w:lang w:val="en-AU" w:eastAsia="en-AU"/>
              </w:rPr>
              <w:t>Total</w:t>
            </w:r>
          </w:p>
        </w:tc>
        <w:tc>
          <w:tcPr>
            <w:tcW w:w="1576" w:type="dxa"/>
            <w:tcBorders>
              <w:left w:val="nil"/>
              <w:bottom w:val="single" w:sz="4" w:space="0" w:color="auto"/>
              <w:right w:val="nil"/>
            </w:tcBorders>
            <w:shd w:val="clear" w:color="auto" w:fill="B398B8"/>
            <w:noWrap/>
            <w:vAlign w:val="bottom"/>
            <w:hideMark/>
          </w:tcPr>
          <w:p w14:paraId="25331C8B"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3.00%</w:t>
            </w:r>
          </w:p>
        </w:tc>
        <w:tc>
          <w:tcPr>
            <w:tcW w:w="1575" w:type="dxa"/>
            <w:tcBorders>
              <w:left w:val="nil"/>
              <w:bottom w:val="single" w:sz="4" w:space="0" w:color="auto"/>
              <w:right w:val="nil"/>
            </w:tcBorders>
            <w:shd w:val="clear" w:color="auto" w:fill="B398B8"/>
            <w:noWrap/>
            <w:vAlign w:val="bottom"/>
            <w:hideMark/>
          </w:tcPr>
          <w:p w14:paraId="34DAC1C2"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3.17%</w:t>
            </w:r>
          </w:p>
        </w:tc>
        <w:tc>
          <w:tcPr>
            <w:tcW w:w="1575" w:type="dxa"/>
            <w:tcBorders>
              <w:left w:val="nil"/>
              <w:bottom w:val="single" w:sz="4" w:space="0" w:color="auto"/>
              <w:right w:val="nil"/>
            </w:tcBorders>
            <w:shd w:val="clear" w:color="auto" w:fill="B398B8"/>
            <w:noWrap/>
            <w:vAlign w:val="bottom"/>
            <w:hideMark/>
          </w:tcPr>
          <w:p w14:paraId="47481155"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3.31%</w:t>
            </w:r>
          </w:p>
        </w:tc>
        <w:tc>
          <w:tcPr>
            <w:tcW w:w="1575" w:type="dxa"/>
            <w:tcBorders>
              <w:left w:val="nil"/>
              <w:bottom w:val="single" w:sz="4" w:space="0" w:color="auto"/>
              <w:right w:val="nil"/>
            </w:tcBorders>
            <w:shd w:val="clear" w:color="auto" w:fill="B398B8"/>
            <w:noWrap/>
            <w:vAlign w:val="bottom"/>
            <w:hideMark/>
          </w:tcPr>
          <w:p w14:paraId="32CDCC43"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3.44%</w:t>
            </w:r>
          </w:p>
        </w:tc>
        <w:tc>
          <w:tcPr>
            <w:tcW w:w="1575" w:type="dxa"/>
            <w:tcBorders>
              <w:left w:val="dotted" w:sz="4" w:space="0" w:color="auto"/>
              <w:bottom w:val="single" w:sz="4" w:space="0" w:color="auto"/>
              <w:right w:val="nil"/>
            </w:tcBorders>
            <w:shd w:val="clear" w:color="auto" w:fill="B398B8"/>
            <w:noWrap/>
            <w:vAlign w:val="bottom"/>
            <w:hideMark/>
          </w:tcPr>
          <w:p w14:paraId="1C21ECC6" w14:textId="77777777" w:rsidR="006447C1" w:rsidRPr="007F6332" w:rsidRDefault="006447C1" w:rsidP="006C7455">
            <w:pPr>
              <w:spacing w:after="0" w:line="240" w:lineRule="auto"/>
              <w:jc w:val="center"/>
              <w:rPr>
                <w:rFonts w:eastAsia="Times New Roman" w:cs="Arial"/>
                <w:b/>
                <w:bCs/>
                <w:color w:val="000000"/>
                <w:szCs w:val="22"/>
                <w:lang w:val="en-AU" w:eastAsia="en-AU"/>
              </w:rPr>
            </w:pPr>
            <w:r w:rsidRPr="007F6332">
              <w:rPr>
                <w:rFonts w:eastAsia="Times New Roman" w:cs="Arial"/>
                <w:b/>
                <w:bCs/>
                <w:color w:val="000000"/>
                <w:szCs w:val="22"/>
                <w:lang w:val="en-AU" w:eastAsia="en-AU"/>
              </w:rPr>
              <w:t>4.21%</w:t>
            </w:r>
          </w:p>
        </w:tc>
      </w:tr>
    </w:tbl>
    <w:p w14:paraId="0DE81ECC" w14:textId="77777777" w:rsidR="00AD33D4" w:rsidRPr="007F6332" w:rsidRDefault="00AD33D4" w:rsidP="00AD33D4">
      <w:pPr>
        <w:rPr>
          <w:rFonts w:cs="Arial"/>
        </w:rPr>
      </w:pPr>
    </w:p>
    <w:p w14:paraId="0C640C6F" w14:textId="77777777" w:rsidR="00665C28" w:rsidRPr="007F6332" w:rsidRDefault="00665C28" w:rsidP="00AD33D4">
      <w:pPr>
        <w:rPr>
          <w:rFonts w:cs="Arial"/>
        </w:rPr>
      </w:pPr>
    </w:p>
    <w:p w14:paraId="7B4C1662" w14:textId="77777777" w:rsidR="00BE0221" w:rsidRPr="007F6332" w:rsidRDefault="00BE0221" w:rsidP="00AD33D4">
      <w:pPr>
        <w:rPr>
          <w:rFonts w:cs="Arial"/>
        </w:rPr>
      </w:pPr>
    </w:p>
    <w:p w14:paraId="597F06CB" w14:textId="77777777" w:rsidR="00665C28" w:rsidRPr="007F6332" w:rsidRDefault="00665C28" w:rsidP="00AD33D4">
      <w:pPr>
        <w:rPr>
          <w:rFonts w:cs="Arial"/>
        </w:rPr>
      </w:pPr>
    </w:p>
    <w:p w14:paraId="102BBC8B" w14:textId="77777777" w:rsidR="00665C28" w:rsidRPr="007F6332" w:rsidRDefault="00665C28" w:rsidP="00AD33D4">
      <w:pPr>
        <w:rPr>
          <w:rFonts w:cs="Arial"/>
        </w:rPr>
      </w:pPr>
    </w:p>
    <w:p w14:paraId="333BCA39" w14:textId="77777777" w:rsidR="00665C28" w:rsidRPr="007F6332" w:rsidRDefault="00665C28" w:rsidP="00AD33D4">
      <w:pPr>
        <w:rPr>
          <w:rFonts w:cs="Arial"/>
        </w:rPr>
      </w:pPr>
    </w:p>
    <w:p w14:paraId="51806070" w14:textId="77777777" w:rsidR="00665C28" w:rsidRPr="007F6332" w:rsidRDefault="00665C28" w:rsidP="00AD33D4">
      <w:pPr>
        <w:rPr>
          <w:rFonts w:cs="Arial"/>
        </w:rPr>
      </w:pPr>
    </w:p>
    <w:p w14:paraId="1B771027" w14:textId="77777777" w:rsidR="00AD33D4" w:rsidRPr="007F6332" w:rsidRDefault="00AD33D4" w:rsidP="00AD33D4">
      <w:pPr>
        <w:rPr>
          <w:rFonts w:cs="Arial"/>
        </w:rPr>
        <w:sectPr w:rsidR="00AD33D4" w:rsidRPr="007F6332" w:rsidSect="00CE7E91">
          <w:pgSz w:w="11906" w:h="16838"/>
          <w:pgMar w:top="1440" w:right="1416" w:bottom="1440" w:left="1440" w:header="708" w:footer="850" w:gutter="0"/>
          <w:cols w:space="708"/>
          <w:titlePg/>
          <w:docGrid w:linePitch="360"/>
        </w:sectPr>
      </w:pPr>
    </w:p>
    <w:p w14:paraId="0FA4A082" w14:textId="16606AB5" w:rsidR="00AD33D4" w:rsidRPr="007F6332" w:rsidRDefault="00AD33D4" w:rsidP="008B34A8">
      <w:pPr>
        <w:pStyle w:val="FSRHeading3"/>
      </w:pPr>
      <w:bookmarkStart w:id="300" w:name="_Toc152615021"/>
      <w:r w:rsidRPr="007F6332">
        <w:lastRenderedPageBreak/>
        <w:t>Appendix D</w:t>
      </w:r>
      <w:r w:rsidR="00516710" w:rsidRPr="007F6332">
        <w:tab/>
      </w:r>
      <w:r w:rsidR="007A7CBF" w:rsidRPr="007F6332">
        <w:t>Scheme experience</w:t>
      </w:r>
      <w:r w:rsidR="00516710" w:rsidRPr="007F6332">
        <w:t xml:space="preserve"> </w:t>
      </w:r>
      <w:r w:rsidR="008312F7" w:rsidRPr="007F6332">
        <w:t>—</w:t>
      </w:r>
      <w:r w:rsidR="007A7CBF" w:rsidRPr="007F6332">
        <w:t>participants</w:t>
      </w:r>
      <w:bookmarkEnd w:id="300"/>
      <w:r w:rsidR="007A7CBF" w:rsidRPr="007F6332">
        <w:t xml:space="preserve"> </w:t>
      </w:r>
    </w:p>
    <w:p w14:paraId="7E913A21" w14:textId="0BEA5FDF" w:rsidR="007A7CBF" w:rsidRPr="00973B43" w:rsidRDefault="007A7CBF" w:rsidP="00973B43">
      <w:pPr>
        <w:pStyle w:val="FSRHeading4"/>
        <w:rPr>
          <w:rStyle w:val="Emphasis"/>
          <w:b/>
          <w:bCs w:val="0"/>
          <w:iCs w:val="0"/>
          <w:spacing w:val="0"/>
          <w:sz w:val="25"/>
        </w:rPr>
      </w:pPr>
      <w:r w:rsidRPr="00973B43">
        <w:rPr>
          <w:rStyle w:val="Emphasis"/>
          <w:b/>
          <w:bCs w:val="0"/>
          <w:iCs w:val="0"/>
          <w:spacing w:val="0"/>
          <w:sz w:val="25"/>
        </w:rPr>
        <w:t>Movements in reported levels of function</w:t>
      </w:r>
    </w:p>
    <w:p w14:paraId="149C3DAB" w14:textId="58E99081" w:rsidR="006C692D" w:rsidRPr="007F6332" w:rsidRDefault="006C692D" w:rsidP="006C692D">
      <w:pPr>
        <w:rPr>
          <w:rFonts w:cs="Arial"/>
        </w:rPr>
      </w:pPr>
      <w:r w:rsidRPr="007F6332">
        <w:rPr>
          <w:rFonts w:cs="Arial"/>
        </w:rPr>
        <w:t xml:space="preserve">Figure D.1 shows the reported functional distribution </w:t>
      </w:r>
      <w:r w:rsidR="00831A2C" w:rsidRPr="007F6332">
        <w:rPr>
          <w:rFonts w:cs="Arial"/>
        </w:rPr>
        <w:t xml:space="preserve">over time </w:t>
      </w:r>
      <w:r w:rsidRPr="007F6332">
        <w:rPr>
          <w:rFonts w:cs="Arial"/>
        </w:rPr>
        <w:t xml:space="preserve">for participants who entered the Scheme between 1 July 2017 and 30 June 2019. Figure D.2 shows </w:t>
      </w:r>
      <w:r w:rsidR="00831A2C" w:rsidRPr="007F6332">
        <w:rPr>
          <w:rFonts w:cs="Arial"/>
        </w:rPr>
        <w:t xml:space="preserve">similar results for </w:t>
      </w:r>
      <w:r w:rsidRPr="007F6332">
        <w:rPr>
          <w:rFonts w:cs="Arial"/>
        </w:rPr>
        <w:t xml:space="preserve">participants who entered the Scheme between 1 July 2019 and 30 June 2021. </w:t>
      </w:r>
    </w:p>
    <w:p w14:paraId="246FFEDF" w14:textId="380787E8" w:rsidR="007A7CBF" w:rsidRPr="007F6332" w:rsidRDefault="00BF46E7" w:rsidP="007A7CBF">
      <w:pPr>
        <w:spacing w:before="160"/>
        <w:rPr>
          <w:rFonts w:cs="Arial"/>
        </w:rPr>
      </w:pPr>
      <w:r w:rsidRPr="007F6332">
        <w:rPr>
          <w:rFonts w:cs="Arial"/>
        </w:rPr>
        <w:t>Reported levels of function continue to show a deteriorating trend amongst recent entrants to the Scheme compared to participants who entered prior to 30 June 2017</w:t>
      </w:r>
      <w:r w:rsidR="00831A2C" w:rsidRPr="007F6332">
        <w:rPr>
          <w:rFonts w:cs="Arial"/>
        </w:rPr>
        <w:t xml:space="preserve">, for which results are set out in </w:t>
      </w:r>
      <w:r w:rsidRPr="007F6332">
        <w:rPr>
          <w:rFonts w:cs="Arial"/>
        </w:rPr>
        <w:t xml:space="preserve">Figure </w:t>
      </w:r>
      <w:r w:rsidR="00831A2C" w:rsidRPr="007F6332">
        <w:rPr>
          <w:rFonts w:cs="Arial"/>
        </w:rPr>
        <w:t>4.2</w:t>
      </w:r>
      <w:r w:rsidRPr="007F6332">
        <w:rPr>
          <w:rFonts w:cs="Arial"/>
        </w:rPr>
        <w:t>.</w:t>
      </w:r>
    </w:p>
    <w:p w14:paraId="779186A7" w14:textId="504EFF71" w:rsidR="007A7CBF" w:rsidRPr="007F6332" w:rsidRDefault="007A7CBF" w:rsidP="00973B43">
      <w:pPr>
        <w:pStyle w:val="FiguresandTablesHeading5"/>
      </w:pPr>
      <w:r w:rsidRPr="007F6332">
        <w:t xml:space="preserve">Figure D.1: </w:t>
      </w:r>
      <w:bookmarkStart w:id="301" w:name="_Hlk152609780"/>
      <w:r w:rsidRPr="007F6332">
        <w:t xml:space="preserve">Change in distribution of reported level of function </w:t>
      </w:r>
      <w:r w:rsidR="006C692D" w:rsidRPr="007F6332">
        <w:t xml:space="preserve">at 30 June from 2019 to 2023 (participants who entered between 1 July 2017 and 30 June 2019) </w:t>
      </w:r>
      <w:bookmarkEnd w:id="301"/>
    </w:p>
    <w:p w14:paraId="016BC78B" w14:textId="01AA6FB7" w:rsidR="001A6CFD" w:rsidRPr="007F6332" w:rsidRDefault="00831A2C" w:rsidP="00C1755E">
      <w:pPr>
        <w:rPr>
          <w:rFonts w:cs="Arial"/>
        </w:rPr>
      </w:pPr>
      <w:r w:rsidRPr="007F6332">
        <w:rPr>
          <w:rFonts w:cs="Arial"/>
        </w:rPr>
        <w:t xml:space="preserve"> </w:t>
      </w:r>
      <w:r w:rsidRPr="007F6332">
        <w:rPr>
          <w:rFonts w:cs="Arial"/>
          <w:noProof/>
        </w:rPr>
        <w:drawing>
          <wp:inline distT="0" distB="0" distL="0" distR="0" wp14:anchorId="18D1FEE8" wp14:editId="3E644103">
            <wp:extent cx="5746750" cy="3638550"/>
            <wp:effectExtent l="0" t="0" r="6350" b="0"/>
            <wp:docPr id="1391038826" name="Picture 2" descr="Figure D.1 Change in distribution of reported level of function at 30 June from 2019 to 2023 (participants who entered between 1 July 2017 and 30 June 2019). Graph shows change in functional distribution from 30 June 2019 to 30 June 2023: &#10;High level of function changed from 27% to 20%; &#10;Medium level of function changed from 45% to 47%; &#10;Low level of function changed from 28% to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38826" name="Picture 2" descr="Figure D.1 Change in distribution of reported level of function at 30 June from 2019 to 2023 (participants who entered between 1 July 2017 and 30 June 2019). Graph shows change in functional distribution from 30 June 2019 to 30 June 2023: &#10;High level of function changed from 27% to 20%; &#10;Medium level of function changed from 45% to 47%; &#10;Low level of function changed from 28% to 35%.&#1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746750" cy="3638550"/>
                    </a:xfrm>
                    <a:prstGeom prst="rect">
                      <a:avLst/>
                    </a:prstGeom>
                    <a:noFill/>
                    <a:ln>
                      <a:noFill/>
                    </a:ln>
                  </pic:spPr>
                </pic:pic>
              </a:graphicData>
            </a:graphic>
          </wp:inline>
        </w:drawing>
      </w:r>
    </w:p>
    <w:p w14:paraId="0FB68825" w14:textId="77777777" w:rsidR="00B91D74" w:rsidRPr="007F6332" w:rsidRDefault="00B91D74" w:rsidP="00C1755E">
      <w:pPr>
        <w:rPr>
          <w:rFonts w:cs="Arial"/>
        </w:rPr>
        <w:sectPr w:rsidR="00B91D74" w:rsidRPr="007F6332" w:rsidSect="00CE7E91">
          <w:pgSz w:w="11906" w:h="16838"/>
          <w:pgMar w:top="1440" w:right="1416" w:bottom="1440" w:left="1440" w:header="708" w:footer="850" w:gutter="0"/>
          <w:cols w:space="708"/>
          <w:titlePg/>
          <w:docGrid w:linePitch="360"/>
        </w:sectPr>
      </w:pPr>
    </w:p>
    <w:p w14:paraId="65DC5A4F" w14:textId="2933148E" w:rsidR="007A7CBF" w:rsidRPr="007F6332" w:rsidRDefault="007A7CBF" w:rsidP="00973B43">
      <w:pPr>
        <w:pStyle w:val="FiguresandTablesHeading5"/>
      </w:pPr>
      <w:bookmarkStart w:id="302" w:name="_Hlk152274474"/>
      <w:r w:rsidRPr="007F6332">
        <w:lastRenderedPageBreak/>
        <w:t xml:space="preserve">Figure D.2: Change in distribution of reported level of function </w:t>
      </w:r>
      <w:r w:rsidR="006C692D" w:rsidRPr="007F6332">
        <w:t>at 30 June from 2021 to 2023 (participants who entered between 1 July 2019 and 30 June 2021)</w:t>
      </w:r>
    </w:p>
    <w:bookmarkEnd w:id="302"/>
    <w:p w14:paraId="25D359C3" w14:textId="43FD0A7E" w:rsidR="000F185A" w:rsidRPr="007F6332" w:rsidRDefault="00831A2C" w:rsidP="00C1755E">
      <w:pPr>
        <w:rPr>
          <w:rFonts w:cs="Arial"/>
        </w:rPr>
      </w:pPr>
      <w:r w:rsidRPr="007F6332">
        <w:rPr>
          <w:rFonts w:cs="Arial"/>
        </w:rPr>
        <w:t xml:space="preserve"> </w:t>
      </w:r>
      <w:r w:rsidRPr="007F6332">
        <w:rPr>
          <w:rFonts w:cs="Arial"/>
          <w:noProof/>
        </w:rPr>
        <w:drawing>
          <wp:inline distT="0" distB="0" distL="0" distR="0" wp14:anchorId="73B71754" wp14:editId="3350B7B6">
            <wp:extent cx="5746750" cy="3901440"/>
            <wp:effectExtent l="0" t="0" r="6350" b="3810"/>
            <wp:docPr id="584797866" name="Picture 3" descr="Figure D.2 Change in distribution of reported level of function at 30 June from 2021 to 2023 (participants who entered between 1 July 2019 and 30 June 2021). Graph shows change in functional distribution from 30 June 2021 to 30 June 2023: &#10;High level of function changed from 37% to 30%; &#10;Medium level of function changed from 45% to 48%; &#10;Low level of function changed from 18% to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97866" name="Picture 3" descr="Figure D.2 Change in distribution of reported level of function at 30 June from 2021 to 2023 (participants who entered between 1 July 2019 and 30 June 2021). Graph shows change in functional distribution from 30 June 2021 to 30 June 2023: &#10;High level of function changed from 37% to 30%; &#10;Medium level of function changed from 45% to 48%; &#10;Low level of function changed from 18% to 21%.&#1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746750" cy="3901440"/>
                    </a:xfrm>
                    <a:prstGeom prst="rect">
                      <a:avLst/>
                    </a:prstGeom>
                    <a:noFill/>
                    <a:ln>
                      <a:noFill/>
                    </a:ln>
                  </pic:spPr>
                </pic:pic>
              </a:graphicData>
            </a:graphic>
          </wp:inline>
        </w:drawing>
      </w:r>
    </w:p>
    <w:p w14:paraId="6EA217CA" w14:textId="77777777" w:rsidR="007A7CBF" w:rsidRPr="00973B43" w:rsidRDefault="007A7CBF" w:rsidP="00973B43">
      <w:pPr>
        <w:pStyle w:val="FSRHeading4"/>
      </w:pPr>
      <w:r w:rsidRPr="00973B43">
        <w:rPr>
          <w:rStyle w:val="Emphasis"/>
          <w:b/>
          <w:bCs w:val="0"/>
          <w:iCs w:val="0"/>
          <w:spacing w:val="0"/>
          <w:sz w:val="25"/>
        </w:rPr>
        <w:t>Participation</w:t>
      </w:r>
      <w:r w:rsidRPr="00973B43">
        <w:t xml:space="preserve"> rates by gender</w:t>
      </w:r>
    </w:p>
    <w:p w14:paraId="5B779678" w14:textId="1D8167F1" w:rsidR="007A7CBF" w:rsidRPr="007F6332" w:rsidRDefault="007A7CBF" w:rsidP="003B643B">
      <w:pPr>
        <w:rPr>
          <w:rFonts w:cs="Arial"/>
        </w:rPr>
      </w:pPr>
      <w:r w:rsidRPr="007F6332">
        <w:rPr>
          <w:rFonts w:cs="Arial"/>
        </w:rPr>
        <w:t>Figure D.3 and Figure D.4 shows participation rates for Australian male and female populations respectively. A higher proportion of the male population are NDIS participants compared with the female population across all age bands</w:t>
      </w:r>
      <w:r w:rsidR="00665C28" w:rsidRPr="007F6332">
        <w:rPr>
          <w:rFonts w:cs="Arial"/>
        </w:rPr>
        <w:t>.</w:t>
      </w:r>
      <w:r w:rsidRPr="007F6332">
        <w:rPr>
          <w:rFonts w:cs="Arial"/>
        </w:rPr>
        <w:t xml:space="preserve"> </w:t>
      </w:r>
      <w:r w:rsidR="00665C28" w:rsidRPr="007F6332">
        <w:rPr>
          <w:rFonts w:cs="Arial"/>
        </w:rPr>
        <w:t>T</w:t>
      </w:r>
      <w:r w:rsidRPr="007F6332">
        <w:rPr>
          <w:rFonts w:cs="Arial"/>
        </w:rPr>
        <w:t xml:space="preserve">he overall shape across ages is </w:t>
      </w:r>
      <w:r w:rsidR="00BF46E7" w:rsidRPr="007F6332">
        <w:rPr>
          <w:rFonts w:cs="Arial"/>
        </w:rPr>
        <w:t>similar with</w:t>
      </w:r>
      <w:r w:rsidR="00665C28" w:rsidRPr="007F6332">
        <w:rPr>
          <w:rFonts w:cs="Arial"/>
        </w:rPr>
        <w:t xml:space="preserve"> a </w:t>
      </w:r>
      <w:r w:rsidRPr="007F6332">
        <w:rPr>
          <w:rFonts w:cs="Arial"/>
        </w:rPr>
        <w:t>peak of 11.5% observed for males around age 5</w:t>
      </w:r>
      <w:r w:rsidR="00BF46E7" w:rsidRPr="007F6332">
        <w:rPr>
          <w:rFonts w:cs="Arial"/>
        </w:rPr>
        <w:t>, compared</w:t>
      </w:r>
      <w:r w:rsidRPr="007F6332">
        <w:rPr>
          <w:rFonts w:cs="Arial"/>
        </w:rPr>
        <w:t xml:space="preserve"> </w:t>
      </w:r>
      <w:r w:rsidR="00BF46E7" w:rsidRPr="007F6332">
        <w:rPr>
          <w:rFonts w:cs="Arial"/>
        </w:rPr>
        <w:t xml:space="preserve">to a peak of </w:t>
      </w:r>
      <w:r w:rsidRPr="007F6332">
        <w:rPr>
          <w:rFonts w:cs="Arial"/>
        </w:rPr>
        <w:t>4.9% observed within the female population</w:t>
      </w:r>
      <w:r w:rsidR="00F342E2" w:rsidRPr="007F6332">
        <w:rPr>
          <w:rFonts w:cs="Arial"/>
        </w:rPr>
        <w:t xml:space="preserve">. </w:t>
      </w:r>
      <w:r w:rsidR="00BF46E7" w:rsidRPr="007F6332">
        <w:rPr>
          <w:rFonts w:cs="Arial"/>
        </w:rPr>
        <w:t>This is driven by the large number of children in the Scheme with autism that are male, particularly around the age of starting school when diagnosis commonly occurs.</w:t>
      </w:r>
    </w:p>
    <w:p w14:paraId="767A1A8F" w14:textId="77777777" w:rsidR="00B91D74" w:rsidRPr="007F6332" w:rsidRDefault="00B91D74" w:rsidP="003B643B">
      <w:pPr>
        <w:rPr>
          <w:rFonts w:cs="Arial"/>
        </w:rPr>
        <w:sectPr w:rsidR="00B91D74" w:rsidRPr="007F6332" w:rsidSect="00CE7E91">
          <w:pgSz w:w="11906" w:h="16838"/>
          <w:pgMar w:top="1440" w:right="1416" w:bottom="1440" w:left="1440" w:header="708" w:footer="850" w:gutter="0"/>
          <w:cols w:space="708"/>
          <w:titlePg/>
          <w:docGrid w:linePitch="360"/>
        </w:sectPr>
      </w:pPr>
    </w:p>
    <w:p w14:paraId="15D45DA0" w14:textId="77777777" w:rsidR="007A7CBF" w:rsidRPr="007F6332" w:rsidRDefault="007A7CBF" w:rsidP="00973B43">
      <w:pPr>
        <w:pStyle w:val="FiguresandTablesHeading5"/>
      </w:pPr>
      <w:r w:rsidRPr="007F6332">
        <w:lastRenderedPageBreak/>
        <w:t>Figure D.3: Proportion of the Australian male population that are NDIS participants, by age</w:t>
      </w:r>
    </w:p>
    <w:p w14:paraId="0F188969" w14:textId="77777777" w:rsidR="007A7CBF" w:rsidRPr="007F6332" w:rsidRDefault="007A7CBF" w:rsidP="007A7CBF">
      <w:pPr>
        <w:rPr>
          <w:rFonts w:cs="Arial"/>
          <w:b/>
          <w:bCs/>
        </w:rPr>
      </w:pPr>
      <w:r w:rsidRPr="007F6332">
        <w:rPr>
          <w:rFonts w:cs="Arial"/>
          <w:noProof/>
        </w:rPr>
        <w:drawing>
          <wp:inline distT="0" distB="0" distL="0" distR="0" wp14:anchorId="0F76CD86" wp14:editId="6B728CA0">
            <wp:extent cx="5731510" cy="2846705"/>
            <wp:effectExtent l="0" t="0" r="2540" b="0"/>
            <wp:docPr id="46" name="Picture 46" descr="Figure D.3: Proportion of the Australian male population that are NDIS participants, by age. Males as at 30 June 2023  aged 5 equals 11.5%&#10;Males as at 30 June 2022 aged 5 equals 9.4%&#10;Males as at 30 June 2023 aged 10 equals 8.8%&#10;Males as at 30 June 2022 aged 10  equals 7.4%&#10;Males as at 30 June 2023 aged 15 equals 5.8%.&#10;Males as at 30 June 2022 aged 15 equal 5.2%.&#10;Males as at 30 June 2023 aged 20 equals 3.7%.&#10;Males as at 30 June 2022 aged 20 equals 3.0%.&#10;Males as at 30 June 2023 aged 25 equals 2.3%.&#10;Males as at 30 June 2022 aged 25 equals 1.7%.&#10;Males as at 30 June 2023 aged 30 equals 1.5%.&#10;Males as at 30 June 2022 aged 30 equals 1.3%.&#10;Males as at 30 June 2023  aged 35 equals 1.3%.&#10;Males as at 30 June 2022 aged 35 equals 1.1%.&#10;Males as at 30 June 2023 aged 40 equals 1.4%.&#10;Males as at 30 June 2022 aged 40 equals 1.4%.&#10;Males as at 30 June 2023 aged 45 equals 1.6%.&#10;Males as at 30 June 202 2aged 45 equals 1.3%.&#10;Males as at 30 June 2023 aged 50 equals 1.7%. &#10;Males as at 30 June 2022 aged 50 equals 1.7%.&#10;Males as at 30 June 2023 aged 55 equals 1.9%.&#10;Males as at 30 June 2022 aged 55 equals 1.8%.&#10;Males as at 30 June 2023 aged 60 equals 2.2%.&#10;Males as at 30 June 2022 aged 60 equals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igure D.3: Proportion of the Australian male population that are NDIS participants, by age. Males as at 30 June 2023  aged 5 equals 11.5%&#10;Males as at 30 June 2022 aged 5 equals 9.4%&#10;Males as at 30 June 2023 aged 10 equals 8.8%&#10;Males as at 30 June 2022 aged 10  equals 7.4%&#10;Males as at 30 June 2023 aged 15 equals 5.8%.&#10;Males as at 30 June 2022 aged 15 equal 5.2%.&#10;Males as at 30 June 2023 aged 20 equals 3.7%.&#10;Males as at 30 June 2022 aged 20 equals 3.0%.&#10;Males as at 30 June 2023 aged 25 equals 2.3%.&#10;Males as at 30 June 2022 aged 25 equals 1.7%.&#10;Males as at 30 June 2023 aged 30 equals 1.5%.&#10;Males as at 30 June 2022 aged 30 equals 1.3%.&#10;Males as at 30 June 2023  aged 35 equals 1.3%.&#10;Males as at 30 June 2022 aged 35 equals 1.1%.&#10;Males as at 30 June 2023 aged 40 equals 1.4%.&#10;Males as at 30 June 2022 aged 40 equals 1.4%.&#10;Males as at 30 June 2023 aged 45 equals 1.6%.&#10;Males as at 30 June 202 2aged 45 equals 1.3%.&#10;Males as at 30 June 2023 aged 50 equals 1.7%. &#10;Males as at 30 June 2022 aged 50 equals 1.7%.&#10;Males as at 30 June 2023 aged 55 equals 1.9%.&#10;Males as at 30 June 2022 aged 55 equals 1.8%.&#10;Males as at 30 June 2023 aged 60 equals 2.2%.&#10;Males as at 30 June 2022 aged 60 equals 2.1%.&#1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731510" cy="2846705"/>
                    </a:xfrm>
                    <a:prstGeom prst="rect">
                      <a:avLst/>
                    </a:prstGeom>
                    <a:noFill/>
                    <a:ln>
                      <a:noFill/>
                    </a:ln>
                  </pic:spPr>
                </pic:pic>
              </a:graphicData>
            </a:graphic>
          </wp:inline>
        </w:drawing>
      </w:r>
    </w:p>
    <w:p w14:paraId="3B5C4328" w14:textId="77777777" w:rsidR="007A7CBF" w:rsidRPr="007F6332" w:rsidRDefault="007A7CBF" w:rsidP="00973B43">
      <w:pPr>
        <w:pStyle w:val="FiguresandTablesHeading5"/>
      </w:pPr>
      <w:r w:rsidRPr="007F6332">
        <w:t>Figure D.4: Proportion of the Australian female population that are NDIS participants, by age</w:t>
      </w:r>
    </w:p>
    <w:p w14:paraId="5D893058" w14:textId="77777777" w:rsidR="007A7CBF" w:rsidRPr="007F6332" w:rsidRDefault="007A7CBF" w:rsidP="007A7CBF">
      <w:pPr>
        <w:rPr>
          <w:rFonts w:cs="Arial"/>
          <w:b/>
          <w:bCs/>
          <w:color w:val="6B2976"/>
          <w:sz w:val="24"/>
        </w:rPr>
      </w:pPr>
      <w:r w:rsidRPr="007F6332">
        <w:rPr>
          <w:rFonts w:cs="Arial"/>
          <w:noProof/>
        </w:rPr>
        <w:drawing>
          <wp:inline distT="0" distB="0" distL="0" distR="0" wp14:anchorId="21161416" wp14:editId="5015F8AE">
            <wp:extent cx="5731510" cy="2802255"/>
            <wp:effectExtent l="0" t="0" r="2540" b="0"/>
            <wp:docPr id="48" name="Picture 48" descr="Figure D.4: Proportion of the Australian female population that are NDIS participants, by age. Females as at 30 June 2023 aged 5 equals 4.9%.&#10;Females as at 30 June 2022 aged 5 equals 4.0%.&#10;Females as at 30 June 2023 aged 10 equals 3.9%.&#10;Females as at 30 June 2022 aged 10  equals 3.3%.&#10;Females as at 30 June 2023 aged 15 equals 3.2%.&#10;Females as at 30 June 2022aged 15 equal 2.8%.&#10;Females as at 30 June 2023 aged 20 equals 2.1%.&#10;Females as at 30 June 2022 aged 20 equals 1.7%.&#10;Females as at 30 June 2023 aged 25 equals 1.4%.&#10;Females as at 30 June 2022 aged 25 equals 1.1%.&#10;Females as at 30 June 2023 aged 30 equals 1.1%.&#10;Females as at 30 June 2022 aged 30 equals 0.9%.&#10;Females as at 30 June 2023  aged 35 equals 1.0%.&#10;Females as at 30 June 2022 aged 35 equals 0.9%.&#10;Females as at 30 June 2023 aged 40 equals 1.2%.&#10;Females as at 30 June 2022 aged 40 equals 1.1%.&#10;Females as at 30 June 2023 aged 45 equals 1.4%.&#10;Females as at 30 June 202 2aged 45 equals 1.1%.&#10;Females as at 30 June 2023 aged 50 equals 1.5%.&#10;Females as at 30 June 2022 aged 50 equals 1.6%.&#10;Females as at 30 June 2023 aged 55 equals 1.8%.&#10;Females as at 30 June 2022 aged 55 equals 1.6%.&#10;Females as at 30 June 2023 aged 60 equals 1.9%.&#10;Females as at 30 June 2022 aged 60 equals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D.4: Proportion of the Australian female population that are NDIS participants, by age. Females as at 30 June 2023 aged 5 equals 4.9%.&#10;Females as at 30 June 2022 aged 5 equals 4.0%.&#10;Females as at 30 June 2023 aged 10 equals 3.9%.&#10;Females as at 30 June 2022 aged 10  equals 3.3%.&#10;Females as at 30 June 2023 aged 15 equals 3.2%.&#10;Females as at 30 June 2022aged 15 equal 2.8%.&#10;Females as at 30 June 2023 aged 20 equals 2.1%.&#10;Females as at 30 June 2022 aged 20 equals 1.7%.&#10;Females as at 30 June 2023 aged 25 equals 1.4%.&#10;Females as at 30 June 2022 aged 25 equals 1.1%.&#10;Females as at 30 June 2023 aged 30 equals 1.1%.&#10;Females as at 30 June 2022 aged 30 equals 0.9%.&#10;Females as at 30 June 2023  aged 35 equals 1.0%.&#10;Females as at 30 June 2022 aged 35 equals 0.9%.&#10;Females as at 30 June 2023 aged 40 equals 1.2%.&#10;Females as at 30 June 2022 aged 40 equals 1.1%.&#10;Females as at 30 June 2023 aged 45 equals 1.4%.&#10;Females as at 30 June 202 2aged 45 equals 1.1%.&#10;Females as at 30 June 2023 aged 50 equals 1.5%.&#10;Females as at 30 June 2022 aged 50 equals 1.6%.&#10;Females as at 30 June 2023 aged 55 equals 1.8%.&#10;Females as at 30 June 2022 aged 55 equals 1.6%.&#10;Females as at 30 June 2023 aged 60 equals 1.9%.&#10;Females as at 30 June 2022 aged 60 equals 1.9%.&#1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731510" cy="2802255"/>
                    </a:xfrm>
                    <a:prstGeom prst="rect">
                      <a:avLst/>
                    </a:prstGeom>
                    <a:noFill/>
                    <a:ln>
                      <a:noFill/>
                    </a:ln>
                  </pic:spPr>
                </pic:pic>
              </a:graphicData>
            </a:graphic>
          </wp:inline>
        </w:drawing>
      </w:r>
    </w:p>
    <w:p w14:paraId="1E606ED1" w14:textId="77777777" w:rsidR="00366862" w:rsidRPr="007F6332" w:rsidRDefault="00366862" w:rsidP="00AD33D4">
      <w:pPr>
        <w:rPr>
          <w:rFonts w:cs="Arial"/>
        </w:rPr>
        <w:sectPr w:rsidR="00366862" w:rsidRPr="007F6332" w:rsidSect="00CE7E91">
          <w:pgSz w:w="11906" w:h="16838"/>
          <w:pgMar w:top="1440" w:right="1416" w:bottom="1440" w:left="1440" w:header="708" w:footer="850" w:gutter="0"/>
          <w:cols w:space="708"/>
          <w:titlePg/>
          <w:docGrid w:linePitch="360"/>
        </w:sectPr>
      </w:pPr>
    </w:p>
    <w:p w14:paraId="0D9B5776" w14:textId="1BE99690" w:rsidR="00AD33D4" w:rsidRPr="007F6332" w:rsidRDefault="00366862" w:rsidP="008B34A8">
      <w:pPr>
        <w:pStyle w:val="FSRHeading3"/>
      </w:pPr>
      <w:bookmarkStart w:id="303" w:name="_Toc83220871"/>
      <w:bookmarkStart w:id="304" w:name="_Toc84334563"/>
      <w:bookmarkStart w:id="305" w:name="_Toc118460229"/>
      <w:bookmarkStart w:id="306" w:name="_Toc152615022"/>
      <w:r w:rsidRPr="007F6332">
        <w:lastRenderedPageBreak/>
        <w:t>Appendix E</w:t>
      </w:r>
      <w:bookmarkEnd w:id="303"/>
      <w:bookmarkEnd w:id="304"/>
      <w:bookmarkEnd w:id="305"/>
      <w:r w:rsidR="00A12E65" w:rsidRPr="007F6332">
        <w:tab/>
      </w:r>
      <w:r w:rsidR="00514723" w:rsidRPr="007F6332">
        <w:t xml:space="preserve">Scheme experience </w:t>
      </w:r>
      <w:r w:rsidR="008312F7" w:rsidRPr="007F6332">
        <w:t>—</w:t>
      </w:r>
      <w:r w:rsidR="00514723" w:rsidRPr="007F6332">
        <w:t xml:space="preserve"> payments</w:t>
      </w:r>
      <w:bookmarkEnd w:id="306"/>
      <w:r w:rsidRPr="007F6332">
        <w:t xml:space="preserve"> </w:t>
      </w:r>
    </w:p>
    <w:p w14:paraId="6204F501" w14:textId="77777777" w:rsidR="00541F54" w:rsidRPr="007F6332" w:rsidRDefault="00541F54" w:rsidP="00541F54">
      <w:pPr>
        <w:pStyle w:val="FSRHeading4"/>
        <w:rPr>
          <w:rFonts w:cs="Arial"/>
        </w:rPr>
      </w:pPr>
      <w:r w:rsidRPr="007F6332">
        <w:rPr>
          <w:rFonts w:cs="Arial"/>
        </w:rPr>
        <w:t>Further breakdowns of payments by other characteristics</w:t>
      </w:r>
    </w:p>
    <w:p w14:paraId="73381189" w14:textId="77777777" w:rsidR="00541F54" w:rsidRPr="007F6332" w:rsidRDefault="00541F54" w:rsidP="00327305">
      <w:pPr>
        <w:pStyle w:val="Figures"/>
        <w:rPr>
          <w:rFonts w:cs="Arial"/>
        </w:rPr>
      </w:pPr>
      <w:r w:rsidRPr="007F6332">
        <w:rPr>
          <w:rFonts w:cs="Arial"/>
        </w:rPr>
        <w:t>Average annualised payments by other characteristics show a broadly consistent trend.</w:t>
      </w:r>
    </w:p>
    <w:p w14:paraId="49059D5F" w14:textId="77777777" w:rsidR="00541F54" w:rsidRPr="007F6332" w:rsidRDefault="00541F54" w:rsidP="00F26AC5">
      <w:pPr>
        <w:pStyle w:val="FSRHeading4"/>
        <w:rPr>
          <w:rFonts w:cs="Arial"/>
        </w:rPr>
      </w:pPr>
      <w:r w:rsidRPr="007F6332">
        <w:rPr>
          <w:rFonts w:cs="Arial"/>
        </w:rPr>
        <w:t xml:space="preserve">Average annualised payments by gender </w:t>
      </w:r>
    </w:p>
    <w:p w14:paraId="77730EDD" w14:textId="38E611F6" w:rsidR="00541F54" w:rsidRPr="007F6332" w:rsidRDefault="00F342E2" w:rsidP="00541F54">
      <w:pPr>
        <w:pStyle w:val="FSRnormal"/>
        <w:rPr>
          <w:rFonts w:cs="Arial"/>
        </w:rPr>
      </w:pPr>
      <w:r w:rsidRPr="007F6332">
        <w:rPr>
          <w:rFonts w:cs="Arial"/>
        </w:rPr>
        <w:t>The a</w:t>
      </w:r>
      <w:r w:rsidR="00541F54" w:rsidRPr="007F6332">
        <w:rPr>
          <w:rFonts w:cs="Arial"/>
        </w:rPr>
        <w:t>verage annualised payments for female participants ($66,400) were 16% higher than male participants</w:t>
      </w:r>
      <w:r w:rsidR="00541F54" w:rsidRPr="007F6332">
        <w:rPr>
          <w:rFonts w:cs="Arial"/>
          <w:vertAlign w:val="superscript"/>
        </w:rPr>
        <w:footnoteReference w:id="170"/>
      </w:r>
      <w:r w:rsidR="00541F54" w:rsidRPr="007F6332">
        <w:rPr>
          <w:rFonts w:cs="Arial"/>
        </w:rPr>
        <w:t xml:space="preserve"> ($5</w:t>
      </w:r>
      <w:r w:rsidR="00865E47" w:rsidRPr="007F6332">
        <w:rPr>
          <w:rFonts w:cs="Arial"/>
        </w:rPr>
        <w:t>7</w:t>
      </w:r>
      <w:r w:rsidR="00541F54" w:rsidRPr="007F6332">
        <w:rPr>
          <w:rFonts w:cs="Arial"/>
        </w:rPr>
        <w:t xml:space="preserve">,300) in 2022-23. The average </w:t>
      </w:r>
      <w:r w:rsidR="00BF46E7" w:rsidRPr="007F6332">
        <w:rPr>
          <w:rFonts w:cs="Arial"/>
        </w:rPr>
        <w:t xml:space="preserve">annual </w:t>
      </w:r>
      <w:r w:rsidR="00541F54" w:rsidRPr="007F6332">
        <w:rPr>
          <w:rFonts w:cs="Arial"/>
        </w:rPr>
        <w:t xml:space="preserve">growth in average payments over </w:t>
      </w:r>
      <w:r w:rsidR="00BF46E7" w:rsidRPr="007F6332">
        <w:rPr>
          <w:rFonts w:cs="Arial"/>
        </w:rPr>
        <w:t xml:space="preserve">the </w:t>
      </w:r>
      <w:r w:rsidR="00541F54" w:rsidRPr="007F6332">
        <w:rPr>
          <w:rFonts w:cs="Arial"/>
        </w:rPr>
        <w:t xml:space="preserve">2 years was 5.8% for female participants and 5.5% for male participants as shown in Figure E.1. </w:t>
      </w:r>
    </w:p>
    <w:p w14:paraId="140E2DD2" w14:textId="307071ED" w:rsidR="00541F54" w:rsidRPr="007F6332" w:rsidRDefault="00541F54" w:rsidP="00973B43">
      <w:pPr>
        <w:pStyle w:val="FiguresandTablesHeading5"/>
      </w:pPr>
      <w:r w:rsidRPr="007F6332">
        <w:t xml:space="preserve">Figure E.1: Average payment for female and male participants </w:t>
      </w:r>
    </w:p>
    <w:p w14:paraId="2B50F1E0" w14:textId="64CF62FE" w:rsidR="001811BD" w:rsidRPr="007F6332" w:rsidRDefault="0076644E" w:rsidP="001811BD">
      <w:pPr>
        <w:rPr>
          <w:rFonts w:cs="Arial"/>
          <w:sz w:val="16"/>
          <w:szCs w:val="16"/>
        </w:rPr>
      </w:pPr>
      <w:r w:rsidRPr="007F6332">
        <w:rPr>
          <w:rFonts w:cs="Arial"/>
          <w:noProof/>
          <w:sz w:val="16"/>
          <w:szCs w:val="16"/>
        </w:rPr>
        <w:drawing>
          <wp:inline distT="0" distB="0" distL="0" distR="0" wp14:anchorId="1F4A81A1" wp14:editId="5C804320">
            <wp:extent cx="5787390" cy="2774950"/>
            <wp:effectExtent l="0" t="0" r="3810" b="6350"/>
            <wp:docPr id="1011930016" name="Picture 10" descr="Figure E.1. The chart show the average annualised payments for female and male participants over time.  Average annualised payments start from $59,323 for female and  $51,489 for male in 2020-21 to $66,391 for female and  $57,276 for male in 2022-23, an average increase of 5.8% p.a. for female and 5.5% p.a. for 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30016" name="Picture 10" descr="Figure E.1. The chart show the average annualised payments for female and male participants over time.  Average annualised payments start from $59,323 for female and  $51,489 for male in 2020-21 to $66,391 for female and  $57,276 for male in 2022-23, an average increase of 5.8% p.a. for female and 5.5% p.a. for mal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87390" cy="2774950"/>
                    </a:xfrm>
                    <a:prstGeom prst="rect">
                      <a:avLst/>
                    </a:prstGeom>
                    <a:noFill/>
                  </pic:spPr>
                </pic:pic>
              </a:graphicData>
            </a:graphic>
          </wp:inline>
        </w:drawing>
      </w:r>
    </w:p>
    <w:p w14:paraId="5589FB7D" w14:textId="77777777" w:rsidR="00541F54" w:rsidRPr="007F6332" w:rsidRDefault="00541F54" w:rsidP="00F26AC5">
      <w:pPr>
        <w:pStyle w:val="FSRHeading4"/>
        <w:rPr>
          <w:rFonts w:cs="Arial"/>
        </w:rPr>
      </w:pPr>
      <w:r w:rsidRPr="007F6332">
        <w:rPr>
          <w:rFonts w:cs="Arial"/>
        </w:rPr>
        <w:t>Average annualised payments by level of function</w:t>
      </w:r>
    </w:p>
    <w:p w14:paraId="2981DBEE" w14:textId="33E9770F" w:rsidR="00541F54" w:rsidRPr="007F6332" w:rsidRDefault="00541F54" w:rsidP="00541F54">
      <w:pPr>
        <w:pStyle w:val="FSRnormal"/>
        <w:rPr>
          <w:rFonts w:cs="Arial"/>
        </w:rPr>
      </w:pPr>
      <w:r w:rsidRPr="007F6332">
        <w:rPr>
          <w:rFonts w:cs="Arial"/>
        </w:rPr>
        <w:t xml:space="preserve">Over the </w:t>
      </w:r>
      <w:r w:rsidR="00F342E2" w:rsidRPr="007F6332">
        <w:rPr>
          <w:rFonts w:cs="Arial"/>
        </w:rPr>
        <w:t xml:space="preserve">past </w:t>
      </w:r>
      <w:r w:rsidRPr="007F6332">
        <w:rPr>
          <w:rFonts w:cs="Arial"/>
        </w:rPr>
        <w:t xml:space="preserve">two years, average annualised payments have increased by 10.6% for participants with a high level of function, 7.4% for participants with a medium level of function, and 7.8% for participants with a low level of function (Figure E.2). </w:t>
      </w:r>
    </w:p>
    <w:p w14:paraId="65B68B20" w14:textId="77777777" w:rsidR="00584345" w:rsidRPr="007F6332" w:rsidRDefault="00584345" w:rsidP="00541F54">
      <w:pPr>
        <w:pStyle w:val="FSRnormal"/>
        <w:rPr>
          <w:rFonts w:cs="Arial"/>
        </w:rPr>
        <w:sectPr w:rsidR="00584345" w:rsidRPr="007F6332" w:rsidSect="00CE7E91">
          <w:pgSz w:w="11906" w:h="16838"/>
          <w:pgMar w:top="1440" w:right="1416" w:bottom="1440" w:left="1440" w:header="708" w:footer="850" w:gutter="0"/>
          <w:cols w:space="708"/>
          <w:titlePg/>
          <w:docGrid w:linePitch="360"/>
        </w:sectPr>
      </w:pPr>
    </w:p>
    <w:p w14:paraId="75DEF40D" w14:textId="742B2A87" w:rsidR="00541F54" w:rsidRPr="007F6332" w:rsidRDefault="00541F54" w:rsidP="00283EE0">
      <w:pPr>
        <w:pStyle w:val="FiguresandTablesHeading5"/>
      </w:pPr>
      <w:r w:rsidRPr="007F6332">
        <w:lastRenderedPageBreak/>
        <w:t>Figure E.2: Average annualised payments for participants with high, medium, and low levels of function</w:t>
      </w:r>
    </w:p>
    <w:p w14:paraId="369659A5" w14:textId="3F8757EC" w:rsidR="00E56A04" w:rsidRPr="007F6332" w:rsidRDefault="00E56A04" w:rsidP="00E56A04">
      <w:pPr>
        <w:rPr>
          <w:rFonts w:cs="Arial"/>
        </w:rPr>
      </w:pPr>
      <w:r w:rsidRPr="007F6332">
        <w:rPr>
          <w:rFonts w:cs="Arial"/>
          <w:noProof/>
        </w:rPr>
        <w:drawing>
          <wp:inline distT="0" distB="0" distL="0" distR="0" wp14:anchorId="14AB4DA2" wp14:editId="5C97B914">
            <wp:extent cx="5805967" cy="2572198"/>
            <wp:effectExtent l="0" t="0" r="0" b="0"/>
            <wp:docPr id="1318796153" name="Picture 12" descr="Figure E.2. The chart show the average annualised payments for participants with high, medium, and low level of function over time.  Participant with High of function, their average annualised payments start from $14,207 in 2020-21 to $17,367 in 2022-23, an average increase of 10.6% p.a. Participant with Medium of function, their average annualised payments start from $37,107 in 2020-21 to $42,800 in 2022-23, an average increase of 7.4% p.a. Participant with Low of function, their average annualised payments start from $123,680 in 2020-21 to $143,810 in 2022-23, an average increase of 7.8% 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96153" name="Picture 12" descr="Figure E.2. The chart show the average annualised payments for participants with high, medium, and low level of function over time.  Participant with High of function, their average annualised payments start from $14,207 in 2020-21 to $17,367 in 2022-23, an average increase of 10.6% p.a. Participant with Medium of function, their average annualised payments start from $37,107 in 2020-21 to $42,800 in 2022-23, an average increase of 7.4% p.a. Participant with Low of function, their average annualised payments start from $123,680 in 2020-21 to $143,810 in 2022-23, an average increase of 7.8% p.a. "/>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818689" cy="2577834"/>
                    </a:xfrm>
                    <a:prstGeom prst="rect">
                      <a:avLst/>
                    </a:prstGeom>
                    <a:noFill/>
                  </pic:spPr>
                </pic:pic>
              </a:graphicData>
            </a:graphic>
          </wp:inline>
        </w:drawing>
      </w:r>
    </w:p>
    <w:p w14:paraId="59FB10FF" w14:textId="77777777" w:rsidR="00541F54" w:rsidRPr="007F6332" w:rsidRDefault="00541F54" w:rsidP="00F26AC5">
      <w:pPr>
        <w:pStyle w:val="FSRHeading4"/>
        <w:rPr>
          <w:rFonts w:cs="Arial"/>
        </w:rPr>
      </w:pPr>
      <w:r w:rsidRPr="007F6332">
        <w:rPr>
          <w:rFonts w:cs="Arial"/>
        </w:rPr>
        <w:t>Average annualised payments by support category</w:t>
      </w:r>
    </w:p>
    <w:p w14:paraId="069EA496" w14:textId="57858247" w:rsidR="00541F54" w:rsidRPr="007F6332" w:rsidRDefault="00541F54" w:rsidP="00541F54">
      <w:pPr>
        <w:pStyle w:val="FSRnormal"/>
        <w:rPr>
          <w:rFonts w:cs="Arial"/>
        </w:rPr>
      </w:pPr>
      <w:r w:rsidRPr="007F6332">
        <w:rPr>
          <w:rFonts w:cs="Arial"/>
        </w:rPr>
        <w:t xml:space="preserve">Payments are distributed mainly in </w:t>
      </w:r>
      <w:r w:rsidR="007470D0" w:rsidRPr="007F6332">
        <w:rPr>
          <w:rFonts w:cs="Arial"/>
        </w:rPr>
        <w:t>D</w:t>
      </w:r>
      <w:r w:rsidRPr="007F6332">
        <w:rPr>
          <w:rFonts w:cs="Arial"/>
        </w:rPr>
        <w:t xml:space="preserve">aily </w:t>
      </w:r>
      <w:r w:rsidR="007470D0" w:rsidRPr="007F6332">
        <w:rPr>
          <w:rFonts w:cs="Arial"/>
        </w:rPr>
        <w:t>A</w:t>
      </w:r>
      <w:r w:rsidRPr="007F6332">
        <w:rPr>
          <w:rFonts w:cs="Arial"/>
        </w:rPr>
        <w:t xml:space="preserve">ctivities and </w:t>
      </w:r>
      <w:r w:rsidR="007470D0" w:rsidRPr="007F6332">
        <w:rPr>
          <w:rFonts w:cs="Arial"/>
        </w:rPr>
        <w:t>S</w:t>
      </w:r>
      <w:r w:rsidRPr="007F6332">
        <w:rPr>
          <w:rFonts w:cs="Arial"/>
        </w:rPr>
        <w:t xml:space="preserve">ocial </w:t>
      </w:r>
      <w:r w:rsidR="007470D0" w:rsidRPr="007F6332">
        <w:rPr>
          <w:rFonts w:cs="Arial"/>
        </w:rPr>
        <w:t>C</w:t>
      </w:r>
      <w:r w:rsidRPr="007F6332">
        <w:rPr>
          <w:rFonts w:cs="Arial"/>
        </w:rPr>
        <w:t xml:space="preserve">ommunity </w:t>
      </w:r>
      <w:r w:rsidR="007470D0" w:rsidRPr="007F6332">
        <w:rPr>
          <w:rFonts w:cs="Arial"/>
        </w:rPr>
        <w:t>C</w:t>
      </w:r>
      <w:r w:rsidRPr="007F6332">
        <w:rPr>
          <w:rFonts w:cs="Arial"/>
        </w:rPr>
        <w:t xml:space="preserve">ivic support categories; 65% and 21%. The proportion of payments in both categories </w:t>
      </w:r>
      <w:r w:rsidR="00665C28" w:rsidRPr="007F6332">
        <w:rPr>
          <w:rFonts w:cs="Arial"/>
        </w:rPr>
        <w:t xml:space="preserve">from </w:t>
      </w:r>
      <w:r w:rsidRPr="007F6332">
        <w:rPr>
          <w:rFonts w:cs="Arial"/>
        </w:rPr>
        <w:t>2021-22</w:t>
      </w:r>
      <w:r w:rsidR="00665C28" w:rsidRPr="007F6332">
        <w:rPr>
          <w:rFonts w:cs="Arial"/>
        </w:rPr>
        <w:t xml:space="preserve"> experienced growth of </w:t>
      </w:r>
      <w:r w:rsidRPr="007F6332">
        <w:rPr>
          <w:rFonts w:cs="Arial"/>
        </w:rPr>
        <w:t xml:space="preserve"> 2% for </w:t>
      </w:r>
      <w:r w:rsidR="007470D0" w:rsidRPr="007F6332">
        <w:rPr>
          <w:rFonts w:cs="Arial"/>
        </w:rPr>
        <w:t>D</w:t>
      </w:r>
      <w:r w:rsidRPr="007F6332">
        <w:rPr>
          <w:rFonts w:cs="Arial"/>
        </w:rPr>
        <w:t xml:space="preserve">aily </w:t>
      </w:r>
      <w:r w:rsidR="007470D0" w:rsidRPr="007F6332">
        <w:rPr>
          <w:rFonts w:cs="Arial"/>
        </w:rPr>
        <w:t>A</w:t>
      </w:r>
      <w:r w:rsidRPr="007F6332">
        <w:rPr>
          <w:rFonts w:cs="Arial"/>
        </w:rPr>
        <w:t xml:space="preserve">ctivities and 3% for </w:t>
      </w:r>
      <w:r w:rsidR="007470D0" w:rsidRPr="007F6332">
        <w:rPr>
          <w:rFonts w:cs="Arial"/>
        </w:rPr>
        <w:t>S</w:t>
      </w:r>
      <w:r w:rsidRPr="007F6332">
        <w:rPr>
          <w:rFonts w:cs="Arial"/>
        </w:rPr>
        <w:t xml:space="preserve">ocial </w:t>
      </w:r>
      <w:r w:rsidR="007470D0" w:rsidRPr="007F6332">
        <w:rPr>
          <w:rFonts w:cs="Arial"/>
        </w:rPr>
        <w:t>C</w:t>
      </w:r>
      <w:r w:rsidRPr="007F6332">
        <w:rPr>
          <w:rFonts w:cs="Arial"/>
        </w:rPr>
        <w:t xml:space="preserve">ommunity </w:t>
      </w:r>
      <w:r w:rsidR="0076644E" w:rsidRPr="007F6332">
        <w:rPr>
          <w:rFonts w:cs="Arial"/>
        </w:rPr>
        <w:t>Civic. Over</w:t>
      </w:r>
      <w:r w:rsidRPr="007F6332">
        <w:rPr>
          <w:rFonts w:cs="Arial"/>
        </w:rPr>
        <w:t xml:space="preserve"> </w:t>
      </w:r>
      <w:r w:rsidR="000A1C89" w:rsidRPr="007F6332">
        <w:rPr>
          <w:rFonts w:cs="Arial"/>
        </w:rPr>
        <w:t xml:space="preserve">the </w:t>
      </w:r>
      <w:r w:rsidR="00665C28" w:rsidRPr="007F6332">
        <w:rPr>
          <w:rFonts w:cs="Arial"/>
        </w:rPr>
        <w:t>last</w:t>
      </w:r>
      <w:r w:rsidRPr="007F6332">
        <w:rPr>
          <w:rFonts w:cs="Arial"/>
        </w:rPr>
        <w:t xml:space="preserve"> 3 years, the average annualised payment for Daily Activities increased by 5.2% and 14.3% for </w:t>
      </w:r>
      <w:r w:rsidR="007470D0" w:rsidRPr="007F6332">
        <w:rPr>
          <w:rFonts w:cs="Arial"/>
        </w:rPr>
        <w:t>S</w:t>
      </w:r>
      <w:r w:rsidRPr="007F6332">
        <w:rPr>
          <w:rFonts w:cs="Arial"/>
        </w:rPr>
        <w:t xml:space="preserve">ocial </w:t>
      </w:r>
      <w:r w:rsidR="007470D0" w:rsidRPr="007F6332">
        <w:rPr>
          <w:rFonts w:cs="Arial"/>
        </w:rPr>
        <w:t>C</w:t>
      </w:r>
      <w:r w:rsidRPr="007F6332">
        <w:rPr>
          <w:rFonts w:cs="Arial"/>
        </w:rPr>
        <w:t xml:space="preserve">ommunity </w:t>
      </w:r>
      <w:r w:rsidR="007470D0" w:rsidRPr="007F6332">
        <w:rPr>
          <w:rFonts w:cs="Arial"/>
        </w:rPr>
        <w:t>C</w:t>
      </w:r>
      <w:r w:rsidRPr="007F6332">
        <w:rPr>
          <w:rFonts w:cs="Arial"/>
        </w:rPr>
        <w:t>ivic.</w:t>
      </w:r>
      <w:r w:rsidRPr="007F6332">
        <w:rPr>
          <w:rFonts w:cs="Arial"/>
          <w:b/>
          <w:bCs/>
        </w:rPr>
        <w:t xml:space="preserve"> </w:t>
      </w:r>
    </w:p>
    <w:p w14:paraId="0F1CB383" w14:textId="0FAFDF18" w:rsidR="00541F54" w:rsidRPr="007F6332" w:rsidRDefault="00541F54" w:rsidP="00283EE0">
      <w:pPr>
        <w:pStyle w:val="FiguresandTablesHeading5"/>
      </w:pPr>
      <w:r w:rsidRPr="007F6332">
        <w:t>Figure E.3: Average annualised payments for participants in Daily Activit</w:t>
      </w:r>
      <w:r w:rsidR="007470D0" w:rsidRPr="007F6332">
        <w:t>ies</w:t>
      </w:r>
      <w:r w:rsidRPr="007F6332">
        <w:t xml:space="preserve"> and Social Community Civic support </w:t>
      </w:r>
      <w:r w:rsidR="007470D0" w:rsidRPr="007F6332">
        <w:t>categories</w:t>
      </w:r>
    </w:p>
    <w:p w14:paraId="5B1F51B9" w14:textId="217B8E9E" w:rsidR="00541F54" w:rsidRPr="007F6332" w:rsidRDefault="00B16891" w:rsidP="00541F54">
      <w:pPr>
        <w:pStyle w:val="FSRnormal"/>
        <w:rPr>
          <w:rFonts w:cs="Arial"/>
        </w:rPr>
      </w:pPr>
      <w:r w:rsidRPr="007F6332">
        <w:rPr>
          <w:rFonts w:cs="Arial"/>
          <w:noProof/>
        </w:rPr>
        <w:drawing>
          <wp:inline distT="0" distB="0" distL="0" distR="0" wp14:anchorId="4CE0EF99" wp14:editId="5355ECAD">
            <wp:extent cx="5821680" cy="2816093"/>
            <wp:effectExtent l="0" t="0" r="7620" b="3810"/>
            <wp:docPr id="1949218497" name="Picture 2" descr="Figure E.3: Average annualised payments for participants in Daily Activities and Social Community Civic support categories. Daily activities saw an average annual increase of 5.4% with and +6.6% increase between 2.21-22 to 2022-23. Social community civic  saw an average annual increase of 14.3% with and +27.4% increase between 2.21-22 to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18497" name="Picture 2" descr="Figure E.3: Average annualised payments for participants in Daily Activities and Social Community Civic support categories. Daily activities saw an average annual increase of 5.4% with and +6.6% increase between 2.21-22 to 2022-23. Social community civic  saw an average annual increase of 14.3% with and +27.4% increase between 2.21-22 to 2022-2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821680" cy="2816093"/>
                    </a:xfrm>
                    <a:prstGeom prst="rect">
                      <a:avLst/>
                    </a:prstGeom>
                    <a:noFill/>
                  </pic:spPr>
                </pic:pic>
              </a:graphicData>
            </a:graphic>
          </wp:inline>
        </w:drawing>
      </w:r>
    </w:p>
    <w:p w14:paraId="25B6F760" w14:textId="77777777" w:rsidR="00E56A04" w:rsidRPr="007F6332" w:rsidRDefault="00E56A04" w:rsidP="00541F54">
      <w:pPr>
        <w:pStyle w:val="FSRnormal"/>
        <w:rPr>
          <w:rFonts w:cs="Arial"/>
          <w:b/>
          <w:bCs/>
        </w:rPr>
        <w:sectPr w:rsidR="00E56A04" w:rsidRPr="007F6332" w:rsidSect="00CE7E91">
          <w:pgSz w:w="11906" w:h="16838"/>
          <w:pgMar w:top="1440" w:right="1416" w:bottom="1440" w:left="1440" w:header="708" w:footer="850" w:gutter="0"/>
          <w:cols w:space="708"/>
          <w:titlePg/>
          <w:docGrid w:linePitch="360"/>
        </w:sectPr>
      </w:pPr>
    </w:p>
    <w:p w14:paraId="5B8F1BB1" w14:textId="7460A40C" w:rsidR="00541F54" w:rsidRPr="007F6332" w:rsidRDefault="00541F54" w:rsidP="00F26AC5">
      <w:pPr>
        <w:pStyle w:val="FSRHeading4"/>
        <w:rPr>
          <w:rFonts w:cs="Arial"/>
        </w:rPr>
      </w:pPr>
      <w:r w:rsidRPr="007F6332">
        <w:rPr>
          <w:rFonts w:cs="Arial"/>
        </w:rPr>
        <w:lastRenderedPageBreak/>
        <w:t>Average annualised payments by participants’ remoteness</w:t>
      </w:r>
    </w:p>
    <w:p w14:paraId="1C264E50" w14:textId="76C91073" w:rsidR="00541F54" w:rsidRPr="007F6332" w:rsidRDefault="00541F54" w:rsidP="00541F54">
      <w:pPr>
        <w:pStyle w:val="FSRnormal"/>
        <w:rPr>
          <w:rFonts w:cs="Arial"/>
        </w:rPr>
      </w:pPr>
      <w:r w:rsidRPr="007F6332">
        <w:rPr>
          <w:rFonts w:cs="Arial"/>
        </w:rPr>
        <w:t>68% of participants in the Scheme identif</w:t>
      </w:r>
      <w:r w:rsidR="00937C03" w:rsidRPr="007F6332">
        <w:rPr>
          <w:rFonts w:cs="Arial"/>
        </w:rPr>
        <w:t>y</w:t>
      </w:r>
      <w:r w:rsidRPr="007F6332">
        <w:rPr>
          <w:rFonts w:cs="Arial"/>
        </w:rPr>
        <w:t xml:space="preserve"> as living in major cities with </w:t>
      </w:r>
      <w:r w:rsidR="000A1C89" w:rsidRPr="007F6332">
        <w:rPr>
          <w:rFonts w:cs="Arial"/>
        </w:rPr>
        <w:t xml:space="preserve">the </w:t>
      </w:r>
      <w:r w:rsidRPr="007F6332">
        <w:rPr>
          <w:rFonts w:cs="Arial"/>
        </w:rPr>
        <w:t xml:space="preserve">average annualised payments of t $58,500. Payments are generally higher in population-dense areas. </w:t>
      </w:r>
      <w:r w:rsidR="00937C03" w:rsidRPr="007F6332">
        <w:rPr>
          <w:rFonts w:cs="Arial"/>
        </w:rPr>
        <w:t>T</w:t>
      </w:r>
      <w:r w:rsidRPr="007F6332">
        <w:rPr>
          <w:rFonts w:cs="Arial"/>
        </w:rPr>
        <w:t>he remote communities stand out with an average payment of $66,100 (ranging from 13</w:t>
      </w:r>
      <w:r w:rsidR="000A1C89" w:rsidRPr="007F6332">
        <w:rPr>
          <w:rFonts w:cs="Arial"/>
        </w:rPr>
        <w:t>%</w:t>
      </w:r>
      <w:r w:rsidRPr="007F6332">
        <w:rPr>
          <w:rFonts w:cs="Arial"/>
        </w:rPr>
        <w:t>to 65% higher than payment in non-remote areas) at end of June 2023. See Figure E.4.</w:t>
      </w:r>
    </w:p>
    <w:p w14:paraId="577B3B56" w14:textId="0990A6F0" w:rsidR="00B8514E" w:rsidRPr="007F6332" w:rsidRDefault="00B8514E" w:rsidP="00283EE0">
      <w:pPr>
        <w:pStyle w:val="FiguresandTablesHeading5"/>
      </w:pPr>
      <w:r w:rsidRPr="007F6332">
        <w:t>Figure E.4: Average annualised payments of participants by remoteness for 2022-23</w:t>
      </w:r>
    </w:p>
    <w:p w14:paraId="2FA7D3F6" w14:textId="5287461D" w:rsidR="00B8514E" w:rsidRPr="007F6332" w:rsidRDefault="00584345" w:rsidP="00283EE0">
      <w:pPr>
        <w:pStyle w:val="FSRHeading4"/>
      </w:pPr>
      <w:r w:rsidRPr="007F6332">
        <w:rPr>
          <w:noProof/>
          <w:highlight w:val="yellow"/>
        </w:rPr>
        <w:drawing>
          <wp:inline distT="0" distB="0" distL="0" distR="0" wp14:anchorId="4E1F55C4" wp14:editId="5D264897">
            <wp:extent cx="6152515" cy="3009265"/>
            <wp:effectExtent l="0" t="0" r="635" b="635"/>
            <wp:docPr id="1108701392" name="Picture 1" descr="Figure E.4: Average annualised payments of participants by remoteness for 2022-2023.&#10;Major cities, Average annualised payment was $58,500.&#10;Population &gt; 5000, Average annualised payment was $58,400.&#10;Population 15,000 to 50,000, Average annualised payment was $57,100.&#10;Population 5,000 to 15,000, Average annualised payment was $49.900.&#10;Population &lt; 5,000, Average annualised payment was $40,100.&#10;Remote, Average annualised payment was $66,100.&#10;Very Remote, Average annualised payment was $42,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01392" name="Picture 1" descr="Figure E.4: Average annualised payments of participants by remoteness for 2022-2023.&#10;Major cities, Average annualised payment was $58,500.&#10;Population &gt; 5000, Average annualised payment was $58,400.&#10;Population 15,000 to 50,000, Average annualised payment was $57,100.&#10;Population 5,000 to 15,000, Average annualised payment was $49.900.&#10;Population &lt; 5,000, Average annualised payment was $40,100.&#10;Remote, Average annualised payment was $66,100.&#10;Very Remote, Average annualised payment was $42,000.&#10;"/>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r="2538" b="22878"/>
                    <a:stretch/>
                  </pic:blipFill>
                  <pic:spPr bwMode="auto">
                    <a:xfrm>
                      <a:off x="0" y="0"/>
                      <a:ext cx="6152515" cy="3009265"/>
                    </a:xfrm>
                    <a:prstGeom prst="rect">
                      <a:avLst/>
                    </a:prstGeom>
                    <a:noFill/>
                    <a:ln>
                      <a:noFill/>
                    </a:ln>
                    <a:extLst>
                      <a:ext uri="{53640926-AAD7-44D8-BBD7-CCE9431645EC}">
                        <a14:shadowObscured xmlns:a14="http://schemas.microsoft.com/office/drawing/2010/main"/>
                      </a:ext>
                    </a:extLst>
                  </pic:spPr>
                </pic:pic>
              </a:graphicData>
            </a:graphic>
          </wp:inline>
        </w:drawing>
      </w:r>
      <w:r w:rsidR="00541F54" w:rsidRPr="007F6332">
        <w:t>Average annualised payments for First Nations peoples</w:t>
      </w:r>
    </w:p>
    <w:p w14:paraId="21472304" w14:textId="644E01AA" w:rsidR="00541F54" w:rsidRPr="007F6332" w:rsidRDefault="00541F54" w:rsidP="00B8514E">
      <w:pPr>
        <w:pStyle w:val="FSRnormal"/>
        <w:rPr>
          <w:rFonts w:cs="Arial"/>
        </w:rPr>
      </w:pPr>
      <w:r w:rsidRPr="007F6332">
        <w:rPr>
          <w:rFonts w:cs="Arial"/>
        </w:rPr>
        <w:t xml:space="preserve">8% of participants </w:t>
      </w:r>
      <w:r w:rsidR="00665C28" w:rsidRPr="007F6332">
        <w:rPr>
          <w:rFonts w:cs="Arial"/>
        </w:rPr>
        <w:t xml:space="preserve">in the Scheme </w:t>
      </w:r>
      <w:r w:rsidRPr="007F6332">
        <w:rPr>
          <w:rFonts w:cs="Arial"/>
        </w:rPr>
        <w:t>identify as First Nations peoples</w:t>
      </w:r>
      <w:r w:rsidR="00665C28" w:rsidRPr="007F6332">
        <w:rPr>
          <w:rFonts w:cs="Arial"/>
        </w:rPr>
        <w:t>. There</w:t>
      </w:r>
      <w:r w:rsidR="00464078" w:rsidRPr="007F6332">
        <w:rPr>
          <w:rFonts w:cs="Arial"/>
        </w:rPr>
        <w:t xml:space="preserve"> average </w:t>
      </w:r>
      <w:r w:rsidR="008B1FAC" w:rsidRPr="007F6332">
        <w:rPr>
          <w:rFonts w:cs="Arial"/>
        </w:rPr>
        <w:t>annualises</w:t>
      </w:r>
      <w:r w:rsidR="00464078" w:rsidRPr="007F6332">
        <w:rPr>
          <w:rFonts w:cs="Arial"/>
        </w:rPr>
        <w:t xml:space="preserve"> payments</w:t>
      </w:r>
      <w:r w:rsidR="00665C28" w:rsidRPr="007F6332">
        <w:rPr>
          <w:rFonts w:cs="Arial"/>
        </w:rPr>
        <w:t xml:space="preserve"> were $57,600</w:t>
      </w:r>
      <w:r w:rsidRPr="007F6332">
        <w:rPr>
          <w:rFonts w:cs="Arial"/>
        </w:rPr>
        <w:t xml:space="preserve"> </w:t>
      </w:r>
      <w:r w:rsidR="000A1C89" w:rsidRPr="007F6332">
        <w:rPr>
          <w:rFonts w:cs="Arial"/>
        </w:rPr>
        <w:t xml:space="preserve">was </w:t>
      </w:r>
      <w:r w:rsidRPr="007F6332">
        <w:rPr>
          <w:rFonts w:cs="Arial"/>
        </w:rPr>
        <w:t xml:space="preserve">lower than participants who </w:t>
      </w:r>
      <w:r w:rsidR="001811BD" w:rsidRPr="007F6332">
        <w:rPr>
          <w:rFonts w:cs="Arial"/>
        </w:rPr>
        <w:t>do</w:t>
      </w:r>
      <w:r w:rsidR="008B1FAC" w:rsidRPr="007F6332">
        <w:rPr>
          <w:rFonts w:cs="Arial"/>
        </w:rPr>
        <w:t xml:space="preserve"> </w:t>
      </w:r>
      <w:r w:rsidRPr="007F6332">
        <w:rPr>
          <w:rFonts w:cs="Arial"/>
        </w:rPr>
        <w:t xml:space="preserve">not </w:t>
      </w:r>
      <w:r w:rsidR="000A1C89" w:rsidRPr="007F6332">
        <w:rPr>
          <w:rFonts w:cs="Arial"/>
        </w:rPr>
        <w:t>identify</w:t>
      </w:r>
      <w:r w:rsidR="00665C28" w:rsidRPr="007F6332">
        <w:rPr>
          <w:rFonts w:cs="Arial"/>
        </w:rPr>
        <w:t xml:space="preserve"> as First Nations peoples totalling</w:t>
      </w:r>
      <w:r w:rsidRPr="007F6332">
        <w:rPr>
          <w:rFonts w:cs="Arial"/>
        </w:rPr>
        <w:t xml:space="preserve"> $59,600.</w:t>
      </w:r>
      <w:r w:rsidR="008B1FAC" w:rsidRPr="007F6332">
        <w:rPr>
          <w:rFonts w:cs="Arial"/>
        </w:rPr>
        <w:t xml:space="preserve"> </w:t>
      </w:r>
      <w:r w:rsidRPr="007F6332">
        <w:rPr>
          <w:rFonts w:cs="Arial"/>
        </w:rPr>
        <w:t xml:space="preserve">Over the last two years, </w:t>
      </w:r>
      <w:r w:rsidR="000A1C89" w:rsidRPr="007F6332">
        <w:rPr>
          <w:rFonts w:cs="Arial"/>
        </w:rPr>
        <w:t xml:space="preserve">the </w:t>
      </w:r>
      <w:r w:rsidRPr="007F6332">
        <w:rPr>
          <w:rFonts w:cs="Arial"/>
        </w:rPr>
        <w:t xml:space="preserve">average annualised payments increased by 5.2% for both participants identifying and not identifying as First Nations </w:t>
      </w:r>
      <w:r w:rsidR="00937C03" w:rsidRPr="007F6332">
        <w:rPr>
          <w:rFonts w:cs="Arial"/>
        </w:rPr>
        <w:t>Peoples</w:t>
      </w:r>
      <w:r w:rsidRPr="007F6332">
        <w:rPr>
          <w:rFonts w:cs="Arial"/>
        </w:rPr>
        <w:t xml:space="preserve">, as shown in Figure E.5. </w:t>
      </w:r>
    </w:p>
    <w:p w14:paraId="6C69D9B9" w14:textId="77777777" w:rsidR="0076644E" w:rsidRPr="007F6332" w:rsidRDefault="0076644E" w:rsidP="00541F54">
      <w:pPr>
        <w:pStyle w:val="FSRnormal"/>
        <w:rPr>
          <w:rFonts w:cs="Arial"/>
        </w:rPr>
        <w:sectPr w:rsidR="0076644E" w:rsidRPr="007F6332" w:rsidSect="00CE7E91">
          <w:pgSz w:w="11906" w:h="16838"/>
          <w:pgMar w:top="1440" w:right="1416" w:bottom="1440" w:left="1440" w:header="708" w:footer="850" w:gutter="0"/>
          <w:cols w:space="708"/>
          <w:titlePg/>
          <w:docGrid w:linePitch="360"/>
        </w:sectPr>
      </w:pPr>
    </w:p>
    <w:p w14:paraId="4782D774" w14:textId="77777777" w:rsidR="00CB524D" w:rsidRPr="007F6332" w:rsidRDefault="00541F54" w:rsidP="00283EE0">
      <w:pPr>
        <w:pStyle w:val="FiguresandTablesHeading5"/>
      </w:pPr>
      <w:r w:rsidRPr="007F6332">
        <w:lastRenderedPageBreak/>
        <w:t>Figure E.5: Average annualised payments of participants identifying as First Nations peoples</w:t>
      </w:r>
    </w:p>
    <w:p w14:paraId="5E54ABFE" w14:textId="61213520" w:rsidR="00BB0E57" w:rsidRPr="007F6332" w:rsidRDefault="00CB524D" w:rsidP="00E81C0D">
      <w:pPr>
        <w:pStyle w:val="FSRHeading4"/>
        <w:rPr>
          <w:rFonts w:cs="Arial"/>
        </w:rPr>
      </w:pPr>
      <w:r w:rsidRPr="007F6332">
        <w:rPr>
          <w:rFonts w:cs="Arial"/>
          <w:noProof/>
        </w:rPr>
        <w:drawing>
          <wp:inline distT="0" distB="0" distL="0" distR="0" wp14:anchorId="0C9EB75E" wp14:editId="0366BAE6">
            <wp:extent cx="5864860" cy="2603500"/>
            <wp:effectExtent l="0" t="0" r="2540" b="0"/>
            <wp:docPr id="781642319" name="Picture 13" descr="The chart show the average annualised payments for participants identified as First Nations People and participants that do not identify as First Nations People over time.  For participant identified as First Nation People, their average annualised payments start from $52,050 in 2020-21 to $57,629 in 2022-23, an average increase of 5.2% per annum. For participant not identified as First Nation People, their average annualised payments start from $53,938 in 2020-21 to $59,639 in 2022-23, an average increase of 5.2% per an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42319" name="Picture 13" descr="The chart show the average annualised payments for participants identified as First Nations People and participants that do not identify as First Nations People over time.  For participant identified as First Nation People, their average annualised payments start from $52,050 in 2020-21 to $57,629 in 2022-23, an average increase of 5.2% per annum. For participant not identified as First Nation People, their average annualised payments start from $53,938 in 2020-21 to $59,639 in 2022-23, an average increase of 5.2% per annum."/>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64860" cy="2603500"/>
                    </a:xfrm>
                    <a:prstGeom prst="rect">
                      <a:avLst/>
                    </a:prstGeom>
                    <a:noFill/>
                  </pic:spPr>
                </pic:pic>
              </a:graphicData>
            </a:graphic>
          </wp:inline>
        </w:drawing>
      </w:r>
      <w:r w:rsidR="00BB0E57" w:rsidRPr="007F6332">
        <w:rPr>
          <w:rFonts w:cs="Arial"/>
        </w:rPr>
        <w:t>Average annualised payments have increased across all primary disability groups</w:t>
      </w:r>
    </w:p>
    <w:p w14:paraId="13DC6F29" w14:textId="1748C906" w:rsidR="00541F54" w:rsidRPr="007F6332" w:rsidRDefault="00464078" w:rsidP="00541F54">
      <w:pPr>
        <w:pStyle w:val="FSRnormal"/>
        <w:rPr>
          <w:rFonts w:cs="Arial"/>
        </w:rPr>
      </w:pPr>
      <w:r w:rsidRPr="007F6332">
        <w:rPr>
          <w:rFonts w:cs="Arial"/>
        </w:rPr>
        <w:t xml:space="preserve">There was a </w:t>
      </w:r>
      <w:r w:rsidR="00541F54" w:rsidRPr="007F6332">
        <w:rPr>
          <w:rFonts w:cs="Arial"/>
        </w:rPr>
        <w:t xml:space="preserve">greater increase </w:t>
      </w:r>
      <w:r w:rsidRPr="007F6332">
        <w:rPr>
          <w:rFonts w:cs="Arial"/>
        </w:rPr>
        <w:t>in</w:t>
      </w:r>
      <w:r w:rsidR="00541F54" w:rsidRPr="007F6332">
        <w:rPr>
          <w:rFonts w:cs="Arial"/>
        </w:rPr>
        <w:t xml:space="preserve"> disability groups associated with older participants </w:t>
      </w:r>
      <w:r w:rsidRPr="007F6332">
        <w:rPr>
          <w:rFonts w:cs="Arial"/>
        </w:rPr>
        <w:t xml:space="preserve">who </w:t>
      </w:r>
      <w:r w:rsidR="00541F54" w:rsidRPr="007F6332">
        <w:rPr>
          <w:rFonts w:cs="Arial"/>
        </w:rPr>
        <w:t>acquired</w:t>
      </w:r>
      <w:r w:rsidRPr="007F6332">
        <w:rPr>
          <w:rFonts w:cs="Arial"/>
        </w:rPr>
        <w:t xml:space="preserve"> a</w:t>
      </w:r>
      <w:r w:rsidR="00541F54" w:rsidRPr="007F6332">
        <w:rPr>
          <w:rFonts w:cs="Arial"/>
        </w:rPr>
        <w:t xml:space="preserve"> brain injury or </w:t>
      </w:r>
      <w:r w:rsidR="000A1C89" w:rsidRPr="007F6332">
        <w:rPr>
          <w:rFonts w:cs="Arial"/>
        </w:rPr>
        <w:t xml:space="preserve">who developed a </w:t>
      </w:r>
      <w:r w:rsidR="00541F54" w:rsidRPr="007F6332">
        <w:rPr>
          <w:rFonts w:cs="Arial"/>
        </w:rPr>
        <w:t xml:space="preserve">psychosocial disability, compared with other groups. </w:t>
      </w:r>
      <w:r w:rsidRPr="007F6332">
        <w:rPr>
          <w:rFonts w:cs="Arial"/>
        </w:rPr>
        <w:t xml:space="preserve">Participants </w:t>
      </w:r>
      <w:r w:rsidR="00541F54" w:rsidRPr="007F6332">
        <w:rPr>
          <w:rFonts w:cs="Arial"/>
        </w:rPr>
        <w:t xml:space="preserve">with autism tend to be younger on average, </w:t>
      </w:r>
      <w:r w:rsidRPr="007F6332">
        <w:rPr>
          <w:rFonts w:cs="Arial"/>
        </w:rPr>
        <w:t xml:space="preserve">with </w:t>
      </w:r>
      <w:r w:rsidR="00541F54" w:rsidRPr="007F6332">
        <w:rPr>
          <w:rFonts w:cs="Arial"/>
        </w:rPr>
        <w:t>lower growth in average annualised payment</w:t>
      </w:r>
      <w:r w:rsidRPr="007F6332">
        <w:rPr>
          <w:rFonts w:cs="Arial"/>
        </w:rPr>
        <w:t>s</w:t>
      </w:r>
      <w:r w:rsidR="000A1C89" w:rsidRPr="007F6332">
        <w:rPr>
          <w:rFonts w:cs="Arial"/>
        </w:rPr>
        <w:t xml:space="preserve"> </w:t>
      </w:r>
      <w:r w:rsidR="00665C28" w:rsidRPr="007F6332">
        <w:rPr>
          <w:rFonts w:cs="Arial"/>
        </w:rPr>
        <w:t xml:space="preserve">of </w:t>
      </w:r>
      <w:r w:rsidR="00541F54" w:rsidRPr="007F6332">
        <w:rPr>
          <w:rFonts w:cs="Arial"/>
        </w:rPr>
        <w:t>5%</w:t>
      </w:r>
      <w:r w:rsidR="00665C28" w:rsidRPr="007F6332">
        <w:rPr>
          <w:rFonts w:cs="Arial"/>
        </w:rPr>
        <w:t>,</w:t>
      </w:r>
      <w:r w:rsidR="00541F54" w:rsidRPr="007F6332">
        <w:rPr>
          <w:rFonts w:cs="Arial"/>
        </w:rPr>
        <w:t xml:space="preserve"> compared to the overall increase</w:t>
      </w:r>
      <w:r w:rsidRPr="007F6332">
        <w:rPr>
          <w:rFonts w:cs="Arial"/>
        </w:rPr>
        <w:t xml:space="preserve"> of</w:t>
      </w:r>
      <w:r w:rsidR="00541F54" w:rsidRPr="007F6332">
        <w:rPr>
          <w:rFonts w:cs="Arial"/>
        </w:rPr>
        <w:t xml:space="preserve"> 6%</w:t>
      </w:r>
      <w:r w:rsidRPr="007F6332">
        <w:rPr>
          <w:rFonts w:cs="Arial"/>
        </w:rPr>
        <w:t xml:space="preserve">, refer to </w:t>
      </w:r>
      <w:r w:rsidR="00541F54" w:rsidRPr="007F6332">
        <w:rPr>
          <w:rFonts w:cs="Arial"/>
        </w:rPr>
        <w:t>Figure E.6.</w:t>
      </w:r>
    </w:p>
    <w:p w14:paraId="6F53A8AD" w14:textId="66BC85A6" w:rsidR="0076644E" w:rsidRPr="007F6332" w:rsidRDefault="0076644E" w:rsidP="0076644E">
      <w:pPr>
        <w:pStyle w:val="FSRnormal"/>
        <w:rPr>
          <w:rFonts w:cs="Arial"/>
        </w:rPr>
      </w:pPr>
      <w:r w:rsidRPr="007F6332">
        <w:rPr>
          <w:rFonts w:cs="Arial"/>
        </w:rPr>
        <w:t>Figure E.6: Shows the average annualised payments over time, from 2019-20 to 2022-23, by disability group.</w:t>
      </w:r>
    </w:p>
    <w:p w14:paraId="2CC5B131" w14:textId="1FF8940E" w:rsidR="00AD33D4" w:rsidRPr="007F6332" w:rsidRDefault="00B8514E" w:rsidP="00283EE0">
      <w:pPr>
        <w:pStyle w:val="FiguresandTablesHeading5"/>
        <w:sectPr w:rsidR="00AD33D4" w:rsidRPr="007F6332" w:rsidSect="00CE7E91">
          <w:pgSz w:w="11906" w:h="16838"/>
          <w:pgMar w:top="1440" w:right="1416" w:bottom="1440" w:left="1440" w:header="708" w:footer="850" w:gutter="0"/>
          <w:cols w:space="708"/>
          <w:titlePg/>
          <w:docGrid w:linePitch="360"/>
        </w:sectPr>
      </w:pPr>
      <w:r w:rsidRPr="007F6332">
        <w:t>Figure E.6: Average annualised payments over time by disability group ($)</w:t>
      </w:r>
      <w:r w:rsidR="0076644E" w:rsidRPr="007F6332">
        <w:rPr>
          <w:noProof/>
        </w:rPr>
        <w:drawing>
          <wp:inline distT="0" distB="0" distL="0" distR="0" wp14:anchorId="5CAD3658" wp14:editId="48CB6AD0">
            <wp:extent cx="5487035" cy="3091180"/>
            <wp:effectExtent l="0" t="0" r="0" b="0"/>
            <wp:docPr id="1089296032" name="Picture 11" descr="The average payment for 2022-23 and the annualised rate of growth over the period 2019-20 to 2022-23 for each disability group is:&#10;Autism: 2022-23 average payment of $33,900, average annual growth rate of 5%.&#10;Delay: 2022-23 average payment of $12,800, average annual growth rate of 9%.&#10;Intellectual Disability: 2022-23 average payment of $99,800, average annual growth rate of 7%.&#10;Other Neurological: 2022-23 average payment of $125,000, average annual growth rate of 17%.&#10;Psychosocial Disability: 2022-23 average payment of $71,800, average annual growth rate of 20%.&#10;Other: 2022-23 average payment of $71,100, average annual growth rate of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96032" name="Picture 11" descr="The average payment for 2022-23 and the annualised rate of growth over the period 2019-20 to 2022-23 for each disability group is:&#10;Autism: 2022-23 average payment of $33,900, average annual growth rate of 5%.&#10;Delay: 2022-23 average payment of $12,800, average annual growth rate of 9%.&#10;Intellectual Disability: 2022-23 average payment of $99,800, average annual growth rate of 7%.&#10;Other Neurological: 2022-23 average payment of $125,000, average annual growth rate of 17%.&#10;Psychosocial Disability: 2022-23 average payment of $71,800, average annual growth rate of 20%.&#10;Other: 2022-23 average payment of $71,100, average annual growth rate of 6%.&#1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87035" cy="3091180"/>
                    </a:xfrm>
                    <a:prstGeom prst="rect">
                      <a:avLst/>
                    </a:prstGeom>
                    <a:noFill/>
                  </pic:spPr>
                </pic:pic>
              </a:graphicData>
            </a:graphic>
          </wp:inline>
        </w:drawing>
      </w:r>
    </w:p>
    <w:p w14:paraId="1BB614B1" w14:textId="659F1BB9" w:rsidR="00893BA1" w:rsidRPr="007F6332" w:rsidRDefault="00893BA1" w:rsidP="008B34A8">
      <w:pPr>
        <w:pStyle w:val="FSRHeading3"/>
      </w:pPr>
      <w:bookmarkStart w:id="307" w:name="_Toc152615023"/>
      <w:r w:rsidRPr="007F6332">
        <w:lastRenderedPageBreak/>
        <w:t>Appendix F</w:t>
      </w:r>
      <w:bookmarkStart w:id="308" w:name="_Ref142568308"/>
      <w:r w:rsidR="00516710" w:rsidRPr="007F6332">
        <w:tab/>
      </w:r>
      <w:r w:rsidRPr="007F6332">
        <w:t xml:space="preserve">Scheme experience – </w:t>
      </w:r>
      <w:r w:rsidR="005F6D27" w:rsidRPr="007F6332">
        <w:t>plan budgets</w:t>
      </w:r>
      <w:bookmarkEnd w:id="307"/>
    </w:p>
    <w:p w14:paraId="33448066" w14:textId="77777777" w:rsidR="00893BA1" w:rsidRPr="007F6332" w:rsidRDefault="00893BA1" w:rsidP="00893BA1">
      <w:pPr>
        <w:pStyle w:val="FSRHeading4"/>
        <w:rPr>
          <w:rFonts w:cs="Arial"/>
        </w:rPr>
      </w:pPr>
      <w:r w:rsidRPr="007F6332">
        <w:rPr>
          <w:rFonts w:cs="Arial"/>
        </w:rPr>
        <w:t>Average plan budgets by other characteristics</w:t>
      </w:r>
    </w:p>
    <w:bookmarkEnd w:id="308"/>
    <w:p w14:paraId="65FEA870" w14:textId="14DB08BD" w:rsidR="00893BA1" w:rsidRPr="007F6332" w:rsidRDefault="0045717D" w:rsidP="00893BA1">
      <w:pPr>
        <w:pStyle w:val="FSRnormal"/>
        <w:rPr>
          <w:rFonts w:cs="Arial"/>
        </w:rPr>
      </w:pPr>
      <w:r w:rsidRPr="007F6332">
        <w:rPr>
          <w:rFonts w:cs="Arial"/>
        </w:rPr>
        <w:t>Table F.1</w:t>
      </w:r>
      <w:r w:rsidR="00893BA1" w:rsidRPr="007F6332">
        <w:rPr>
          <w:rFonts w:cs="Arial"/>
        </w:rPr>
        <w:t xml:space="preserve"> highlights the average annualised plan budgets by disability group, for the last four financial years. </w:t>
      </w:r>
    </w:p>
    <w:p w14:paraId="7590B34A" w14:textId="6BFD52E6" w:rsidR="00893BA1" w:rsidRPr="007F6332" w:rsidRDefault="00DA18BF" w:rsidP="00DA18BF">
      <w:pPr>
        <w:pStyle w:val="FSRnormal"/>
        <w:rPr>
          <w:rFonts w:cs="Arial"/>
        </w:rPr>
      </w:pPr>
      <w:r w:rsidRPr="007F6332">
        <w:rPr>
          <w:rFonts w:cs="Arial"/>
        </w:rPr>
        <w:t>Plan budgets have increased comparatively more across disability groups consisting of older participants and/or participants with lower reported levels of functioning, including participants with acquired brain injury, other neurological, stroke and psychosocial disabilities. Disability groups consisting of younger participants with autism, developmental delay and sensory related disabilities have experienced lower growth in plan budgets.</w:t>
      </w:r>
    </w:p>
    <w:p w14:paraId="4B3B1F95" w14:textId="3D9C6558" w:rsidR="00893BA1" w:rsidRPr="007F6332" w:rsidRDefault="0045717D" w:rsidP="00283EE0">
      <w:pPr>
        <w:pStyle w:val="FiguresandTablesHeading5"/>
      </w:pPr>
      <w:r w:rsidRPr="007F6332">
        <w:t>Table F.1</w:t>
      </w:r>
      <w:r w:rsidR="00893BA1" w:rsidRPr="007F6332">
        <w:t>: Average annualised plan budget by disability group ($)</w:t>
      </w:r>
      <w:r w:rsidR="00893BA1" w:rsidRPr="007F6332">
        <w:rPr>
          <w:rStyle w:val="FootnoteReference"/>
        </w:rPr>
        <w:footnoteReference w:id="171"/>
      </w:r>
      <w:r w:rsidR="00893BA1" w:rsidRPr="007F6332">
        <w:rPr>
          <w:rFonts w:eastAsiaTheme="minorHAnsi"/>
          <w:bCs/>
          <w:szCs w:val="18"/>
          <w:lang w:eastAsia="en-US"/>
        </w:rPr>
        <w:fldChar w:fldCharType="begin"/>
      </w:r>
      <w:r w:rsidR="00893BA1" w:rsidRPr="007F6332">
        <w:instrText xml:space="preserve"> LINK Excel.Sheet.12 "\\\\spoalternatestoragev2.file.core.windows.net\\osashares\\Secured\\NDIA_FSR\\2022-23\\Jun23 AFSR\\1. Tables and Charts\\Master spreadsheet\\_5_Scheme_experience_payment.xlsx" "Summary-one way!R17C32:R32C38" \a \f 4 \h  \* MERGEFORMAT </w:instrText>
      </w:r>
      <w:r w:rsidR="00893BA1" w:rsidRPr="007F6332">
        <w:rPr>
          <w:rFonts w:eastAsiaTheme="minorHAnsi"/>
          <w:bCs/>
          <w:szCs w:val="18"/>
          <w:lang w:eastAsia="en-US"/>
        </w:rPr>
        <w:fldChar w:fldCharType="separate"/>
      </w:r>
    </w:p>
    <w:tbl>
      <w:tblPr>
        <w:tblW w:w="5104" w:type="pct"/>
        <w:tblLook w:val="04A0" w:firstRow="1" w:lastRow="0" w:firstColumn="1" w:lastColumn="0" w:noHBand="0" w:noVBand="1"/>
      </w:tblPr>
      <w:tblGrid>
        <w:gridCol w:w="2442"/>
        <w:gridCol w:w="1190"/>
        <w:gridCol w:w="1190"/>
        <w:gridCol w:w="1190"/>
        <w:gridCol w:w="1191"/>
        <w:gridCol w:w="1085"/>
        <w:gridCol w:w="950"/>
      </w:tblGrid>
      <w:tr w:rsidR="00893BA1" w:rsidRPr="007F6332" w14:paraId="3003DD93" w14:textId="77777777" w:rsidTr="003B643B">
        <w:trPr>
          <w:trHeight w:val="386"/>
        </w:trPr>
        <w:tc>
          <w:tcPr>
            <w:tcW w:w="1106" w:type="pct"/>
            <w:shd w:val="clear" w:color="auto" w:fill="6B2976"/>
            <w:noWrap/>
            <w:vAlign w:val="center"/>
            <w:hideMark/>
          </w:tcPr>
          <w:p w14:paraId="36378127" w14:textId="77777777" w:rsidR="00893BA1" w:rsidRPr="007F6332" w:rsidRDefault="00893BA1">
            <w:pPr>
              <w:spacing w:after="0" w:line="240" w:lineRule="auto"/>
              <w:rPr>
                <w:rFonts w:eastAsia="Times New Roman" w:cs="Arial"/>
                <w:b/>
                <w:color w:val="FFFFFF"/>
                <w:szCs w:val="22"/>
                <w:lang w:eastAsia="en-AU"/>
              </w:rPr>
            </w:pPr>
            <w:r w:rsidRPr="007F6332">
              <w:rPr>
                <w:rFonts w:eastAsia="Times New Roman" w:cs="Arial"/>
                <w:b/>
                <w:color w:val="FFFFFF"/>
                <w:szCs w:val="22"/>
                <w:lang w:eastAsia="en-AU"/>
              </w:rPr>
              <w:t>Disability group</w:t>
            </w:r>
          </w:p>
        </w:tc>
        <w:tc>
          <w:tcPr>
            <w:tcW w:w="726" w:type="pct"/>
            <w:shd w:val="clear" w:color="auto" w:fill="6B2976"/>
            <w:noWrap/>
            <w:vAlign w:val="center"/>
            <w:hideMark/>
          </w:tcPr>
          <w:p w14:paraId="144C7F51" w14:textId="77777777" w:rsidR="00587C35" w:rsidRPr="007F6332" w:rsidRDefault="00893BA1">
            <w:pPr>
              <w:spacing w:after="0" w:line="240" w:lineRule="auto"/>
              <w:jc w:val="right"/>
              <w:rPr>
                <w:rFonts w:cs="Arial"/>
                <w:b/>
                <w:bCs/>
                <w:color w:val="FFFFFF"/>
                <w:szCs w:val="22"/>
              </w:rPr>
            </w:pPr>
            <w:r w:rsidRPr="007F6332">
              <w:rPr>
                <w:rFonts w:cs="Arial"/>
                <w:b/>
                <w:bCs/>
                <w:color w:val="FFFFFF"/>
                <w:szCs w:val="22"/>
              </w:rPr>
              <w:t xml:space="preserve">30 June </w:t>
            </w:r>
          </w:p>
          <w:p w14:paraId="0A628FD6" w14:textId="1A88FC87" w:rsidR="00893BA1" w:rsidRPr="007F6332" w:rsidRDefault="00893BA1">
            <w:pPr>
              <w:spacing w:after="0" w:line="240" w:lineRule="auto"/>
              <w:jc w:val="right"/>
              <w:rPr>
                <w:rFonts w:eastAsia="Times New Roman" w:cs="Arial"/>
                <w:b/>
                <w:color w:val="FFFFFF"/>
                <w:szCs w:val="22"/>
                <w:lang w:eastAsia="en-AU"/>
              </w:rPr>
            </w:pPr>
            <w:r w:rsidRPr="007F6332">
              <w:rPr>
                <w:rFonts w:cs="Arial"/>
                <w:b/>
                <w:bCs/>
                <w:color w:val="FFFFFF"/>
                <w:szCs w:val="22"/>
              </w:rPr>
              <w:t>2020</w:t>
            </w:r>
          </w:p>
        </w:tc>
        <w:tc>
          <w:tcPr>
            <w:tcW w:w="726" w:type="pct"/>
            <w:shd w:val="clear" w:color="auto" w:fill="6B2976"/>
            <w:noWrap/>
            <w:vAlign w:val="center"/>
            <w:hideMark/>
          </w:tcPr>
          <w:p w14:paraId="06F8D54D" w14:textId="77777777" w:rsidR="00587C35" w:rsidRPr="007F6332" w:rsidRDefault="00893BA1">
            <w:pPr>
              <w:spacing w:after="0" w:line="240" w:lineRule="auto"/>
              <w:jc w:val="right"/>
              <w:rPr>
                <w:rFonts w:cs="Arial"/>
                <w:b/>
                <w:bCs/>
                <w:color w:val="FFFFFF"/>
                <w:szCs w:val="22"/>
              </w:rPr>
            </w:pPr>
            <w:r w:rsidRPr="007F6332">
              <w:rPr>
                <w:rFonts w:cs="Arial"/>
                <w:b/>
                <w:bCs/>
                <w:color w:val="FFFFFF"/>
                <w:szCs w:val="22"/>
              </w:rPr>
              <w:t xml:space="preserve">30 June </w:t>
            </w:r>
          </w:p>
          <w:p w14:paraId="0234AFFB" w14:textId="75BA4BBF" w:rsidR="00893BA1" w:rsidRPr="007F6332" w:rsidRDefault="00893BA1">
            <w:pPr>
              <w:spacing w:after="0" w:line="240" w:lineRule="auto"/>
              <w:jc w:val="right"/>
              <w:rPr>
                <w:rFonts w:eastAsia="Times New Roman" w:cs="Arial"/>
                <w:b/>
                <w:color w:val="FFFFFF"/>
                <w:szCs w:val="22"/>
                <w:lang w:eastAsia="en-AU"/>
              </w:rPr>
            </w:pPr>
            <w:r w:rsidRPr="007F6332">
              <w:rPr>
                <w:rFonts w:cs="Arial"/>
                <w:b/>
                <w:bCs/>
                <w:color w:val="FFFFFF"/>
                <w:szCs w:val="22"/>
              </w:rPr>
              <w:t>2021</w:t>
            </w:r>
          </w:p>
        </w:tc>
        <w:tc>
          <w:tcPr>
            <w:tcW w:w="726" w:type="pct"/>
            <w:shd w:val="clear" w:color="auto" w:fill="6B2976"/>
            <w:noWrap/>
            <w:vAlign w:val="center"/>
            <w:hideMark/>
          </w:tcPr>
          <w:p w14:paraId="62A57519" w14:textId="77777777" w:rsidR="00587C35" w:rsidRPr="007F6332" w:rsidRDefault="00893BA1">
            <w:pPr>
              <w:spacing w:after="0" w:line="240" w:lineRule="auto"/>
              <w:jc w:val="right"/>
              <w:rPr>
                <w:rFonts w:cs="Arial"/>
                <w:b/>
                <w:bCs/>
                <w:color w:val="FFFFFF"/>
                <w:szCs w:val="22"/>
              </w:rPr>
            </w:pPr>
            <w:r w:rsidRPr="007F6332">
              <w:rPr>
                <w:rFonts w:cs="Arial"/>
                <w:b/>
                <w:bCs/>
                <w:color w:val="FFFFFF"/>
                <w:szCs w:val="22"/>
              </w:rPr>
              <w:t xml:space="preserve">30 June </w:t>
            </w:r>
          </w:p>
          <w:p w14:paraId="3A4FDC3E" w14:textId="24AED81C" w:rsidR="00893BA1" w:rsidRPr="007F6332" w:rsidRDefault="00893BA1">
            <w:pPr>
              <w:spacing w:after="0" w:line="240" w:lineRule="auto"/>
              <w:jc w:val="right"/>
              <w:rPr>
                <w:rFonts w:eastAsia="Times New Roman" w:cs="Arial"/>
                <w:b/>
                <w:color w:val="FFFFFF"/>
                <w:szCs w:val="22"/>
                <w:lang w:eastAsia="en-AU"/>
              </w:rPr>
            </w:pPr>
            <w:r w:rsidRPr="007F6332">
              <w:rPr>
                <w:rFonts w:cs="Arial"/>
                <w:b/>
                <w:bCs/>
                <w:color w:val="FFFFFF"/>
                <w:szCs w:val="22"/>
              </w:rPr>
              <w:t>2022</w:t>
            </w:r>
          </w:p>
        </w:tc>
        <w:tc>
          <w:tcPr>
            <w:tcW w:w="726" w:type="pct"/>
            <w:shd w:val="clear" w:color="auto" w:fill="6B2976"/>
            <w:noWrap/>
            <w:vAlign w:val="center"/>
            <w:hideMark/>
          </w:tcPr>
          <w:p w14:paraId="083A9731" w14:textId="77777777" w:rsidR="00587C35" w:rsidRPr="007F6332" w:rsidRDefault="00893BA1">
            <w:pPr>
              <w:spacing w:after="0" w:line="240" w:lineRule="auto"/>
              <w:jc w:val="right"/>
              <w:rPr>
                <w:rFonts w:cs="Arial"/>
                <w:b/>
                <w:bCs/>
                <w:color w:val="FFFFFF"/>
                <w:szCs w:val="22"/>
              </w:rPr>
            </w:pPr>
            <w:r w:rsidRPr="007F6332">
              <w:rPr>
                <w:rFonts w:cs="Arial"/>
                <w:b/>
                <w:bCs/>
                <w:color w:val="FFFFFF"/>
                <w:szCs w:val="22"/>
              </w:rPr>
              <w:t xml:space="preserve">30 June </w:t>
            </w:r>
          </w:p>
          <w:p w14:paraId="24C108E0" w14:textId="3724576C" w:rsidR="00893BA1" w:rsidRPr="007F6332" w:rsidRDefault="00893BA1">
            <w:pPr>
              <w:spacing w:after="0" w:line="240" w:lineRule="auto"/>
              <w:jc w:val="right"/>
              <w:rPr>
                <w:rFonts w:eastAsia="Times New Roman" w:cs="Arial"/>
                <w:b/>
                <w:color w:val="FFFFFF"/>
                <w:szCs w:val="22"/>
                <w:lang w:eastAsia="en-AU"/>
              </w:rPr>
            </w:pPr>
            <w:r w:rsidRPr="007F6332">
              <w:rPr>
                <w:rFonts w:cs="Arial"/>
                <w:b/>
                <w:bCs/>
                <w:color w:val="FFFFFF"/>
                <w:szCs w:val="22"/>
              </w:rPr>
              <w:t>2023</w:t>
            </w:r>
          </w:p>
        </w:tc>
        <w:tc>
          <w:tcPr>
            <w:tcW w:w="499" w:type="pct"/>
            <w:shd w:val="clear" w:color="auto" w:fill="6B2976"/>
            <w:vAlign w:val="center"/>
            <w:hideMark/>
          </w:tcPr>
          <w:p w14:paraId="1C7E3565" w14:textId="77777777" w:rsidR="00893BA1" w:rsidRPr="007F6332" w:rsidRDefault="00893BA1">
            <w:pPr>
              <w:spacing w:after="0" w:line="240" w:lineRule="auto"/>
              <w:jc w:val="right"/>
              <w:rPr>
                <w:rFonts w:eastAsiaTheme="minorHAnsi" w:cs="Arial"/>
                <w:b/>
                <w:bCs/>
                <w:color w:val="FFFFFF"/>
                <w:szCs w:val="22"/>
                <w:lang w:eastAsia="en-US"/>
              </w:rPr>
            </w:pPr>
            <w:r w:rsidRPr="007F6332">
              <w:rPr>
                <w:rFonts w:cs="Arial"/>
                <w:b/>
                <w:bCs/>
                <w:color w:val="FFFFFF"/>
                <w:szCs w:val="22"/>
              </w:rPr>
              <w:t>Average annual growth</w:t>
            </w:r>
          </w:p>
        </w:tc>
        <w:tc>
          <w:tcPr>
            <w:tcW w:w="493" w:type="pct"/>
            <w:shd w:val="clear" w:color="auto" w:fill="6B2976"/>
            <w:vAlign w:val="center"/>
            <w:hideMark/>
          </w:tcPr>
          <w:p w14:paraId="30D32A20" w14:textId="77777777" w:rsidR="00893BA1" w:rsidRPr="007F6332" w:rsidRDefault="00893BA1">
            <w:pPr>
              <w:spacing w:after="0" w:line="240" w:lineRule="auto"/>
              <w:jc w:val="right"/>
              <w:rPr>
                <w:rFonts w:cs="Arial"/>
                <w:b/>
                <w:bCs/>
                <w:color w:val="FFFFFF"/>
                <w:szCs w:val="22"/>
              </w:rPr>
            </w:pPr>
            <w:r w:rsidRPr="007F6332">
              <w:rPr>
                <w:rFonts w:cs="Arial"/>
                <w:b/>
                <w:bCs/>
                <w:color w:val="FFFFFF"/>
                <w:szCs w:val="22"/>
              </w:rPr>
              <w:t>2022-23 growth</w:t>
            </w:r>
          </w:p>
        </w:tc>
      </w:tr>
      <w:tr w:rsidR="00893BA1" w:rsidRPr="007F6332" w14:paraId="40909127" w14:textId="77777777" w:rsidTr="00893BA1">
        <w:trPr>
          <w:trHeight w:val="288"/>
        </w:trPr>
        <w:tc>
          <w:tcPr>
            <w:tcW w:w="1106" w:type="pct"/>
            <w:noWrap/>
            <w:vAlign w:val="bottom"/>
            <w:hideMark/>
          </w:tcPr>
          <w:p w14:paraId="1F5822FA"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Acquired Brain Injury</w:t>
            </w:r>
          </w:p>
        </w:tc>
        <w:tc>
          <w:tcPr>
            <w:tcW w:w="726" w:type="pct"/>
            <w:noWrap/>
            <w:vAlign w:val="center"/>
            <w:hideMark/>
          </w:tcPr>
          <w:p w14:paraId="13428AB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141,600</w:t>
            </w:r>
          </w:p>
        </w:tc>
        <w:tc>
          <w:tcPr>
            <w:tcW w:w="726" w:type="pct"/>
            <w:noWrap/>
            <w:vAlign w:val="center"/>
            <w:hideMark/>
          </w:tcPr>
          <w:p w14:paraId="7AD15E28"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145,300</w:t>
            </w:r>
          </w:p>
        </w:tc>
        <w:tc>
          <w:tcPr>
            <w:tcW w:w="726" w:type="pct"/>
            <w:noWrap/>
            <w:vAlign w:val="center"/>
            <w:hideMark/>
          </w:tcPr>
          <w:p w14:paraId="4D161B24"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148,200</w:t>
            </w:r>
          </w:p>
        </w:tc>
        <w:tc>
          <w:tcPr>
            <w:tcW w:w="726" w:type="pct"/>
            <w:noWrap/>
            <w:vAlign w:val="center"/>
            <w:hideMark/>
          </w:tcPr>
          <w:p w14:paraId="641C2298"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172,500</w:t>
            </w:r>
          </w:p>
        </w:tc>
        <w:tc>
          <w:tcPr>
            <w:tcW w:w="499" w:type="pct"/>
            <w:vAlign w:val="center"/>
            <w:hideMark/>
          </w:tcPr>
          <w:p w14:paraId="26681E5A"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6.8%</w:t>
            </w:r>
          </w:p>
        </w:tc>
        <w:tc>
          <w:tcPr>
            <w:tcW w:w="493" w:type="pct"/>
            <w:vAlign w:val="center"/>
            <w:hideMark/>
          </w:tcPr>
          <w:p w14:paraId="03612336"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16.4%</w:t>
            </w:r>
          </w:p>
        </w:tc>
      </w:tr>
      <w:tr w:rsidR="00893BA1" w:rsidRPr="007F6332" w14:paraId="39F942E2" w14:textId="77777777" w:rsidTr="003B643B">
        <w:trPr>
          <w:trHeight w:val="288"/>
        </w:trPr>
        <w:tc>
          <w:tcPr>
            <w:tcW w:w="1106" w:type="pct"/>
            <w:shd w:val="clear" w:color="auto" w:fill="BFBFBF" w:themeFill="background1" w:themeFillShade="BF"/>
            <w:noWrap/>
            <w:vAlign w:val="bottom"/>
            <w:hideMark/>
          </w:tcPr>
          <w:p w14:paraId="051D6A66"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Autism</w:t>
            </w:r>
          </w:p>
        </w:tc>
        <w:tc>
          <w:tcPr>
            <w:tcW w:w="726" w:type="pct"/>
            <w:shd w:val="clear" w:color="auto" w:fill="BFBFBF" w:themeFill="background1" w:themeFillShade="BF"/>
            <w:noWrap/>
            <w:vAlign w:val="center"/>
            <w:hideMark/>
          </w:tcPr>
          <w:p w14:paraId="54878DBD"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39,800</w:t>
            </w:r>
          </w:p>
        </w:tc>
        <w:tc>
          <w:tcPr>
            <w:tcW w:w="726" w:type="pct"/>
            <w:shd w:val="clear" w:color="auto" w:fill="BFBFBF" w:themeFill="background1" w:themeFillShade="BF"/>
            <w:noWrap/>
            <w:vAlign w:val="center"/>
            <w:hideMark/>
          </w:tcPr>
          <w:p w14:paraId="6F557ED3"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39,700</w:t>
            </w:r>
          </w:p>
        </w:tc>
        <w:tc>
          <w:tcPr>
            <w:tcW w:w="726" w:type="pct"/>
            <w:shd w:val="clear" w:color="auto" w:fill="BFBFBF" w:themeFill="background1" w:themeFillShade="BF"/>
            <w:noWrap/>
            <w:vAlign w:val="center"/>
            <w:hideMark/>
          </w:tcPr>
          <w:p w14:paraId="3DEF4576"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39,100</w:t>
            </w:r>
          </w:p>
        </w:tc>
        <w:tc>
          <w:tcPr>
            <w:tcW w:w="726" w:type="pct"/>
            <w:shd w:val="clear" w:color="auto" w:fill="BFBFBF" w:themeFill="background1" w:themeFillShade="BF"/>
            <w:noWrap/>
            <w:vAlign w:val="center"/>
            <w:hideMark/>
          </w:tcPr>
          <w:p w14:paraId="1F488D6C"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42,400</w:t>
            </w:r>
          </w:p>
        </w:tc>
        <w:tc>
          <w:tcPr>
            <w:tcW w:w="499" w:type="pct"/>
            <w:shd w:val="clear" w:color="auto" w:fill="BFBFBF" w:themeFill="background1" w:themeFillShade="BF"/>
            <w:vAlign w:val="center"/>
            <w:hideMark/>
          </w:tcPr>
          <w:p w14:paraId="3D661BA3"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2.2%</w:t>
            </w:r>
          </w:p>
        </w:tc>
        <w:tc>
          <w:tcPr>
            <w:tcW w:w="493" w:type="pct"/>
            <w:shd w:val="clear" w:color="auto" w:fill="BFBFBF" w:themeFill="background1" w:themeFillShade="BF"/>
            <w:vAlign w:val="center"/>
            <w:hideMark/>
          </w:tcPr>
          <w:p w14:paraId="113F06EC"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8.5%</w:t>
            </w:r>
          </w:p>
        </w:tc>
      </w:tr>
      <w:tr w:rsidR="00893BA1" w:rsidRPr="007F6332" w14:paraId="5EAF117A" w14:textId="77777777" w:rsidTr="003B643B">
        <w:trPr>
          <w:trHeight w:val="288"/>
        </w:trPr>
        <w:tc>
          <w:tcPr>
            <w:tcW w:w="1106" w:type="pct"/>
            <w:shd w:val="clear" w:color="auto" w:fill="FFFFFF" w:themeFill="background1"/>
            <w:noWrap/>
            <w:vAlign w:val="bottom"/>
            <w:hideMark/>
          </w:tcPr>
          <w:p w14:paraId="2A87A5F4"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Cerebral Palsy</w:t>
            </w:r>
          </w:p>
        </w:tc>
        <w:tc>
          <w:tcPr>
            <w:tcW w:w="726" w:type="pct"/>
            <w:shd w:val="clear" w:color="auto" w:fill="FFFFFF" w:themeFill="background1"/>
            <w:noWrap/>
            <w:vAlign w:val="center"/>
            <w:hideMark/>
          </w:tcPr>
          <w:p w14:paraId="30F650EA"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141,700</w:t>
            </w:r>
          </w:p>
        </w:tc>
        <w:tc>
          <w:tcPr>
            <w:tcW w:w="726" w:type="pct"/>
            <w:shd w:val="clear" w:color="auto" w:fill="FFFFFF" w:themeFill="background1"/>
            <w:noWrap/>
            <w:vAlign w:val="center"/>
            <w:hideMark/>
          </w:tcPr>
          <w:p w14:paraId="748B0196"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145,800</w:t>
            </w:r>
          </w:p>
        </w:tc>
        <w:tc>
          <w:tcPr>
            <w:tcW w:w="726" w:type="pct"/>
            <w:shd w:val="clear" w:color="auto" w:fill="FFFFFF" w:themeFill="background1"/>
            <w:noWrap/>
            <w:vAlign w:val="center"/>
            <w:hideMark/>
          </w:tcPr>
          <w:p w14:paraId="13C8DCD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148,100</w:t>
            </w:r>
          </w:p>
        </w:tc>
        <w:tc>
          <w:tcPr>
            <w:tcW w:w="726" w:type="pct"/>
            <w:shd w:val="clear" w:color="auto" w:fill="FFFFFF" w:themeFill="background1"/>
            <w:noWrap/>
            <w:vAlign w:val="center"/>
            <w:hideMark/>
          </w:tcPr>
          <w:p w14:paraId="1BCDF06A"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166,600</w:t>
            </w:r>
          </w:p>
        </w:tc>
        <w:tc>
          <w:tcPr>
            <w:tcW w:w="499" w:type="pct"/>
            <w:shd w:val="clear" w:color="auto" w:fill="FFFFFF" w:themeFill="background1"/>
            <w:vAlign w:val="center"/>
            <w:hideMark/>
          </w:tcPr>
          <w:p w14:paraId="468CDC16"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5.5%</w:t>
            </w:r>
          </w:p>
        </w:tc>
        <w:tc>
          <w:tcPr>
            <w:tcW w:w="493" w:type="pct"/>
            <w:shd w:val="clear" w:color="auto" w:fill="FFFFFF" w:themeFill="background1"/>
            <w:vAlign w:val="center"/>
            <w:hideMark/>
          </w:tcPr>
          <w:p w14:paraId="24E42012"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12.4%</w:t>
            </w:r>
          </w:p>
        </w:tc>
      </w:tr>
      <w:tr w:rsidR="00893BA1" w:rsidRPr="007F6332" w14:paraId="492D33B6" w14:textId="77777777" w:rsidTr="003B643B">
        <w:trPr>
          <w:trHeight w:val="288"/>
        </w:trPr>
        <w:tc>
          <w:tcPr>
            <w:tcW w:w="1106" w:type="pct"/>
            <w:shd w:val="clear" w:color="auto" w:fill="BFBFBF" w:themeFill="background1" w:themeFillShade="BF"/>
            <w:noWrap/>
            <w:vAlign w:val="bottom"/>
            <w:hideMark/>
          </w:tcPr>
          <w:p w14:paraId="7D3E6556"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Developmental delay</w:t>
            </w:r>
          </w:p>
        </w:tc>
        <w:tc>
          <w:tcPr>
            <w:tcW w:w="726" w:type="pct"/>
            <w:shd w:val="clear" w:color="auto" w:fill="BFBFBF" w:themeFill="background1" w:themeFillShade="BF"/>
            <w:noWrap/>
            <w:vAlign w:val="center"/>
            <w:hideMark/>
          </w:tcPr>
          <w:p w14:paraId="5DC2834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18,500</w:t>
            </w:r>
          </w:p>
        </w:tc>
        <w:tc>
          <w:tcPr>
            <w:tcW w:w="726" w:type="pct"/>
            <w:shd w:val="clear" w:color="auto" w:fill="BFBFBF" w:themeFill="background1" w:themeFillShade="BF"/>
            <w:noWrap/>
            <w:vAlign w:val="center"/>
            <w:hideMark/>
          </w:tcPr>
          <w:p w14:paraId="0A3368DB"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19,200</w:t>
            </w:r>
          </w:p>
        </w:tc>
        <w:tc>
          <w:tcPr>
            <w:tcW w:w="726" w:type="pct"/>
            <w:shd w:val="clear" w:color="auto" w:fill="BFBFBF" w:themeFill="background1" w:themeFillShade="BF"/>
            <w:noWrap/>
            <w:vAlign w:val="center"/>
            <w:hideMark/>
          </w:tcPr>
          <w:p w14:paraId="714A4B2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20,000</w:t>
            </w:r>
          </w:p>
        </w:tc>
        <w:tc>
          <w:tcPr>
            <w:tcW w:w="726" w:type="pct"/>
            <w:shd w:val="clear" w:color="auto" w:fill="BFBFBF" w:themeFill="background1" w:themeFillShade="BF"/>
            <w:noWrap/>
            <w:vAlign w:val="center"/>
            <w:hideMark/>
          </w:tcPr>
          <w:p w14:paraId="4A32472D"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20,700</w:t>
            </w:r>
          </w:p>
        </w:tc>
        <w:tc>
          <w:tcPr>
            <w:tcW w:w="499" w:type="pct"/>
            <w:shd w:val="clear" w:color="auto" w:fill="BFBFBF" w:themeFill="background1" w:themeFillShade="BF"/>
            <w:vAlign w:val="center"/>
            <w:hideMark/>
          </w:tcPr>
          <w:p w14:paraId="05E156C1"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3.7%</w:t>
            </w:r>
          </w:p>
        </w:tc>
        <w:tc>
          <w:tcPr>
            <w:tcW w:w="493" w:type="pct"/>
            <w:shd w:val="clear" w:color="auto" w:fill="BFBFBF" w:themeFill="background1" w:themeFillShade="BF"/>
            <w:vAlign w:val="center"/>
            <w:hideMark/>
          </w:tcPr>
          <w:p w14:paraId="30C9CF94" w14:textId="0B09FBD5" w:rsidR="00893BA1" w:rsidRPr="007F6332" w:rsidRDefault="00865E47">
            <w:pPr>
              <w:spacing w:after="0" w:line="240" w:lineRule="auto"/>
              <w:jc w:val="right"/>
              <w:rPr>
                <w:rFonts w:eastAsia="Times New Roman" w:cs="Arial"/>
                <w:color w:val="000000"/>
                <w:szCs w:val="22"/>
                <w:lang w:eastAsia="en-AU"/>
              </w:rPr>
            </w:pPr>
            <w:r w:rsidRPr="007F6332">
              <w:rPr>
                <w:rFonts w:cs="Arial"/>
                <w:color w:val="000000"/>
                <w:szCs w:val="22"/>
              </w:rPr>
              <w:t>3.2</w:t>
            </w:r>
            <w:r w:rsidR="00893BA1" w:rsidRPr="007F6332">
              <w:rPr>
                <w:rFonts w:cs="Arial"/>
                <w:color w:val="000000"/>
                <w:szCs w:val="22"/>
              </w:rPr>
              <w:t>%</w:t>
            </w:r>
          </w:p>
        </w:tc>
      </w:tr>
      <w:tr w:rsidR="00893BA1" w:rsidRPr="007F6332" w14:paraId="03C1E274" w14:textId="77777777" w:rsidTr="003B643B">
        <w:trPr>
          <w:trHeight w:val="288"/>
        </w:trPr>
        <w:tc>
          <w:tcPr>
            <w:tcW w:w="1106" w:type="pct"/>
            <w:shd w:val="clear" w:color="auto" w:fill="FFFFFF" w:themeFill="background1"/>
            <w:noWrap/>
            <w:vAlign w:val="bottom"/>
            <w:hideMark/>
          </w:tcPr>
          <w:p w14:paraId="6625A9E0"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Hearing Impairment</w:t>
            </w:r>
          </w:p>
        </w:tc>
        <w:tc>
          <w:tcPr>
            <w:tcW w:w="726" w:type="pct"/>
            <w:shd w:val="clear" w:color="auto" w:fill="FFFFFF" w:themeFill="background1"/>
            <w:noWrap/>
            <w:vAlign w:val="center"/>
            <w:hideMark/>
          </w:tcPr>
          <w:p w14:paraId="4DF2F1A2"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16,000</w:t>
            </w:r>
          </w:p>
        </w:tc>
        <w:tc>
          <w:tcPr>
            <w:tcW w:w="726" w:type="pct"/>
            <w:shd w:val="clear" w:color="auto" w:fill="FFFFFF" w:themeFill="background1"/>
            <w:noWrap/>
            <w:vAlign w:val="center"/>
            <w:hideMark/>
          </w:tcPr>
          <w:p w14:paraId="7C2CA5F8"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15,200</w:t>
            </w:r>
          </w:p>
        </w:tc>
        <w:tc>
          <w:tcPr>
            <w:tcW w:w="726" w:type="pct"/>
            <w:shd w:val="clear" w:color="auto" w:fill="FFFFFF" w:themeFill="background1"/>
            <w:noWrap/>
            <w:vAlign w:val="center"/>
            <w:hideMark/>
          </w:tcPr>
          <w:p w14:paraId="57E81E4B"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15,000</w:t>
            </w:r>
          </w:p>
        </w:tc>
        <w:tc>
          <w:tcPr>
            <w:tcW w:w="726" w:type="pct"/>
            <w:shd w:val="clear" w:color="auto" w:fill="FFFFFF" w:themeFill="background1"/>
            <w:noWrap/>
            <w:vAlign w:val="center"/>
            <w:hideMark/>
          </w:tcPr>
          <w:p w14:paraId="7EDEFF2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16,000</w:t>
            </w:r>
          </w:p>
        </w:tc>
        <w:tc>
          <w:tcPr>
            <w:tcW w:w="499" w:type="pct"/>
            <w:shd w:val="clear" w:color="auto" w:fill="FFFFFF" w:themeFill="background1"/>
            <w:vAlign w:val="center"/>
            <w:hideMark/>
          </w:tcPr>
          <w:p w14:paraId="4BF0830B"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0.1%</w:t>
            </w:r>
          </w:p>
        </w:tc>
        <w:tc>
          <w:tcPr>
            <w:tcW w:w="493" w:type="pct"/>
            <w:shd w:val="clear" w:color="auto" w:fill="FFFFFF" w:themeFill="background1"/>
            <w:vAlign w:val="center"/>
            <w:hideMark/>
          </w:tcPr>
          <w:p w14:paraId="64E0163C"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6.9%</w:t>
            </w:r>
          </w:p>
        </w:tc>
      </w:tr>
      <w:tr w:rsidR="00893BA1" w:rsidRPr="007F6332" w14:paraId="1FEC275E" w14:textId="77777777" w:rsidTr="003B643B">
        <w:trPr>
          <w:trHeight w:val="288"/>
        </w:trPr>
        <w:tc>
          <w:tcPr>
            <w:tcW w:w="1106" w:type="pct"/>
            <w:shd w:val="clear" w:color="auto" w:fill="BFBFBF" w:themeFill="background1" w:themeFillShade="BF"/>
            <w:noWrap/>
            <w:vAlign w:val="bottom"/>
            <w:hideMark/>
          </w:tcPr>
          <w:p w14:paraId="401929C6"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Intellectual Disability</w:t>
            </w:r>
          </w:p>
        </w:tc>
        <w:tc>
          <w:tcPr>
            <w:tcW w:w="726" w:type="pct"/>
            <w:shd w:val="clear" w:color="auto" w:fill="BFBFBF" w:themeFill="background1" w:themeFillShade="BF"/>
            <w:noWrap/>
            <w:vAlign w:val="center"/>
            <w:hideMark/>
          </w:tcPr>
          <w:p w14:paraId="20645C2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102,000</w:t>
            </w:r>
          </w:p>
        </w:tc>
        <w:tc>
          <w:tcPr>
            <w:tcW w:w="726" w:type="pct"/>
            <w:shd w:val="clear" w:color="auto" w:fill="BFBFBF" w:themeFill="background1" w:themeFillShade="BF"/>
            <w:noWrap/>
            <w:vAlign w:val="center"/>
            <w:hideMark/>
          </w:tcPr>
          <w:p w14:paraId="45305275"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101,600</w:t>
            </w:r>
          </w:p>
        </w:tc>
        <w:tc>
          <w:tcPr>
            <w:tcW w:w="726" w:type="pct"/>
            <w:shd w:val="clear" w:color="auto" w:fill="BFBFBF" w:themeFill="background1" w:themeFillShade="BF"/>
            <w:noWrap/>
            <w:vAlign w:val="center"/>
            <w:hideMark/>
          </w:tcPr>
          <w:p w14:paraId="69D829D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102,700</w:t>
            </w:r>
          </w:p>
        </w:tc>
        <w:tc>
          <w:tcPr>
            <w:tcW w:w="726" w:type="pct"/>
            <w:shd w:val="clear" w:color="auto" w:fill="BFBFBF" w:themeFill="background1" w:themeFillShade="BF"/>
            <w:noWrap/>
            <w:vAlign w:val="center"/>
            <w:hideMark/>
          </w:tcPr>
          <w:p w14:paraId="24CB21E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115,900</w:t>
            </w:r>
          </w:p>
        </w:tc>
        <w:tc>
          <w:tcPr>
            <w:tcW w:w="499" w:type="pct"/>
            <w:shd w:val="clear" w:color="auto" w:fill="BFBFBF" w:themeFill="background1" w:themeFillShade="BF"/>
            <w:vAlign w:val="center"/>
            <w:hideMark/>
          </w:tcPr>
          <w:p w14:paraId="1FE0AF94"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4.3%</w:t>
            </w:r>
          </w:p>
        </w:tc>
        <w:tc>
          <w:tcPr>
            <w:tcW w:w="493" w:type="pct"/>
            <w:shd w:val="clear" w:color="auto" w:fill="BFBFBF" w:themeFill="background1" w:themeFillShade="BF"/>
            <w:vAlign w:val="center"/>
            <w:hideMark/>
          </w:tcPr>
          <w:p w14:paraId="09BC82A2"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12.8%</w:t>
            </w:r>
          </w:p>
        </w:tc>
      </w:tr>
      <w:tr w:rsidR="00893BA1" w:rsidRPr="007F6332" w14:paraId="3ACC1999" w14:textId="77777777" w:rsidTr="003B643B">
        <w:trPr>
          <w:trHeight w:val="288"/>
        </w:trPr>
        <w:tc>
          <w:tcPr>
            <w:tcW w:w="1106" w:type="pct"/>
            <w:shd w:val="clear" w:color="auto" w:fill="FFFFFF" w:themeFill="background1"/>
            <w:noWrap/>
            <w:vAlign w:val="bottom"/>
            <w:hideMark/>
          </w:tcPr>
          <w:p w14:paraId="41AF0290"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Multiple Sclerosis</w:t>
            </w:r>
          </w:p>
        </w:tc>
        <w:tc>
          <w:tcPr>
            <w:tcW w:w="726" w:type="pct"/>
            <w:shd w:val="clear" w:color="auto" w:fill="FFFFFF" w:themeFill="background1"/>
            <w:noWrap/>
            <w:vAlign w:val="center"/>
            <w:hideMark/>
          </w:tcPr>
          <w:p w14:paraId="720217BD"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103,800</w:t>
            </w:r>
          </w:p>
        </w:tc>
        <w:tc>
          <w:tcPr>
            <w:tcW w:w="726" w:type="pct"/>
            <w:shd w:val="clear" w:color="auto" w:fill="FFFFFF" w:themeFill="background1"/>
            <w:noWrap/>
            <w:vAlign w:val="center"/>
            <w:hideMark/>
          </w:tcPr>
          <w:p w14:paraId="5555AE2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106,300</w:t>
            </w:r>
          </w:p>
        </w:tc>
        <w:tc>
          <w:tcPr>
            <w:tcW w:w="726" w:type="pct"/>
            <w:shd w:val="clear" w:color="auto" w:fill="FFFFFF" w:themeFill="background1"/>
            <w:noWrap/>
            <w:vAlign w:val="center"/>
            <w:hideMark/>
          </w:tcPr>
          <w:p w14:paraId="53074884"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108,000</w:t>
            </w:r>
          </w:p>
        </w:tc>
        <w:tc>
          <w:tcPr>
            <w:tcW w:w="726" w:type="pct"/>
            <w:shd w:val="clear" w:color="auto" w:fill="FFFFFF" w:themeFill="background1"/>
            <w:noWrap/>
            <w:vAlign w:val="center"/>
            <w:hideMark/>
          </w:tcPr>
          <w:p w14:paraId="5975BFD3"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120,200</w:t>
            </w:r>
          </w:p>
        </w:tc>
        <w:tc>
          <w:tcPr>
            <w:tcW w:w="499" w:type="pct"/>
            <w:shd w:val="clear" w:color="auto" w:fill="FFFFFF" w:themeFill="background1"/>
            <w:vAlign w:val="center"/>
            <w:hideMark/>
          </w:tcPr>
          <w:p w14:paraId="154CF39F"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5.0%</w:t>
            </w:r>
          </w:p>
        </w:tc>
        <w:tc>
          <w:tcPr>
            <w:tcW w:w="493" w:type="pct"/>
            <w:shd w:val="clear" w:color="auto" w:fill="FFFFFF" w:themeFill="background1"/>
            <w:vAlign w:val="center"/>
            <w:hideMark/>
          </w:tcPr>
          <w:p w14:paraId="442AD8CD"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11.3%</w:t>
            </w:r>
          </w:p>
        </w:tc>
      </w:tr>
      <w:tr w:rsidR="00893BA1" w:rsidRPr="007F6332" w14:paraId="1D74B347" w14:textId="77777777" w:rsidTr="003B643B">
        <w:trPr>
          <w:trHeight w:val="288"/>
        </w:trPr>
        <w:tc>
          <w:tcPr>
            <w:tcW w:w="1106" w:type="pct"/>
            <w:shd w:val="clear" w:color="auto" w:fill="BFBFBF" w:themeFill="background1" w:themeFillShade="BF"/>
            <w:noWrap/>
            <w:vAlign w:val="bottom"/>
            <w:hideMark/>
          </w:tcPr>
          <w:p w14:paraId="42FED65A"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Other</w:t>
            </w:r>
          </w:p>
        </w:tc>
        <w:tc>
          <w:tcPr>
            <w:tcW w:w="726" w:type="pct"/>
            <w:shd w:val="clear" w:color="auto" w:fill="BFBFBF" w:themeFill="background1" w:themeFillShade="BF"/>
            <w:noWrap/>
            <w:vAlign w:val="center"/>
            <w:hideMark/>
          </w:tcPr>
          <w:p w14:paraId="45721762"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94,600</w:t>
            </w:r>
          </w:p>
        </w:tc>
        <w:tc>
          <w:tcPr>
            <w:tcW w:w="726" w:type="pct"/>
            <w:shd w:val="clear" w:color="auto" w:fill="BFBFBF" w:themeFill="background1" w:themeFillShade="BF"/>
            <w:noWrap/>
            <w:vAlign w:val="center"/>
            <w:hideMark/>
          </w:tcPr>
          <w:p w14:paraId="44F7D887"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86,100</w:t>
            </w:r>
          </w:p>
        </w:tc>
        <w:tc>
          <w:tcPr>
            <w:tcW w:w="726" w:type="pct"/>
            <w:shd w:val="clear" w:color="auto" w:fill="BFBFBF" w:themeFill="background1" w:themeFillShade="BF"/>
            <w:noWrap/>
            <w:vAlign w:val="center"/>
            <w:hideMark/>
          </w:tcPr>
          <w:p w14:paraId="733A8948"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90,200</w:t>
            </w:r>
          </w:p>
        </w:tc>
        <w:tc>
          <w:tcPr>
            <w:tcW w:w="726" w:type="pct"/>
            <w:shd w:val="clear" w:color="auto" w:fill="BFBFBF" w:themeFill="background1" w:themeFillShade="BF"/>
            <w:noWrap/>
            <w:vAlign w:val="center"/>
            <w:hideMark/>
          </w:tcPr>
          <w:p w14:paraId="27B191FC"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110,100</w:t>
            </w:r>
          </w:p>
        </w:tc>
        <w:tc>
          <w:tcPr>
            <w:tcW w:w="499" w:type="pct"/>
            <w:shd w:val="clear" w:color="auto" w:fill="BFBFBF" w:themeFill="background1" w:themeFillShade="BF"/>
            <w:vAlign w:val="center"/>
            <w:hideMark/>
          </w:tcPr>
          <w:p w14:paraId="623A29B7"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5.2%</w:t>
            </w:r>
          </w:p>
        </w:tc>
        <w:tc>
          <w:tcPr>
            <w:tcW w:w="493" w:type="pct"/>
            <w:shd w:val="clear" w:color="auto" w:fill="BFBFBF" w:themeFill="background1" w:themeFillShade="BF"/>
            <w:vAlign w:val="center"/>
            <w:hideMark/>
          </w:tcPr>
          <w:p w14:paraId="6C5F4205"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22.0%</w:t>
            </w:r>
          </w:p>
        </w:tc>
      </w:tr>
      <w:tr w:rsidR="00893BA1" w:rsidRPr="007F6332" w14:paraId="79247D17" w14:textId="77777777" w:rsidTr="003B643B">
        <w:trPr>
          <w:trHeight w:val="288"/>
        </w:trPr>
        <w:tc>
          <w:tcPr>
            <w:tcW w:w="1106" w:type="pct"/>
            <w:shd w:val="clear" w:color="auto" w:fill="FFFFFF" w:themeFill="background1"/>
            <w:noWrap/>
            <w:vAlign w:val="bottom"/>
            <w:hideMark/>
          </w:tcPr>
          <w:p w14:paraId="210E6F34"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Other Neurological</w:t>
            </w:r>
          </w:p>
        </w:tc>
        <w:tc>
          <w:tcPr>
            <w:tcW w:w="726" w:type="pct"/>
            <w:shd w:val="clear" w:color="auto" w:fill="FFFFFF" w:themeFill="background1"/>
            <w:noWrap/>
            <w:vAlign w:val="center"/>
            <w:hideMark/>
          </w:tcPr>
          <w:p w14:paraId="41CCF183"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123,000</w:t>
            </w:r>
          </w:p>
        </w:tc>
        <w:tc>
          <w:tcPr>
            <w:tcW w:w="726" w:type="pct"/>
            <w:shd w:val="clear" w:color="auto" w:fill="FFFFFF" w:themeFill="background1"/>
            <w:noWrap/>
            <w:vAlign w:val="center"/>
            <w:hideMark/>
          </w:tcPr>
          <w:p w14:paraId="6E59FD56"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129,700</w:t>
            </w:r>
          </w:p>
        </w:tc>
        <w:tc>
          <w:tcPr>
            <w:tcW w:w="726" w:type="pct"/>
            <w:shd w:val="clear" w:color="auto" w:fill="FFFFFF" w:themeFill="background1"/>
            <w:noWrap/>
            <w:vAlign w:val="center"/>
            <w:hideMark/>
          </w:tcPr>
          <w:p w14:paraId="0D58C8C7"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136,100</w:t>
            </w:r>
          </w:p>
        </w:tc>
        <w:tc>
          <w:tcPr>
            <w:tcW w:w="726" w:type="pct"/>
            <w:shd w:val="clear" w:color="auto" w:fill="FFFFFF" w:themeFill="background1"/>
            <w:noWrap/>
            <w:vAlign w:val="center"/>
            <w:hideMark/>
          </w:tcPr>
          <w:p w14:paraId="221B2993"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160,200</w:t>
            </w:r>
          </w:p>
        </w:tc>
        <w:tc>
          <w:tcPr>
            <w:tcW w:w="499" w:type="pct"/>
            <w:shd w:val="clear" w:color="auto" w:fill="FFFFFF" w:themeFill="background1"/>
            <w:vAlign w:val="center"/>
            <w:hideMark/>
          </w:tcPr>
          <w:p w14:paraId="0716B77C"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9.2%</w:t>
            </w:r>
          </w:p>
        </w:tc>
        <w:tc>
          <w:tcPr>
            <w:tcW w:w="493" w:type="pct"/>
            <w:shd w:val="clear" w:color="auto" w:fill="FFFFFF" w:themeFill="background1"/>
            <w:vAlign w:val="center"/>
            <w:hideMark/>
          </w:tcPr>
          <w:p w14:paraId="0D89C3AD"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17.7%</w:t>
            </w:r>
          </w:p>
        </w:tc>
      </w:tr>
      <w:tr w:rsidR="00893BA1" w:rsidRPr="007F6332" w14:paraId="2C1B704E" w14:textId="77777777" w:rsidTr="003B643B">
        <w:trPr>
          <w:trHeight w:val="288"/>
        </w:trPr>
        <w:tc>
          <w:tcPr>
            <w:tcW w:w="1106" w:type="pct"/>
            <w:shd w:val="clear" w:color="auto" w:fill="BFBFBF" w:themeFill="background1" w:themeFillShade="BF"/>
            <w:noWrap/>
            <w:vAlign w:val="bottom"/>
            <w:hideMark/>
          </w:tcPr>
          <w:p w14:paraId="07DFD2DF"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Other Physical</w:t>
            </w:r>
          </w:p>
        </w:tc>
        <w:tc>
          <w:tcPr>
            <w:tcW w:w="726" w:type="pct"/>
            <w:shd w:val="clear" w:color="auto" w:fill="BFBFBF" w:themeFill="background1" w:themeFillShade="BF"/>
            <w:noWrap/>
            <w:vAlign w:val="center"/>
            <w:hideMark/>
          </w:tcPr>
          <w:p w14:paraId="30A95DB3"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75,100</w:t>
            </w:r>
          </w:p>
        </w:tc>
        <w:tc>
          <w:tcPr>
            <w:tcW w:w="726" w:type="pct"/>
            <w:shd w:val="clear" w:color="auto" w:fill="BFBFBF" w:themeFill="background1" w:themeFillShade="BF"/>
            <w:noWrap/>
            <w:vAlign w:val="center"/>
            <w:hideMark/>
          </w:tcPr>
          <w:p w14:paraId="6C7C67B4"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74,900</w:t>
            </w:r>
          </w:p>
        </w:tc>
        <w:tc>
          <w:tcPr>
            <w:tcW w:w="726" w:type="pct"/>
            <w:shd w:val="clear" w:color="auto" w:fill="BFBFBF" w:themeFill="background1" w:themeFillShade="BF"/>
            <w:noWrap/>
            <w:vAlign w:val="center"/>
            <w:hideMark/>
          </w:tcPr>
          <w:p w14:paraId="7BA34FC2"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77,600</w:t>
            </w:r>
          </w:p>
        </w:tc>
        <w:tc>
          <w:tcPr>
            <w:tcW w:w="726" w:type="pct"/>
            <w:shd w:val="clear" w:color="auto" w:fill="BFBFBF" w:themeFill="background1" w:themeFillShade="BF"/>
            <w:noWrap/>
            <w:vAlign w:val="center"/>
            <w:hideMark/>
          </w:tcPr>
          <w:p w14:paraId="4337D0EB"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87,200</w:t>
            </w:r>
          </w:p>
        </w:tc>
        <w:tc>
          <w:tcPr>
            <w:tcW w:w="499" w:type="pct"/>
            <w:shd w:val="clear" w:color="auto" w:fill="BFBFBF" w:themeFill="background1" w:themeFillShade="BF"/>
            <w:vAlign w:val="center"/>
            <w:hideMark/>
          </w:tcPr>
          <w:p w14:paraId="4F56A28F"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5.1%</w:t>
            </w:r>
          </w:p>
        </w:tc>
        <w:tc>
          <w:tcPr>
            <w:tcW w:w="493" w:type="pct"/>
            <w:shd w:val="clear" w:color="auto" w:fill="BFBFBF" w:themeFill="background1" w:themeFillShade="BF"/>
            <w:vAlign w:val="center"/>
            <w:hideMark/>
          </w:tcPr>
          <w:p w14:paraId="49A723F6"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12.3%</w:t>
            </w:r>
          </w:p>
        </w:tc>
      </w:tr>
      <w:tr w:rsidR="00893BA1" w:rsidRPr="007F6332" w14:paraId="35DDEE19" w14:textId="77777777" w:rsidTr="003B643B">
        <w:trPr>
          <w:trHeight w:val="288"/>
        </w:trPr>
        <w:tc>
          <w:tcPr>
            <w:tcW w:w="1106" w:type="pct"/>
            <w:shd w:val="clear" w:color="auto" w:fill="FFFFFF" w:themeFill="background1"/>
            <w:noWrap/>
            <w:vAlign w:val="bottom"/>
            <w:hideMark/>
          </w:tcPr>
          <w:p w14:paraId="33B0354E"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Other Sensory/Speech</w:t>
            </w:r>
          </w:p>
        </w:tc>
        <w:tc>
          <w:tcPr>
            <w:tcW w:w="726" w:type="pct"/>
            <w:shd w:val="clear" w:color="auto" w:fill="FFFFFF" w:themeFill="background1"/>
            <w:noWrap/>
            <w:vAlign w:val="center"/>
            <w:hideMark/>
          </w:tcPr>
          <w:p w14:paraId="09F9CA6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14,000</w:t>
            </w:r>
          </w:p>
        </w:tc>
        <w:tc>
          <w:tcPr>
            <w:tcW w:w="726" w:type="pct"/>
            <w:shd w:val="clear" w:color="auto" w:fill="FFFFFF" w:themeFill="background1"/>
            <w:noWrap/>
            <w:vAlign w:val="center"/>
            <w:hideMark/>
          </w:tcPr>
          <w:p w14:paraId="4ED79050"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14,600</w:t>
            </w:r>
          </w:p>
        </w:tc>
        <w:tc>
          <w:tcPr>
            <w:tcW w:w="726" w:type="pct"/>
            <w:shd w:val="clear" w:color="auto" w:fill="FFFFFF" w:themeFill="background1"/>
            <w:noWrap/>
            <w:vAlign w:val="center"/>
            <w:hideMark/>
          </w:tcPr>
          <w:p w14:paraId="3EC8294D"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16,200</w:t>
            </w:r>
          </w:p>
        </w:tc>
        <w:tc>
          <w:tcPr>
            <w:tcW w:w="726" w:type="pct"/>
            <w:shd w:val="clear" w:color="auto" w:fill="FFFFFF" w:themeFill="background1"/>
            <w:noWrap/>
            <w:vAlign w:val="center"/>
            <w:hideMark/>
          </w:tcPr>
          <w:p w14:paraId="1FE53974"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17,400</w:t>
            </w:r>
          </w:p>
        </w:tc>
        <w:tc>
          <w:tcPr>
            <w:tcW w:w="499" w:type="pct"/>
            <w:shd w:val="clear" w:color="auto" w:fill="FFFFFF" w:themeFill="background1"/>
            <w:vAlign w:val="center"/>
            <w:hideMark/>
          </w:tcPr>
          <w:p w14:paraId="37D9DFBF"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7.4%</w:t>
            </w:r>
          </w:p>
        </w:tc>
        <w:tc>
          <w:tcPr>
            <w:tcW w:w="493" w:type="pct"/>
            <w:shd w:val="clear" w:color="auto" w:fill="FFFFFF" w:themeFill="background1"/>
            <w:vAlign w:val="center"/>
            <w:hideMark/>
          </w:tcPr>
          <w:p w14:paraId="3C697C9A"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7.0%</w:t>
            </w:r>
          </w:p>
        </w:tc>
      </w:tr>
      <w:tr w:rsidR="00893BA1" w:rsidRPr="007F6332" w14:paraId="6EAE4B3E" w14:textId="77777777" w:rsidTr="003B643B">
        <w:trPr>
          <w:trHeight w:val="288"/>
        </w:trPr>
        <w:tc>
          <w:tcPr>
            <w:tcW w:w="1106" w:type="pct"/>
            <w:shd w:val="clear" w:color="auto" w:fill="BFBFBF" w:themeFill="background1" w:themeFillShade="BF"/>
            <w:noWrap/>
            <w:vAlign w:val="bottom"/>
            <w:hideMark/>
          </w:tcPr>
          <w:p w14:paraId="1E03F9DE"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Psychosocial disability</w:t>
            </w:r>
          </w:p>
        </w:tc>
        <w:tc>
          <w:tcPr>
            <w:tcW w:w="726" w:type="pct"/>
            <w:shd w:val="clear" w:color="auto" w:fill="BFBFBF" w:themeFill="background1" w:themeFillShade="BF"/>
            <w:noWrap/>
            <w:vAlign w:val="center"/>
            <w:hideMark/>
          </w:tcPr>
          <w:p w14:paraId="199589C0"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74,000</w:t>
            </w:r>
          </w:p>
        </w:tc>
        <w:tc>
          <w:tcPr>
            <w:tcW w:w="726" w:type="pct"/>
            <w:shd w:val="clear" w:color="auto" w:fill="BFBFBF" w:themeFill="background1" w:themeFillShade="BF"/>
            <w:noWrap/>
            <w:vAlign w:val="center"/>
            <w:hideMark/>
          </w:tcPr>
          <w:p w14:paraId="18D244E6"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77,400</w:t>
            </w:r>
          </w:p>
        </w:tc>
        <w:tc>
          <w:tcPr>
            <w:tcW w:w="726" w:type="pct"/>
            <w:shd w:val="clear" w:color="auto" w:fill="BFBFBF" w:themeFill="background1" w:themeFillShade="BF"/>
            <w:noWrap/>
            <w:vAlign w:val="center"/>
            <w:hideMark/>
          </w:tcPr>
          <w:p w14:paraId="55A9DD3B"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80,600</w:t>
            </w:r>
          </w:p>
        </w:tc>
        <w:tc>
          <w:tcPr>
            <w:tcW w:w="726" w:type="pct"/>
            <w:shd w:val="clear" w:color="auto" w:fill="BFBFBF" w:themeFill="background1" w:themeFillShade="BF"/>
            <w:noWrap/>
            <w:vAlign w:val="center"/>
            <w:hideMark/>
          </w:tcPr>
          <w:p w14:paraId="70990AA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95,100</w:t>
            </w:r>
          </w:p>
        </w:tc>
        <w:tc>
          <w:tcPr>
            <w:tcW w:w="499" w:type="pct"/>
            <w:shd w:val="clear" w:color="auto" w:fill="BFBFBF" w:themeFill="background1" w:themeFillShade="BF"/>
            <w:vAlign w:val="center"/>
            <w:hideMark/>
          </w:tcPr>
          <w:p w14:paraId="3A3BA4C8"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8.7%</w:t>
            </w:r>
          </w:p>
        </w:tc>
        <w:tc>
          <w:tcPr>
            <w:tcW w:w="493" w:type="pct"/>
            <w:shd w:val="clear" w:color="auto" w:fill="BFBFBF" w:themeFill="background1" w:themeFillShade="BF"/>
            <w:vAlign w:val="center"/>
            <w:hideMark/>
          </w:tcPr>
          <w:p w14:paraId="1D2D51F8"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18.0%</w:t>
            </w:r>
          </w:p>
        </w:tc>
      </w:tr>
      <w:tr w:rsidR="00893BA1" w:rsidRPr="007F6332" w14:paraId="09ADAE95" w14:textId="77777777" w:rsidTr="003B643B">
        <w:trPr>
          <w:trHeight w:val="288"/>
        </w:trPr>
        <w:tc>
          <w:tcPr>
            <w:tcW w:w="1106" w:type="pct"/>
            <w:shd w:val="clear" w:color="auto" w:fill="FFFFFF" w:themeFill="background1"/>
            <w:noWrap/>
            <w:vAlign w:val="bottom"/>
            <w:hideMark/>
          </w:tcPr>
          <w:p w14:paraId="2F89738C"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Spinal Cord Injury</w:t>
            </w:r>
          </w:p>
        </w:tc>
        <w:tc>
          <w:tcPr>
            <w:tcW w:w="726" w:type="pct"/>
            <w:shd w:val="clear" w:color="auto" w:fill="FFFFFF" w:themeFill="background1"/>
            <w:noWrap/>
            <w:vAlign w:val="center"/>
            <w:hideMark/>
          </w:tcPr>
          <w:p w14:paraId="47229C9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158,200</w:t>
            </w:r>
          </w:p>
        </w:tc>
        <w:tc>
          <w:tcPr>
            <w:tcW w:w="726" w:type="pct"/>
            <w:shd w:val="clear" w:color="auto" w:fill="FFFFFF" w:themeFill="background1"/>
            <w:noWrap/>
            <w:vAlign w:val="center"/>
            <w:hideMark/>
          </w:tcPr>
          <w:p w14:paraId="15DE7226"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161,600</w:t>
            </w:r>
          </w:p>
        </w:tc>
        <w:tc>
          <w:tcPr>
            <w:tcW w:w="726" w:type="pct"/>
            <w:shd w:val="clear" w:color="auto" w:fill="FFFFFF" w:themeFill="background1"/>
            <w:noWrap/>
            <w:vAlign w:val="center"/>
            <w:hideMark/>
          </w:tcPr>
          <w:p w14:paraId="11CDEA1C"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162,700</w:t>
            </w:r>
          </w:p>
        </w:tc>
        <w:tc>
          <w:tcPr>
            <w:tcW w:w="726" w:type="pct"/>
            <w:shd w:val="clear" w:color="auto" w:fill="FFFFFF" w:themeFill="background1"/>
            <w:noWrap/>
            <w:vAlign w:val="center"/>
            <w:hideMark/>
          </w:tcPr>
          <w:p w14:paraId="239AE088"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187,400</w:t>
            </w:r>
          </w:p>
        </w:tc>
        <w:tc>
          <w:tcPr>
            <w:tcW w:w="499" w:type="pct"/>
            <w:shd w:val="clear" w:color="auto" w:fill="FFFFFF" w:themeFill="background1"/>
            <w:vAlign w:val="bottom"/>
            <w:hideMark/>
          </w:tcPr>
          <w:p w14:paraId="07A48944"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5.8%</w:t>
            </w:r>
          </w:p>
        </w:tc>
        <w:tc>
          <w:tcPr>
            <w:tcW w:w="493" w:type="pct"/>
            <w:shd w:val="clear" w:color="auto" w:fill="FFFFFF" w:themeFill="background1"/>
            <w:vAlign w:val="bottom"/>
            <w:hideMark/>
          </w:tcPr>
          <w:p w14:paraId="4E32B099"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15.2%</w:t>
            </w:r>
          </w:p>
        </w:tc>
      </w:tr>
      <w:tr w:rsidR="00893BA1" w:rsidRPr="007F6332" w14:paraId="3814A368" w14:textId="77777777" w:rsidTr="003B643B">
        <w:trPr>
          <w:trHeight w:val="288"/>
        </w:trPr>
        <w:tc>
          <w:tcPr>
            <w:tcW w:w="1106" w:type="pct"/>
            <w:shd w:val="clear" w:color="auto" w:fill="BFBFBF" w:themeFill="background1" w:themeFillShade="BF"/>
            <w:noWrap/>
            <w:vAlign w:val="bottom"/>
            <w:hideMark/>
          </w:tcPr>
          <w:p w14:paraId="670F4B2A"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Stroke</w:t>
            </w:r>
          </w:p>
        </w:tc>
        <w:tc>
          <w:tcPr>
            <w:tcW w:w="726" w:type="pct"/>
            <w:shd w:val="clear" w:color="auto" w:fill="BFBFBF" w:themeFill="background1" w:themeFillShade="BF"/>
            <w:noWrap/>
            <w:vAlign w:val="center"/>
            <w:hideMark/>
          </w:tcPr>
          <w:p w14:paraId="50C37D92"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118,500</w:t>
            </w:r>
          </w:p>
        </w:tc>
        <w:tc>
          <w:tcPr>
            <w:tcW w:w="726" w:type="pct"/>
            <w:shd w:val="clear" w:color="auto" w:fill="BFBFBF" w:themeFill="background1" w:themeFillShade="BF"/>
            <w:noWrap/>
            <w:vAlign w:val="center"/>
            <w:hideMark/>
          </w:tcPr>
          <w:p w14:paraId="76B538C8"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126,600</w:t>
            </w:r>
          </w:p>
        </w:tc>
        <w:tc>
          <w:tcPr>
            <w:tcW w:w="726" w:type="pct"/>
            <w:shd w:val="clear" w:color="auto" w:fill="BFBFBF" w:themeFill="background1" w:themeFillShade="BF"/>
            <w:noWrap/>
            <w:vAlign w:val="center"/>
            <w:hideMark/>
          </w:tcPr>
          <w:p w14:paraId="21503C55"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134,800</w:t>
            </w:r>
          </w:p>
        </w:tc>
        <w:tc>
          <w:tcPr>
            <w:tcW w:w="726" w:type="pct"/>
            <w:shd w:val="clear" w:color="auto" w:fill="BFBFBF" w:themeFill="background1" w:themeFillShade="BF"/>
            <w:noWrap/>
            <w:vAlign w:val="center"/>
            <w:hideMark/>
          </w:tcPr>
          <w:p w14:paraId="1E273D1B"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161,900</w:t>
            </w:r>
          </w:p>
        </w:tc>
        <w:tc>
          <w:tcPr>
            <w:tcW w:w="499" w:type="pct"/>
            <w:shd w:val="clear" w:color="auto" w:fill="BFBFBF" w:themeFill="background1" w:themeFillShade="BF"/>
            <w:vAlign w:val="bottom"/>
            <w:hideMark/>
          </w:tcPr>
          <w:p w14:paraId="625FFF6F"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11.0%</w:t>
            </w:r>
          </w:p>
        </w:tc>
        <w:tc>
          <w:tcPr>
            <w:tcW w:w="493" w:type="pct"/>
            <w:shd w:val="clear" w:color="auto" w:fill="BFBFBF" w:themeFill="background1" w:themeFillShade="BF"/>
            <w:vAlign w:val="bottom"/>
            <w:hideMark/>
          </w:tcPr>
          <w:p w14:paraId="17D7423C"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20.1%</w:t>
            </w:r>
          </w:p>
        </w:tc>
      </w:tr>
      <w:tr w:rsidR="00893BA1" w:rsidRPr="007F6332" w14:paraId="2AC94AAD" w14:textId="77777777" w:rsidTr="003B643B">
        <w:trPr>
          <w:trHeight w:val="288"/>
        </w:trPr>
        <w:tc>
          <w:tcPr>
            <w:tcW w:w="1106" w:type="pct"/>
            <w:tcBorders>
              <w:top w:val="nil"/>
              <w:left w:val="nil"/>
              <w:bottom w:val="single" w:sz="4" w:space="0" w:color="auto"/>
              <w:right w:val="nil"/>
            </w:tcBorders>
            <w:shd w:val="clear" w:color="auto" w:fill="FFFFFF" w:themeFill="background1"/>
            <w:noWrap/>
            <w:vAlign w:val="bottom"/>
            <w:hideMark/>
          </w:tcPr>
          <w:p w14:paraId="0ACD9BAF"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Visual Impairment</w:t>
            </w:r>
          </w:p>
        </w:tc>
        <w:tc>
          <w:tcPr>
            <w:tcW w:w="726" w:type="pct"/>
            <w:tcBorders>
              <w:top w:val="nil"/>
              <w:left w:val="nil"/>
              <w:bottom w:val="single" w:sz="4" w:space="0" w:color="auto"/>
              <w:right w:val="nil"/>
            </w:tcBorders>
            <w:shd w:val="clear" w:color="auto" w:fill="FFFFFF" w:themeFill="background1"/>
            <w:noWrap/>
            <w:vAlign w:val="center"/>
            <w:hideMark/>
          </w:tcPr>
          <w:p w14:paraId="0CDA4652"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39,800</w:t>
            </w:r>
          </w:p>
        </w:tc>
        <w:tc>
          <w:tcPr>
            <w:tcW w:w="726" w:type="pct"/>
            <w:tcBorders>
              <w:top w:val="nil"/>
              <w:left w:val="nil"/>
              <w:bottom w:val="single" w:sz="4" w:space="0" w:color="auto"/>
              <w:right w:val="nil"/>
            </w:tcBorders>
            <w:shd w:val="clear" w:color="auto" w:fill="FFFFFF" w:themeFill="background1"/>
            <w:noWrap/>
            <w:vAlign w:val="center"/>
            <w:hideMark/>
          </w:tcPr>
          <w:p w14:paraId="2CC85EA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41,400</w:t>
            </w:r>
          </w:p>
        </w:tc>
        <w:tc>
          <w:tcPr>
            <w:tcW w:w="726" w:type="pct"/>
            <w:tcBorders>
              <w:top w:val="nil"/>
              <w:left w:val="nil"/>
              <w:bottom w:val="single" w:sz="4" w:space="0" w:color="auto"/>
              <w:right w:val="nil"/>
            </w:tcBorders>
            <w:shd w:val="clear" w:color="auto" w:fill="FFFFFF" w:themeFill="background1"/>
            <w:noWrap/>
            <w:vAlign w:val="center"/>
            <w:hideMark/>
          </w:tcPr>
          <w:p w14:paraId="1DE4F71B"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43,600</w:t>
            </w:r>
          </w:p>
        </w:tc>
        <w:tc>
          <w:tcPr>
            <w:tcW w:w="726" w:type="pct"/>
            <w:tcBorders>
              <w:top w:val="nil"/>
              <w:left w:val="nil"/>
              <w:bottom w:val="single" w:sz="4" w:space="0" w:color="auto"/>
              <w:right w:val="nil"/>
            </w:tcBorders>
            <w:shd w:val="clear" w:color="auto" w:fill="FFFFFF" w:themeFill="background1"/>
            <w:noWrap/>
            <w:vAlign w:val="center"/>
            <w:hideMark/>
          </w:tcPr>
          <w:p w14:paraId="73E87BA1"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50,300</w:t>
            </w:r>
          </w:p>
        </w:tc>
        <w:tc>
          <w:tcPr>
            <w:tcW w:w="499" w:type="pct"/>
            <w:tcBorders>
              <w:top w:val="nil"/>
              <w:left w:val="nil"/>
              <w:bottom w:val="single" w:sz="4" w:space="0" w:color="auto"/>
              <w:right w:val="nil"/>
            </w:tcBorders>
            <w:shd w:val="clear" w:color="auto" w:fill="FFFFFF" w:themeFill="background1"/>
            <w:vAlign w:val="bottom"/>
            <w:hideMark/>
          </w:tcPr>
          <w:p w14:paraId="38DBD1DD"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8.1%</w:t>
            </w:r>
          </w:p>
        </w:tc>
        <w:tc>
          <w:tcPr>
            <w:tcW w:w="493" w:type="pct"/>
            <w:tcBorders>
              <w:top w:val="nil"/>
              <w:left w:val="nil"/>
              <w:bottom w:val="single" w:sz="4" w:space="0" w:color="auto"/>
              <w:right w:val="nil"/>
            </w:tcBorders>
            <w:shd w:val="clear" w:color="auto" w:fill="FFFFFF" w:themeFill="background1"/>
            <w:vAlign w:val="bottom"/>
            <w:hideMark/>
          </w:tcPr>
          <w:p w14:paraId="640EE738"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15.2%</w:t>
            </w:r>
          </w:p>
        </w:tc>
      </w:tr>
    </w:tbl>
    <w:p w14:paraId="0D68E080" w14:textId="66BF7BDB" w:rsidR="00DA18BF" w:rsidRPr="007F6332" w:rsidRDefault="00893BA1" w:rsidP="00DA18BF">
      <w:pPr>
        <w:pStyle w:val="FSRnormal"/>
        <w:rPr>
          <w:rFonts w:cs="Arial"/>
        </w:rPr>
      </w:pPr>
      <w:r w:rsidRPr="007F6332">
        <w:rPr>
          <w:rFonts w:cs="Arial"/>
        </w:rPr>
        <w:fldChar w:fldCharType="end"/>
      </w:r>
      <w:r w:rsidR="00DA18BF" w:rsidRPr="007F6332">
        <w:rPr>
          <w:rFonts w:cs="Arial"/>
        </w:rPr>
        <w:t>An increase in average annualised plan budgets occurred across all age groups for the last four financial years ending 30 June. Participants aged between 55 to 64 had the largest increase of 16.5%.</w:t>
      </w:r>
    </w:p>
    <w:p w14:paraId="45A6481C" w14:textId="77777777" w:rsidR="0076644E" w:rsidRPr="007F6332" w:rsidRDefault="0076644E" w:rsidP="00DA18BF">
      <w:pPr>
        <w:pStyle w:val="FSRnormal"/>
        <w:rPr>
          <w:rFonts w:cs="Arial"/>
        </w:rPr>
        <w:sectPr w:rsidR="0076644E" w:rsidRPr="007F6332" w:rsidSect="004D1C4D">
          <w:pgSz w:w="11906" w:h="16838"/>
          <w:pgMar w:top="1440" w:right="1416" w:bottom="1440" w:left="1440" w:header="708" w:footer="674" w:gutter="0"/>
          <w:cols w:space="708"/>
          <w:titlePg/>
          <w:docGrid w:linePitch="360"/>
        </w:sectPr>
      </w:pPr>
    </w:p>
    <w:p w14:paraId="3658E503" w14:textId="2B16DE94" w:rsidR="00893BA1" w:rsidRPr="007F6332" w:rsidRDefault="00893BA1" w:rsidP="00283EE0">
      <w:pPr>
        <w:pStyle w:val="FiguresandTablesHeading5"/>
      </w:pPr>
      <w:r w:rsidRPr="007F6332">
        <w:lastRenderedPageBreak/>
        <w:t xml:space="preserve">Table </w:t>
      </w:r>
      <w:r w:rsidR="001E600C" w:rsidRPr="007F6332">
        <w:t>F</w:t>
      </w:r>
      <w:r w:rsidRPr="007F6332">
        <w:t>.</w:t>
      </w:r>
      <w:r w:rsidR="00CD756B" w:rsidRPr="007F6332">
        <w:t>2</w:t>
      </w:r>
      <w:r w:rsidRPr="007F6332">
        <w:t>: Average annualised plan budget by age group ($)</w:t>
      </w:r>
      <w:r w:rsidRPr="007F6332">
        <w:rPr>
          <w:rStyle w:val="FootnoteReference"/>
        </w:rPr>
        <w:footnoteReference w:id="172"/>
      </w:r>
      <w:r w:rsidRPr="007F6332">
        <w:rPr>
          <w:rFonts w:eastAsiaTheme="minorHAnsi"/>
          <w:bCs/>
          <w:noProof/>
          <w:szCs w:val="18"/>
          <w:lang w:eastAsia="en-US"/>
        </w:rPr>
        <w:fldChar w:fldCharType="begin"/>
      </w:r>
      <w:r w:rsidRPr="007F6332">
        <w:instrText xml:space="preserve"> LINK Excel.Sheet.12 "\\\\spoalternatestoragev2.file.core.windows.net\\osashares\\Secured\\NDIA_FSR\\2022-23\\Jun23 AFSR\\1. Tables and Charts\\Master spreadsheet\\_5_Scheme_experience_payment.xlsx" "Summary-one way!R37C32:R46C38" \a \f 4 \h  \* MERGEFORMAT </w:instrText>
      </w:r>
      <w:r w:rsidRPr="007F6332">
        <w:rPr>
          <w:rFonts w:eastAsiaTheme="minorHAnsi"/>
          <w:bCs/>
          <w:noProof/>
          <w:szCs w:val="18"/>
          <w:lang w:eastAsia="en-US"/>
        </w:rPr>
        <w:fldChar w:fldCharType="separate"/>
      </w:r>
    </w:p>
    <w:tbl>
      <w:tblPr>
        <w:tblW w:w="5169" w:type="pct"/>
        <w:tblLook w:val="04A0" w:firstRow="1" w:lastRow="0" w:firstColumn="1" w:lastColumn="0" w:noHBand="0" w:noVBand="1"/>
      </w:tblPr>
      <w:tblGrid>
        <w:gridCol w:w="1353"/>
        <w:gridCol w:w="1439"/>
        <w:gridCol w:w="1439"/>
        <w:gridCol w:w="1439"/>
        <w:gridCol w:w="1440"/>
        <w:gridCol w:w="1085"/>
        <w:gridCol w:w="1161"/>
      </w:tblGrid>
      <w:tr w:rsidR="00893BA1" w:rsidRPr="007F6332" w14:paraId="1DCF979E" w14:textId="77777777" w:rsidTr="00C1755E">
        <w:trPr>
          <w:trHeight w:val="300"/>
        </w:trPr>
        <w:tc>
          <w:tcPr>
            <w:tcW w:w="673" w:type="pct"/>
            <w:tcBorders>
              <w:top w:val="single" w:sz="4" w:space="0" w:color="auto"/>
              <w:left w:val="nil"/>
              <w:bottom w:val="nil"/>
              <w:right w:val="nil"/>
            </w:tcBorders>
            <w:shd w:val="clear" w:color="auto" w:fill="6B2976"/>
            <w:noWrap/>
            <w:vAlign w:val="center"/>
            <w:hideMark/>
          </w:tcPr>
          <w:p w14:paraId="0B566CB3" w14:textId="77777777" w:rsidR="00893BA1" w:rsidRPr="007F6332" w:rsidRDefault="00893BA1">
            <w:pPr>
              <w:spacing w:after="0" w:line="240" w:lineRule="auto"/>
              <w:rPr>
                <w:rFonts w:eastAsia="Times New Roman" w:cs="Arial"/>
                <w:b/>
                <w:color w:val="FFFFFF"/>
                <w:szCs w:val="22"/>
                <w:lang w:eastAsia="en-AU"/>
              </w:rPr>
            </w:pPr>
            <w:r w:rsidRPr="007F6332">
              <w:rPr>
                <w:rFonts w:eastAsia="Times New Roman" w:cs="Arial"/>
                <w:b/>
                <w:color w:val="FFFFFF"/>
                <w:szCs w:val="22"/>
                <w:lang w:eastAsia="en-AU"/>
              </w:rPr>
              <w:t>Age Group</w:t>
            </w:r>
          </w:p>
        </w:tc>
        <w:tc>
          <w:tcPr>
            <w:tcW w:w="787" w:type="pct"/>
            <w:tcBorders>
              <w:top w:val="single" w:sz="4" w:space="0" w:color="auto"/>
              <w:left w:val="nil"/>
              <w:bottom w:val="nil"/>
              <w:right w:val="nil"/>
            </w:tcBorders>
            <w:shd w:val="clear" w:color="auto" w:fill="6B2976"/>
            <w:noWrap/>
            <w:vAlign w:val="center"/>
            <w:hideMark/>
          </w:tcPr>
          <w:p w14:paraId="4BF6971B" w14:textId="77777777" w:rsidR="000C53EE" w:rsidRPr="007F6332" w:rsidRDefault="00893BA1">
            <w:pPr>
              <w:spacing w:after="0" w:line="240" w:lineRule="auto"/>
              <w:jc w:val="right"/>
              <w:rPr>
                <w:rFonts w:cs="Arial"/>
                <w:b/>
                <w:bCs/>
                <w:color w:val="FFFFFF"/>
                <w:szCs w:val="22"/>
              </w:rPr>
            </w:pPr>
            <w:r w:rsidRPr="007F6332">
              <w:rPr>
                <w:rFonts w:cs="Arial"/>
                <w:b/>
                <w:bCs/>
                <w:color w:val="FFFFFF"/>
                <w:szCs w:val="22"/>
              </w:rPr>
              <w:t xml:space="preserve">30 June </w:t>
            </w:r>
          </w:p>
          <w:p w14:paraId="0D94C2E2" w14:textId="3D7BA85C" w:rsidR="00893BA1" w:rsidRPr="007F6332" w:rsidRDefault="00893BA1">
            <w:pPr>
              <w:spacing w:after="0" w:line="240" w:lineRule="auto"/>
              <w:jc w:val="right"/>
              <w:rPr>
                <w:rFonts w:eastAsia="Times New Roman" w:cs="Arial"/>
                <w:b/>
                <w:color w:val="FFFFFF"/>
                <w:szCs w:val="22"/>
                <w:lang w:eastAsia="en-AU"/>
              </w:rPr>
            </w:pPr>
            <w:r w:rsidRPr="007F6332">
              <w:rPr>
                <w:rFonts w:cs="Arial"/>
                <w:b/>
                <w:bCs/>
                <w:color w:val="FFFFFF"/>
                <w:szCs w:val="22"/>
              </w:rPr>
              <w:t>2020</w:t>
            </w:r>
          </w:p>
        </w:tc>
        <w:tc>
          <w:tcPr>
            <w:tcW w:w="787" w:type="pct"/>
            <w:tcBorders>
              <w:top w:val="single" w:sz="4" w:space="0" w:color="auto"/>
              <w:left w:val="nil"/>
              <w:bottom w:val="nil"/>
              <w:right w:val="nil"/>
            </w:tcBorders>
            <w:shd w:val="clear" w:color="auto" w:fill="6B2976"/>
            <w:noWrap/>
            <w:vAlign w:val="center"/>
            <w:hideMark/>
          </w:tcPr>
          <w:p w14:paraId="395F093E" w14:textId="77777777" w:rsidR="000C53EE" w:rsidRPr="007F6332" w:rsidRDefault="00893BA1">
            <w:pPr>
              <w:spacing w:after="0" w:line="240" w:lineRule="auto"/>
              <w:jc w:val="right"/>
              <w:rPr>
                <w:rFonts w:cs="Arial"/>
                <w:b/>
                <w:bCs/>
                <w:color w:val="FFFFFF"/>
                <w:szCs w:val="22"/>
              </w:rPr>
            </w:pPr>
            <w:r w:rsidRPr="007F6332">
              <w:rPr>
                <w:rFonts w:cs="Arial"/>
                <w:b/>
                <w:bCs/>
                <w:color w:val="FFFFFF"/>
                <w:szCs w:val="22"/>
              </w:rPr>
              <w:t xml:space="preserve">30 June </w:t>
            </w:r>
          </w:p>
          <w:p w14:paraId="1F04FFE4" w14:textId="331EA2F9" w:rsidR="00893BA1" w:rsidRPr="007F6332" w:rsidRDefault="00893BA1">
            <w:pPr>
              <w:spacing w:after="0" w:line="240" w:lineRule="auto"/>
              <w:jc w:val="right"/>
              <w:rPr>
                <w:rFonts w:eastAsia="Times New Roman" w:cs="Arial"/>
                <w:b/>
                <w:color w:val="FFFFFF"/>
                <w:szCs w:val="22"/>
                <w:lang w:eastAsia="en-AU"/>
              </w:rPr>
            </w:pPr>
            <w:r w:rsidRPr="007F6332">
              <w:rPr>
                <w:rFonts w:cs="Arial"/>
                <w:b/>
                <w:bCs/>
                <w:color w:val="FFFFFF"/>
                <w:szCs w:val="22"/>
              </w:rPr>
              <w:t>2021</w:t>
            </w:r>
          </w:p>
        </w:tc>
        <w:tc>
          <w:tcPr>
            <w:tcW w:w="787" w:type="pct"/>
            <w:tcBorders>
              <w:top w:val="single" w:sz="4" w:space="0" w:color="auto"/>
              <w:left w:val="nil"/>
              <w:bottom w:val="nil"/>
              <w:right w:val="nil"/>
            </w:tcBorders>
            <w:shd w:val="clear" w:color="auto" w:fill="6B2976"/>
            <w:noWrap/>
            <w:vAlign w:val="center"/>
            <w:hideMark/>
          </w:tcPr>
          <w:p w14:paraId="5F4AFE48" w14:textId="77777777" w:rsidR="000C53EE" w:rsidRPr="007F6332" w:rsidRDefault="00893BA1">
            <w:pPr>
              <w:spacing w:after="0" w:line="240" w:lineRule="auto"/>
              <w:jc w:val="right"/>
              <w:rPr>
                <w:rFonts w:cs="Arial"/>
                <w:b/>
                <w:bCs/>
                <w:color w:val="FFFFFF"/>
                <w:szCs w:val="22"/>
              </w:rPr>
            </w:pPr>
            <w:r w:rsidRPr="007F6332">
              <w:rPr>
                <w:rFonts w:cs="Arial"/>
                <w:b/>
                <w:bCs/>
                <w:color w:val="FFFFFF"/>
                <w:szCs w:val="22"/>
              </w:rPr>
              <w:t xml:space="preserve">30 June </w:t>
            </w:r>
          </w:p>
          <w:p w14:paraId="1DD9929D" w14:textId="151EF288" w:rsidR="00893BA1" w:rsidRPr="007F6332" w:rsidRDefault="00893BA1">
            <w:pPr>
              <w:spacing w:after="0" w:line="240" w:lineRule="auto"/>
              <w:jc w:val="right"/>
              <w:rPr>
                <w:rFonts w:eastAsia="Times New Roman" w:cs="Arial"/>
                <w:b/>
                <w:color w:val="FFFFFF"/>
                <w:szCs w:val="22"/>
                <w:lang w:eastAsia="en-AU"/>
              </w:rPr>
            </w:pPr>
            <w:r w:rsidRPr="007F6332">
              <w:rPr>
                <w:rFonts w:cs="Arial"/>
                <w:b/>
                <w:bCs/>
                <w:color w:val="FFFFFF"/>
                <w:szCs w:val="22"/>
              </w:rPr>
              <w:t>2022</w:t>
            </w:r>
          </w:p>
        </w:tc>
        <w:tc>
          <w:tcPr>
            <w:tcW w:w="787" w:type="pct"/>
            <w:tcBorders>
              <w:top w:val="single" w:sz="4" w:space="0" w:color="auto"/>
              <w:left w:val="nil"/>
              <w:bottom w:val="nil"/>
              <w:right w:val="nil"/>
            </w:tcBorders>
            <w:shd w:val="clear" w:color="auto" w:fill="6B2976"/>
            <w:noWrap/>
            <w:vAlign w:val="center"/>
            <w:hideMark/>
          </w:tcPr>
          <w:p w14:paraId="1271D61C" w14:textId="77777777" w:rsidR="000C53EE" w:rsidRPr="007F6332" w:rsidRDefault="00893BA1">
            <w:pPr>
              <w:spacing w:after="0" w:line="240" w:lineRule="auto"/>
              <w:jc w:val="right"/>
              <w:rPr>
                <w:rFonts w:cs="Arial"/>
                <w:b/>
                <w:bCs/>
                <w:color w:val="FFFFFF"/>
                <w:szCs w:val="22"/>
              </w:rPr>
            </w:pPr>
            <w:r w:rsidRPr="007F6332">
              <w:rPr>
                <w:rFonts w:cs="Arial"/>
                <w:b/>
                <w:bCs/>
                <w:color w:val="FFFFFF"/>
                <w:szCs w:val="22"/>
              </w:rPr>
              <w:t xml:space="preserve">30 June </w:t>
            </w:r>
          </w:p>
          <w:p w14:paraId="3EDA6122" w14:textId="07FD1095" w:rsidR="00893BA1" w:rsidRPr="007F6332" w:rsidRDefault="00893BA1">
            <w:pPr>
              <w:spacing w:after="0" w:line="240" w:lineRule="auto"/>
              <w:jc w:val="right"/>
              <w:rPr>
                <w:rFonts w:eastAsia="Times New Roman" w:cs="Arial"/>
                <w:b/>
                <w:color w:val="FFFFFF"/>
                <w:szCs w:val="22"/>
                <w:lang w:eastAsia="en-AU"/>
              </w:rPr>
            </w:pPr>
            <w:r w:rsidRPr="007F6332">
              <w:rPr>
                <w:rFonts w:cs="Arial"/>
                <w:b/>
                <w:bCs/>
                <w:color w:val="FFFFFF"/>
                <w:szCs w:val="22"/>
              </w:rPr>
              <w:t>2023</w:t>
            </w:r>
          </w:p>
        </w:tc>
        <w:tc>
          <w:tcPr>
            <w:tcW w:w="541" w:type="pct"/>
            <w:tcBorders>
              <w:top w:val="single" w:sz="4" w:space="0" w:color="auto"/>
              <w:left w:val="nil"/>
              <w:bottom w:val="nil"/>
              <w:right w:val="nil"/>
            </w:tcBorders>
            <w:shd w:val="clear" w:color="auto" w:fill="6B2976"/>
            <w:vAlign w:val="center"/>
            <w:hideMark/>
          </w:tcPr>
          <w:p w14:paraId="5ACD35DC" w14:textId="77777777" w:rsidR="00893BA1" w:rsidRPr="007F6332" w:rsidRDefault="00893BA1">
            <w:pPr>
              <w:spacing w:after="0" w:line="240" w:lineRule="auto"/>
              <w:jc w:val="right"/>
              <w:rPr>
                <w:rFonts w:eastAsiaTheme="minorHAnsi" w:cs="Arial"/>
                <w:b/>
                <w:bCs/>
                <w:color w:val="FFFFFF"/>
                <w:szCs w:val="22"/>
                <w:lang w:eastAsia="en-US"/>
              </w:rPr>
            </w:pPr>
            <w:r w:rsidRPr="007F6332">
              <w:rPr>
                <w:rFonts w:cs="Arial"/>
                <w:b/>
                <w:bCs/>
                <w:color w:val="FFFFFF"/>
                <w:szCs w:val="22"/>
              </w:rPr>
              <w:t>Average annual growth</w:t>
            </w:r>
          </w:p>
        </w:tc>
        <w:tc>
          <w:tcPr>
            <w:tcW w:w="639" w:type="pct"/>
            <w:tcBorders>
              <w:top w:val="single" w:sz="4" w:space="0" w:color="auto"/>
              <w:left w:val="nil"/>
              <w:bottom w:val="nil"/>
              <w:right w:val="nil"/>
            </w:tcBorders>
            <w:shd w:val="clear" w:color="auto" w:fill="6B2976"/>
            <w:vAlign w:val="center"/>
            <w:hideMark/>
          </w:tcPr>
          <w:p w14:paraId="0D9810F7" w14:textId="77777777" w:rsidR="00893BA1" w:rsidRPr="007F6332" w:rsidRDefault="00893BA1">
            <w:pPr>
              <w:spacing w:after="0" w:line="240" w:lineRule="auto"/>
              <w:jc w:val="right"/>
              <w:rPr>
                <w:rFonts w:cs="Arial"/>
                <w:b/>
                <w:bCs/>
                <w:color w:val="FFFFFF"/>
                <w:szCs w:val="22"/>
              </w:rPr>
            </w:pPr>
            <w:r w:rsidRPr="007F6332">
              <w:rPr>
                <w:rFonts w:cs="Arial"/>
                <w:b/>
                <w:bCs/>
                <w:color w:val="FFFFFF"/>
                <w:szCs w:val="22"/>
              </w:rPr>
              <w:t>2022-23 growth</w:t>
            </w:r>
          </w:p>
        </w:tc>
      </w:tr>
      <w:tr w:rsidR="00893BA1" w:rsidRPr="007F6332" w14:paraId="0B891A8F" w14:textId="77777777" w:rsidTr="00C1755E">
        <w:trPr>
          <w:trHeight w:val="225"/>
        </w:trPr>
        <w:tc>
          <w:tcPr>
            <w:tcW w:w="673" w:type="pct"/>
            <w:noWrap/>
            <w:vAlign w:val="center"/>
            <w:hideMark/>
          </w:tcPr>
          <w:p w14:paraId="3FF8519B"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0 to 6</w:t>
            </w:r>
          </w:p>
        </w:tc>
        <w:tc>
          <w:tcPr>
            <w:tcW w:w="787" w:type="pct"/>
            <w:noWrap/>
            <w:vAlign w:val="center"/>
            <w:hideMark/>
          </w:tcPr>
          <w:p w14:paraId="345F6C8B"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24,100</w:t>
            </w:r>
          </w:p>
        </w:tc>
        <w:tc>
          <w:tcPr>
            <w:tcW w:w="787" w:type="pct"/>
            <w:noWrap/>
            <w:vAlign w:val="center"/>
            <w:hideMark/>
          </w:tcPr>
          <w:p w14:paraId="4BD3E40A"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24,400</w:t>
            </w:r>
          </w:p>
        </w:tc>
        <w:tc>
          <w:tcPr>
            <w:tcW w:w="787" w:type="pct"/>
            <w:noWrap/>
            <w:vAlign w:val="center"/>
            <w:hideMark/>
          </w:tcPr>
          <w:p w14:paraId="1AE041C8"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24,800</w:t>
            </w:r>
          </w:p>
        </w:tc>
        <w:tc>
          <w:tcPr>
            <w:tcW w:w="787" w:type="pct"/>
            <w:noWrap/>
            <w:vAlign w:val="center"/>
            <w:hideMark/>
          </w:tcPr>
          <w:p w14:paraId="28484995"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25,400</w:t>
            </w:r>
          </w:p>
        </w:tc>
        <w:tc>
          <w:tcPr>
            <w:tcW w:w="541" w:type="pct"/>
            <w:vAlign w:val="center"/>
            <w:hideMark/>
          </w:tcPr>
          <w:p w14:paraId="783BAE3F"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1.7%</w:t>
            </w:r>
          </w:p>
        </w:tc>
        <w:tc>
          <w:tcPr>
            <w:tcW w:w="639" w:type="pct"/>
            <w:vAlign w:val="center"/>
            <w:hideMark/>
          </w:tcPr>
          <w:p w14:paraId="24988DEA"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2.3%</w:t>
            </w:r>
          </w:p>
        </w:tc>
      </w:tr>
      <w:tr w:rsidR="00893BA1" w:rsidRPr="007F6332" w14:paraId="55FB18F7" w14:textId="77777777" w:rsidTr="00C1755E">
        <w:trPr>
          <w:trHeight w:val="225"/>
        </w:trPr>
        <w:tc>
          <w:tcPr>
            <w:tcW w:w="673" w:type="pct"/>
            <w:shd w:val="clear" w:color="auto" w:fill="BFBFBF" w:themeFill="background1" w:themeFillShade="BF"/>
            <w:noWrap/>
            <w:vAlign w:val="center"/>
            <w:hideMark/>
          </w:tcPr>
          <w:p w14:paraId="25CC9D8B"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7 to 14</w:t>
            </w:r>
          </w:p>
        </w:tc>
        <w:tc>
          <w:tcPr>
            <w:tcW w:w="787" w:type="pct"/>
            <w:shd w:val="clear" w:color="auto" w:fill="BFBFBF" w:themeFill="background1" w:themeFillShade="BF"/>
            <w:noWrap/>
            <w:vAlign w:val="center"/>
            <w:hideMark/>
          </w:tcPr>
          <w:p w14:paraId="35C49CD0"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24,600</w:t>
            </w:r>
          </w:p>
        </w:tc>
        <w:tc>
          <w:tcPr>
            <w:tcW w:w="787" w:type="pct"/>
            <w:shd w:val="clear" w:color="auto" w:fill="BFBFBF" w:themeFill="background1" w:themeFillShade="BF"/>
            <w:noWrap/>
            <w:vAlign w:val="center"/>
            <w:hideMark/>
          </w:tcPr>
          <w:p w14:paraId="52C09DB2"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24,500</w:t>
            </w:r>
          </w:p>
        </w:tc>
        <w:tc>
          <w:tcPr>
            <w:tcW w:w="787" w:type="pct"/>
            <w:shd w:val="clear" w:color="auto" w:fill="BFBFBF" w:themeFill="background1" w:themeFillShade="BF"/>
            <w:noWrap/>
            <w:vAlign w:val="center"/>
            <w:hideMark/>
          </w:tcPr>
          <w:p w14:paraId="426E901A"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24,300</w:t>
            </w:r>
          </w:p>
        </w:tc>
        <w:tc>
          <w:tcPr>
            <w:tcW w:w="787" w:type="pct"/>
            <w:shd w:val="clear" w:color="auto" w:fill="BFBFBF" w:themeFill="background1" w:themeFillShade="BF"/>
            <w:noWrap/>
            <w:vAlign w:val="center"/>
            <w:hideMark/>
          </w:tcPr>
          <w:p w14:paraId="269B1881"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25,900</w:t>
            </w:r>
          </w:p>
        </w:tc>
        <w:tc>
          <w:tcPr>
            <w:tcW w:w="541" w:type="pct"/>
            <w:shd w:val="clear" w:color="auto" w:fill="BFBFBF" w:themeFill="background1" w:themeFillShade="BF"/>
            <w:vAlign w:val="center"/>
            <w:hideMark/>
          </w:tcPr>
          <w:p w14:paraId="2707C549"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1.7%</w:t>
            </w:r>
          </w:p>
        </w:tc>
        <w:tc>
          <w:tcPr>
            <w:tcW w:w="639" w:type="pct"/>
            <w:shd w:val="clear" w:color="auto" w:fill="BFBFBF" w:themeFill="background1" w:themeFillShade="BF"/>
            <w:vAlign w:val="center"/>
            <w:hideMark/>
          </w:tcPr>
          <w:p w14:paraId="702852BD"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6.4%</w:t>
            </w:r>
          </w:p>
        </w:tc>
      </w:tr>
      <w:tr w:rsidR="00893BA1" w:rsidRPr="007F6332" w14:paraId="055E22AB" w14:textId="77777777" w:rsidTr="00C1755E">
        <w:trPr>
          <w:trHeight w:val="225"/>
        </w:trPr>
        <w:tc>
          <w:tcPr>
            <w:tcW w:w="673" w:type="pct"/>
            <w:shd w:val="clear" w:color="auto" w:fill="FFFFFF" w:themeFill="background1"/>
            <w:noWrap/>
            <w:vAlign w:val="center"/>
            <w:hideMark/>
          </w:tcPr>
          <w:p w14:paraId="1CF9A2C2"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15 to 18</w:t>
            </w:r>
          </w:p>
        </w:tc>
        <w:tc>
          <w:tcPr>
            <w:tcW w:w="787" w:type="pct"/>
            <w:shd w:val="clear" w:color="auto" w:fill="FFFFFF" w:themeFill="background1"/>
            <w:noWrap/>
            <w:vAlign w:val="center"/>
            <w:hideMark/>
          </w:tcPr>
          <w:p w14:paraId="2FE5BCF3"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52,900</w:t>
            </w:r>
          </w:p>
        </w:tc>
        <w:tc>
          <w:tcPr>
            <w:tcW w:w="787" w:type="pct"/>
            <w:shd w:val="clear" w:color="auto" w:fill="FFFFFF" w:themeFill="background1"/>
            <w:noWrap/>
            <w:vAlign w:val="center"/>
            <w:hideMark/>
          </w:tcPr>
          <w:p w14:paraId="1B8E9344"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49,700</w:t>
            </w:r>
          </w:p>
        </w:tc>
        <w:tc>
          <w:tcPr>
            <w:tcW w:w="787" w:type="pct"/>
            <w:shd w:val="clear" w:color="auto" w:fill="FFFFFF" w:themeFill="background1"/>
            <w:noWrap/>
            <w:vAlign w:val="center"/>
            <w:hideMark/>
          </w:tcPr>
          <w:p w14:paraId="47B45B23"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45,700</w:t>
            </w:r>
          </w:p>
        </w:tc>
        <w:tc>
          <w:tcPr>
            <w:tcW w:w="787" w:type="pct"/>
            <w:shd w:val="clear" w:color="auto" w:fill="FFFFFF" w:themeFill="background1"/>
            <w:noWrap/>
            <w:vAlign w:val="center"/>
            <w:hideMark/>
          </w:tcPr>
          <w:p w14:paraId="6D1939D5"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47,800</w:t>
            </w:r>
          </w:p>
        </w:tc>
        <w:tc>
          <w:tcPr>
            <w:tcW w:w="541" w:type="pct"/>
            <w:shd w:val="clear" w:color="auto" w:fill="FFFFFF" w:themeFill="background1"/>
            <w:vAlign w:val="center"/>
            <w:hideMark/>
          </w:tcPr>
          <w:p w14:paraId="7BCCA4B3"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-3.3%</w:t>
            </w:r>
          </w:p>
        </w:tc>
        <w:tc>
          <w:tcPr>
            <w:tcW w:w="639" w:type="pct"/>
            <w:shd w:val="clear" w:color="auto" w:fill="FFFFFF" w:themeFill="background1"/>
            <w:vAlign w:val="center"/>
            <w:hideMark/>
          </w:tcPr>
          <w:p w14:paraId="74D75ED6"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4.5%</w:t>
            </w:r>
          </w:p>
        </w:tc>
      </w:tr>
      <w:tr w:rsidR="00893BA1" w:rsidRPr="007F6332" w14:paraId="52A2E1F5" w14:textId="77777777" w:rsidTr="00C1755E">
        <w:trPr>
          <w:trHeight w:val="225"/>
        </w:trPr>
        <w:tc>
          <w:tcPr>
            <w:tcW w:w="673" w:type="pct"/>
            <w:shd w:val="clear" w:color="auto" w:fill="BFBFBF" w:themeFill="background1" w:themeFillShade="BF"/>
            <w:noWrap/>
            <w:vAlign w:val="center"/>
            <w:hideMark/>
          </w:tcPr>
          <w:p w14:paraId="0764B565"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19 to 24</w:t>
            </w:r>
          </w:p>
        </w:tc>
        <w:tc>
          <w:tcPr>
            <w:tcW w:w="787" w:type="pct"/>
            <w:shd w:val="clear" w:color="auto" w:fill="BFBFBF" w:themeFill="background1" w:themeFillShade="BF"/>
            <w:noWrap/>
            <w:vAlign w:val="center"/>
            <w:hideMark/>
          </w:tcPr>
          <w:p w14:paraId="3D8F8AC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87,500</w:t>
            </w:r>
          </w:p>
        </w:tc>
        <w:tc>
          <w:tcPr>
            <w:tcW w:w="787" w:type="pct"/>
            <w:shd w:val="clear" w:color="auto" w:fill="BFBFBF" w:themeFill="background1" w:themeFillShade="BF"/>
            <w:noWrap/>
            <w:vAlign w:val="center"/>
            <w:hideMark/>
          </w:tcPr>
          <w:p w14:paraId="46CCD3A2"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87,800</w:t>
            </w:r>
          </w:p>
        </w:tc>
        <w:tc>
          <w:tcPr>
            <w:tcW w:w="787" w:type="pct"/>
            <w:shd w:val="clear" w:color="auto" w:fill="BFBFBF" w:themeFill="background1" w:themeFillShade="BF"/>
            <w:noWrap/>
            <w:vAlign w:val="center"/>
            <w:hideMark/>
          </w:tcPr>
          <w:p w14:paraId="3ADFBCAD"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87,600</w:t>
            </w:r>
          </w:p>
        </w:tc>
        <w:tc>
          <w:tcPr>
            <w:tcW w:w="787" w:type="pct"/>
            <w:shd w:val="clear" w:color="auto" w:fill="BFBFBF" w:themeFill="background1" w:themeFillShade="BF"/>
            <w:noWrap/>
            <w:vAlign w:val="center"/>
            <w:hideMark/>
          </w:tcPr>
          <w:p w14:paraId="345615FC"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94,800</w:t>
            </w:r>
          </w:p>
        </w:tc>
        <w:tc>
          <w:tcPr>
            <w:tcW w:w="541" w:type="pct"/>
            <w:shd w:val="clear" w:color="auto" w:fill="BFBFBF" w:themeFill="background1" w:themeFillShade="BF"/>
            <w:vAlign w:val="center"/>
            <w:hideMark/>
          </w:tcPr>
          <w:p w14:paraId="659635EB"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2.7%</w:t>
            </w:r>
          </w:p>
        </w:tc>
        <w:tc>
          <w:tcPr>
            <w:tcW w:w="639" w:type="pct"/>
            <w:shd w:val="clear" w:color="auto" w:fill="BFBFBF" w:themeFill="background1" w:themeFillShade="BF"/>
            <w:vAlign w:val="center"/>
            <w:hideMark/>
          </w:tcPr>
          <w:p w14:paraId="4E9F5C40"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8.2%</w:t>
            </w:r>
          </w:p>
        </w:tc>
      </w:tr>
      <w:tr w:rsidR="00893BA1" w:rsidRPr="007F6332" w14:paraId="269E507E" w14:textId="77777777" w:rsidTr="00C1755E">
        <w:trPr>
          <w:trHeight w:val="225"/>
        </w:trPr>
        <w:tc>
          <w:tcPr>
            <w:tcW w:w="673" w:type="pct"/>
            <w:shd w:val="clear" w:color="auto" w:fill="FFFFFF" w:themeFill="background1"/>
            <w:noWrap/>
            <w:vAlign w:val="center"/>
            <w:hideMark/>
          </w:tcPr>
          <w:p w14:paraId="4DC3649F"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25 to 34</w:t>
            </w:r>
          </w:p>
        </w:tc>
        <w:tc>
          <w:tcPr>
            <w:tcW w:w="787" w:type="pct"/>
            <w:shd w:val="clear" w:color="auto" w:fill="FFFFFF" w:themeFill="background1"/>
            <w:noWrap/>
            <w:vAlign w:val="center"/>
            <w:hideMark/>
          </w:tcPr>
          <w:p w14:paraId="5BF801D3"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110,300</w:t>
            </w:r>
          </w:p>
        </w:tc>
        <w:tc>
          <w:tcPr>
            <w:tcW w:w="787" w:type="pct"/>
            <w:shd w:val="clear" w:color="auto" w:fill="FFFFFF" w:themeFill="background1"/>
            <w:noWrap/>
            <w:vAlign w:val="center"/>
            <w:hideMark/>
          </w:tcPr>
          <w:p w14:paraId="546AE23A"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108,200</w:t>
            </w:r>
          </w:p>
        </w:tc>
        <w:tc>
          <w:tcPr>
            <w:tcW w:w="787" w:type="pct"/>
            <w:shd w:val="clear" w:color="auto" w:fill="FFFFFF" w:themeFill="background1"/>
            <w:noWrap/>
            <w:vAlign w:val="center"/>
            <w:hideMark/>
          </w:tcPr>
          <w:p w14:paraId="2375BE76"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106,800</w:t>
            </w:r>
          </w:p>
        </w:tc>
        <w:tc>
          <w:tcPr>
            <w:tcW w:w="787" w:type="pct"/>
            <w:shd w:val="clear" w:color="auto" w:fill="FFFFFF" w:themeFill="background1"/>
            <w:noWrap/>
            <w:vAlign w:val="center"/>
            <w:hideMark/>
          </w:tcPr>
          <w:p w14:paraId="77188437"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117,500</w:t>
            </w:r>
          </w:p>
        </w:tc>
        <w:tc>
          <w:tcPr>
            <w:tcW w:w="541" w:type="pct"/>
            <w:shd w:val="clear" w:color="auto" w:fill="FFFFFF" w:themeFill="background1"/>
            <w:vAlign w:val="center"/>
            <w:hideMark/>
          </w:tcPr>
          <w:p w14:paraId="02951989"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2.1%</w:t>
            </w:r>
          </w:p>
        </w:tc>
        <w:tc>
          <w:tcPr>
            <w:tcW w:w="639" w:type="pct"/>
            <w:shd w:val="clear" w:color="auto" w:fill="FFFFFF" w:themeFill="background1"/>
            <w:vAlign w:val="center"/>
            <w:hideMark/>
          </w:tcPr>
          <w:p w14:paraId="2D015172"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10.0%</w:t>
            </w:r>
          </w:p>
        </w:tc>
      </w:tr>
      <w:tr w:rsidR="00893BA1" w:rsidRPr="007F6332" w14:paraId="5D588ABB" w14:textId="77777777" w:rsidTr="00C1755E">
        <w:trPr>
          <w:trHeight w:val="225"/>
        </w:trPr>
        <w:tc>
          <w:tcPr>
            <w:tcW w:w="673" w:type="pct"/>
            <w:shd w:val="clear" w:color="auto" w:fill="BFBFBF" w:themeFill="background1" w:themeFillShade="BF"/>
            <w:noWrap/>
            <w:vAlign w:val="center"/>
            <w:hideMark/>
          </w:tcPr>
          <w:p w14:paraId="2282C698"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35 to 44</w:t>
            </w:r>
          </w:p>
        </w:tc>
        <w:tc>
          <w:tcPr>
            <w:tcW w:w="787" w:type="pct"/>
            <w:shd w:val="clear" w:color="auto" w:fill="BFBFBF" w:themeFill="background1" w:themeFillShade="BF"/>
            <w:noWrap/>
            <w:vAlign w:val="center"/>
            <w:hideMark/>
          </w:tcPr>
          <w:p w14:paraId="0E098060"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112,800</w:t>
            </w:r>
          </w:p>
        </w:tc>
        <w:tc>
          <w:tcPr>
            <w:tcW w:w="787" w:type="pct"/>
            <w:shd w:val="clear" w:color="auto" w:fill="BFBFBF" w:themeFill="background1" w:themeFillShade="BF"/>
            <w:noWrap/>
            <w:vAlign w:val="center"/>
            <w:hideMark/>
          </w:tcPr>
          <w:p w14:paraId="1D8E9D7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111,100</w:t>
            </w:r>
          </w:p>
        </w:tc>
        <w:tc>
          <w:tcPr>
            <w:tcW w:w="787" w:type="pct"/>
            <w:shd w:val="clear" w:color="auto" w:fill="BFBFBF" w:themeFill="background1" w:themeFillShade="BF"/>
            <w:noWrap/>
            <w:vAlign w:val="center"/>
            <w:hideMark/>
          </w:tcPr>
          <w:p w14:paraId="033BE016"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110,800</w:t>
            </w:r>
          </w:p>
        </w:tc>
        <w:tc>
          <w:tcPr>
            <w:tcW w:w="787" w:type="pct"/>
            <w:shd w:val="clear" w:color="auto" w:fill="BFBFBF" w:themeFill="background1" w:themeFillShade="BF"/>
            <w:noWrap/>
            <w:vAlign w:val="center"/>
            <w:hideMark/>
          </w:tcPr>
          <w:p w14:paraId="2B105727"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124,500</w:t>
            </w:r>
          </w:p>
        </w:tc>
        <w:tc>
          <w:tcPr>
            <w:tcW w:w="541" w:type="pct"/>
            <w:shd w:val="clear" w:color="auto" w:fill="BFBFBF" w:themeFill="background1" w:themeFillShade="BF"/>
            <w:vAlign w:val="center"/>
            <w:hideMark/>
          </w:tcPr>
          <w:p w14:paraId="2CEC3EA0"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3.3%</w:t>
            </w:r>
          </w:p>
        </w:tc>
        <w:tc>
          <w:tcPr>
            <w:tcW w:w="639" w:type="pct"/>
            <w:shd w:val="clear" w:color="auto" w:fill="BFBFBF" w:themeFill="background1" w:themeFillShade="BF"/>
            <w:vAlign w:val="center"/>
            <w:hideMark/>
          </w:tcPr>
          <w:p w14:paraId="7E2B473A"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12.4%</w:t>
            </w:r>
          </w:p>
        </w:tc>
      </w:tr>
      <w:tr w:rsidR="00893BA1" w:rsidRPr="007F6332" w14:paraId="57EB3B6D" w14:textId="77777777" w:rsidTr="00C1755E">
        <w:trPr>
          <w:trHeight w:val="225"/>
        </w:trPr>
        <w:tc>
          <w:tcPr>
            <w:tcW w:w="673" w:type="pct"/>
            <w:shd w:val="clear" w:color="auto" w:fill="FFFFFF" w:themeFill="background1"/>
            <w:noWrap/>
            <w:vAlign w:val="center"/>
            <w:hideMark/>
          </w:tcPr>
          <w:p w14:paraId="28CF2225"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45 to 54</w:t>
            </w:r>
          </w:p>
        </w:tc>
        <w:tc>
          <w:tcPr>
            <w:tcW w:w="787" w:type="pct"/>
            <w:shd w:val="clear" w:color="auto" w:fill="FFFFFF" w:themeFill="background1"/>
            <w:noWrap/>
            <w:vAlign w:val="center"/>
            <w:hideMark/>
          </w:tcPr>
          <w:p w14:paraId="2D5DA2BC"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114,900</w:t>
            </w:r>
          </w:p>
        </w:tc>
        <w:tc>
          <w:tcPr>
            <w:tcW w:w="787" w:type="pct"/>
            <w:shd w:val="clear" w:color="auto" w:fill="FFFFFF" w:themeFill="background1"/>
            <w:noWrap/>
            <w:vAlign w:val="center"/>
            <w:hideMark/>
          </w:tcPr>
          <w:p w14:paraId="7C38D01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113,600</w:t>
            </w:r>
          </w:p>
        </w:tc>
        <w:tc>
          <w:tcPr>
            <w:tcW w:w="787" w:type="pct"/>
            <w:shd w:val="clear" w:color="auto" w:fill="FFFFFF" w:themeFill="background1"/>
            <w:noWrap/>
            <w:vAlign w:val="center"/>
            <w:hideMark/>
          </w:tcPr>
          <w:p w14:paraId="2A944C10"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114,100</w:t>
            </w:r>
          </w:p>
        </w:tc>
        <w:tc>
          <w:tcPr>
            <w:tcW w:w="787" w:type="pct"/>
            <w:shd w:val="clear" w:color="auto" w:fill="FFFFFF" w:themeFill="background1"/>
            <w:noWrap/>
            <w:vAlign w:val="center"/>
            <w:hideMark/>
          </w:tcPr>
          <w:p w14:paraId="1636DAC1"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129,000</w:t>
            </w:r>
          </w:p>
        </w:tc>
        <w:tc>
          <w:tcPr>
            <w:tcW w:w="541" w:type="pct"/>
            <w:shd w:val="clear" w:color="auto" w:fill="FFFFFF" w:themeFill="background1"/>
            <w:vAlign w:val="center"/>
            <w:hideMark/>
          </w:tcPr>
          <w:p w14:paraId="5172E8E4"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3.9%</w:t>
            </w:r>
          </w:p>
        </w:tc>
        <w:tc>
          <w:tcPr>
            <w:tcW w:w="639" w:type="pct"/>
            <w:shd w:val="clear" w:color="auto" w:fill="FFFFFF" w:themeFill="background1"/>
            <w:vAlign w:val="center"/>
            <w:hideMark/>
          </w:tcPr>
          <w:p w14:paraId="405D574F"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13.1%</w:t>
            </w:r>
          </w:p>
        </w:tc>
      </w:tr>
      <w:tr w:rsidR="00893BA1" w:rsidRPr="007F6332" w14:paraId="54833D7E" w14:textId="77777777" w:rsidTr="00C1755E">
        <w:trPr>
          <w:trHeight w:val="225"/>
        </w:trPr>
        <w:tc>
          <w:tcPr>
            <w:tcW w:w="673" w:type="pct"/>
            <w:shd w:val="clear" w:color="auto" w:fill="BFBFBF" w:themeFill="background1" w:themeFillShade="BF"/>
            <w:noWrap/>
            <w:vAlign w:val="center"/>
            <w:hideMark/>
          </w:tcPr>
          <w:p w14:paraId="7653BA9B"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55 to 64</w:t>
            </w:r>
          </w:p>
        </w:tc>
        <w:tc>
          <w:tcPr>
            <w:tcW w:w="787" w:type="pct"/>
            <w:shd w:val="clear" w:color="auto" w:fill="BFBFBF" w:themeFill="background1" w:themeFillShade="BF"/>
            <w:noWrap/>
            <w:vAlign w:val="center"/>
            <w:hideMark/>
          </w:tcPr>
          <w:p w14:paraId="052ACFBD"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112,800</w:t>
            </w:r>
          </w:p>
        </w:tc>
        <w:tc>
          <w:tcPr>
            <w:tcW w:w="787" w:type="pct"/>
            <w:shd w:val="clear" w:color="auto" w:fill="BFBFBF" w:themeFill="background1" w:themeFillShade="BF"/>
            <w:noWrap/>
            <w:vAlign w:val="center"/>
            <w:hideMark/>
          </w:tcPr>
          <w:p w14:paraId="567029D9"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114,900</w:t>
            </w:r>
          </w:p>
        </w:tc>
        <w:tc>
          <w:tcPr>
            <w:tcW w:w="787" w:type="pct"/>
            <w:shd w:val="clear" w:color="auto" w:fill="BFBFBF" w:themeFill="background1" w:themeFillShade="BF"/>
            <w:noWrap/>
            <w:vAlign w:val="center"/>
            <w:hideMark/>
          </w:tcPr>
          <w:p w14:paraId="28025FC5"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118,000</w:t>
            </w:r>
          </w:p>
        </w:tc>
        <w:tc>
          <w:tcPr>
            <w:tcW w:w="787" w:type="pct"/>
            <w:shd w:val="clear" w:color="auto" w:fill="BFBFBF" w:themeFill="background1" w:themeFillShade="BF"/>
            <w:noWrap/>
            <w:vAlign w:val="center"/>
            <w:hideMark/>
          </w:tcPr>
          <w:p w14:paraId="7E20DEA8"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137,500</w:t>
            </w:r>
          </w:p>
        </w:tc>
        <w:tc>
          <w:tcPr>
            <w:tcW w:w="541" w:type="pct"/>
            <w:shd w:val="clear" w:color="auto" w:fill="BFBFBF" w:themeFill="background1" w:themeFillShade="BF"/>
            <w:vAlign w:val="center"/>
            <w:hideMark/>
          </w:tcPr>
          <w:p w14:paraId="4E0AC7EB"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6.8%</w:t>
            </w:r>
          </w:p>
        </w:tc>
        <w:tc>
          <w:tcPr>
            <w:tcW w:w="639" w:type="pct"/>
            <w:shd w:val="clear" w:color="auto" w:fill="BFBFBF" w:themeFill="background1" w:themeFillShade="BF"/>
            <w:vAlign w:val="center"/>
            <w:hideMark/>
          </w:tcPr>
          <w:p w14:paraId="0EA46A00"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16.5%</w:t>
            </w:r>
          </w:p>
        </w:tc>
      </w:tr>
      <w:tr w:rsidR="00893BA1" w:rsidRPr="007F6332" w14:paraId="5C8D39E3" w14:textId="77777777" w:rsidTr="00C1755E">
        <w:trPr>
          <w:trHeight w:val="225"/>
        </w:trPr>
        <w:tc>
          <w:tcPr>
            <w:tcW w:w="673" w:type="pct"/>
            <w:tcBorders>
              <w:top w:val="nil"/>
              <w:left w:val="nil"/>
              <w:bottom w:val="single" w:sz="4" w:space="0" w:color="auto"/>
              <w:right w:val="nil"/>
            </w:tcBorders>
            <w:shd w:val="clear" w:color="auto" w:fill="FFFFFF" w:themeFill="background1"/>
            <w:noWrap/>
            <w:vAlign w:val="center"/>
            <w:hideMark/>
          </w:tcPr>
          <w:p w14:paraId="49DAED27" w14:textId="77777777" w:rsidR="00893BA1" w:rsidRPr="007F6332" w:rsidRDefault="00893BA1">
            <w:pPr>
              <w:spacing w:after="0" w:line="240" w:lineRule="auto"/>
              <w:rPr>
                <w:rFonts w:eastAsia="Times New Roman" w:cs="Arial"/>
                <w:color w:val="000000"/>
                <w:szCs w:val="22"/>
                <w:lang w:eastAsia="en-AU"/>
              </w:rPr>
            </w:pPr>
            <w:r w:rsidRPr="007F6332">
              <w:rPr>
                <w:rFonts w:eastAsia="Times New Roman" w:cs="Arial"/>
                <w:color w:val="000000"/>
                <w:szCs w:val="22"/>
                <w:lang w:eastAsia="en-AU"/>
              </w:rPr>
              <w:t>65+</w:t>
            </w:r>
          </w:p>
        </w:tc>
        <w:tc>
          <w:tcPr>
            <w:tcW w:w="787" w:type="pct"/>
            <w:tcBorders>
              <w:top w:val="nil"/>
              <w:left w:val="nil"/>
              <w:bottom w:val="single" w:sz="4" w:space="0" w:color="auto"/>
              <w:right w:val="nil"/>
            </w:tcBorders>
            <w:shd w:val="clear" w:color="auto" w:fill="FFFFFF" w:themeFill="background1"/>
            <w:noWrap/>
            <w:vAlign w:val="center"/>
            <w:hideMark/>
          </w:tcPr>
          <w:p w14:paraId="6EC8DDF6"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109,700</w:t>
            </w:r>
          </w:p>
        </w:tc>
        <w:tc>
          <w:tcPr>
            <w:tcW w:w="787" w:type="pct"/>
            <w:tcBorders>
              <w:top w:val="nil"/>
              <w:left w:val="nil"/>
              <w:bottom w:val="single" w:sz="4" w:space="0" w:color="auto"/>
              <w:right w:val="nil"/>
            </w:tcBorders>
            <w:shd w:val="clear" w:color="auto" w:fill="FFFFFF" w:themeFill="background1"/>
            <w:noWrap/>
            <w:vAlign w:val="center"/>
            <w:hideMark/>
          </w:tcPr>
          <w:p w14:paraId="2AF81CAE"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113,900</w:t>
            </w:r>
          </w:p>
        </w:tc>
        <w:tc>
          <w:tcPr>
            <w:tcW w:w="787" w:type="pct"/>
            <w:tcBorders>
              <w:top w:val="nil"/>
              <w:left w:val="nil"/>
              <w:bottom w:val="single" w:sz="4" w:space="0" w:color="auto"/>
              <w:right w:val="nil"/>
            </w:tcBorders>
            <w:shd w:val="clear" w:color="auto" w:fill="FFFFFF" w:themeFill="background1"/>
            <w:noWrap/>
            <w:vAlign w:val="center"/>
            <w:hideMark/>
          </w:tcPr>
          <w:p w14:paraId="0B7111DC"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118,800</w:t>
            </w:r>
          </w:p>
        </w:tc>
        <w:tc>
          <w:tcPr>
            <w:tcW w:w="787" w:type="pct"/>
            <w:tcBorders>
              <w:top w:val="nil"/>
              <w:left w:val="nil"/>
              <w:bottom w:val="single" w:sz="4" w:space="0" w:color="auto"/>
              <w:right w:val="nil"/>
            </w:tcBorders>
            <w:shd w:val="clear" w:color="auto" w:fill="FFFFFF" w:themeFill="background1"/>
            <w:noWrap/>
            <w:vAlign w:val="center"/>
            <w:hideMark/>
          </w:tcPr>
          <w:p w14:paraId="0BC6E5D0" w14:textId="77777777" w:rsidR="00893BA1" w:rsidRPr="007F6332" w:rsidRDefault="00893BA1">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134,600</w:t>
            </w:r>
          </w:p>
        </w:tc>
        <w:tc>
          <w:tcPr>
            <w:tcW w:w="541" w:type="pct"/>
            <w:tcBorders>
              <w:top w:val="nil"/>
              <w:left w:val="nil"/>
              <w:bottom w:val="single" w:sz="4" w:space="0" w:color="auto"/>
              <w:right w:val="nil"/>
            </w:tcBorders>
            <w:shd w:val="clear" w:color="auto" w:fill="FFFFFF" w:themeFill="background1"/>
            <w:vAlign w:val="center"/>
            <w:hideMark/>
          </w:tcPr>
          <w:p w14:paraId="686B1B93"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7.0%</w:t>
            </w:r>
          </w:p>
        </w:tc>
        <w:tc>
          <w:tcPr>
            <w:tcW w:w="639" w:type="pct"/>
            <w:tcBorders>
              <w:top w:val="nil"/>
              <w:left w:val="nil"/>
              <w:bottom w:val="single" w:sz="4" w:space="0" w:color="auto"/>
              <w:right w:val="nil"/>
            </w:tcBorders>
            <w:shd w:val="clear" w:color="auto" w:fill="FFFFFF" w:themeFill="background1"/>
            <w:vAlign w:val="center"/>
            <w:hideMark/>
          </w:tcPr>
          <w:p w14:paraId="700DCD63" w14:textId="77777777" w:rsidR="00893BA1" w:rsidRPr="007F6332" w:rsidRDefault="00893BA1">
            <w:pPr>
              <w:spacing w:after="0" w:line="240" w:lineRule="auto"/>
              <w:jc w:val="right"/>
              <w:rPr>
                <w:rFonts w:eastAsia="Times New Roman" w:cs="Arial"/>
                <w:color w:val="000000"/>
                <w:szCs w:val="22"/>
                <w:lang w:eastAsia="en-AU"/>
              </w:rPr>
            </w:pPr>
            <w:r w:rsidRPr="007F6332">
              <w:rPr>
                <w:rFonts w:cs="Arial"/>
                <w:color w:val="000000"/>
                <w:szCs w:val="22"/>
              </w:rPr>
              <w:t>13.2%</w:t>
            </w:r>
          </w:p>
        </w:tc>
      </w:tr>
    </w:tbl>
    <w:p w14:paraId="30F29B19" w14:textId="77777777" w:rsidR="00893BA1" w:rsidRPr="007F6332" w:rsidRDefault="00893BA1" w:rsidP="00893BA1">
      <w:pPr>
        <w:pStyle w:val="FSRnormal"/>
        <w:rPr>
          <w:rFonts w:cs="Arial"/>
        </w:rPr>
      </w:pPr>
      <w:r w:rsidRPr="007F6332">
        <w:rPr>
          <w:rFonts w:cs="Arial"/>
          <w:highlight w:val="yellow"/>
        </w:rPr>
        <w:fldChar w:fldCharType="end"/>
      </w:r>
    </w:p>
    <w:p w14:paraId="71D7BB70" w14:textId="77777777" w:rsidR="00C55AC0" w:rsidRPr="007F6332" w:rsidRDefault="00C55AC0" w:rsidP="00AD33D4">
      <w:pPr>
        <w:rPr>
          <w:rFonts w:cs="Arial"/>
        </w:rPr>
        <w:sectPr w:rsidR="00C55AC0" w:rsidRPr="007F6332" w:rsidSect="004D1C4D">
          <w:pgSz w:w="11906" w:h="16838"/>
          <w:pgMar w:top="1440" w:right="1416" w:bottom="1440" w:left="1440" w:header="708" w:footer="674" w:gutter="0"/>
          <w:cols w:space="708"/>
          <w:titlePg/>
          <w:docGrid w:linePitch="360"/>
        </w:sectPr>
      </w:pPr>
    </w:p>
    <w:p w14:paraId="0DAFF265" w14:textId="77777777" w:rsidR="00DD7722" w:rsidRPr="007F6332" w:rsidRDefault="00DD7722" w:rsidP="008B34A8">
      <w:pPr>
        <w:pStyle w:val="FSRHeading3"/>
      </w:pPr>
      <w:bookmarkStart w:id="309" w:name="_Toc152615024"/>
      <w:r w:rsidRPr="007F6332">
        <w:lastRenderedPageBreak/>
        <w:t>Appendix G</w:t>
      </w:r>
      <w:r w:rsidRPr="007F6332">
        <w:tab/>
        <w:t>Analysis of Scheme new entrant rates</w:t>
      </w:r>
      <w:bookmarkEnd w:id="309"/>
    </w:p>
    <w:p w14:paraId="31F2BB4C" w14:textId="77777777" w:rsidR="00DD7722" w:rsidRPr="007F6332" w:rsidRDefault="00DD7722" w:rsidP="00DD7722">
      <w:pPr>
        <w:pStyle w:val="FSRHeading4"/>
        <w:rPr>
          <w:rFonts w:cs="Arial"/>
        </w:rPr>
      </w:pPr>
      <w:r w:rsidRPr="007F6332">
        <w:rPr>
          <w:rFonts w:cs="Arial"/>
        </w:rPr>
        <w:t>Background</w:t>
      </w:r>
    </w:p>
    <w:p w14:paraId="48082BB3" w14:textId="77777777" w:rsidR="00DD7722" w:rsidRPr="007F6332" w:rsidRDefault="00DD7722" w:rsidP="00DD7722">
      <w:pPr>
        <w:pStyle w:val="FSRnormal"/>
        <w:rPr>
          <w:rFonts w:cs="Arial"/>
        </w:rPr>
      </w:pPr>
      <w:r w:rsidRPr="007F6332">
        <w:rPr>
          <w:rFonts w:cs="Arial"/>
        </w:rPr>
        <w:t xml:space="preserve">New entrants to the Scheme, both numbers and characteristics, are an important aspect of the overall Scheme experience and trajectory of Scheme expenses over the short and medium to long-term. New entrant rate assumptions, reflecting the expected new entrant numbers expressed as a proportion of the general population, are integral to the projection of total participants in the Scheme and estimates of Scheme expenses from 2023-24 onwards. </w:t>
      </w:r>
    </w:p>
    <w:p w14:paraId="7C814ABD" w14:textId="77777777" w:rsidR="00DD7722" w:rsidRPr="007F6332" w:rsidRDefault="00DD7722" w:rsidP="00DD7722">
      <w:pPr>
        <w:pStyle w:val="FSRnormal"/>
        <w:rPr>
          <w:rFonts w:cs="Arial"/>
        </w:rPr>
      </w:pPr>
      <w:r w:rsidRPr="007F6332">
        <w:rPr>
          <w:rFonts w:cs="Arial"/>
        </w:rPr>
        <w:t xml:space="preserve">Actual experience of new entrant numbers entering the Scheme, has been analysed by primary disability type, age group and gender, to derive the new entrant rate assumptions to use in the June 2023 projections. This is consistent with the approach used in the previous review. </w:t>
      </w:r>
    </w:p>
    <w:p w14:paraId="071D3744" w14:textId="77777777" w:rsidR="00DD7722" w:rsidRPr="007F6332" w:rsidRDefault="00DD7722" w:rsidP="00DD7722">
      <w:pPr>
        <w:pStyle w:val="FSRHeading4"/>
        <w:rPr>
          <w:rFonts w:cs="Arial"/>
        </w:rPr>
      </w:pPr>
      <w:r w:rsidRPr="007F6332">
        <w:rPr>
          <w:rFonts w:cs="Arial"/>
        </w:rPr>
        <w:t>New entrant rate assumptions by disability type</w:t>
      </w:r>
    </w:p>
    <w:p w14:paraId="06DDCFE6" w14:textId="77777777" w:rsidR="00DD7722" w:rsidRPr="007F6332" w:rsidRDefault="00DD7722" w:rsidP="00DD7722">
      <w:pPr>
        <w:pStyle w:val="FSRnormal"/>
        <w:spacing w:before="120" w:after="120"/>
        <w:rPr>
          <w:rFonts w:cs="Arial"/>
        </w:rPr>
      </w:pPr>
      <w:r w:rsidRPr="007F6332">
        <w:rPr>
          <w:rFonts w:cs="Arial"/>
        </w:rPr>
        <w:t>Table G.</w:t>
      </w:r>
      <w:r w:rsidRPr="007F6332">
        <w:rPr>
          <w:rFonts w:cs="Arial"/>
          <w:noProof/>
        </w:rPr>
        <w:t>1</w:t>
      </w:r>
      <w:r w:rsidRPr="007F6332">
        <w:rPr>
          <w:rFonts w:cs="Arial"/>
        </w:rPr>
        <w:t xml:space="preserve"> shows the long-term new entrant rates assumed for the June 2023 projections, both before and after adjustments made for Budget initiatives, compared to those assumed from the previous review by primary disability type. This is a more detailed break-down of the new entrant rate assumptions by key disability group presented in Table 5.14 in Section 5.4.1 of the main report.</w:t>
      </w:r>
    </w:p>
    <w:p w14:paraId="067D53C5" w14:textId="77777777" w:rsidR="00DD7722" w:rsidRPr="007F6332" w:rsidRDefault="00DD7722" w:rsidP="00283EE0">
      <w:pPr>
        <w:pStyle w:val="FiguresandTablesHeading5"/>
      </w:pPr>
      <w:r w:rsidRPr="007F6332">
        <w:t>Table G.1: Comparison of assumed new entrant rates (per 100,000 population aged 0 to 64) by disability type</w:t>
      </w:r>
    </w:p>
    <w:tbl>
      <w:tblPr>
        <w:tblStyle w:val="FSRtable"/>
        <w:tblW w:w="9798" w:type="dxa"/>
        <w:tblInd w:w="5" w:type="dxa"/>
        <w:tblLayout w:type="fixed"/>
        <w:tblLook w:val="04A0" w:firstRow="1" w:lastRow="0" w:firstColumn="1" w:lastColumn="0" w:noHBand="0" w:noVBand="1"/>
      </w:tblPr>
      <w:tblGrid>
        <w:gridCol w:w="2484"/>
        <w:gridCol w:w="1701"/>
        <w:gridCol w:w="1644"/>
        <w:gridCol w:w="1531"/>
        <w:gridCol w:w="1134"/>
        <w:gridCol w:w="1304"/>
      </w:tblGrid>
      <w:tr w:rsidR="00DD7722" w:rsidRPr="007F6332" w14:paraId="32D9D199" w14:textId="77777777" w:rsidTr="006C74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p w14:paraId="11035C4D" w14:textId="77777777" w:rsidR="00DD7722" w:rsidRPr="007F6332" w:rsidRDefault="00DD7722" w:rsidP="006C7455">
            <w:pPr>
              <w:spacing w:line="264" w:lineRule="auto"/>
              <w:rPr>
                <w:szCs w:val="22"/>
              </w:rPr>
            </w:pPr>
            <w:r w:rsidRPr="007F6332">
              <w:t>Primary Disability Type</w:t>
            </w:r>
          </w:p>
        </w:tc>
        <w:tc>
          <w:tcPr>
            <w:tcW w:w="1701" w:type="dxa"/>
            <w:tcBorders>
              <w:top w:val="single" w:sz="4" w:space="0" w:color="auto"/>
              <w:bottom w:val="nil"/>
              <w:right w:val="dashed" w:sz="4" w:space="0" w:color="auto"/>
            </w:tcBorders>
          </w:tcPr>
          <w:p w14:paraId="48F89E22" w14:textId="77777777" w:rsidR="00DD7722" w:rsidRPr="007F6332" w:rsidRDefault="00DD7722" w:rsidP="006C7455">
            <w:pPr>
              <w:spacing w:line="264" w:lineRule="auto"/>
              <w:ind w:left="-105"/>
              <w:jc w:val="center"/>
              <w:cnfStyle w:val="100000000000" w:firstRow="1" w:lastRow="0" w:firstColumn="0" w:lastColumn="0" w:oddVBand="0" w:evenVBand="0" w:oddHBand="0" w:evenHBand="0" w:firstRowFirstColumn="0" w:firstRowLastColumn="0" w:lastRowFirstColumn="0" w:lastRowLastColumn="0"/>
            </w:pPr>
            <w:r w:rsidRPr="007F6332">
              <w:t>June 2023 projections (before Budget initiatives)</w:t>
            </w:r>
          </w:p>
        </w:tc>
        <w:tc>
          <w:tcPr>
            <w:tcW w:w="1644" w:type="dxa"/>
            <w:tcBorders>
              <w:left w:val="dashed" w:sz="4" w:space="0" w:color="auto"/>
            </w:tcBorders>
          </w:tcPr>
          <w:p w14:paraId="04D765FB" w14:textId="77777777" w:rsidR="00DD7722" w:rsidRPr="007F6332" w:rsidRDefault="00DD7722" w:rsidP="006C7455">
            <w:pPr>
              <w:spacing w:line="264" w:lineRule="auto"/>
              <w:jc w:val="center"/>
              <w:cnfStyle w:val="100000000000" w:firstRow="1" w:lastRow="0" w:firstColumn="0" w:lastColumn="0" w:oddVBand="0" w:evenVBand="0" w:oddHBand="0" w:evenHBand="0" w:firstRowFirstColumn="0" w:firstRowLastColumn="0" w:lastRowFirstColumn="0" w:lastRowLastColumn="0"/>
              <w:rPr>
                <w:szCs w:val="22"/>
              </w:rPr>
            </w:pPr>
            <w:r w:rsidRPr="007F6332">
              <w:t>June 2023 projections (after Budget initiatives)</w:t>
            </w:r>
          </w:p>
        </w:tc>
        <w:tc>
          <w:tcPr>
            <w:tcW w:w="1531" w:type="dxa"/>
          </w:tcPr>
          <w:p w14:paraId="567009AD" w14:textId="77777777" w:rsidR="00DD7722" w:rsidRPr="007F6332" w:rsidRDefault="00DD7722" w:rsidP="006C7455">
            <w:pPr>
              <w:spacing w:line="264" w:lineRule="auto"/>
              <w:ind w:right="-127"/>
              <w:jc w:val="left"/>
              <w:cnfStyle w:val="100000000000" w:firstRow="1" w:lastRow="0" w:firstColumn="0" w:lastColumn="0" w:oddVBand="0" w:evenVBand="0" w:oddHBand="0" w:evenHBand="0" w:firstRowFirstColumn="0" w:firstRowLastColumn="0" w:lastRowFirstColumn="0" w:lastRowLastColumn="0"/>
              <w:rPr>
                <w:szCs w:val="22"/>
              </w:rPr>
            </w:pPr>
            <w:r w:rsidRPr="007F6332">
              <w:t>June 2022 projections</w:t>
            </w:r>
          </w:p>
        </w:tc>
        <w:tc>
          <w:tcPr>
            <w:tcW w:w="0" w:type="dxa"/>
          </w:tcPr>
          <w:p w14:paraId="2330143B" w14:textId="77777777" w:rsidR="00DD7722" w:rsidRPr="007F6332" w:rsidRDefault="00DD7722" w:rsidP="006C7455">
            <w:pPr>
              <w:spacing w:line="264" w:lineRule="auto"/>
              <w:ind w:right="-127"/>
              <w:jc w:val="left"/>
              <w:cnfStyle w:val="100000000000" w:firstRow="1" w:lastRow="0" w:firstColumn="0" w:lastColumn="0" w:oddVBand="0" w:evenVBand="0" w:oddHBand="0" w:evenHBand="0" w:firstRowFirstColumn="0" w:firstRowLastColumn="0" w:lastRowFirstColumn="0" w:lastRowLastColumn="0"/>
              <w:rPr>
                <w:szCs w:val="22"/>
              </w:rPr>
            </w:pPr>
            <w:r w:rsidRPr="007F6332">
              <w:rPr>
                <w:bCs/>
                <w:iCs/>
              </w:rPr>
              <w:t>Absolute Change</w:t>
            </w:r>
          </w:p>
        </w:tc>
        <w:tc>
          <w:tcPr>
            <w:tcW w:w="1247" w:type="dxa"/>
          </w:tcPr>
          <w:p w14:paraId="0684E1DF" w14:textId="77777777" w:rsidR="00DD7722" w:rsidRPr="007F6332" w:rsidRDefault="00DD7722" w:rsidP="006C7455">
            <w:pPr>
              <w:spacing w:line="264" w:lineRule="auto"/>
              <w:ind w:right="-127"/>
              <w:jc w:val="left"/>
              <w:cnfStyle w:val="100000000000" w:firstRow="1" w:lastRow="0" w:firstColumn="0" w:lastColumn="0" w:oddVBand="0" w:evenVBand="0" w:oddHBand="0" w:evenHBand="0" w:firstRowFirstColumn="0" w:firstRowLastColumn="0" w:lastRowFirstColumn="0" w:lastRowLastColumn="0"/>
              <w:rPr>
                <w:szCs w:val="22"/>
              </w:rPr>
            </w:pPr>
            <w:r w:rsidRPr="007F6332">
              <w:t>% Change</w:t>
            </w:r>
          </w:p>
        </w:tc>
      </w:tr>
      <w:tr w:rsidR="00DD7722" w:rsidRPr="007F6332" w14:paraId="4FF597CF" w14:textId="77777777" w:rsidTr="006C7455">
        <w:trPr>
          <w:trHeight w:val="284"/>
        </w:trPr>
        <w:tc>
          <w:tcPr>
            <w:cnfStyle w:val="001000000000" w:firstRow="0" w:lastRow="0" w:firstColumn="1" w:lastColumn="0" w:oddVBand="0" w:evenVBand="0" w:oddHBand="0" w:evenHBand="0" w:firstRowFirstColumn="0" w:firstRowLastColumn="0" w:lastRowFirstColumn="0" w:lastRowLastColumn="0"/>
            <w:tcW w:w="0" w:type="dxa"/>
          </w:tcPr>
          <w:p w14:paraId="694AAD27" w14:textId="77777777" w:rsidR="00DD7722" w:rsidRPr="007F6332" w:rsidRDefault="00DD7722" w:rsidP="006C7455">
            <w:pPr>
              <w:spacing w:line="264" w:lineRule="auto"/>
              <w:rPr>
                <w:rFonts w:cs="Arial"/>
                <w:szCs w:val="22"/>
              </w:rPr>
            </w:pPr>
            <w:r w:rsidRPr="007F6332">
              <w:rPr>
                <w:rFonts w:cs="Arial"/>
                <w:color w:val="000000"/>
                <w:szCs w:val="22"/>
              </w:rPr>
              <w:t>Acquired Brain Injury</w:t>
            </w:r>
          </w:p>
        </w:tc>
        <w:tc>
          <w:tcPr>
            <w:tcW w:w="1701" w:type="dxa"/>
            <w:tcBorders>
              <w:top w:val="nil"/>
              <w:bottom w:val="nil"/>
              <w:right w:val="dashed" w:sz="4" w:space="0" w:color="auto"/>
            </w:tcBorders>
          </w:tcPr>
          <w:p w14:paraId="70E19173"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5.9</w:t>
            </w:r>
          </w:p>
        </w:tc>
        <w:tc>
          <w:tcPr>
            <w:tcW w:w="1644" w:type="dxa"/>
            <w:tcBorders>
              <w:left w:val="dashed" w:sz="4" w:space="0" w:color="auto"/>
            </w:tcBorders>
          </w:tcPr>
          <w:p w14:paraId="1895D247"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5.9</w:t>
            </w:r>
          </w:p>
        </w:tc>
        <w:tc>
          <w:tcPr>
            <w:tcW w:w="1531" w:type="dxa"/>
          </w:tcPr>
          <w:p w14:paraId="46B0BE0B" w14:textId="77777777" w:rsidR="00DD7722" w:rsidRPr="007F6332" w:rsidRDefault="00DD7722" w:rsidP="006C7455">
            <w:pPr>
              <w:spacing w:line="264" w:lineRule="auto"/>
              <w:ind w:left="274"/>
              <w:jc w:val="left"/>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 xml:space="preserve">     7.2</w:t>
            </w:r>
          </w:p>
        </w:tc>
        <w:tc>
          <w:tcPr>
            <w:tcW w:w="0" w:type="dxa"/>
          </w:tcPr>
          <w:p w14:paraId="05777415" w14:textId="77777777" w:rsidR="00DD7722" w:rsidRPr="007F6332" w:rsidRDefault="00DD7722" w:rsidP="006C7455">
            <w:pPr>
              <w:spacing w:line="264" w:lineRule="auto"/>
              <w:ind w:left="147"/>
              <w:jc w:val="left"/>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color w:val="000000"/>
                <w:szCs w:val="22"/>
              </w:rPr>
              <w:t xml:space="preserve">    -1.3</w:t>
            </w:r>
          </w:p>
        </w:tc>
        <w:tc>
          <w:tcPr>
            <w:tcW w:w="1304" w:type="dxa"/>
          </w:tcPr>
          <w:p w14:paraId="52ACF310"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-17.6%</w:t>
            </w:r>
          </w:p>
        </w:tc>
      </w:tr>
      <w:tr w:rsidR="00DD7722" w:rsidRPr="007F6332" w14:paraId="652A515D" w14:textId="77777777" w:rsidTr="006C745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dxa"/>
          </w:tcPr>
          <w:p w14:paraId="1BCDC8BA" w14:textId="77777777" w:rsidR="00DD7722" w:rsidRPr="007F6332" w:rsidRDefault="00DD7722" w:rsidP="006C7455">
            <w:pPr>
              <w:spacing w:line="264" w:lineRule="auto"/>
              <w:rPr>
                <w:rFonts w:cs="Arial"/>
                <w:szCs w:val="22"/>
              </w:rPr>
            </w:pPr>
            <w:r w:rsidRPr="007F6332">
              <w:rPr>
                <w:rFonts w:cs="Arial"/>
                <w:szCs w:val="22"/>
              </w:rPr>
              <w:t>Autism</w:t>
            </w:r>
          </w:p>
        </w:tc>
        <w:tc>
          <w:tcPr>
            <w:tcW w:w="1701" w:type="dxa"/>
            <w:tcBorders>
              <w:top w:val="nil"/>
              <w:bottom w:val="nil"/>
              <w:right w:val="dashed" w:sz="4" w:space="0" w:color="auto"/>
            </w:tcBorders>
          </w:tcPr>
          <w:p w14:paraId="409A49F5"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96.3</w:t>
            </w:r>
          </w:p>
        </w:tc>
        <w:tc>
          <w:tcPr>
            <w:tcW w:w="1644" w:type="dxa"/>
            <w:tcBorders>
              <w:left w:val="dashed" w:sz="4" w:space="0" w:color="auto"/>
            </w:tcBorders>
          </w:tcPr>
          <w:p w14:paraId="7A14134B"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96.3</w:t>
            </w:r>
          </w:p>
        </w:tc>
        <w:tc>
          <w:tcPr>
            <w:tcW w:w="1531" w:type="dxa"/>
          </w:tcPr>
          <w:p w14:paraId="6F351589" w14:textId="77777777" w:rsidR="00DD7722" w:rsidRPr="007F6332" w:rsidRDefault="00DD7722" w:rsidP="006C7455">
            <w:pPr>
              <w:spacing w:line="264" w:lineRule="auto"/>
              <w:ind w:left="274"/>
              <w:jc w:val="left"/>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94.1</w:t>
            </w:r>
          </w:p>
        </w:tc>
        <w:tc>
          <w:tcPr>
            <w:tcW w:w="0" w:type="dxa"/>
          </w:tcPr>
          <w:p w14:paraId="62881B2F" w14:textId="77777777" w:rsidR="00DD7722" w:rsidRPr="007F6332" w:rsidRDefault="00DD7722" w:rsidP="006C7455">
            <w:pPr>
              <w:spacing w:line="264" w:lineRule="auto"/>
              <w:ind w:left="147"/>
              <w:jc w:val="left"/>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2.2</w:t>
            </w:r>
          </w:p>
        </w:tc>
        <w:tc>
          <w:tcPr>
            <w:tcW w:w="1304" w:type="dxa"/>
          </w:tcPr>
          <w:p w14:paraId="1A87C201"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2.3%</w:t>
            </w:r>
          </w:p>
        </w:tc>
      </w:tr>
      <w:tr w:rsidR="00DD7722" w:rsidRPr="007F6332" w14:paraId="63C5FC73" w14:textId="77777777" w:rsidTr="006C7455">
        <w:trPr>
          <w:trHeight w:val="284"/>
        </w:trPr>
        <w:tc>
          <w:tcPr>
            <w:cnfStyle w:val="001000000000" w:firstRow="0" w:lastRow="0" w:firstColumn="1" w:lastColumn="0" w:oddVBand="0" w:evenVBand="0" w:oddHBand="0" w:evenHBand="0" w:firstRowFirstColumn="0" w:firstRowLastColumn="0" w:lastRowFirstColumn="0" w:lastRowLastColumn="0"/>
            <w:tcW w:w="0" w:type="dxa"/>
          </w:tcPr>
          <w:p w14:paraId="2380550C" w14:textId="77777777" w:rsidR="00DD7722" w:rsidRPr="007F6332" w:rsidRDefault="00DD7722" w:rsidP="006C7455">
            <w:pPr>
              <w:spacing w:line="264" w:lineRule="auto"/>
              <w:rPr>
                <w:rFonts w:cs="Arial"/>
                <w:color w:val="000000"/>
                <w:szCs w:val="22"/>
              </w:rPr>
            </w:pPr>
            <w:r w:rsidRPr="007F6332">
              <w:rPr>
                <w:rFonts w:cs="Arial"/>
                <w:color w:val="000000"/>
                <w:szCs w:val="22"/>
              </w:rPr>
              <w:t>Cerebral Palsy</w:t>
            </w:r>
          </w:p>
        </w:tc>
        <w:tc>
          <w:tcPr>
            <w:tcW w:w="1701" w:type="dxa"/>
            <w:tcBorders>
              <w:top w:val="nil"/>
              <w:bottom w:val="nil"/>
              <w:right w:val="dashed" w:sz="4" w:space="0" w:color="auto"/>
            </w:tcBorders>
          </w:tcPr>
          <w:p w14:paraId="0D4B754B"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2.1</w:t>
            </w:r>
          </w:p>
        </w:tc>
        <w:tc>
          <w:tcPr>
            <w:tcW w:w="1644" w:type="dxa"/>
            <w:tcBorders>
              <w:left w:val="dashed" w:sz="4" w:space="0" w:color="auto"/>
            </w:tcBorders>
          </w:tcPr>
          <w:p w14:paraId="22DF801C"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2.1</w:t>
            </w:r>
          </w:p>
        </w:tc>
        <w:tc>
          <w:tcPr>
            <w:tcW w:w="1531" w:type="dxa"/>
          </w:tcPr>
          <w:p w14:paraId="73427F0C" w14:textId="77777777" w:rsidR="00DD7722" w:rsidRPr="007F6332" w:rsidRDefault="00DD7722" w:rsidP="006C7455">
            <w:pPr>
              <w:spacing w:line="264" w:lineRule="auto"/>
              <w:ind w:left="274"/>
              <w:jc w:val="lef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 xml:space="preserve">     2.2</w:t>
            </w:r>
          </w:p>
        </w:tc>
        <w:tc>
          <w:tcPr>
            <w:tcW w:w="0" w:type="dxa"/>
          </w:tcPr>
          <w:p w14:paraId="5910D722" w14:textId="77777777" w:rsidR="00DD7722" w:rsidRPr="007F6332" w:rsidRDefault="00DD7722" w:rsidP="006C7455">
            <w:pPr>
              <w:spacing w:line="264" w:lineRule="auto"/>
              <w:ind w:left="147"/>
              <w:jc w:val="left"/>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 xml:space="preserve">    -0.2</w:t>
            </w:r>
          </w:p>
        </w:tc>
        <w:tc>
          <w:tcPr>
            <w:tcW w:w="1304" w:type="dxa"/>
          </w:tcPr>
          <w:p w14:paraId="761A2337"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-7.4%</w:t>
            </w:r>
          </w:p>
        </w:tc>
      </w:tr>
      <w:tr w:rsidR="00DD7722" w:rsidRPr="007F6332" w14:paraId="20DA0AE6" w14:textId="77777777" w:rsidTr="006C745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dxa"/>
          </w:tcPr>
          <w:p w14:paraId="3D72B134" w14:textId="77777777" w:rsidR="00DD7722" w:rsidRPr="007F6332" w:rsidRDefault="00DD7722" w:rsidP="006C7455">
            <w:pPr>
              <w:spacing w:line="264" w:lineRule="auto"/>
              <w:rPr>
                <w:rFonts w:cs="Arial"/>
                <w:szCs w:val="22"/>
              </w:rPr>
            </w:pPr>
            <w:r w:rsidRPr="007F6332">
              <w:rPr>
                <w:rFonts w:cs="Arial"/>
                <w:szCs w:val="22"/>
              </w:rPr>
              <w:t>Developmental Delay</w:t>
            </w:r>
          </w:p>
        </w:tc>
        <w:tc>
          <w:tcPr>
            <w:tcW w:w="1701" w:type="dxa"/>
            <w:tcBorders>
              <w:top w:val="nil"/>
              <w:bottom w:val="nil"/>
              <w:right w:val="dashed" w:sz="4" w:space="0" w:color="auto"/>
            </w:tcBorders>
          </w:tcPr>
          <w:p w14:paraId="7404E12B"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148.8</w:t>
            </w:r>
          </w:p>
        </w:tc>
        <w:tc>
          <w:tcPr>
            <w:tcW w:w="1644" w:type="dxa"/>
            <w:tcBorders>
              <w:left w:val="dashed" w:sz="4" w:space="0" w:color="auto"/>
            </w:tcBorders>
          </w:tcPr>
          <w:p w14:paraId="7A3F212F"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133.9</w:t>
            </w:r>
          </w:p>
        </w:tc>
        <w:tc>
          <w:tcPr>
            <w:tcW w:w="1531" w:type="dxa"/>
          </w:tcPr>
          <w:p w14:paraId="62E8FDEF" w14:textId="77777777" w:rsidR="00DD7722" w:rsidRPr="007F6332" w:rsidRDefault="00DD7722" w:rsidP="006C7455">
            <w:pPr>
              <w:spacing w:line="264" w:lineRule="auto"/>
              <w:ind w:left="274"/>
              <w:jc w:val="left"/>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110.5</w:t>
            </w:r>
          </w:p>
        </w:tc>
        <w:tc>
          <w:tcPr>
            <w:tcW w:w="0" w:type="dxa"/>
          </w:tcPr>
          <w:p w14:paraId="1F62AF64" w14:textId="77777777" w:rsidR="00DD7722" w:rsidRPr="007F6332" w:rsidRDefault="00DD7722" w:rsidP="006C7455">
            <w:pPr>
              <w:spacing w:line="264" w:lineRule="auto"/>
              <w:ind w:left="147"/>
              <w:jc w:val="left"/>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23.5</w:t>
            </w:r>
          </w:p>
        </w:tc>
        <w:tc>
          <w:tcPr>
            <w:tcW w:w="1304" w:type="dxa"/>
          </w:tcPr>
          <w:p w14:paraId="27EF4295"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21.2%</w:t>
            </w:r>
          </w:p>
        </w:tc>
      </w:tr>
      <w:tr w:rsidR="00DD7722" w:rsidRPr="007F6332" w14:paraId="3CAF507A" w14:textId="77777777" w:rsidTr="006C7455">
        <w:trPr>
          <w:trHeight w:val="284"/>
        </w:trPr>
        <w:tc>
          <w:tcPr>
            <w:cnfStyle w:val="001000000000" w:firstRow="0" w:lastRow="0" w:firstColumn="1" w:lastColumn="0" w:oddVBand="0" w:evenVBand="0" w:oddHBand="0" w:evenHBand="0" w:firstRowFirstColumn="0" w:firstRowLastColumn="0" w:lastRowFirstColumn="0" w:lastRowLastColumn="0"/>
            <w:tcW w:w="0" w:type="dxa"/>
          </w:tcPr>
          <w:p w14:paraId="67E0D8F1" w14:textId="77777777" w:rsidR="00DD7722" w:rsidRPr="007F6332" w:rsidRDefault="00DD7722" w:rsidP="006C7455">
            <w:pPr>
              <w:spacing w:line="264" w:lineRule="auto"/>
              <w:rPr>
                <w:rFonts w:cs="Arial"/>
                <w:szCs w:val="22"/>
              </w:rPr>
            </w:pPr>
            <w:r w:rsidRPr="007F6332">
              <w:rPr>
                <w:rFonts w:cs="Arial"/>
                <w:szCs w:val="22"/>
              </w:rPr>
              <w:t>Hearing Impairment</w:t>
            </w:r>
          </w:p>
        </w:tc>
        <w:tc>
          <w:tcPr>
            <w:tcW w:w="1701" w:type="dxa"/>
            <w:tcBorders>
              <w:top w:val="nil"/>
              <w:bottom w:val="nil"/>
              <w:right w:val="dashed" w:sz="4" w:space="0" w:color="auto"/>
            </w:tcBorders>
          </w:tcPr>
          <w:p w14:paraId="37EF8904"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7F6332">
              <w:rPr>
                <w:rFonts w:cs="Arial"/>
                <w:color w:val="000000"/>
                <w:szCs w:val="22"/>
              </w:rPr>
              <w:t>9.3</w:t>
            </w:r>
          </w:p>
        </w:tc>
        <w:tc>
          <w:tcPr>
            <w:tcW w:w="1644" w:type="dxa"/>
            <w:tcBorders>
              <w:left w:val="dashed" w:sz="4" w:space="0" w:color="auto"/>
            </w:tcBorders>
          </w:tcPr>
          <w:p w14:paraId="7B6834C4"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9.3</w:t>
            </w:r>
          </w:p>
        </w:tc>
        <w:tc>
          <w:tcPr>
            <w:tcW w:w="1531" w:type="dxa"/>
          </w:tcPr>
          <w:p w14:paraId="67BD4CFF" w14:textId="77777777" w:rsidR="00DD7722" w:rsidRPr="007F6332" w:rsidRDefault="00DD7722" w:rsidP="006C7455">
            <w:pPr>
              <w:spacing w:line="264" w:lineRule="auto"/>
              <w:ind w:left="274"/>
              <w:jc w:val="left"/>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 xml:space="preserve">   11.2</w:t>
            </w:r>
          </w:p>
        </w:tc>
        <w:tc>
          <w:tcPr>
            <w:tcW w:w="0" w:type="dxa"/>
          </w:tcPr>
          <w:p w14:paraId="643FADF9" w14:textId="77777777" w:rsidR="00DD7722" w:rsidRPr="007F6332" w:rsidRDefault="00DD7722" w:rsidP="006C7455">
            <w:pPr>
              <w:spacing w:line="264" w:lineRule="auto"/>
              <w:ind w:left="147"/>
              <w:jc w:val="left"/>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 xml:space="preserve">    -1.9</w:t>
            </w:r>
          </w:p>
        </w:tc>
        <w:tc>
          <w:tcPr>
            <w:tcW w:w="1304" w:type="dxa"/>
          </w:tcPr>
          <w:p w14:paraId="7A021367"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szCs w:val="22"/>
              </w:rPr>
            </w:pPr>
            <w:r w:rsidRPr="007F6332">
              <w:rPr>
                <w:rFonts w:cs="Arial"/>
                <w:szCs w:val="22"/>
              </w:rPr>
              <w:t>-16.8%</w:t>
            </w:r>
          </w:p>
        </w:tc>
      </w:tr>
      <w:tr w:rsidR="00DD7722" w:rsidRPr="007F6332" w14:paraId="269CB5E9" w14:textId="77777777" w:rsidTr="006C745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dxa"/>
          </w:tcPr>
          <w:p w14:paraId="2CAF2E1D" w14:textId="77777777" w:rsidR="00DD7722" w:rsidRPr="007F6332" w:rsidRDefault="00DD7722" w:rsidP="006C7455">
            <w:pPr>
              <w:spacing w:line="264" w:lineRule="auto"/>
              <w:rPr>
                <w:rFonts w:cs="Arial"/>
                <w:szCs w:val="22"/>
              </w:rPr>
            </w:pPr>
            <w:r w:rsidRPr="007F6332">
              <w:rPr>
                <w:rFonts w:cs="Arial"/>
                <w:szCs w:val="22"/>
              </w:rPr>
              <w:t>Intellectual Disability</w:t>
            </w:r>
          </w:p>
        </w:tc>
        <w:tc>
          <w:tcPr>
            <w:tcW w:w="1701" w:type="dxa"/>
            <w:tcBorders>
              <w:top w:val="nil"/>
              <w:bottom w:val="nil"/>
              <w:right w:val="dashed" w:sz="4" w:space="0" w:color="auto"/>
            </w:tcBorders>
          </w:tcPr>
          <w:p w14:paraId="5788E78D"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22"/>
              </w:rPr>
            </w:pPr>
            <w:r w:rsidRPr="007F6332">
              <w:rPr>
                <w:rFonts w:cs="Arial"/>
                <w:color w:val="000000"/>
                <w:szCs w:val="22"/>
              </w:rPr>
              <w:t>18.0</w:t>
            </w:r>
          </w:p>
        </w:tc>
        <w:tc>
          <w:tcPr>
            <w:tcW w:w="1644" w:type="dxa"/>
            <w:tcBorders>
              <w:left w:val="dashed" w:sz="4" w:space="0" w:color="auto"/>
            </w:tcBorders>
          </w:tcPr>
          <w:p w14:paraId="3A27DDF8"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18.0</w:t>
            </w:r>
          </w:p>
        </w:tc>
        <w:tc>
          <w:tcPr>
            <w:tcW w:w="1531" w:type="dxa"/>
          </w:tcPr>
          <w:p w14:paraId="267B5374" w14:textId="77777777" w:rsidR="00DD7722" w:rsidRPr="007F6332" w:rsidRDefault="00DD7722" w:rsidP="006C7455">
            <w:pPr>
              <w:spacing w:line="264" w:lineRule="auto"/>
              <w:ind w:left="274"/>
              <w:jc w:val="left"/>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21.0</w:t>
            </w:r>
          </w:p>
        </w:tc>
        <w:tc>
          <w:tcPr>
            <w:tcW w:w="0" w:type="dxa"/>
          </w:tcPr>
          <w:p w14:paraId="643D533E" w14:textId="77777777" w:rsidR="00DD7722" w:rsidRPr="007F6332" w:rsidRDefault="00DD7722" w:rsidP="006C7455">
            <w:pPr>
              <w:spacing w:line="264" w:lineRule="auto"/>
              <w:ind w:left="147"/>
              <w:jc w:val="left"/>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 xml:space="preserve">    -3.1</w:t>
            </w:r>
          </w:p>
        </w:tc>
        <w:tc>
          <w:tcPr>
            <w:tcW w:w="1304" w:type="dxa"/>
          </w:tcPr>
          <w:p w14:paraId="1FAF6404"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szCs w:val="22"/>
              </w:rPr>
            </w:pPr>
            <w:r w:rsidRPr="007F6332">
              <w:rPr>
                <w:rFonts w:cs="Arial"/>
                <w:szCs w:val="22"/>
              </w:rPr>
              <w:t>-14.6%</w:t>
            </w:r>
          </w:p>
        </w:tc>
      </w:tr>
      <w:tr w:rsidR="00DD7722" w:rsidRPr="007F6332" w14:paraId="0897F567" w14:textId="77777777" w:rsidTr="006C7455">
        <w:trPr>
          <w:trHeight w:val="284"/>
        </w:trPr>
        <w:tc>
          <w:tcPr>
            <w:cnfStyle w:val="001000000000" w:firstRow="0" w:lastRow="0" w:firstColumn="1" w:lastColumn="0" w:oddVBand="0" w:evenVBand="0" w:oddHBand="0" w:evenHBand="0" w:firstRowFirstColumn="0" w:firstRowLastColumn="0" w:lastRowFirstColumn="0" w:lastRowLastColumn="0"/>
            <w:tcW w:w="0" w:type="dxa"/>
          </w:tcPr>
          <w:p w14:paraId="64FB77EB" w14:textId="77777777" w:rsidR="00DD7722" w:rsidRPr="007F6332" w:rsidRDefault="00DD7722" w:rsidP="006C7455">
            <w:pPr>
              <w:spacing w:line="264" w:lineRule="auto"/>
              <w:rPr>
                <w:rFonts w:cs="Arial"/>
                <w:color w:val="000000"/>
              </w:rPr>
            </w:pPr>
            <w:r w:rsidRPr="007F6332">
              <w:rPr>
                <w:rFonts w:cs="Arial"/>
                <w:color w:val="000000"/>
              </w:rPr>
              <w:t>Multiple Sclerosis</w:t>
            </w:r>
          </w:p>
        </w:tc>
        <w:tc>
          <w:tcPr>
            <w:tcW w:w="1701" w:type="dxa"/>
            <w:tcBorders>
              <w:top w:val="nil"/>
              <w:bottom w:val="nil"/>
              <w:right w:val="dashed" w:sz="4" w:space="0" w:color="auto"/>
            </w:tcBorders>
          </w:tcPr>
          <w:p w14:paraId="1E346F21"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3.0</w:t>
            </w:r>
          </w:p>
        </w:tc>
        <w:tc>
          <w:tcPr>
            <w:tcW w:w="1644" w:type="dxa"/>
            <w:tcBorders>
              <w:left w:val="dashed" w:sz="4" w:space="0" w:color="auto"/>
            </w:tcBorders>
          </w:tcPr>
          <w:p w14:paraId="5C980906"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3.0</w:t>
            </w:r>
          </w:p>
        </w:tc>
        <w:tc>
          <w:tcPr>
            <w:tcW w:w="1531" w:type="dxa"/>
          </w:tcPr>
          <w:p w14:paraId="4F9F0252" w14:textId="77777777" w:rsidR="00DD7722" w:rsidRPr="007F6332" w:rsidRDefault="00DD7722" w:rsidP="006C7455">
            <w:pPr>
              <w:spacing w:line="264" w:lineRule="auto"/>
              <w:ind w:left="274"/>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 xml:space="preserve">     4.0</w:t>
            </w:r>
          </w:p>
        </w:tc>
        <w:tc>
          <w:tcPr>
            <w:tcW w:w="0" w:type="dxa"/>
          </w:tcPr>
          <w:p w14:paraId="2228E725" w14:textId="77777777" w:rsidR="00DD7722" w:rsidRPr="007F6332" w:rsidRDefault="00DD7722" w:rsidP="006C7455">
            <w:pPr>
              <w:spacing w:line="264" w:lineRule="auto"/>
              <w:ind w:left="147"/>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 xml:space="preserve">    -0.9</w:t>
            </w:r>
          </w:p>
        </w:tc>
        <w:tc>
          <w:tcPr>
            <w:tcW w:w="1304" w:type="dxa"/>
          </w:tcPr>
          <w:p w14:paraId="16384ABD"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-23.5%</w:t>
            </w:r>
          </w:p>
        </w:tc>
      </w:tr>
      <w:tr w:rsidR="00DD7722" w:rsidRPr="007F6332" w14:paraId="015F94AC" w14:textId="77777777" w:rsidTr="006C745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dxa"/>
          </w:tcPr>
          <w:p w14:paraId="48AE217F" w14:textId="77777777" w:rsidR="00DD7722" w:rsidRPr="007F6332" w:rsidRDefault="00DD7722" w:rsidP="006C7455">
            <w:pPr>
              <w:spacing w:line="264" w:lineRule="auto"/>
              <w:rPr>
                <w:rFonts w:cs="Arial"/>
                <w:color w:val="000000"/>
              </w:rPr>
            </w:pPr>
            <w:r w:rsidRPr="007F6332">
              <w:rPr>
                <w:rFonts w:cs="Arial"/>
                <w:color w:val="000000"/>
              </w:rPr>
              <w:t>Other</w:t>
            </w:r>
          </w:p>
        </w:tc>
        <w:tc>
          <w:tcPr>
            <w:tcW w:w="1701" w:type="dxa"/>
            <w:tcBorders>
              <w:top w:val="nil"/>
              <w:bottom w:val="nil"/>
              <w:right w:val="dashed" w:sz="4" w:space="0" w:color="auto"/>
            </w:tcBorders>
          </w:tcPr>
          <w:p w14:paraId="5B47DE00"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6.3</w:t>
            </w:r>
          </w:p>
        </w:tc>
        <w:tc>
          <w:tcPr>
            <w:tcW w:w="1644" w:type="dxa"/>
            <w:tcBorders>
              <w:left w:val="dashed" w:sz="4" w:space="0" w:color="auto"/>
            </w:tcBorders>
          </w:tcPr>
          <w:p w14:paraId="6F1C902C"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6.3</w:t>
            </w:r>
          </w:p>
        </w:tc>
        <w:tc>
          <w:tcPr>
            <w:tcW w:w="1531" w:type="dxa"/>
          </w:tcPr>
          <w:p w14:paraId="35D3D096" w14:textId="77777777" w:rsidR="00DD7722" w:rsidRPr="007F6332" w:rsidRDefault="00DD7722" w:rsidP="006C7455">
            <w:pPr>
              <w:spacing w:line="264" w:lineRule="auto"/>
              <w:ind w:left="274"/>
              <w:jc w:val="left"/>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 xml:space="preserve">     7.9</w:t>
            </w:r>
          </w:p>
        </w:tc>
        <w:tc>
          <w:tcPr>
            <w:tcW w:w="0" w:type="dxa"/>
          </w:tcPr>
          <w:p w14:paraId="19F5D3DA" w14:textId="77777777" w:rsidR="00DD7722" w:rsidRPr="007F6332" w:rsidRDefault="00DD7722" w:rsidP="006C7455">
            <w:pPr>
              <w:spacing w:line="264" w:lineRule="auto"/>
              <w:ind w:left="147"/>
              <w:jc w:val="left"/>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 xml:space="preserve">    -1.6</w:t>
            </w:r>
          </w:p>
        </w:tc>
        <w:tc>
          <w:tcPr>
            <w:tcW w:w="1304" w:type="dxa"/>
          </w:tcPr>
          <w:p w14:paraId="06CCFF02"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-20.0%</w:t>
            </w:r>
          </w:p>
        </w:tc>
      </w:tr>
      <w:tr w:rsidR="00DD7722" w:rsidRPr="007F6332" w14:paraId="7C65490B" w14:textId="77777777" w:rsidTr="006C7455">
        <w:trPr>
          <w:trHeight w:val="284"/>
        </w:trPr>
        <w:tc>
          <w:tcPr>
            <w:cnfStyle w:val="001000000000" w:firstRow="0" w:lastRow="0" w:firstColumn="1" w:lastColumn="0" w:oddVBand="0" w:evenVBand="0" w:oddHBand="0" w:evenHBand="0" w:firstRowFirstColumn="0" w:firstRowLastColumn="0" w:lastRowFirstColumn="0" w:lastRowLastColumn="0"/>
            <w:tcW w:w="0" w:type="dxa"/>
          </w:tcPr>
          <w:p w14:paraId="4AD72CA7" w14:textId="77777777" w:rsidR="00DD7722" w:rsidRPr="007F6332" w:rsidRDefault="00DD7722" w:rsidP="006C7455">
            <w:pPr>
              <w:spacing w:line="264" w:lineRule="auto"/>
              <w:rPr>
                <w:rFonts w:cs="Arial"/>
                <w:color w:val="000000"/>
              </w:rPr>
            </w:pPr>
            <w:r w:rsidRPr="007F6332">
              <w:rPr>
                <w:rFonts w:cs="Arial"/>
                <w:color w:val="000000"/>
              </w:rPr>
              <w:t>Other Neurological</w:t>
            </w:r>
          </w:p>
        </w:tc>
        <w:tc>
          <w:tcPr>
            <w:tcW w:w="1701" w:type="dxa"/>
            <w:tcBorders>
              <w:top w:val="nil"/>
              <w:bottom w:val="nil"/>
              <w:right w:val="dashed" w:sz="4" w:space="0" w:color="auto"/>
            </w:tcBorders>
          </w:tcPr>
          <w:p w14:paraId="3BD8D5EA"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7.8</w:t>
            </w:r>
          </w:p>
        </w:tc>
        <w:tc>
          <w:tcPr>
            <w:tcW w:w="1644" w:type="dxa"/>
            <w:tcBorders>
              <w:left w:val="dashed" w:sz="4" w:space="0" w:color="auto"/>
            </w:tcBorders>
          </w:tcPr>
          <w:p w14:paraId="08934FBF"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7.8</w:t>
            </w:r>
          </w:p>
        </w:tc>
        <w:tc>
          <w:tcPr>
            <w:tcW w:w="1531" w:type="dxa"/>
          </w:tcPr>
          <w:p w14:paraId="16670EC8" w14:textId="77777777" w:rsidR="00DD7722" w:rsidRPr="007F6332" w:rsidRDefault="00DD7722" w:rsidP="006C7455">
            <w:pPr>
              <w:spacing w:line="264" w:lineRule="auto"/>
              <w:ind w:left="274"/>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 xml:space="preserve">     9.9</w:t>
            </w:r>
          </w:p>
        </w:tc>
        <w:tc>
          <w:tcPr>
            <w:tcW w:w="0" w:type="dxa"/>
          </w:tcPr>
          <w:p w14:paraId="0AAED192" w14:textId="77777777" w:rsidR="00DD7722" w:rsidRPr="007F6332" w:rsidRDefault="00DD7722" w:rsidP="006C7455">
            <w:pPr>
              <w:spacing w:line="264" w:lineRule="auto"/>
              <w:ind w:left="147"/>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 xml:space="preserve">    -2.1</w:t>
            </w:r>
          </w:p>
        </w:tc>
        <w:tc>
          <w:tcPr>
            <w:tcW w:w="1304" w:type="dxa"/>
          </w:tcPr>
          <w:p w14:paraId="6FAA8961"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-21.0%</w:t>
            </w:r>
          </w:p>
        </w:tc>
      </w:tr>
      <w:tr w:rsidR="00DD7722" w:rsidRPr="007F6332" w14:paraId="4A06DC46" w14:textId="77777777" w:rsidTr="006C745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dxa"/>
          </w:tcPr>
          <w:p w14:paraId="54B0201C" w14:textId="77777777" w:rsidR="00DD7722" w:rsidRPr="007F6332" w:rsidRDefault="00DD7722" w:rsidP="006C7455">
            <w:pPr>
              <w:spacing w:line="264" w:lineRule="auto"/>
              <w:rPr>
                <w:rFonts w:cs="Arial"/>
                <w:color w:val="000000"/>
              </w:rPr>
            </w:pPr>
            <w:r w:rsidRPr="007F6332">
              <w:rPr>
                <w:rFonts w:cs="Arial"/>
                <w:color w:val="000000"/>
              </w:rPr>
              <w:t>Other Physical</w:t>
            </w:r>
          </w:p>
        </w:tc>
        <w:tc>
          <w:tcPr>
            <w:tcW w:w="1701" w:type="dxa"/>
            <w:tcBorders>
              <w:top w:val="nil"/>
              <w:bottom w:val="nil"/>
              <w:right w:val="dashed" w:sz="4" w:space="0" w:color="auto"/>
            </w:tcBorders>
          </w:tcPr>
          <w:p w14:paraId="03CCA86B"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5.1</w:t>
            </w:r>
          </w:p>
        </w:tc>
        <w:tc>
          <w:tcPr>
            <w:tcW w:w="1644" w:type="dxa"/>
            <w:tcBorders>
              <w:left w:val="dashed" w:sz="4" w:space="0" w:color="auto"/>
            </w:tcBorders>
          </w:tcPr>
          <w:p w14:paraId="5D65C6F8"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5.1</w:t>
            </w:r>
          </w:p>
        </w:tc>
        <w:tc>
          <w:tcPr>
            <w:tcW w:w="1531" w:type="dxa"/>
          </w:tcPr>
          <w:p w14:paraId="248EF77B" w14:textId="77777777" w:rsidR="00DD7722" w:rsidRPr="007F6332" w:rsidRDefault="00DD7722" w:rsidP="006C7455">
            <w:pPr>
              <w:spacing w:line="264" w:lineRule="auto"/>
              <w:ind w:left="274"/>
              <w:jc w:val="left"/>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 xml:space="preserve">     6.7</w:t>
            </w:r>
          </w:p>
        </w:tc>
        <w:tc>
          <w:tcPr>
            <w:tcW w:w="1134" w:type="dxa"/>
          </w:tcPr>
          <w:p w14:paraId="1BB8E5EE" w14:textId="77777777" w:rsidR="00DD7722" w:rsidRPr="007F6332" w:rsidRDefault="00DD7722" w:rsidP="006C7455">
            <w:pPr>
              <w:spacing w:line="264" w:lineRule="auto"/>
              <w:ind w:left="147"/>
              <w:jc w:val="left"/>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 xml:space="preserve">    -1.7</w:t>
            </w:r>
          </w:p>
        </w:tc>
        <w:tc>
          <w:tcPr>
            <w:tcW w:w="1304" w:type="dxa"/>
          </w:tcPr>
          <w:p w14:paraId="1F599070"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-24.6%</w:t>
            </w:r>
          </w:p>
        </w:tc>
      </w:tr>
      <w:tr w:rsidR="00DD7722" w:rsidRPr="007F6332" w14:paraId="5EAA1D51" w14:textId="77777777" w:rsidTr="006C7455">
        <w:trPr>
          <w:trHeight w:val="284"/>
        </w:trPr>
        <w:tc>
          <w:tcPr>
            <w:cnfStyle w:val="001000000000" w:firstRow="0" w:lastRow="0" w:firstColumn="1" w:lastColumn="0" w:oddVBand="0" w:evenVBand="0" w:oddHBand="0" w:evenHBand="0" w:firstRowFirstColumn="0" w:firstRowLastColumn="0" w:lastRowFirstColumn="0" w:lastRowLastColumn="0"/>
            <w:tcW w:w="0" w:type="dxa"/>
          </w:tcPr>
          <w:p w14:paraId="043D3D21" w14:textId="77777777" w:rsidR="00DD7722" w:rsidRPr="007F6332" w:rsidRDefault="00DD7722" w:rsidP="006C7455">
            <w:pPr>
              <w:spacing w:line="264" w:lineRule="auto"/>
              <w:rPr>
                <w:rFonts w:cs="Arial"/>
                <w:color w:val="000000"/>
              </w:rPr>
            </w:pPr>
            <w:r w:rsidRPr="007F6332">
              <w:rPr>
                <w:rFonts w:cs="Arial"/>
                <w:color w:val="000000"/>
              </w:rPr>
              <w:t>Other Sensory/Speech</w:t>
            </w:r>
          </w:p>
        </w:tc>
        <w:tc>
          <w:tcPr>
            <w:tcW w:w="1701" w:type="dxa"/>
            <w:tcBorders>
              <w:top w:val="nil"/>
              <w:bottom w:val="nil"/>
              <w:right w:val="dashed" w:sz="4" w:space="0" w:color="auto"/>
            </w:tcBorders>
          </w:tcPr>
          <w:p w14:paraId="3C5ECA58"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0.4</w:t>
            </w:r>
          </w:p>
        </w:tc>
        <w:tc>
          <w:tcPr>
            <w:tcW w:w="1644" w:type="dxa"/>
            <w:tcBorders>
              <w:left w:val="dashed" w:sz="4" w:space="0" w:color="auto"/>
            </w:tcBorders>
          </w:tcPr>
          <w:p w14:paraId="1B856405"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0.4</w:t>
            </w:r>
          </w:p>
        </w:tc>
        <w:tc>
          <w:tcPr>
            <w:tcW w:w="1531" w:type="dxa"/>
          </w:tcPr>
          <w:p w14:paraId="675AC352" w14:textId="77777777" w:rsidR="00DD7722" w:rsidRPr="007F6332" w:rsidRDefault="00DD7722" w:rsidP="006C7455">
            <w:pPr>
              <w:spacing w:line="264" w:lineRule="auto"/>
              <w:ind w:left="274"/>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 xml:space="preserve">     0.4</w:t>
            </w:r>
          </w:p>
        </w:tc>
        <w:tc>
          <w:tcPr>
            <w:tcW w:w="0" w:type="dxa"/>
          </w:tcPr>
          <w:p w14:paraId="200400C6" w14:textId="77777777" w:rsidR="00DD7722" w:rsidRPr="007F6332" w:rsidRDefault="00DD7722" w:rsidP="006C7455">
            <w:pPr>
              <w:spacing w:line="264" w:lineRule="auto"/>
              <w:ind w:left="147"/>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 xml:space="preserve">     0.0</w:t>
            </w:r>
          </w:p>
        </w:tc>
        <w:tc>
          <w:tcPr>
            <w:tcW w:w="1304" w:type="dxa"/>
          </w:tcPr>
          <w:p w14:paraId="549E798E"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-9.6%</w:t>
            </w:r>
          </w:p>
        </w:tc>
      </w:tr>
      <w:tr w:rsidR="00DD7722" w:rsidRPr="007F6332" w14:paraId="3FF78C04" w14:textId="77777777" w:rsidTr="006C745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dxa"/>
          </w:tcPr>
          <w:p w14:paraId="3F33995F" w14:textId="77777777" w:rsidR="00DD7722" w:rsidRPr="007F6332" w:rsidRDefault="00DD7722" w:rsidP="006C7455">
            <w:pPr>
              <w:spacing w:line="264" w:lineRule="auto"/>
              <w:rPr>
                <w:rFonts w:cs="Arial"/>
                <w:color w:val="000000"/>
              </w:rPr>
            </w:pPr>
            <w:r w:rsidRPr="007F6332">
              <w:rPr>
                <w:rFonts w:cs="Arial"/>
                <w:color w:val="000000"/>
              </w:rPr>
              <w:t>Psychosocial Disability</w:t>
            </w:r>
          </w:p>
        </w:tc>
        <w:tc>
          <w:tcPr>
            <w:tcW w:w="1701" w:type="dxa"/>
            <w:tcBorders>
              <w:top w:val="nil"/>
              <w:bottom w:val="nil"/>
              <w:right w:val="dashed" w:sz="4" w:space="0" w:color="auto"/>
            </w:tcBorders>
          </w:tcPr>
          <w:p w14:paraId="398FAF66"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19.4</w:t>
            </w:r>
          </w:p>
        </w:tc>
        <w:tc>
          <w:tcPr>
            <w:tcW w:w="1644" w:type="dxa"/>
            <w:tcBorders>
              <w:left w:val="dashed" w:sz="4" w:space="0" w:color="auto"/>
            </w:tcBorders>
          </w:tcPr>
          <w:p w14:paraId="5848A662"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19.4</w:t>
            </w:r>
          </w:p>
        </w:tc>
        <w:tc>
          <w:tcPr>
            <w:tcW w:w="1531" w:type="dxa"/>
          </w:tcPr>
          <w:p w14:paraId="7623DEA1"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24.4</w:t>
            </w:r>
          </w:p>
        </w:tc>
        <w:tc>
          <w:tcPr>
            <w:tcW w:w="1134" w:type="dxa"/>
          </w:tcPr>
          <w:p w14:paraId="5920CF4E" w14:textId="77777777" w:rsidR="00DD7722" w:rsidRPr="007F6332" w:rsidRDefault="00DD7722" w:rsidP="006C7455">
            <w:pPr>
              <w:spacing w:line="264" w:lineRule="auto"/>
              <w:jc w:val="left"/>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 xml:space="preserve">      -5.0</w:t>
            </w:r>
          </w:p>
        </w:tc>
        <w:tc>
          <w:tcPr>
            <w:tcW w:w="1304" w:type="dxa"/>
          </w:tcPr>
          <w:p w14:paraId="5ABDD740"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-20.5%</w:t>
            </w:r>
          </w:p>
        </w:tc>
      </w:tr>
      <w:tr w:rsidR="00DD7722" w:rsidRPr="007F6332" w14:paraId="705C8FAA" w14:textId="77777777" w:rsidTr="006C7455">
        <w:trPr>
          <w:trHeight w:val="284"/>
        </w:trPr>
        <w:tc>
          <w:tcPr>
            <w:cnfStyle w:val="001000000000" w:firstRow="0" w:lastRow="0" w:firstColumn="1" w:lastColumn="0" w:oddVBand="0" w:evenVBand="0" w:oddHBand="0" w:evenHBand="0" w:firstRowFirstColumn="0" w:firstRowLastColumn="0" w:lastRowFirstColumn="0" w:lastRowLastColumn="0"/>
            <w:tcW w:w="0" w:type="dxa"/>
          </w:tcPr>
          <w:p w14:paraId="16C34029" w14:textId="77777777" w:rsidR="00DD7722" w:rsidRPr="007F6332" w:rsidRDefault="00DD7722" w:rsidP="006C7455">
            <w:pPr>
              <w:spacing w:line="264" w:lineRule="auto"/>
              <w:rPr>
                <w:rFonts w:cs="Arial"/>
                <w:color w:val="000000"/>
              </w:rPr>
            </w:pPr>
            <w:r w:rsidRPr="007F6332">
              <w:rPr>
                <w:rFonts w:cs="Arial"/>
                <w:color w:val="000000"/>
              </w:rPr>
              <w:t>Spinal Cord Injury</w:t>
            </w:r>
          </w:p>
        </w:tc>
        <w:tc>
          <w:tcPr>
            <w:tcW w:w="1701" w:type="dxa"/>
            <w:tcBorders>
              <w:top w:val="nil"/>
              <w:bottom w:val="nil"/>
              <w:right w:val="dashed" w:sz="4" w:space="0" w:color="auto"/>
            </w:tcBorders>
          </w:tcPr>
          <w:p w14:paraId="5B811C0A"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1.4</w:t>
            </w:r>
          </w:p>
        </w:tc>
        <w:tc>
          <w:tcPr>
            <w:tcW w:w="0" w:type="dxa"/>
            <w:tcBorders>
              <w:left w:val="dashed" w:sz="4" w:space="0" w:color="auto"/>
            </w:tcBorders>
          </w:tcPr>
          <w:p w14:paraId="031D9FDA"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1.4</w:t>
            </w:r>
          </w:p>
        </w:tc>
        <w:tc>
          <w:tcPr>
            <w:tcW w:w="1531" w:type="dxa"/>
          </w:tcPr>
          <w:p w14:paraId="228A171C"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1.7</w:t>
            </w:r>
          </w:p>
        </w:tc>
        <w:tc>
          <w:tcPr>
            <w:tcW w:w="0" w:type="dxa"/>
          </w:tcPr>
          <w:p w14:paraId="26A54765" w14:textId="77777777" w:rsidR="00DD7722" w:rsidRPr="007F6332" w:rsidRDefault="00DD7722" w:rsidP="006C7455">
            <w:pPr>
              <w:spacing w:line="264"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 xml:space="preserve">      -0.2</w:t>
            </w:r>
          </w:p>
        </w:tc>
        <w:tc>
          <w:tcPr>
            <w:tcW w:w="1304" w:type="dxa"/>
          </w:tcPr>
          <w:p w14:paraId="2DB0BD57"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-14.4%</w:t>
            </w:r>
          </w:p>
        </w:tc>
      </w:tr>
      <w:tr w:rsidR="00DD7722" w:rsidRPr="007F6332" w14:paraId="6E2D9965" w14:textId="77777777" w:rsidTr="006C745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dxa"/>
            <w:tcBorders>
              <w:bottom w:val="nil"/>
            </w:tcBorders>
          </w:tcPr>
          <w:p w14:paraId="2A005D87" w14:textId="77777777" w:rsidR="00DD7722" w:rsidRPr="007F6332" w:rsidRDefault="00DD7722" w:rsidP="006C7455">
            <w:pPr>
              <w:spacing w:line="264" w:lineRule="auto"/>
              <w:rPr>
                <w:rFonts w:cs="Arial"/>
                <w:color w:val="000000"/>
              </w:rPr>
            </w:pPr>
            <w:r w:rsidRPr="007F6332">
              <w:rPr>
                <w:rFonts w:cs="Arial"/>
                <w:color w:val="000000"/>
              </w:rPr>
              <w:t>Stroke</w:t>
            </w:r>
          </w:p>
        </w:tc>
        <w:tc>
          <w:tcPr>
            <w:tcW w:w="1701" w:type="dxa"/>
            <w:tcBorders>
              <w:top w:val="nil"/>
              <w:bottom w:val="nil"/>
              <w:right w:val="dashed" w:sz="4" w:space="0" w:color="auto"/>
            </w:tcBorders>
          </w:tcPr>
          <w:p w14:paraId="6B10C5C1"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3.7</w:t>
            </w:r>
          </w:p>
        </w:tc>
        <w:tc>
          <w:tcPr>
            <w:tcW w:w="1644" w:type="dxa"/>
            <w:tcBorders>
              <w:left w:val="dashed" w:sz="4" w:space="0" w:color="auto"/>
            </w:tcBorders>
          </w:tcPr>
          <w:p w14:paraId="7D7F626A"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3.7</w:t>
            </w:r>
          </w:p>
        </w:tc>
        <w:tc>
          <w:tcPr>
            <w:tcW w:w="1531" w:type="dxa"/>
          </w:tcPr>
          <w:p w14:paraId="1AEF6C87"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4.7</w:t>
            </w:r>
          </w:p>
        </w:tc>
        <w:tc>
          <w:tcPr>
            <w:tcW w:w="1134" w:type="dxa"/>
          </w:tcPr>
          <w:p w14:paraId="6E233FCC" w14:textId="77777777" w:rsidR="00DD7722" w:rsidRPr="007F6332" w:rsidRDefault="00DD7722" w:rsidP="006C7455">
            <w:pPr>
              <w:spacing w:line="264" w:lineRule="auto"/>
              <w:jc w:val="left"/>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 xml:space="preserve">      -0.9</w:t>
            </w:r>
          </w:p>
        </w:tc>
        <w:tc>
          <w:tcPr>
            <w:tcW w:w="1304" w:type="dxa"/>
          </w:tcPr>
          <w:p w14:paraId="59535D42"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color w:val="000000"/>
              </w:rPr>
            </w:pPr>
            <w:r w:rsidRPr="007F6332">
              <w:rPr>
                <w:rFonts w:cs="Arial"/>
                <w:color w:val="000000"/>
              </w:rPr>
              <w:t>-20.1%</w:t>
            </w:r>
          </w:p>
        </w:tc>
      </w:tr>
      <w:tr w:rsidR="00DD7722" w:rsidRPr="007F6332" w14:paraId="205B66B3" w14:textId="77777777" w:rsidTr="006C7455">
        <w:trPr>
          <w:trHeight w:val="284"/>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6662B186" w14:textId="77777777" w:rsidR="00DD7722" w:rsidRPr="007F6332" w:rsidRDefault="00DD7722" w:rsidP="006C7455">
            <w:pPr>
              <w:spacing w:line="264" w:lineRule="auto"/>
              <w:rPr>
                <w:rFonts w:cs="Arial"/>
                <w:color w:val="000000"/>
              </w:rPr>
            </w:pPr>
            <w:r w:rsidRPr="007F6332">
              <w:rPr>
                <w:rFonts w:cs="Arial"/>
                <w:color w:val="000000"/>
              </w:rPr>
              <w:t>Visual Impairment</w:t>
            </w:r>
          </w:p>
        </w:tc>
        <w:tc>
          <w:tcPr>
            <w:tcW w:w="1701" w:type="dxa"/>
            <w:tcBorders>
              <w:top w:val="nil"/>
              <w:bottom w:val="nil"/>
              <w:right w:val="dashed" w:sz="4" w:space="0" w:color="auto"/>
            </w:tcBorders>
          </w:tcPr>
          <w:p w14:paraId="73414901"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2.1</w:t>
            </w:r>
          </w:p>
        </w:tc>
        <w:tc>
          <w:tcPr>
            <w:tcW w:w="0" w:type="dxa"/>
            <w:tcBorders>
              <w:left w:val="dashed" w:sz="4" w:space="0" w:color="auto"/>
            </w:tcBorders>
          </w:tcPr>
          <w:p w14:paraId="2A9A97B6"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2.1</w:t>
            </w:r>
          </w:p>
        </w:tc>
        <w:tc>
          <w:tcPr>
            <w:tcW w:w="1531" w:type="dxa"/>
          </w:tcPr>
          <w:p w14:paraId="07BAEDC6"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2.6</w:t>
            </w:r>
          </w:p>
        </w:tc>
        <w:tc>
          <w:tcPr>
            <w:tcW w:w="0" w:type="dxa"/>
          </w:tcPr>
          <w:p w14:paraId="29407170" w14:textId="77777777" w:rsidR="00DD7722" w:rsidRPr="007F6332" w:rsidRDefault="00DD7722" w:rsidP="006C7455">
            <w:pPr>
              <w:spacing w:line="264"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 xml:space="preserve">      -0.5</w:t>
            </w:r>
          </w:p>
        </w:tc>
        <w:tc>
          <w:tcPr>
            <w:tcW w:w="1304" w:type="dxa"/>
          </w:tcPr>
          <w:p w14:paraId="284CAB7B" w14:textId="77777777" w:rsidR="00DD7722" w:rsidRPr="007F6332" w:rsidRDefault="00DD7722" w:rsidP="006C7455">
            <w:pPr>
              <w:spacing w:line="264"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F6332">
              <w:rPr>
                <w:rFonts w:cs="Arial"/>
                <w:color w:val="000000"/>
              </w:rPr>
              <w:t>-18.9%</w:t>
            </w:r>
          </w:p>
        </w:tc>
      </w:tr>
      <w:tr w:rsidR="00DD7722" w:rsidRPr="007F6332" w14:paraId="42F745FB" w14:textId="77777777" w:rsidTr="006C745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dxa"/>
            <w:tcBorders>
              <w:top w:val="nil"/>
              <w:bottom w:val="single" w:sz="4" w:space="0" w:color="auto"/>
            </w:tcBorders>
            <w:shd w:val="clear" w:color="auto" w:fill="B499B7"/>
          </w:tcPr>
          <w:p w14:paraId="6D7FB2C6" w14:textId="77777777" w:rsidR="00DD7722" w:rsidRPr="007F6332" w:rsidRDefault="00DD7722" w:rsidP="006C7455">
            <w:pPr>
              <w:spacing w:line="264" w:lineRule="auto"/>
              <w:rPr>
                <w:rFonts w:cs="Arial"/>
                <w:b/>
                <w:bCs/>
                <w:szCs w:val="22"/>
              </w:rPr>
            </w:pPr>
            <w:r w:rsidRPr="007F6332">
              <w:rPr>
                <w:rFonts w:cs="Arial"/>
                <w:b/>
                <w:bCs/>
                <w:color w:val="000000"/>
                <w:szCs w:val="22"/>
              </w:rPr>
              <w:t>Total All Disabilities</w:t>
            </w:r>
          </w:p>
        </w:tc>
        <w:tc>
          <w:tcPr>
            <w:tcW w:w="0" w:type="dxa"/>
            <w:tcBorders>
              <w:top w:val="nil"/>
              <w:bottom w:val="single" w:sz="4" w:space="0" w:color="auto"/>
              <w:right w:val="dashed" w:sz="4" w:space="0" w:color="auto"/>
            </w:tcBorders>
            <w:shd w:val="clear" w:color="auto" w:fill="B499B7"/>
          </w:tcPr>
          <w:p w14:paraId="56FA3649"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rPr>
            </w:pPr>
            <w:r w:rsidRPr="007F6332">
              <w:rPr>
                <w:rFonts w:cs="Arial"/>
                <w:b/>
                <w:bCs/>
                <w:color w:val="000000"/>
                <w:szCs w:val="22"/>
              </w:rPr>
              <w:t>329.6</w:t>
            </w:r>
          </w:p>
        </w:tc>
        <w:tc>
          <w:tcPr>
            <w:tcW w:w="0" w:type="dxa"/>
            <w:tcBorders>
              <w:left w:val="dashed" w:sz="4" w:space="0" w:color="auto"/>
            </w:tcBorders>
            <w:shd w:val="clear" w:color="auto" w:fill="B499B7"/>
          </w:tcPr>
          <w:p w14:paraId="58017F23"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b/>
                <w:bCs/>
                <w:szCs w:val="22"/>
              </w:rPr>
            </w:pPr>
            <w:r w:rsidRPr="007F6332">
              <w:rPr>
                <w:rFonts w:cs="Arial"/>
                <w:b/>
                <w:bCs/>
                <w:color w:val="000000"/>
                <w:szCs w:val="22"/>
              </w:rPr>
              <w:t>314.7</w:t>
            </w:r>
          </w:p>
        </w:tc>
        <w:tc>
          <w:tcPr>
            <w:tcW w:w="0" w:type="dxa"/>
            <w:shd w:val="clear" w:color="auto" w:fill="B499B7"/>
          </w:tcPr>
          <w:p w14:paraId="4C773BC7" w14:textId="77777777" w:rsidR="00DD7722" w:rsidRPr="007F6332" w:rsidRDefault="00DD7722" w:rsidP="006C7455">
            <w:pPr>
              <w:spacing w:line="264" w:lineRule="auto"/>
              <w:jc w:val="left"/>
              <w:cnfStyle w:val="000000010000" w:firstRow="0" w:lastRow="0" w:firstColumn="0" w:lastColumn="0" w:oddVBand="0" w:evenVBand="0" w:oddHBand="0" w:evenHBand="1" w:firstRowFirstColumn="0" w:firstRowLastColumn="0" w:lastRowFirstColumn="0" w:lastRowLastColumn="0"/>
              <w:rPr>
                <w:rFonts w:cs="Arial"/>
                <w:b/>
                <w:bCs/>
                <w:szCs w:val="22"/>
              </w:rPr>
            </w:pPr>
            <w:r w:rsidRPr="007F6332">
              <w:rPr>
                <w:rFonts w:cs="Arial"/>
                <w:b/>
                <w:bCs/>
                <w:color w:val="000000"/>
                <w:szCs w:val="22"/>
              </w:rPr>
              <w:t xml:space="preserve">     308.4</w:t>
            </w:r>
          </w:p>
        </w:tc>
        <w:tc>
          <w:tcPr>
            <w:tcW w:w="0" w:type="dxa"/>
            <w:shd w:val="clear" w:color="auto" w:fill="B499B7"/>
          </w:tcPr>
          <w:p w14:paraId="153D27DF" w14:textId="77777777" w:rsidR="00DD7722" w:rsidRPr="007F6332" w:rsidRDefault="00DD7722" w:rsidP="006C7455">
            <w:pPr>
              <w:spacing w:line="264" w:lineRule="auto"/>
              <w:jc w:val="left"/>
              <w:cnfStyle w:val="000000010000" w:firstRow="0" w:lastRow="0" w:firstColumn="0" w:lastColumn="0" w:oddVBand="0" w:evenVBand="0" w:oddHBand="0" w:evenHBand="1" w:firstRowFirstColumn="0" w:firstRowLastColumn="0" w:lastRowFirstColumn="0" w:lastRowLastColumn="0"/>
              <w:rPr>
                <w:rFonts w:cs="Arial"/>
                <w:b/>
                <w:bCs/>
                <w:szCs w:val="22"/>
              </w:rPr>
            </w:pPr>
            <w:r w:rsidRPr="007F6332">
              <w:rPr>
                <w:rFonts w:cs="Arial"/>
                <w:b/>
                <w:bCs/>
                <w:color w:val="000000"/>
                <w:szCs w:val="22"/>
              </w:rPr>
              <w:t xml:space="preserve">     6.3</w:t>
            </w:r>
          </w:p>
        </w:tc>
        <w:tc>
          <w:tcPr>
            <w:tcW w:w="0" w:type="dxa"/>
            <w:shd w:val="clear" w:color="auto" w:fill="B499B7"/>
          </w:tcPr>
          <w:p w14:paraId="662F6309" w14:textId="77777777" w:rsidR="00DD7722" w:rsidRPr="007F6332" w:rsidRDefault="00DD7722" w:rsidP="006C7455">
            <w:pPr>
              <w:spacing w:line="264" w:lineRule="auto"/>
              <w:jc w:val="center"/>
              <w:cnfStyle w:val="000000010000" w:firstRow="0" w:lastRow="0" w:firstColumn="0" w:lastColumn="0" w:oddVBand="0" w:evenVBand="0" w:oddHBand="0" w:evenHBand="1" w:firstRowFirstColumn="0" w:firstRowLastColumn="0" w:lastRowFirstColumn="0" w:lastRowLastColumn="0"/>
              <w:rPr>
                <w:rFonts w:cs="Arial"/>
                <w:b/>
                <w:bCs/>
                <w:szCs w:val="22"/>
              </w:rPr>
            </w:pPr>
            <w:r w:rsidRPr="007F6332">
              <w:rPr>
                <w:rFonts w:cs="Arial"/>
                <w:b/>
                <w:bCs/>
                <w:color w:val="000000"/>
                <w:szCs w:val="22"/>
              </w:rPr>
              <w:t>2.0%</w:t>
            </w:r>
          </w:p>
        </w:tc>
      </w:tr>
    </w:tbl>
    <w:p w14:paraId="234495BD" w14:textId="77777777" w:rsidR="00DD7722" w:rsidRPr="007F6332" w:rsidRDefault="00DD7722" w:rsidP="00DD7722">
      <w:pPr>
        <w:pStyle w:val="FSRHeading6"/>
        <w:rPr>
          <w:rFonts w:cs="Arial"/>
        </w:rPr>
      </w:pPr>
    </w:p>
    <w:p w14:paraId="19312830" w14:textId="77777777" w:rsidR="00DD7722" w:rsidRPr="007F6332" w:rsidRDefault="00DD7722" w:rsidP="00DD7722">
      <w:pPr>
        <w:pStyle w:val="FSRHeading4"/>
        <w:rPr>
          <w:rFonts w:cs="Arial"/>
        </w:rPr>
      </w:pPr>
      <w:r w:rsidRPr="007F6332">
        <w:rPr>
          <w:rFonts w:cs="Arial"/>
        </w:rPr>
        <w:lastRenderedPageBreak/>
        <w:t>New entrant rates by gender and age group</w:t>
      </w:r>
    </w:p>
    <w:p w14:paraId="0DDF7994" w14:textId="77777777" w:rsidR="00DD7722" w:rsidRPr="007F6332" w:rsidRDefault="00DD7722" w:rsidP="00DD7722">
      <w:pPr>
        <w:pStyle w:val="FSRnormal"/>
        <w:rPr>
          <w:rFonts w:cs="Arial"/>
        </w:rPr>
      </w:pPr>
      <w:r w:rsidRPr="007F6332">
        <w:rPr>
          <w:rFonts w:cs="Arial"/>
        </w:rPr>
        <w:t>Table G.2 shows the updated long-term new entrant rates (across all disability types), both before and after adjustments made for Budget initiatives, compared to those assumed from the previous review by gender and age group. This is a more detailed break-down of the new entrant rate assumptions by age group presented in Table 5.15 in Section 5.4.1 of the main report.</w:t>
      </w:r>
    </w:p>
    <w:p w14:paraId="5147E8D3" w14:textId="77777777" w:rsidR="00DD7722" w:rsidRPr="007F6332" w:rsidRDefault="00DD7722" w:rsidP="00DD7722">
      <w:pPr>
        <w:pStyle w:val="FSRnormal"/>
        <w:rPr>
          <w:rFonts w:cs="Arial"/>
        </w:rPr>
      </w:pPr>
      <w:r w:rsidRPr="007F6332">
        <w:rPr>
          <w:rFonts w:cs="Arial"/>
        </w:rPr>
        <w:t>Table G.2 highlights the impact of emerging experience with new entrant rates significantly increasing for participants aged 0 to 6 years, and significantly decreasing for participants aged 15 to 64 years, compared to the new entrant rates used in the June 2022 projections.</w:t>
      </w:r>
    </w:p>
    <w:p w14:paraId="4EBBBA1F" w14:textId="77777777" w:rsidR="00DD7722" w:rsidRPr="007F6332" w:rsidRDefault="00DD7722" w:rsidP="00283EE0">
      <w:pPr>
        <w:pStyle w:val="FiguresandTablesHeading5"/>
      </w:pPr>
      <w:r w:rsidRPr="007F6332">
        <w:t>Table G.2: Comparison of assumed new entrant rate (per 100,000 population aged 0 to 64) by gender and age group</w:t>
      </w:r>
    </w:p>
    <w:tbl>
      <w:tblPr>
        <w:tblStyle w:val="FSRtable"/>
        <w:tblW w:w="9332" w:type="dxa"/>
        <w:tblInd w:w="118" w:type="dxa"/>
        <w:tblLayout w:type="fixed"/>
        <w:tblLook w:val="04A0" w:firstRow="1" w:lastRow="0" w:firstColumn="1" w:lastColumn="0" w:noHBand="0" w:noVBand="1"/>
      </w:tblPr>
      <w:tblGrid>
        <w:gridCol w:w="1586"/>
        <w:gridCol w:w="1840"/>
        <w:gridCol w:w="1843"/>
        <w:gridCol w:w="1417"/>
        <w:gridCol w:w="1323"/>
        <w:gridCol w:w="1323"/>
      </w:tblGrid>
      <w:tr w:rsidR="004C6718" w:rsidRPr="007F6332" w14:paraId="737ED6EC" w14:textId="77777777" w:rsidTr="00CD33D0">
        <w:trPr>
          <w:cnfStyle w:val="100000000000" w:firstRow="1" w:lastRow="0" w:firstColumn="0" w:lastColumn="0" w:oddVBand="0" w:evenVBand="0" w:oddHBand="0" w:evenHBand="0" w:firstRowFirstColumn="0" w:firstRowLastColumn="0" w:lastRowFirstColumn="0" w:lastRowLastColumn="0"/>
          <w:trHeight w:val="1224"/>
          <w:tblHeader/>
        </w:trPr>
        <w:tc>
          <w:tcPr>
            <w:cnfStyle w:val="001000000000" w:firstRow="0" w:lastRow="0" w:firstColumn="1" w:lastColumn="0" w:oddVBand="0" w:evenVBand="0" w:oddHBand="0" w:evenHBand="0" w:firstRowFirstColumn="0" w:firstRowLastColumn="0" w:lastRowFirstColumn="0" w:lastRowLastColumn="0"/>
            <w:tcW w:w="1586" w:type="dxa"/>
            <w:hideMark/>
          </w:tcPr>
          <w:p w14:paraId="12E01E71" w14:textId="77777777" w:rsidR="004C6718" w:rsidRPr="007F6332" w:rsidRDefault="004C6718" w:rsidP="006C7455">
            <w:pPr>
              <w:keepNext/>
              <w:ind w:left="-79"/>
              <w:rPr>
                <w:bCs/>
                <w:szCs w:val="22"/>
                <w:lang w:eastAsia="en-AU"/>
              </w:rPr>
            </w:pPr>
            <w:r w:rsidRPr="007F6332">
              <w:rPr>
                <w:bCs/>
                <w:szCs w:val="22"/>
                <w:lang w:eastAsia="en-AU"/>
              </w:rPr>
              <w:t>Gender and age group</w:t>
            </w:r>
          </w:p>
        </w:tc>
        <w:tc>
          <w:tcPr>
            <w:tcW w:w="1840" w:type="dxa"/>
            <w:tcBorders>
              <w:top w:val="single" w:sz="4" w:space="0" w:color="auto"/>
              <w:bottom w:val="nil"/>
              <w:right w:val="dashed" w:sz="4" w:space="0" w:color="auto"/>
            </w:tcBorders>
            <w:hideMark/>
          </w:tcPr>
          <w:p w14:paraId="05BDCCD4" w14:textId="30A24B93" w:rsidR="004C6718" w:rsidRPr="007F6332" w:rsidRDefault="004C6718" w:rsidP="004C6718">
            <w:pPr>
              <w:keepNext/>
              <w:ind w:left="-248" w:right="-111"/>
              <w:jc w:val="center"/>
              <w:cnfStyle w:val="100000000000" w:firstRow="1" w:lastRow="0" w:firstColumn="0" w:lastColumn="0" w:oddVBand="0" w:evenVBand="0" w:oddHBand="0" w:evenHBand="0" w:firstRowFirstColumn="0" w:firstRowLastColumn="0" w:lastRowFirstColumn="0" w:lastRowLastColumn="0"/>
              <w:rPr>
                <w:bCs/>
                <w:szCs w:val="22"/>
                <w:lang w:eastAsia="en-AU"/>
              </w:rPr>
            </w:pPr>
            <w:r w:rsidRPr="007F6332">
              <w:rPr>
                <w:bCs/>
                <w:szCs w:val="22"/>
                <w:lang w:eastAsia="en-AU"/>
              </w:rPr>
              <w:t>June 2023 projections (before Budget initiatives)</w:t>
            </w:r>
          </w:p>
        </w:tc>
        <w:tc>
          <w:tcPr>
            <w:tcW w:w="1843" w:type="dxa"/>
            <w:tcBorders>
              <w:left w:val="dashed" w:sz="4" w:space="0" w:color="auto"/>
            </w:tcBorders>
            <w:hideMark/>
          </w:tcPr>
          <w:p w14:paraId="5D67A533" w14:textId="77777777" w:rsidR="004C6718" w:rsidRPr="007F6332" w:rsidRDefault="004C6718" w:rsidP="006C7455">
            <w:pPr>
              <w:keepNext/>
              <w:ind w:right="-107"/>
              <w:jc w:val="center"/>
              <w:cnfStyle w:val="100000000000" w:firstRow="1" w:lastRow="0" w:firstColumn="0" w:lastColumn="0" w:oddVBand="0" w:evenVBand="0" w:oddHBand="0" w:evenHBand="0" w:firstRowFirstColumn="0" w:firstRowLastColumn="0" w:lastRowFirstColumn="0" w:lastRowLastColumn="0"/>
              <w:rPr>
                <w:bCs/>
                <w:szCs w:val="22"/>
                <w:lang w:eastAsia="en-AU"/>
              </w:rPr>
            </w:pPr>
            <w:r w:rsidRPr="007F6332">
              <w:rPr>
                <w:bCs/>
                <w:szCs w:val="22"/>
                <w:lang w:eastAsia="en-AU"/>
              </w:rPr>
              <w:t>June 2023 projections (after Budget initiatives)</w:t>
            </w:r>
          </w:p>
        </w:tc>
        <w:tc>
          <w:tcPr>
            <w:tcW w:w="1417" w:type="dxa"/>
          </w:tcPr>
          <w:p w14:paraId="6C397A9A" w14:textId="77777777" w:rsidR="004C6718" w:rsidRPr="007F6332" w:rsidRDefault="004C6718" w:rsidP="00CD33D0">
            <w:pPr>
              <w:keepNext/>
              <w:ind w:right="-109"/>
              <w:jc w:val="center"/>
              <w:cnfStyle w:val="100000000000" w:firstRow="1" w:lastRow="0" w:firstColumn="0" w:lastColumn="0" w:oddVBand="0" w:evenVBand="0" w:oddHBand="0" w:evenHBand="0" w:firstRowFirstColumn="0" w:firstRowLastColumn="0" w:lastRowFirstColumn="0" w:lastRowLastColumn="0"/>
              <w:rPr>
                <w:bCs/>
                <w:szCs w:val="22"/>
                <w:lang w:eastAsia="en-AU"/>
              </w:rPr>
            </w:pPr>
            <w:r w:rsidRPr="007F6332">
              <w:rPr>
                <w:bCs/>
                <w:szCs w:val="22"/>
                <w:lang w:eastAsia="en-AU"/>
              </w:rPr>
              <w:t>June 2022 projections</w:t>
            </w:r>
          </w:p>
        </w:tc>
        <w:tc>
          <w:tcPr>
            <w:tcW w:w="1323" w:type="dxa"/>
          </w:tcPr>
          <w:p w14:paraId="7421676B" w14:textId="5D3A2410" w:rsidR="004C6718" w:rsidRPr="007F6332" w:rsidRDefault="004C6718" w:rsidP="00CD33D0">
            <w:pPr>
              <w:keepNext/>
              <w:jc w:val="center"/>
              <w:cnfStyle w:val="100000000000" w:firstRow="1" w:lastRow="0" w:firstColumn="0" w:lastColumn="0" w:oddVBand="0" w:evenVBand="0" w:oddHBand="0" w:evenHBand="0" w:firstRowFirstColumn="0" w:firstRowLastColumn="0" w:lastRowFirstColumn="0" w:lastRowLastColumn="0"/>
              <w:rPr>
                <w:b w:val="0"/>
                <w:bCs/>
                <w:szCs w:val="22"/>
                <w:lang w:eastAsia="en-AU"/>
              </w:rPr>
            </w:pPr>
            <w:r w:rsidRPr="007F6332">
              <w:rPr>
                <w:bCs/>
                <w:szCs w:val="22"/>
                <w:lang w:eastAsia="en-AU"/>
              </w:rPr>
              <w:t>Absolute Change</w:t>
            </w:r>
          </w:p>
        </w:tc>
        <w:tc>
          <w:tcPr>
            <w:tcW w:w="1323" w:type="dxa"/>
          </w:tcPr>
          <w:p w14:paraId="40896F47" w14:textId="4ECB7689" w:rsidR="004C6718" w:rsidRPr="007F6332" w:rsidRDefault="004C6718" w:rsidP="004C6718">
            <w:pPr>
              <w:keepNext/>
              <w:jc w:val="center"/>
              <w:cnfStyle w:val="100000000000" w:firstRow="1" w:lastRow="0" w:firstColumn="0" w:lastColumn="0" w:oddVBand="0" w:evenVBand="0" w:oddHBand="0" w:evenHBand="0" w:firstRowFirstColumn="0" w:firstRowLastColumn="0" w:lastRowFirstColumn="0" w:lastRowLastColumn="0"/>
              <w:rPr>
                <w:bCs/>
                <w:szCs w:val="22"/>
                <w:lang w:eastAsia="en-AU"/>
              </w:rPr>
            </w:pPr>
            <w:r w:rsidRPr="007F6332">
              <w:rPr>
                <w:bCs/>
                <w:szCs w:val="22"/>
                <w:lang w:eastAsia="en-AU"/>
              </w:rPr>
              <w:t>% Change</w:t>
            </w:r>
          </w:p>
        </w:tc>
      </w:tr>
      <w:tr w:rsidR="004C6718" w:rsidRPr="007F6332" w14:paraId="1FADCF0C" w14:textId="77777777" w:rsidTr="00CD33D0">
        <w:trPr>
          <w:trHeight w:val="285"/>
        </w:trPr>
        <w:tc>
          <w:tcPr>
            <w:cnfStyle w:val="001000000000" w:firstRow="0" w:lastRow="0" w:firstColumn="1" w:lastColumn="0" w:oddVBand="0" w:evenVBand="0" w:oddHBand="0" w:evenHBand="0" w:firstRowFirstColumn="0" w:firstRowLastColumn="0" w:lastRowFirstColumn="0" w:lastRowLastColumn="0"/>
            <w:tcW w:w="1586" w:type="dxa"/>
            <w:tcBorders>
              <w:top w:val="nil"/>
            </w:tcBorders>
            <w:shd w:val="clear" w:color="auto" w:fill="auto"/>
            <w:noWrap/>
            <w:hideMark/>
          </w:tcPr>
          <w:p w14:paraId="2BCB91A3"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 xml:space="preserve">Male / 0 to 6 years </w:t>
            </w:r>
          </w:p>
        </w:tc>
        <w:tc>
          <w:tcPr>
            <w:tcW w:w="1840" w:type="dxa"/>
            <w:tcBorders>
              <w:top w:val="nil"/>
              <w:bottom w:val="nil"/>
              <w:right w:val="dashed" w:sz="4" w:space="0" w:color="auto"/>
            </w:tcBorders>
            <w:shd w:val="clear" w:color="auto" w:fill="auto"/>
            <w:noWrap/>
          </w:tcPr>
          <w:p w14:paraId="3B9ED58F"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2,406.8</w:t>
            </w:r>
          </w:p>
        </w:tc>
        <w:tc>
          <w:tcPr>
            <w:tcW w:w="1843" w:type="dxa"/>
            <w:tcBorders>
              <w:top w:val="nil"/>
              <w:left w:val="dashed" w:sz="4" w:space="0" w:color="auto"/>
            </w:tcBorders>
            <w:shd w:val="clear" w:color="auto" w:fill="auto"/>
            <w:noWrap/>
          </w:tcPr>
          <w:p w14:paraId="5773A364"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2,207.2</w:t>
            </w:r>
          </w:p>
        </w:tc>
        <w:tc>
          <w:tcPr>
            <w:tcW w:w="1417" w:type="dxa"/>
            <w:tcBorders>
              <w:top w:val="nil"/>
            </w:tcBorders>
          </w:tcPr>
          <w:p w14:paraId="0A50285F"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1,784.0</w:t>
            </w:r>
          </w:p>
        </w:tc>
        <w:tc>
          <w:tcPr>
            <w:tcW w:w="1323" w:type="dxa"/>
            <w:tcBorders>
              <w:top w:val="nil"/>
            </w:tcBorders>
            <w:shd w:val="clear" w:color="auto" w:fill="auto"/>
            <w:noWrap/>
          </w:tcPr>
          <w:p w14:paraId="40296D59"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423.2</w:t>
            </w:r>
          </w:p>
        </w:tc>
        <w:tc>
          <w:tcPr>
            <w:tcW w:w="1323" w:type="dxa"/>
            <w:tcBorders>
              <w:top w:val="nil"/>
            </w:tcBorders>
            <w:shd w:val="clear" w:color="auto" w:fill="auto"/>
            <w:noWrap/>
          </w:tcPr>
          <w:p w14:paraId="1054C8F3"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23.7%</w:t>
            </w:r>
          </w:p>
        </w:tc>
      </w:tr>
      <w:tr w:rsidR="004C6718" w:rsidRPr="007F6332" w14:paraId="384FB7B4" w14:textId="77777777" w:rsidTr="00CD33D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86" w:type="dxa"/>
            <w:noWrap/>
            <w:hideMark/>
          </w:tcPr>
          <w:p w14:paraId="69ECBEBF"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Male / 7 to 14 years</w:t>
            </w:r>
          </w:p>
        </w:tc>
        <w:tc>
          <w:tcPr>
            <w:tcW w:w="1840" w:type="dxa"/>
            <w:tcBorders>
              <w:top w:val="nil"/>
              <w:bottom w:val="nil"/>
              <w:right w:val="dashed" w:sz="4" w:space="0" w:color="auto"/>
            </w:tcBorders>
            <w:noWrap/>
          </w:tcPr>
          <w:p w14:paraId="3A5E98DA"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614.8</w:t>
            </w:r>
          </w:p>
        </w:tc>
        <w:tc>
          <w:tcPr>
            <w:tcW w:w="1843" w:type="dxa"/>
            <w:tcBorders>
              <w:left w:val="dashed" w:sz="4" w:space="0" w:color="auto"/>
            </w:tcBorders>
            <w:noWrap/>
          </w:tcPr>
          <w:p w14:paraId="5A1AB983"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613.5</w:t>
            </w:r>
          </w:p>
        </w:tc>
        <w:tc>
          <w:tcPr>
            <w:tcW w:w="1417" w:type="dxa"/>
          </w:tcPr>
          <w:p w14:paraId="4E4BBA05"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590.2</w:t>
            </w:r>
          </w:p>
        </w:tc>
        <w:tc>
          <w:tcPr>
            <w:tcW w:w="1323" w:type="dxa"/>
            <w:noWrap/>
          </w:tcPr>
          <w:p w14:paraId="4A2C2D14"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23.3</w:t>
            </w:r>
          </w:p>
        </w:tc>
        <w:tc>
          <w:tcPr>
            <w:tcW w:w="1323" w:type="dxa"/>
            <w:noWrap/>
          </w:tcPr>
          <w:p w14:paraId="1BCA3B40"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3.9%</w:t>
            </w:r>
          </w:p>
        </w:tc>
      </w:tr>
      <w:tr w:rsidR="004C6718" w:rsidRPr="007F6332" w14:paraId="526FE2F1" w14:textId="77777777" w:rsidTr="00CD33D0">
        <w:trPr>
          <w:trHeight w:val="285"/>
        </w:trPr>
        <w:tc>
          <w:tcPr>
            <w:cnfStyle w:val="001000000000" w:firstRow="0" w:lastRow="0" w:firstColumn="1" w:lastColumn="0" w:oddVBand="0" w:evenVBand="0" w:oddHBand="0" w:evenHBand="0" w:firstRowFirstColumn="0" w:firstRowLastColumn="0" w:lastRowFirstColumn="0" w:lastRowLastColumn="0"/>
            <w:tcW w:w="1586" w:type="dxa"/>
            <w:tcBorders>
              <w:bottom w:val="nil"/>
            </w:tcBorders>
            <w:shd w:val="clear" w:color="auto" w:fill="auto"/>
            <w:noWrap/>
            <w:hideMark/>
          </w:tcPr>
          <w:p w14:paraId="654749BB"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Male / 15 to 64 years</w:t>
            </w:r>
          </w:p>
        </w:tc>
        <w:tc>
          <w:tcPr>
            <w:tcW w:w="1840" w:type="dxa"/>
            <w:tcBorders>
              <w:top w:val="nil"/>
              <w:bottom w:val="nil"/>
              <w:right w:val="dashed" w:sz="4" w:space="0" w:color="auto"/>
            </w:tcBorders>
            <w:shd w:val="clear" w:color="auto" w:fill="auto"/>
            <w:noWrap/>
          </w:tcPr>
          <w:p w14:paraId="7AE486DD"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119.9</w:t>
            </w:r>
          </w:p>
        </w:tc>
        <w:tc>
          <w:tcPr>
            <w:tcW w:w="1843" w:type="dxa"/>
            <w:tcBorders>
              <w:left w:val="dashed" w:sz="4" w:space="0" w:color="auto"/>
              <w:bottom w:val="nil"/>
            </w:tcBorders>
            <w:shd w:val="clear" w:color="auto" w:fill="auto"/>
            <w:noWrap/>
          </w:tcPr>
          <w:p w14:paraId="2C16B6C3"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119.9</w:t>
            </w:r>
          </w:p>
        </w:tc>
        <w:tc>
          <w:tcPr>
            <w:tcW w:w="1417" w:type="dxa"/>
            <w:tcBorders>
              <w:bottom w:val="nil"/>
            </w:tcBorders>
          </w:tcPr>
          <w:p w14:paraId="7E6E0EA8"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151.2</w:t>
            </w:r>
          </w:p>
        </w:tc>
        <w:tc>
          <w:tcPr>
            <w:tcW w:w="1323" w:type="dxa"/>
            <w:tcBorders>
              <w:bottom w:val="nil"/>
            </w:tcBorders>
            <w:shd w:val="clear" w:color="auto" w:fill="auto"/>
            <w:noWrap/>
          </w:tcPr>
          <w:p w14:paraId="5F354F98"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-31.3</w:t>
            </w:r>
          </w:p>
        </w:tc>
        <w:tc>
          <w:tcPr>
            <w:tcW w:w="1323" w:type="dxa"/>
            <w:tcBorders>
              <w:bottom w:val="nil"/>
            </w:tcBorders>
            <w:shd w:val="clear" w:color="auto" w:fill="auto"/>
            <w:noWrap/>
          </w:tcPr>
          <w:p w14:paraId="1B3B7122"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-20.7%</w:t>
            </w:r>
          </w:p>
        </w:tc>
      </w:tr>
      <w:tr w:rsidR="004C6718" w:rsidRPr="007F6332" w14:paraId="144A936B" w14:textId="77777777" w:rsidTr="004C671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86" w:type="dxa"/>
            <w:tcBorders>
              <w:top w:val="nil"/>
              <w:bottom w:val="nil"/>
            </w:tcBorders>
            <w:shd w:val="clear" w:color="auto" w:fill="B499B9"/>
            <w:noWrap/>
            <w:hideMark/>
          </w:tcPr>
          <w:p w14:paraId="29621D3B" w14:textId="77777777" w:rsidR="00DD7722" w:rsidRPr="007F6332" w:rsidRDefault="00DD7722" w:rsidP="006C7455">
            <w:pPr>
              <w:keepNext/>
              <w:ind w:left="-79"/>
              <w:rPr>
                <w:rFonts w:cs="Arial"/>
                <w:b/>
                <w:bCs/>
                <w:color w:val="000000"/>
                <w:szCs w:val="22"/>
                <w:lang w:eastAsia="en-AU"/>
              </w:rPr>
            </w:pPr>
            <w:r w:rsidRPr="007F6332">
              <w:rPr>
                <w:rFonts w:cs="Arial"/>
                <w:b/>
                <w:bCs/>
                <w:color w:val="000000"/>
                <w:szCs w:val="22"/>
                <w:lang w:eastAsia="en-AU"/>
              </w:rPr>
              <w:t>Total Male</w:t>
            </w:r>
          </w:p>
        </w:tc>
        <w:tc>
          <w:tcPr>
            <w:tcW w:w="1840" w:type="dxa"/>
            <w:tcBorders>
              <w:top w:val="nil"/>
              <w:bottom w:val="nil"/>
              <w:right w:val="dashed" w:sz="4" w:space="0" w:color="auto"/>
            </w:tcBorders>
            <w:shd w:val="clear" w:color="auto" w:fill="B499B9"/>
            <w:noWrap/>
          </w:tcPr>
          <w:p w14:paraId="34082691"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420.2</w:t>
            </w:r>
          </w:p>
        </w:tc>
        <w:tc>
          <w:tcPr>
            <w:tcW w:w="1843" w:type="dxa"/>
            <w:tcBorders>
              <w:top w:val="nil"/>
              <w:left w:val="dashed" w:sz="4" w:space="0" w:color="auto"/>
              <w:bottom w:val="nil"/>
            </w:tcBorders>
            <w:shd w:val="clear" w:color="auto" w:fill="B499B9"/>
            <w:noWrap/>
          </w:tcPr>
          <w:p w14:paraId="37BC631D"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399.1</w:t>
            </w:r>
          </w:p>
        </w:tc>
        <w:tc>
          <w:tcPr>
            <w:tcW w:w="1417" w:type="dxa"/>
            <w:tcBorders>
              <w:top w:val="nil"/>
              <w:bottom w:val="nil"/>
            </w:tcBorders>
            <w:shd w:val="clear" w:color="auto" w:fill="B499B9"/>
          </w:tcPr>
          <w:p w14:paraId="51333297"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387.7</w:t>
            </w:r>
          </w:p>
        </w:tc>
        <w:tc>
          <w:tcPr>
            <w:tcW w:w="1323" w:type="dxa"/>
            <w:tcBorders>
              <w:top w:val="nil"/>
              <w:bottom w:val="nil"/>
            </w:tcBorders>
            <w:shd w:val="clear" w:color="auto" w:fill="B499B9"/>
            <w:noWrap/>
          </w:tcPr>
          <w:p w14:paraId="3428A9A4"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11.4</w:t>
            </w:r>
          </w:p>
        </w:tc>
        <w:tc>
          <w:tcPr>
            <w:tcW w:w="1323" w:type="dxa"/>
            <w:tcBorders>
              <w:top w:val="nil"/>
              <w:bottom w:val="nil"/>
            </w:tcBorders>
            <w:shd w:val="clear" w:color="auto" w:fill="B499B9"/>
            <w:noWrap/>
          </w:tcPr>
          <w:p w14:paraId="1700C9CE"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2.9%</w:t>
            </w:r>
          </w:p>
        </w:tc>
      </w:tr>
      <w:tr w:rsidR="004C6718" w:rsidRPr="007F6332" w14:paraId="4196E6B5" w14:textId="77777777" w:rsidTr="00CD33D0">
        <w:trPr>
          <w:trHeight w:val="285"/>
        </w:trPr>
        <w:tc>
          <w:tcPr>
            <w:cnfStyle w:val="001000000000" w:firstRow="0" w:lastRow="0" w:firstColumn="1" w:lastColumn="0" w:oddVBand="0" w:evenVBand="0" w:oddHBand="0" w:evenHBand="0" w:firstRowFirstColumn="0" w:firstRowLastColumn="0" w:lastRowFirstColumn="0" w:lastRowLastColumn="0"/>
            <w:tcW w:w="1586" w:type="dxa"/>
            <w:tcBorders>
              <w:top w:val="nil"/>
              <w:bottom w:val="nil"/>
            </w:tcBorders>
            <w:shd w:val="clear" w:color="auto" w:fill="auto"/>
            <w:noWrap/>
            <w:hideMark/>
          </w:tcPr>
          <w:p w14:paraId="0C063076"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Female / 0 to 6 years</w:t>
            </w:r>
          </w:p>
        </w:tc>
        <w:tc>
          <w:tcPr>
            <w:tcW w:w="1840" w:type="dxa"/>
            <w:tcBorders>
              <w:top w:val="nil"/>
              <w:bottom w:val="nil"/>
              <w:right w:val="dashed" w:sz="4" w:space="0" w:color="auto"/>
            </w:tcBorders>
            <w:shd w:val="clear" w:color="auto" w:fill="auto"/>
            <w:noWrap/>
          </w:tcPr>
          <w:p w14:paraId="647DE85F"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1,067.9</w:t>
            </w:r>
          </w:p>
        </w:tc>
        <w:tc>
          <w:tcPr>
            <w:tcW w:w="1843" w:type="dxa"/>
            <w:tcBorders>
              <w:top w:val="nil"/>
              <w:left w:val="dashed" w:sz="4" w:space="0" w:color="auto"/>
              <w:bottom w:val="nil"/>
            </w:tcBorders>
            <w:shd w:val="clear" w:color="auto" w:fill="auto"/>
            <w:noWrap/>
          </w:tcPr>
          <w:p w14:paraId="4D48659E"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982.3</w:t>
            </w:r>
          </w:p>
        </w:tc>
        <w:tc>
          <w:tcPr>
            <w:tcW w:w="1417" w:type="dxa"/>
            <w:tcBorders>
              <w:top w:val="nil"/>
              <w:bottom w:val="nil"/>
            </w:tcBorders>
          </w:tcPr>
          <w:p w14:paraId="6D6F47D2"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783.5</w:t>
            </w:r>
          </w:p>
        </w:tc>
        <w:tc>
          <w:tcPr>
            <w:tcW w:w="1323" w:type="dxa"/>
            <w:tcBorders>
              <w:top w:val="nil"/>
              <w:bottom w:val="nil"/>
            </w:tcBorders>
            <w:shd w:val="clear" w:color="auto" w:fill="auto"/>
            <w:noWrap/>
          </w:tcPr>
          <w:p w14:paraId="612332EE"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198.8</w:t>
            </w:r>
          </w:p>
        </w:tc>
        <w:tc>
          <w:tcPr>
            <w:tcW w:w="1323" w:type="dxa"/>
            <w:tcBorders>
              <w:top w:val="nil"/>
              <w:bottom w:val="nil"/>
            </w:tcBorders>
            <w:shd w:val="clear" w:color="auto" w:fill="auto"/>
            <w:noWrap/>
          </w:tcPr>
          <w:p w14:paraId="1E65C72E"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25.4%</w:t>
            </w:r>
          </w:p>
        </w:tc>
      </w:tr>
      <w:tr w:rsidR="004C6718" w:rsidRPr="007F6332" w14:paraId="5E99AFEE" w14:textId="77777777" w:rsidTr="00CD33D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86" w:type="dxa"/>
            <w:tcBorders>
              <w:top w:val="nil"/>
              <w:bottom w:val="nil"/>
            </w:tcBorders>
            <w:noWrap/>
            <w:hideMark/>
          </w:tcPr>
          <w:p w14:paraId="551D9408"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 xml:space="preserve">Female / 7 to 14 years </w:t>
            </w:r>
          </w:p>
        </w:tc>
        <w:tc>
          <w:tcPr>
            <w:tcW w:w="1840" w:type="dxa"/>
            <w:tcBorders>
              <w:top w:val="nil"/>
              <w:bottom w:val="nil"/>
              <w:right w:val="dashed" w:sz="4" w:space="0" w:color="auto"/>
            </w:tcBorders>
            <w:noWrap/>
          </w:tcPr>
          <w:p w14:paraId="6AC4CE6C"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350.9</w:t>
            </w:r>
          </w:p>
        </w:tc>
        <w:tc>
          <w:tcPr>
            <w:tcW w:w="1843" w:type="dxa"/>
            <w:tcBorders>
              <w:top w:val="nil"/>
              <w:left w:val="dashed" w:sz="4" w:space="0" w:color="auto"/>
              <w:bottom w:val="nil"/>
            </w:tcBorders>
            <w:noWrap/>
          </w:tcPr>
          <w:p w14:paraId="1B2FE512"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350.4</w:t>
            </w:r>
          </w:p>
        </w:tc>
        <w:tc>
          <w:tcPr>
            <w:tcW w:w="1417" w:type="dxa"/>
            <w:tcBorders>
              <w:top w:val="nil"/>
              <w:bottom w:val="nil"/>
            </w:tcBorders>
          </w:tcPr>
          <w:p w14:paraId="1773A34E"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345.3</w:t>
            </w:r>
          </w:p>
        </w:tc>
        <w:tc>
          <w:tcPr>
            <w:tcW w:w="1323" w:type="dxa"/>
            <w:tcBorders>
              <w:top w:val="nil"/>
              <w:bottom w:val="nil"/>
            </w:tcBorders>
            <w:noWrap/>
          </w:tcPr>
          <w:p w14:paraId="4A4CB0EA"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5.1</w:t>
            </w:r>
          </w:p>
        </w:tc>
        <w:tc>
          <w:tcPr>
            <w:tcW w:w="1323" w:type="dxa"/>
            <w:tcBorders>
              <w:top w:val="nil"/>
              <w:bottom w:val="nil"/>
            </w:tcBorders>
            <w:noWrap/>
          </w:tcPr>
          <w:p w14:paraId="7B2BE914"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1.5%</w:t>
            </w:r>
          </w:p>
        </w:tc>
      </w:tr>
      <w:tr w:rsidR="004C6718" w:rsidRPr="007F6332" w14:paraId="3EBF55C2" w14:textId="77777777" w:rsidTr="00CD33D0">
        <w:trPr>
          <w:trHeight w:val="285"/>
        </w:trPr>
        <w:tc>
          <w:tcPr>
            <w:cnfStyle w:val="001000000000" w:firstRow="0" w:lastRow="0" w:firstColumn="1" w:lastColumn="0" w:oddVBand="0" w:evenVBand="0" w:oddHBand="0" w:evenHBand="0" w:firstRowFirstColumn="0" w:firstRowLastColumn="0" w:lastRowFirstColumn="0" w:lastRowLastColumn="0"/>
            <w:tcW w:w="1586" w:type="dxa"/>
            <w:tcBorders>
              <w:top w:val="nil"/>
              <w:bottom w:val="nil"/>
            </w:tcBorders>
            <w:shd w:val="clear" w:color="auto" w:fill="auto"/>
            <w:noWrap/>
            <w:hideMark/>
          </w:tcPr>
          <w:p w14:paraId="48FF2D7A"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Female / 15 to 64 years</w:t>
            </w:r>
          </w:p>
        </w:tc>
        <w:tc>
          <w:tcPr>
            <w:tcW w:w="1840" w:type="dxa"/>
            <w:tcBorders>
              <w:top w:val="nil"/>
              <w:bottom w:val="nil"/>
              <w:right w:val="dashed" w:sz="4" w:space="0" w:color="auto"/>
            </w:tcBorders>
            <w:shd w:val="clear" w:color="auto" w:fill="auto"/>
            <w:noWrap/>
          </w:tcPr>
          <w:p w14:paraId="0080905E"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115.6</w:t>
            </w:r>
          </w:p>
        </w:tc>
        <w:tc>
          <w:tcPr>
            <w:tcW w:w="1843" w:type="dxa"/>
            <w:tcBorders>
              <w:top w:val="nil"/>
              <w:left w:val="dashed" w:sz="4" w:space="0" w:color="auto"/>
              <w:bottom w:val="nil"/>
            </w:tcBorders>
            <w:shd w:val="clear" w:color="auto" w:fill="auto"/>
            <w:noWrap/>
          </w:tcPr>
          <w:p w14:paraId="5F2F20F7"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115.6</w:t>
            </w:r>
          </w:p>
        </w:tc>
        <w:tc>
          <w:tcPr>
            <w:tcW w:w="1417" w:type="dxa"/>
            <w:tcBorders>
              <w:top w:val="nil"/>
              <w:bottom w:val="nil"/>
            </w:tcBorders>
          </w:tcPr>
          <w:p w14:paraId="2E109420"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135.2</w:t>
            </w:r>
          </w:p>
        </w:tc>
        <w:tc>
          <w:tcPr>
            <w:tcW w:w="1323" w:type="dxa"/>
            <w:tcBorders>
              <w:top w:val="nil"/>
              <w:bottom w:val="nil"/>
            </w:tcBorders>
            <w:shd w:val="clear" w:color="auto" w:fill="auto"/>
            <w:noWrap/>
          </w:tcPr>
          <w:p w14:paraId="4D0F603F"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-19.6</w:t>
            </w:r>
          </w:p>
        </w:tc>
        <w:tc>
          <w:tcPr>
            <w:tcW w:w="1323" w:type="dxa"/>
            <w:tcBorders>
              <w:top w:val="nil"/>
              <w:bottom w:val="nil"/>
            </w:tcBorders>
            <w:shd w:val="clear" w:color="auto" w:fill="auto"/>
            <w:noWrap/>
          </w:tcPr>
          <w:p w14:paraId="61EC3BCF"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-14.5%</w:t>
            </w:r>
          </w:p>
        </w:tc>
      </w:tr>
      <w:tr w:rsidR="004C6718" w:rsidRPr="007F6332" w14:paraId="5B053D4E" w14:textId="77777777" w:rsidTr="004C671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86" w:type="dxa"/>
            <w:tcBorders>
              <w:top w:val="nil"/>
              <w:bottom w:val="nil"/>
            </w:tcBorders>
            <w:shd w:val="clear" w:color="auto" w:fill="B499B9"/>
            <w:noWrap/>
            <w:hideMark/>
          </w:tcPr>
          <w:p w14:paraId="4D49B9FC" w14:textId="77777777" w:rsidR="00DD7722" w:rsidRPr="007F6332" w:rsidRDefault="00DD7722" w:rsidP="006C7455">
            <w:pPr>
              <w:keepNext/>
              <w:ind w:left="-79"/>
              <w:rPr>
                <w:rFonts w:cs="Arial"/>
                <w:b/>
                <w:bCs/>
                <w:color w:val="000000"/>
                <w:szCs w:val="22"/>
                <w:lang w:eastAsia="en-AU"/>
              </w:rPr>
            </w:pPr>
            <w:r w:rsidRPr="007F6332">
              <w:rPr>
                <w:rFonts w:cs="Arial"/>
                <w:b/>
                <w:bCs/>
                <w:color w:val="000000"/>
                <w:szCs w:val="22"/>
                <w:lang w:eastAsia="en-AU"/>
              </w:rPr>
              <w:t>Total Female</w:t>
            </w:r>
          </w:p>
        </w:tc>
        <w:tc>
          <w:tcPr>
            <w:tcW w:w="1840" w:type="dxa"/>
            <w:tcBorders>
              <w:top w:val="nil"/>
              <w:bottom w:val="nil"/>
              <w:right w:val="dashed" w:sz="4" w:space="0" w:color="auto"/>
            </w:tcBorders>
            <w:shd w:val="clear" w:color="auto" w:fill="B499B9"/>
            <w:noWrap/>
          </w:tcPr>
          <w:p w14:paraId="2070CF77"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238.3</w:t>
            </w:r>
          </w:p>
        </w:tc>
        <w:tc>
          <w:tcPr>
            <w:tcW w:w="1843" w:type="dxa"/>
            <w:tcBorders>
              <w:top w:val="nil"/>
              <w:left w:val="dashed" w:sz="4" w:space="0" w:color="auto"/>
              <w:bottom w:val="nil"/>
            </w:tcBorders>
            <w:shd w:val="clear" w:color="auto" w:fill="B499B9"/>
            <w:noWrap/>
          </w:tcPr>
          <w:p w14:paraId="22D3D6AF"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229.6</w:t>
            </w:r>
          </w:p>
        </w:tc>
        <w:tc>
          <w:tcPr>
            <w:tcW w:w="1417" w:type="dxa"/>
            <w:tcBorders>
              <w:top w:val="nil"/>
              <w:bottom w:val="nil"/>
            </w:tcBorders>
            <w:shd w:val="clear" w:color="auto" w:fill="B499B9"/>
          </w:tcPr>
          <w:p w14:paraId="33DFB1DF"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228.8</w:t>
            </w:r>
          </w:p>
        </w:tc>
        <w:tc>
          <w:tcPr>
            <w:tcW w:w="1323" w:type="dxa"/>
            <w:tcBorders>
              <w:top w:val="nil"/>
              <w:bottom w:val="nil"/>
            </w:tcBorders>
            <w:shd w:val="clear" w:color="auto" w:fill="B499B9"/>
            <w:noWrap/>
          </w:tcPr>
          <w:p w14:paraId="27B777A1"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0.9</w:t>
            </w:r>
          </w:p>
        </w:tc>
        <w:tc>
          <w:tcPr>
            <w:tcW w:w="1323" w:type="dxa"/>
            <w:tcBorders>
              <w:top w:val="nil"/>
              <w:bottom w:val="nil"/>
            </w:tcBorders>
            <w:shd w:val="clear" w:color="auto" w:fill="B499B9"/>
            <w:noWrap/>
          </w:tcPr>
          <w:p w14:paraId="44751722"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0.4%</w:t>
            </w:r>
          </w:p>
        </w:tc>
      </w:tr>
      <w:tr w:rsidR="004C6718" w:rsidRPr="007F6332" w14:paraId="34ECDF10" w14:textId="77777777" w:rsidTr="00CD33D0">
        <w:trPr>
          <w:trHeight w:val="285"/>
        </w:trPr>
        <w:tc>
          <w:tcPr>
            <w:cnfStyle w:val="001000000000" w:firstRow="0" w:lastRow="0" w:firstColumn="1" w:lastColumn="0" w:oddVBand="0" w:evenVBand="0" w:oddHBand="0" w:evenHBand="0" w:firstRowFirstColumn="0" w:firstRowLastColumn="0" w:lastRowFirstColumn="0" w:lastRowLastColumn="0"/>
            <w:tcW w:w="1586" w:type="dxa"/>
            <w:tcBorders>
              <w:top w:val="nil"/>
            </w:tcBorders>
            <w:shd w:val="clear" w:color="auto" w:fill="auto"/>
            <w:noWrap/>
            <w:hideMark/>
          </w:tcPr>
          <w:p w14:paraId="730DBDE3"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All / 0 to 6 years</w:t>
            </w:r>
          </w:p>
        </w:tc>
        <w:tc>
          <w:tcPr>
            <w:tcW w:w="1840" w:type="dxa"/>
            <w:tcBorders>
              <w:top w:val="nil"/>
              <w:bottom w:val="nil"/>
              <w:right w:val="dashed" w:sz="4" w:space="0" w:color="auto"/>
            </w:tcBorders>
            <w:shd w:val="clear" w:color="auto" w:fill="auto"/>
            <w:noWrap/>
          </w:tcPr>
          <w:p w14:paraId="713AA486"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1,756.1</w:t>
            </w:r>
          </w:p>
        </w:tc>
        <w:tc>
          <w:tcPr>
            <w:tcW w:w="1843" w:type="dxa"/>
            <w:tcBorders>
              <w:top w:val="nil"/>
              <w:left w:val="dashed" w:sz="4" w:space="0" w:color="auto"/>
            </w:tcBorders>
            <w:shd w:val="clear" w:color="auto" w:fill="auto"/>
            <w:noWrap/>
          </w:tcPr>
          <w:p w14:paraId="71C69AA5"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1,611.9</w:t>
            </w:r>
          </w:p>
        </w:tc>
        <w:tc>
          <w:tcPr>
            <w:tcW w:w="1417" w:type="dxa"/>
            <w:tcBorders>
              <w:top w:val="nil"/>
            </w:tcBorders>
          </w:tcPr>
          <w:p w14:paraId="6B27906B"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1,298.2</w:t>
            </w:r>
          </w:p>
        </w:tc>
        <w:tc>
          <w:tcPr>
            <w:tcW w:w="1323" w:type="dxa"/>
            <w:tcBorders>
              <w:top w:val="nil"/>
            </w:tcBorders>
            <w:shd w:val="clear" w:color="auto" w:fill="auto"/>
            <w:noWrap/>
          </w:tcPr>
          <w:p w14:paraId="67DC4909"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313.7</w:t>
            </w:r>
          </w:p>
        </w:tc>
        <w:tc>
          <w:tcPr>
            <w:tcW w:w="1323" w:type="dxa"/>
            <w:tcBorders>
              <w:top w:val="nil"/>
            </w:tcBorders>
            <w:shd w:val="clear" w:color="auto" w:fill="auto"/>
            <w:noWrap/>
          </w:tcPr>
          <w:p w14:paraId="08EADB54"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24.2%</w:t>
            </w:r>
          </w:p>
        </w:tc>
      </w:tr>
      <w:tr w:rsidR="004C6718" w:rsidRPr="007F6332" w14:paraId="45D811F4" w14:textId="77777777" w:rsidTr="00CD33D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86" w:type="dxa"/>
            <w:noWrap/>
            <w:hideMark/>
          </w:tcPr>
          <w:p w14:paraId="7E362F77"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All / 7 to 14 years</w:t>
            </w:r>
          </w:p>
        </w:tc>
        <w:tc>
          <w:tcPr>
            <w:tcW w:w="1840" w:type="dxa"/>
            <w:tcBorders>
              <w:top w:val="nil"/>
              <w:bottom w:val="nil"/>
              <w:right w:val="dashed" w:sz="4" w:space="0" w:color="auto"/>
            </w:tcBorders>
            <w:noWrap/>
          </w:tcPr>
          <w:p w14:paraId="7FC7F372"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486.6</w:t>
            </w:r>
          </w:p>
        </w:tc>
        <w:tc>
          <w:tcPr>
            <w:tcW w:w="1843" w:type="dxa"/>
            <w:tcBorders>
              <w:left w:val="dashed" w:sz="4" w:space="0" w:color="auto"/>
            </w:tcBorders>
            <w:noWrap/>
          </w:tcPr>
          <w:p w14:paraId="34D34923"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485.7</w:t>
            </w:r>
          </w:p>
        </w:tc>
        <w:tc>
          <w:tcPr>
            <w:tcW w:w="1417" w:type="dxa"/>
          </w:tcPr>
          <w:p w14:paraId="28A98CC6"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471.0</w:t>
            </w:r>
          </w:p>
        </w:tc>
        <w:tc>
          <w:tcPr>
            <w:tcW w:w="1323" w:type="dxa"/>
            <w:noWrap/>
          </w:tcPr>
          <w:p w14:paraId="0B8A3F3B"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14.7</w:t>
            </w:r>
          </w:p>
        </w:tc>
        <w:tc>
          <w:tcPr>
            <w:tcW w:w="1323" w:type="dxa"/>
            <w:noWrap/>
          </w:tcPr>
          <w:p w14:paraId="51A86FDB"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color w:val="000000"/>
                <w:szCs w:val="22"/>
                <w:lang w:eastAsia="en-AU"/>
              </w:rPr>
            </w:pPr>
            <w:r w:rsidRPr="007F6332">
              <w:rPr>
                <w:rFonts w:cs="Arial"/>
                <w:color w:val="000000"/>
                <w:szCs w:val="22"/>
                <w:lang w:eastAsia="en-AU"/>
              </w:rPr>
              <w:t>3.1%</w:t>
            </w:r>
          </w:p>
        </w:tc>
      </w:tr>
      <w:tr w:rsidR="004C6718" w:rsidRPr="007F6332" w14:paraId="4C24D2B4" w14:textId="77777777" w:rsidTr="00CD33D0">
        <w:trPr>
          <w:trHeight w:val="285"/>
        </w:trPr>
        <w:tc>
          <w:tcPr>
            <w:cnfStyle w:val="001000000000" w:firstRow="0" w:lastRow="0" w:firstColumn="1" w:lastColumn="0" w:oddVBand="0" w:evenVBand="0" w:oddHBand="0" w:evenHBand="0" w:firstRowFirstColumn="0" w:firstRowLastColumn="0" w:lastRowFirstColumn="0" w:lastRowLastColumn="0"/>
            <w:tcW w:w="1586" w:type="dxa"/>
            <w:tcBorders>
              <w:bottom w:val="nil"/>
            </w:tcBorders>
            <w:shd w:val="clear" w:color="auto" w:fill="auto"/>
            <w:noWrap/>
            <w:hideMark/>
          </w:tcPr>
          <w:p w14:paraId="0D359EFA" w14:textId="77777777" w:rsidR="00DD7722" w:rsidRPr="007F6332" w:rsidRDefault="00DD7722" w:rsidP="006C7455">
            <w:pPr>
              <w:keepNext/>
              <w:ind w:left="-79"/>
              <w:rPr>
                <w:rFonts w:cs="Arial"/>
                <w:color w:val="000000"/>
                <w:szCs w:val="22"/>
                <w:lang w:eastAsia="en-AU"/>
              </w:rPr>
            </w:pPr>
            <w:r w:rsidRPr="007F6332">
              <w:rPr>
                <w:rFonts w:cs="Arial"/>
                <w:color w:val="000000"/>
                <w:szCs w:val="22"/>
                <w:lang w:eastAsia="en-AU"/>
              </w:rPr>
              <w:t>All / 15 to 64 years</w:t>
            </w:r>
          </w:p>
        </w:tc>
        <w:tc>
          <w:tcPr>
            <w:tcW w:w="1840" w:type="dxa"/>
            <w:tcBorders>
              <w:top w:val="nil"/>
              <w:bottom w:val="nil"/>
              <w:right w:val="dashed" w:sz="4" w:space="0" w:color="auto"/>
            </w:tcBorders>
            <w:shd w:val="clear" w:color="auto" w:fill="auto"/>
            <w:noWrap/>
          </w:tcPr>
          <w:p w14:paraId="5D208E6C"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117.7</w:t>
            </w:r>
          </w:p>
        </w:tc>
        <w:tc>
          <w:tcPr>
            <w:tcW w:w="1843" w:type="dxa"/>
            <w:tcBorders>
              <w:left w:val="dashed" w:sz="4" w:space="0" w:color="auto"/>
              <w:bottom w:val="nil"/>
            </w:tcBorders>
            <w:shd w:val="clear" w:color="auto" w:fill="auto"/>
            <w:noWrap/>
          </w:tcPr>
          <w:p w14:paraId="4504A884"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117.7</w:t>
            </w:r>
          </w:p>
        </w:tc>
        <w:tc>
          <w:tcPr>
            <w:tcW w:w="1417" w:type="dxa"/>
            <w:tcBorders>
              <w:bottom w:val="nil"/>
            </w:tcBorders>
          </w:tcPr>
          <w:p w14:paraId="5EC19D47"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143.2</w:t>
            </w:r>
          </w:p>
        </w:tc>
        <w:tc>
          <w:tcPr>
            <w:tcW w:w="1323" w:type="dxa"/>
            <w:tcBorders>
              <w:bottom w:val="nil"/>
            </w:tcBorders>
            <w:shd w:val="clear" w:color="auto" w:fill="auto"/>
            <w:noWrap/>
          </w:tcPr>
          <w:p w14:paraId="44BB9804"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-25.4</w:t>
            </w:r>
          </w:p>
        </w:tc>
        <w:tc>
          <w:tcPr>
            <w:tcW w:w="1323" w:type="dxa"/>
            <w:tcBorders>
              <w:bottom w:val="nil"/>
            </w:tcBorders>
            <w:shd w:val="clear" w:color="auto" w:fill="auto"/>
            <w:noWrap/>
          </w:tcPr>
          <w:p w14:paraId="6BC3A884" w14:textId="77777777" w:rsidR="00DD7722" w:rsidRPr="007F6332" w:rsidRDefault="00DD7722" w:rsidP="006C7455">
            <w:pPr>
              <w:keepNext/>
              <w:jc w:val="center"/>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7F6332">
              <w:rPr>
                <w:rFonts w:cs="Arial"/>
                <w:color w:val="000000"/>
                <w:szCs w:val="22"/>
                <w:lang w:eastAsia="en-AU"/>
              </w:rPr>
              <w:t>-17.8%</w:t>
            </w:r>
          </w:p>
        </w:tc>
      </w:tr>
      <w:tr w:rsidR="004C6718" w:rsidRPr="007F6332" w14:paraId="645B503A" w14:textId="77777777" w:rsidTr="00CD33D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86" w:type="dxa"/>
            <w:tcBorders>
              <w:top w:val="nil"/>
              <w:bottom w:val="single" w:sz="4" w:space="0" w:color="auto"/>
            </w:tcBorders>
            <w:shd w:val="clear" w:color="auto" w:fill="B499B9"/>
            <w:noWrap/>
            <w:hideMark/>
          </w:tcPr>
          <w:p w14:paraId="3BB41BE2" w14:textId="77777777" w:rsidR="00DD7722" w:rsidRPr="007F6332" w:rsidRDefault="00DD7722" w:rsidP="006C7455">
            <w:pPr>
              <w:keepNext/>
              <w:ind w:left="-79"/>
              <w:rPr>
                <w:rFonts w:cs="Arial"/>
                <w:b/>
                <w:bCs/>
                <w:color w:val="000000"/>
                <w:szCs w:val="22"/>
                <w:lang w:eastAsia="en-AU"/>
              </w:rPr>
            </w:pPr>
            <w:r w:rsidRPr="007F6332">
              <w:rPr>
                <w:rFonts w:cs="Arial"/>
                <w:b/>
                <w:bCs/>
                <w:color w:val="000000"/>
                <w:szCs w:val="22"/>
                <w:lang w:eastAsia="en-AU"/>
              </w:rPr>
              <w:t>Total All Persons</w:t>
            </w:r>
          </w:p>
        </w:tc>
        <w:tc>
          <w:tcPr>
            <w:tcW w:w="1840" w:type="dxa"/>
            <w:tcBorders>
              <w:top w:val="nil"/>
              <w:bottom w:val="single" w:sz="4" w:space="0" w:color="auto"/>
              <w:right w:val="dashed" w:sz="4" w:space="0" w:color="auto"/>
            </w:tcBorders>
            <w:shd w:val="clear" w:color="auto" w:fill="B499B9"/>
            <w:noWrap/>
          </w:tcPr>
          <w:p w14:paraId="079E7470"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329.6</w:t>
            </w:r>
          </w:p>
        </w:tc>
        <w:tc>
          <w:tcPr>
            <w:tcW w:w="1843" w:type="dxa"/>
            <w:tcBorders>
              <w:top w:val="nil"/>
              <w:left w:val="dashed" w:sz="4" w:space="0" w:color="auto"/>
              <w:bottom w:val="single" w:sz="4" w:space="0" w:color="auto"/>
            </w:tcBorders>
            <w:shd w:val="clear" w:color="auto" w:fill="B499B9"/>
            <w:noWrap/>
          </w:tcPr>
          <w:p w14:paraId="64E59D2A"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314.7</w:t>
            </w:r>
          </w:p>
        </w:tc>
        <w:tc>
          <w:tcPr>
            <w:tcW w:w="1417" w:type="dxa"/>
            <w:tcBorders>
              <w:top w:val="nil"/>
              <w:bottom w:val="single" w:sz="4" w:space="0" w:color="auto"/>
            </w:tcBorders>
            <w:shd w:val="clear" w:color="auto" w:fill="B499B9"/>
          </w:tcPr>
          <w:p w14:paraId="57CB421A"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308.4</w:t>
            </w:r>
          </w:p>
        </w:tc>
        <w:tc>
          <w:tcPr>
            <w:tcW w:w="1323" w:type="dxa"/>
            <w:tcBorders>
              <w:top w:val="nil"/>
              <w:bottom w:val="single" w:sz="4" w:space="0" w:color="auto"/>
            </w:tcBorders>
            <w:shd w:val="clear" w:color="auto" w:fill="B499B9"/>
            <w:noWrap/>
          </w:tcPr>
          <w:p w14:paraId="2BB3C43A"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6.3</w:t>
            </w:r>
          </w:p>
        </w:tc>
        <w:tc>
          <w:tcPr>
            <w:tcW w:w="1323" w:type="dxa"/>
            <w:tcBorders>
              <w:top w:val="nil"/>
              <w:bottom w:val="single" w:sz="4" w:space="0" w:color="auto"/>
            </w:tcBorders>
            <w:shd w:val="clear" w:color="auto" w:fill="B499B9"/>
            <w:noWrap/>
          </w:tcPr>
          <w:p w14:paraId="2A7BA450" w14:textId="77777777" w:rsidR="00DD7722" w:rsidRPr="007F6332" w:rsidRDefault="00DD7722" w:rsidP="006C7455">
            <w:pPr>
              <w:keepNext/>
              <w:jc w:val="center"/>
              <w:cnfStyle w:val="000000010000" w:firstRow="0" w:lastRow="0" w:firstColumn="0" w:lastColumn="0" w:oddVBand="0" w:evenVBand="0" w:oddHBand="0" w:evenHBand="1" w:firstRowFirstColumn="0" w:firstRowLastColumn="0" w:lastRowFirstColumn="0" w:lastRowLastColumn="0"/>
              <w:rPr>
                <w:rFonts w:cs="Arial"/>
                <w:b/>
                <w:bCs/>
                <w:color w:val="000000"/>
                <w:szCs w:val="22"/>
                <w:lang w:eastAsia="en-AU"/>
              </w:rPr>
            </w:pPr>
            <w:r w:rsidRPr="007F6332">
              <w:rPr>
                <w:rFonts w:cs="Arial"/>
                <w:b/>
                <w:bCs/>
                <w:color w:val="000000"/>
                <w:szCs w:val="22"/>
                <w:lang w:eastAsia="en-AU"/>
              </w:rPr>
              <w:t>2.0%</w:t>
            </w:r>
          </w:p>
        </w:tc>
      </w:tr>
    </w:tbl>
    <w:p w14:paraId="1E219FA2" w14:textId="77777777" w:rsidR="00DD7722" w:rsidRPr="007F6332" w:rsidRDefault="00DD7722" w:rsidP="00DD7722">
      <w:pPr>
        <w:pStyle w:val="FSRnormal"/>
        <w:rPr>
          <w:rFonts w:cs="Arial"/>
        </w:rPr>
      </w:pPr>
      <w:r w:rsidRPr="007F6332">
        <w:rPr>
          <w:rFonts w:cs="Arial"/>
        </w:rPr>
        <w:t xml:space="preserve">New entrant rates used in the June 2023 projections increased by 24.2% for children aged 0 and 6 years, 3.1% for children aged 7 to 14 years and decreased by 17.8% for older children and adults aged 15 years and over, compared to the June 2022 projections. Comparisons between males and females show new entrants rates assumed have increased by slightly </w:t>
      </w:r>
      <w:r w:rsidRPr="007F6332">
        <w:rPr>
          <w:rFonts w:cs="Arial"/>
        </w:rPr>
        <w:lastRenderedPageBreak/>
        <w:t>more for females aged 0 to 6 years, males aged 7 to 14 years, with a larger decrease for males aged 15 and over.</w:t>
      </w:r>
    </w:p>
    <w:p w14:paraId="0AF5C62C" w14:textId="77777777" w:rsidR="00DD7722" w:rsidRPr="007F6332" w:rsidRDefault="00DD7722" w:rsidP="00DD7722">
      <w:pPr>
        <w:pStyle w:val="FSRnormal"/>
        <w:rPr>
          <w:rFonts w:cs="Arial"/>
        </w:rPr>
      </w:pPr>
      <w:r w:rsidRPr="007F6332">
        <w:rPr>
          <w:rFonts w:cs="Arial"/>
        </w:rPr>
        <w:t xml:space="preserve">This represents a major shift in the age profile of new entrants compared to the previous review. Most of the increase in new entrants aged 0 to 6 relates to children with developmental delay entering the Scheme, with the decrease in new entrants aged 15 years and over relating to older children and adults with psychosocial disability, intellectual disability and other neurological disabilities. </w:t>
      </w:r>
    </w:p>
    <w:p w14:paraId="11C041EE" w14:textId="77777777" w:rsidR="00DD7722" w:rsidRPr="007F6332" w:rsidRDefault="00DD7722" w:rsidP="00DD7722">
      <w:pPr>
        <w:pStyle w:val="FSRnormal"/>
        <w:rPr>
          <w:rFonts w:cs="Arial"/>
        </w:rPr>
      </w:pPr>
      <w:r w:rsidRPr="007F6332">
        <w:rPr>
          <w:rFonts w:cs="Arial"/>
        </w:rPr>
        <w:t>Figures G.1 and G.2 show the aggregated new entrant rates, of all disabilities, across ages 0 to 6 years and ages 15 to 64 years, by gender. The solid lines show the new entrant rates used in the June 2023 projections, and the dashed lines show the new entrant rates used in the June 2022 projections. The purple and green lines show the new entrant rates for males and females respectively, and the dark grey line shows the combined result.</w:t>
      </w:r>
    </w:p>
    <w:p w14:paraId="17AE06EE" w14:textId="77777777" w:rsidR="00DD7722" w:rsidRPr="007F6332" w:rsidRDefault="00DD7722" w:rsidP="00DD7722">
      <w:pPr>
        <w:pStyle w:val="FSRnormal"/>
        <w:rPr>
          <w:rFonts w:cs="Arial"/>
        </w:rPr>
      </w:pPr>
      <w:r w:rsidRPr="007F6332">
        <w:rPr>
          <w:rFonts w:cs="Arial"/>
        </w:rPr>
        <w:t>The figures show most people enter the Scheme during the first decade of childhood. The most common age to enter the Scheme is age 4. The new entrant rate decreases steeply after age 4 to age 7, decreasing slowly from age 8 to 29. After age 29, the new entrant rates begin to increase steadily. This reflects the increasing rates of new entry for most non-congenital disabilities.</w:t>
      </w:r>
    </w:p>
    <w:p w14:paraId="0A4C862C" w14:textId="77777777" w:rsidR="00DD7722" w:rsidRPr="007F6332" w:rsidRDefault="00DD7722" w:rsidP="00DD7722">
      <w:pPr>
        <w:pStyle w:val="FSRnormal"/>
        <w:rPr>
          <w:rFonts w:cs="Arial"/>
        </w:rPr>
      </w:pPr>
      <w:r w:rsidRPr="007F6332">
        <w:rPr>
          <w:rFonts w:cs="Arial"/>
        </w:rPr>
        <w:t>The aggregated new entrant rate of all disabilities is 74% higher for males compared to females. The figure reflects a higher new entrant rate for a number of conditions, particularly autism and development delay, amongst males. In the June 2022 projections, the aggregated new entrant rate of all disabilities was 69% higher for males compared to females.</w:t>
      </w:r>
    </w:p>
    <w:p w14:paraId="34C3F1D2" w14:textId="77777777" w:rsidR="00DD7722" w:rsidRPr="007F6332" w:rsidRDefault="00DD7722" w:rsidP="00283EE0">
      <w:pPr>
        <w:pStyle w:val="FiguresandTablesHeading5"/>
        <w:rPr>
          <w:rFonts w:eastAsia="DengXian"/>
        </w:rPr>
      </w:pPr>
      <w:r w:rsidRPr="007F6332">
        <w:rPr>
          <w:rFonts w:eastAsia="DengXian"/>
        </w:rPr>
        <w:t>Figure G.1: New entrant rates (all disabilities), ages 0 to 14</w:t>
      </w:r>
    </w:p>
    <w:p w14:paraId="5C20C2BB" w14:textId="77777777" w:rsidR="00DD7722" w:rsidRPr="007F6332" w:rsidRDefault="00DD7722" w:rsidP="00DD7722">
      <w:pPr>
        <w:keepNext/>
        <w:spacing w:line="240" w:lineRule="auto"/>
        <w:rPr>
          <w:rFonts w:eastAsia="DengXian" w:cs="Arial"/>
          <w:b/>
          <w:iCs/>
          <w:color w:val="000000"/>
          <w:szCs w:val="18"/>
        </w:rPr>
      </w:pPr>
      <w:r w:rsidRPr="007F6332">
        <w:rPr>
          <w:rFonts w:cs="Arial"/>
          <w:noProof/>
        </w:rPr>
        <w:drawing>
          <wp:inline distT="0" distB="0" distL="0" distR="0" wp14:anchorId="322C52C8" wp14:editId="5DB4CD7D">
            <wp:extent cx="5731510" cy="3362325"/>
            <wp:effectExtent l="0" t="0" r="2540" b="9525"/>
            <wp:docPr id="1997483590" name="Picture 1997483590" descr="Figure G.1: New entrant rates (all disabilities), ages 0 to 14. Both female and males show a significate increase in new entrant rates between the ages of 1 to 7. Males in 2022-23 show the most increase of up to 4%. Females peek at approximately 2.8%. Between the ages of 8 to 14 the entrant rate for both females and males is low between, 0.5% 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83590" name="Picture 1997483590" descr="Figure G.1: New entrant rates (all disabilities), ages 0 to 14. Both female and males show a significate increase in new entrant rates between the ages of 1 to 7. Males in 2022-23 show the most increase of up to 4%. Females peek at approximately 2.8%. Between the ages of 8 to 14 the entrant rate for both females and males is low between, 0.5% to 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731510" cy="3362325"/>
                    </a:xfrm>
                    <a:prstGeom prst="rect">
                      <a:avLst/>
                    </a:prstGeom>
                    <a:noFill/>
                    <a:ln>
                      <a:noFill/>
                    </a:ln>
                  </pic:spPr>
                </pic:pic>
              </a:graphicData>
            </a:graphic>
          </wp:inline>
        </w:drawing>
      </w:r>
    </w:p>
    <w:p w14:paraId="6FDB57AC" w14:textId="77777777" w:rsidR="00DD7722" w:rsidRPr="007F6332" w:rsidRDefault="00DD7722" w:rsidP="00DD7722">
      <w:pPr>
        <w:spacing w:line="276" w:lineRule="auto"/>
        <w:rPr>
          <w:rFonts w:eastAsia="DengXian" w:cs="Arial"/>
          <w:b/>
          <w:iCs/>
        </w:rPr>
      </w:pPr>
      <w:r w:rsidRPr="007F6332">
        <w:rPr>
          <w:rFonts w:eastAsia="DengXian" w:cs="Arial"/>
        </w:rPr>
        <w:br w:type="page"/>
      </w:r>
    </w:p>
    <w:p w14:paraId="4CBF5639" w14:textId="77777777" w:rsidR="00DD7722" w:rsidRPr="007F6332" w:rsidRDefault="00DD7722" w:rsidP="00283EE0">
      <w:pPr>
        <w:pStyle w:val="FiguresandTablesHeading5"/>
        <w:rPr>
          <w:rFonts w:eastAsia="DengXian"/>
        </w:rPr>
      </w:pPr>
      <w:r w:rsidRPr="007F6332">
        <w:rPr>
          <w:rFonts w:eastAsia="DengXian"/>
        </w:rPr>
        <w:lastRenderedPageBreak/>
        <w:t>Figure G.2: New entrant rates (all disabilities), ages 15 to 64</w:t>
      </w:r>
    </w:p>
    <w:p w14:paraId="635BA28B" w14:textId="77777777" w:rsidR="00DD7722" w:rsidRPr="007F6332" w:rsidRDefault="00DD7722" w:rsidP="00DD7722">
      <w:pPr>
        <w:keepNext/>
        <w:spacing w:line="240" w:lineRule="auto"/>
        <w:rPr>
          <w:rFonts w:eastAsia="DengXian" w:cs="Arial"/>
          <w:b/>
          <w:iCs/>
          <w:color w:val="000000"/>
          <w:szCs w:val="18"/>
        </w:rPr>
      </w:pPr>
      <w:r w:rsidRPr="007F6332">
        <w:rPr>
          <w:rFonts w:cs="Arial"/>
          <w:noProof/>
        </w:rPr>
        <w:drawing>
          <wp:inline distT="0" distB="0" distL="0" distR="0" wp14:anchorId="21419986" wp14:editId="2452DF1C">
            <wp:extent cx="5731510" cy="3582035"/>
            <wp:effectExtent l="0" t="0" r="2540" b="0"/>
            <wp:docPr id="1105068100" name="Picture 1105068100" descr="Figure G.2: New entrant rates (all disabilities), ages 15 to 64, shows new participants rates for all disabilities at 15 years of age has the highest rate of new entrants which decrease around the age of 20.  A  steady incline occurs between the ages of 25 to 50 for all years for both female and male. From 50 to 60 and above the increase is considerable got both female and 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68100" name="Picture 1105068100" descr="Figure G.2: New entrant rates (all disabilities), ages 15 to 64, shows new participants rates for all disabilities at 15 years of age has the highest rate of new entrants which decrease around the age of 20.  A  steady incline occurs between the ages of 25 to 50 for all years for both female and male. From 50 to 60 and above the increase is considerable got both female and males."/>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731510" cy="3582035"/>
                    </a:xfrm>
                    <a:prstGeom prst="rect">
                      <a:avLst/>
                    </a:prstGeom>
                    <a:noFill/>
                    <a:ln>
                      <a:noFill/>
                    </a:ln>
                  </pic:spPr>
                </pic:pic>
              </a:graphicData>
            </a:graphic>
          </wp:inline>
        </w:drawing>
      </w:r>
    </w:p>
    <w:p w14:paraId="6758C855" w14:textId="43249C7D" w:rsidR="00DD7722" w:rsidRPr="007F6332" w:rsidRDefault="0076644E" w:rsidP="00567B64">
      <w:pPr>
        <w:pStyle w:val="FSRHeading4"/>
      </w:pPr>
      <w:r w:rsidRPr="007F6332">
        <w:t>P</w:t>
      </w:r>
      <w:r w:rsidR="00DD7722" w:rsidRPr="007F6332">
        <w:t>rojected new entrant numbers</w:t>
      </w:r>
    </w:p>
    <w:p w14:paraId="540A56FF" w14:textId="77777777" w:rsidR="00DD7722" w:rsidRPr="007F6332" w:rsidRDefault="00DD7722" w:rsidP="00DD7722">
      <w:pPr>
        <w:pStyle w:val="FSRnormal"/>
        <w:rPr>
          <w:rFonts w:cs="Arial"/>
        </w:rPr>
      </w:pPr>
      <w:r w:rsidRPr="007F6332">
        <w:rPr>
          <w:rFonts w:cs="Arial"/>
        </w:rPr>
        <w:t>This section includes a further break-down of the projected new entrant numbers shown Figure 5.4 of Section 5.4.1 of the main report.</w:t>
      </w:r>
    </w:p>
    <w:p w14:paraId="2BB8579E" w14:textId="77777777" w:rsidR="00DD7722" w:rsidRPr="00567B64" w:rsidRDefault="00DD7722" w:rsidP="00567B64">
      <w:pPr>
        <w:pStyle w:val="HeadingH5"/>
      </w:pPr>
      <w:r w:rsidRPr="00567B64">
        <w:t>Participants with autism aged 0 to 14</w:t>
      </w:r>
    </w:p>
    <w:p w14:paraId="5A062037" w14:textId="77777777" w:rsidR="00DD7722" w:rsidRPr="007F6332" w:rsidRDefault="00DD7722" w:rsidP="00DD7722">
      <w:pPr>
        <w:pStyle w:val="FSRnormal"/>
        <w:rPr>
          <w:rFonts w:cs="Arial"/>
        </w:rPr>
      </w:pPr>
      <w:r w:rsidRPr="007F6332">
        <w:rPr>
          <w:rFonts w:cs="Arial"/>
        </w:rPr>
        <w:t>Figures G.3 and G.4 show the actual and projected number of new entrants to the Scheme with a primary disability of autism aged 0 to 14 years, for male and female participants, compared to the previous review for each year from 2023-24 onwards.</w:t>
      </w:r>
    </w:p>
    <w:p w14:paraId="380EB353" w14:textId="77777777" w:rsidR="00DD7722" w:rsidRPr="007F6332" w:rsidRDefault="00DD7722" w:rsidP="00DD7722">
      <w:pPr>
        <w:pStyle w:val="FSRnormal"/>
        <w:rPr>
          <w:rFonts w:cs="Arial"/>
        </w:rPr>
      </w:pPr>
      <w:r w:rsidRPr="007F6332">
        <w:rPr>
          <w:rFonts w:cs="Arial"/>
        </w:rPr>
        <w:t xml:space="preserve">Male new entrant numbers entering the Scheme in 2022-23 was 11,001, 14.7% higher than the expected number of 9,592 from the June 2022 projections. Female new entrant numbers entering the Scheme for the same period were 6,305, 28.7% higher than the expected number of 4,899 estimated in the June 2022 projections. Actual new entrant numbers in 2022-23, compared to 2021-22, shows an increase of 1.4% for males and 14.7% for females. </w:t>
      </w:r>
    </w:p>
    <w:p w14:paraId="27024CB9" w14:textId="77777777" w:rsidR="00DD7722" w:rsidRPr="007F6332" w:rsidRDefault="00DD7722" w:rsidP="00DD7722">
      <w:pPr>
        <w:pStyle w:val="FSRnormal"/>
        <w:rPr>
          <w:rFonts w:cs="Arial"/>
        </w:rPr>
      </w:pPr>
      <w:r w:rsidRPr="007F6332">
        <w:rPr>
          <w:rFonts w:cs="Arial"/>
        </w:rPr>
        <w:t>The estimated new entrant numbers in the June 2023 projections are higher for all future years, for both males and females, compared to the June 2022 projections. The increase in projected new entrant numbers for females in the short term, compared to June 2022 projections, is higher than for males. Anecdotal evidence suggests there is a growing recognition of autism in females.</w:t>
      </w:r>
    </w:p>
    <w:p w14:paraId="2B4C9E80" w14:textId="77777777" w:rsidR="00812FC6" w:rsidRPr="007F6332" w:rsidRDefault="00812FC6" w:rsidP="00DD7722">
      <w:pPr>
        <w:pStyle w:val="FSRnormal"/>
        <w:rPr>
          <w:rFonts w:cs="Arial"/>
        </w:rPr>
        <w:sectPr w:rsidR="00812FC6" w:rsidRPr="007F6332" w:rsidSect="00CE7E91">
          <w:pgSz w:w="11906" w:h="16838"/>
          <w:pgMar w:top="1440" w:right="1416" w:bottom="1440" w:left="1440" w:header="708" w:footer="850" w:gutter="0"/>
          <w:cols w:space="708"/>
          <w:titlePg/>
          <w:docGrid w:linePitch="360"/>
        </w:sectPr>
      </w:pPr>
    </w:p>
    <w:p w14:paraId="1DB76ABD" w14:textId="02FB6B43" w:rsidR="00B8514E" w:rsidRPr="007F6332" w:rsidRDefault="00B8514E" w:rsidP="00567B64">
      <w:pPr>
        <w:pStyle w:val="Heading6"/>
        <w:rPr>
          <w:noProof/>
        </w:rPr>
      </w:pPr>
      <w:r w:rsidRPr="007F6332">
        <w:rPr>
          <w:rFonts w:eastAsia="DengXian"/>
        </w:rPr>
        <w:lastRenderedPageBreak/>
        <w:t>Figure G.3: Actual and projected new entrant numbers - participants with autism aged 0 to 14 years, males</w:t>
      </w:r>
    </w:p>
    <w:p w14:paraId="19DAA97E" w14:textId="230EFD47" w:rsidR="00DD7722" w:rsidRPr="007F6332" w:rsidRDefault="00812FC6" w:rsidP="008864EB">
      <w:pPr>
        <w:pStyle w:val="Heading6"/>
        <w:rPr>
          <w:rFonts w:eastAsia="DengXian"/>
        </w:rPr>
      </w:pPr>
      <w:r w:rsidRPr="007F6332">
        <w:rPr>
          <w:noProof/>
        </w:rPr>
        <w:drawing>
          <wp:inline distT="0" distB="0" distL="0" distR="0" wp14:anchorId="09A24559" wp14:editId="63DE67D4">
            <wp:extent cx="6129421" cy="2518517"/>
            <wp:effectExtent l="0" t="0" r="5080" b="0"/>
            <wp:docPr id="1082507260" name="Picture 1" descr="Figure G.3: Shows figures for male participants entering the Scheme with autism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11,755. 2022, 10,853. 2023, 11,001. &#10;Figures from June 2022 projections: 2023, 9,592. 2027, 9,709, 2033, 10,302.&#10;Figures from June 2023 projections: 2027, 10,581. 2033, 1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07260" name="Picture 1" descr="Figure G.3: Shows figures for male participants entering the Scheme with autism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11,755. 2022, 10,853. 2023, 11,001. &#10;Figures from June 2022 projections: 2023, 9,592. 2027, 9,709, 2033, 10,302.&#10;Figures from June 2023 projections: 2027, 10,581. 2033, 11,25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129421" cy="2518517"/>
                    </a:xfrm>
                    <a:prstGeom prst="rect">
                      <a:avLst/>
                    </a:prstGeom>
                    <a:noFill/>
                  </pic:spPr>
                </pic:pic>
              </a:graphicData>
            </a:graphic>
          </wp:inline>
        </w:drawing>
      </w:r>
      <w:r w:rsidR="00DD7722" w:rsidRPr="007F6332">
        <w:rPr>
          <w:rFonts w:eastAsia="DengXian"/>
        </w:rPr>
        <w:t>Figure G.4: Actual and projected new entrant numbers - participants with autism aged 0 to 14 years, females</w:t>
      </w:r>
    </w:p>
    <w:p w14:paraId="7912B00E" w14:textId="77777777" w:rsidR="00DD7722" w:rsidRPr="007F6332" w:rsidRDefault="00DD7722" w:rsidP="00DD7722">
      <w:pPr>
        <w:rPr>
          <w:rFonts w:cs="Arial"/>
        </w:rPr>
      </w:pPr>
      <w:r w:rsidRPr="007F6332">
        <w:rPr>
          <w:rFonts w:cs="Arial"/>
          <w:noProof/>
        </w:rPr>
        <w:drawing>
          <wp:inline distT="0" distB="0" distL="0" distR="0" wp14:anchorId="28D1CE90" wp14:editId="13EE3937">
            <wp:extent cx="5853545" cy="2365027"/>
            <wp:effectExtent l="0" t="0" r="0" b="0"/>
            <wp:docPr id="515280239" name="Picture 2" descr="Figure G.4: Shows figures for female participants with autism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5,252. 2022, 5,499. 2023, 6,305. &#10;Figures from June 2022 projections: 2023, 4,899. 2027, 4,760, 2033, 5,051.&#10;Figures from June 2023 projections: 2027, 5,211. 2033, 5,5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80239" name="Picture 2" descr="Figure G.4: Shows figures for female participants with autism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5,252. 2022, 5,499. 2023, 6,305. &#10;Figures from June 2022 projections: 2023, 4,899. 2027, 4,760, 2033, 5,051.&#10;Figures from June 2023 projections: 2027, 5,211. 2033, 5,544.&#1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883710" cy="2377214"/>
                    </a:xfrm>
                    <a:prstGeom prst="rect">
                      <a:avLst/>
                    </a:prstGeom>
                    <a:noFill/>
                  </pic:spPr>
                </pic:pic>
              </a:graphicData>
            </a:graphic>
          </wp:inline>
        </w:drawing>
      </w:r>
    </w:p>
    <w:p w14:paraId="5CF90817" w14:textId="77777777" w:rsidR="00DD7722" w:rsidRPr="007F6332" w:rsidRDefault="00DD7722" w:rsidP="008864EB">
      <w:pPr>
        <w:pStyle w:val="HeadingH5"/>
      </w:pPr>
      <w:r w:rsidRPr="007F6332">
        <w:t>Participants with developmental delay aged 0 to 14</w:t>
      </w:r>
    </w:p>
    <w:p w14:paraId="58B82FB3" w14:textId="77777777" w:rsidR="00DD7722" w:rsidRPr="007F6332" w:rsidRDefault="00DD7722" w:rsidP="00DD7722">
      <w:pPr>
        <w:pStyle w:val="FSRnormal"/>
        <w:rPr>
          <w:rFonts w:cs="Arial"/>
        </w:rPr>
      </w:pPr>
      <w:r w:rsidRPr="007F6332">
        <w:rPr>
          <w:rFonts w:cs="Arial"/>
        </w:rPr>
        <w:t>Figures G.5 and G.6 show the actual and projected number of new entrants to the Scheme with a primary disability of developmental delay aged 0 to 14 years, for male and female participants, compared to the previous review for each year from 2023-24 onwards.</w:t>
      </w:r>
    </w:p>
    <w:p w14:paraId="2D0ABB99" w14:textId="77777777" w:rsidR="00DD7722" w:rsidRPr="007F6332" w:rsidRDefault="00DD7722" w:rsidP="00DD7722">
      <w:pPr>
        <w:pStyle w:val="FSRnormal"/>
        <w:rPr>
          <w:rFonts w:cs="Arial"/>
        </w:rPr>
      </w:pPr>
      <w:r w:rsidRPr="007F6332">
        <w:rPr>
          <w:rFonts w:cs="Arial"/>
        </w:rPr>
        <w:t>Male new entrant numbers entering the Scheme in 2022-23 was 24,774, 60.7% higher than the expected number of 15,418 estimated in the June 2022 projections. Female new entrant numbers entering the Scheme for the same period were 10,207, 66.7% higher than the expected number of 6,123 estimated in the June 2022 projections. Actual new entrant numbers in 2022-23, compared to 2021-22, show an increase of 34.5% for males and 38.6% for females.</w:t>
      </w:r>
    </w:p>
    <w:p w14:paraId="11E0846A" w14:textId="65CDF7D7" w:rsidR="00DD7722" w:rsidRPr="007F6332" w:rsidRDefault="00DD7722" w:rsidP="0076644E">
      <w:pPr>
        <w:pStyle w:val="FSRnormal"/>
        <w:rPr>
          <w:rFonts w:cs="Arial"/>
        </w:rPr>
      </w:pPr>
      <w:r w:rsidRPr="007F6332">
        <w:rPr>
          <w:rFonts w:cs="Arial"/>
        </w:rPr>
        <w:t xml:space="preserve">The estimated new entrant numbers in the June 2023 projections are higher for all future years, for both males and females, compared to those estimated in the June 2022 projections. </w:t>
      </w:r>
    </w:p>
    <w:p w14:paraId="6D448F60" w14:textId="77777777" w:rsidR="00DD7722" w:rsidRPr="007F6332" w:rsidRDefault="00DD7722" w:rsidP="008864EB">
      <w:pPr>
        <w:pStyle w:val="Heading6"/>
        <w:rPr>
          <w:rFonts w:eastAsia="DengXian"/>
        </w:rPr>
      </w:pPr>
      <w:r w:rsidRPr="007F6332">
        <w:rPr>
          <w:rFonts w:eastAsia="DengXian"/>
        </w:rPr>
        <w:lastRenderedPageBreak/>
        <w:t>Figure G.5: Actual and projected new entrant numbers - participants with developmental delay</w:t>
      </w:r>
      <w:r w:rsidRPr="007F6332">
        <w:rPr>
          <w:rStyle w:val="FootnoteReference"/>
          <w:rFonts w:eastAsia="DengXian" w:cs="Arial"/>
          <w:color w:val="000000"/>
          <w:szCs w:val="18"/>
        </w:rPr>
        <w:footnoteReference w:id="173"/>
      </w:r>
      <w:r w:rsidRPr="007F6332">
        <w:rPr>
          <w:rFonts w:eastAsia="DengXian"/>
        </w:rPr>
        <w:t xml:space="preserve"> aged 0 to 14 years, males</w:t>
      </w:r>
    </w:p>
    <w:p w14:paraId="7A3D50E7" w14:textId="77777777" w:rsidR="00DD7722" w:rsidRPr="007F6332" w:rsidRDefault="00DD7722" w:rsidP="00DD7722">
      <w:pPr>
        <w:rPr>
          <w:rFonts w:cs="Arial"/>
        </w:rPr>
      </w:pPr>
      <w:r w:rsidRPr="007F6332">
        <w:rPr>
          <w:rFonts w:cs="Arial"/>
          <w:noProof/>
        </w:rPr>
        <w:drawing>
          <wp:inline distT="0" distB="0" distL="0" distR="0" wp14:anchorId="3515B0B9" wp14:editId="1C297676">
            <wp:extent cx="5774909" cy="2333256"/>
            <wp:effectExtent l="0" t="0" r="0" b="0"/>
            <wp:docPr id="850111735" name="Picture 850111735" descr="Figure G.5: Shows figures for male participants entering the Scheme with developmental delay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15,412. 2022, 18,422. 2023, 24,774. &#10;Figures from June 2022 projections: 2023, 15,418. 2027,16,020, 2033, 17,000.&#10;Figures from June 2023 projections: 2027, 17,331. 2033, 18,4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684" name="Picture 3" descr="Figure G.5: Shows figures for male participants entering the Scheme with developmental delay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15,412. 2022, 18,422. 2023, 24,774. &#10;Figures from June 2022 projections: 2023, 15,418. 2027,16,020, 2033, 17,000.&#10;Figures from June 2023 projections: 2027, 17,331. 2033, 18,438.&#1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803224" cy="2344696"/>
                    </a:xfrm>
                    <a:prstGeom prst="rect">
                      <a:avLst/>
                    </a:prstGeom>
                    <a:noFill/>
                  </pic:spPr>
                </pic:pic>
              </a:graphicData>
            </a:graphic>
          </wp:inline>
        </w:drawing>
      </w:r>
    </w:p>
    <w:p w14:paraId="1D55B803" w14:textId="77777777" w:rsidR="00DD7722" w:rsidRPr="007F6332" w:rsidRDefault="00DD7722" w:rsidP="008864EB">
      <w:pPr>
        <w:pStyle w:val="Heading6"/>
        <w:rPr>
          <w:rFonts w:eastAsia="DengXian"/>
        </w:rPr>
      </w:pPr>
      <w:r w:rsidRPr="007F6332">
        <w:rPr>
          <w:rFonts w:eastAsia="DengXian"/>
        </w:rPr>
        <w:t>Figure G.6: Actual and projected new entrant numbers - participants with developmental delay aged 0 to 14 years, females</w:t>
      </w:r>
    </w:p>
    <w:p w14:paraId="7C811BEF" w14:textId="77777777" w:rsidR="00DD7722" w:rsidRPr="007F6332" w:rsidRDefault="00DD7722" w:rsidP="00DD7722">
      <w:pPr>
        <w:rPr>
          <w:rFonts w:cs="Arial"/>
        </w:rPr>
      </w:pPr>
      <w:r w:rsidRPr="007F6332">
        <w:rPr>
          <w:rFonts w:cs="Arial"/>
          <w:noProof/>
        </w:rPr>
        <w:drawing>
          <wp:inline distT="0" distB="0" distL="0" distR="0" wp14:anchorId="7DB24AC1" wp14:editId="3BEACFAA">
            <wp:extent cx="5733109" cy="2317719"/>
            <wp:effectExtent l="0" t="0" r="1270" b="6985"/>
            <wp:docPr id="425078687" name="Picture 425078687" descr="Figure G.6: Shows figures for female participants entering the Scheme with developmental delay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5,938. 2022, 7,362. 2023, 10,207. &#10;Figures from June 2022 projections: 2023, 6,123. 2027, 6,360, 2033, 6,749.&#10;Figures from June 2023 projections: 2027, 7,002. 2033, 7,449.&#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03884" name="Picture 4" descr="Figure G.6: Shows figures for female participants entering the Scheme with developmental delay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5,938. 2022, 7,362. 2023, 10,207. &#10;Figures from June 2022 projections: 2023, 6,123. 2027, 6,360, 2033, 6,749.&#10;Figures from June 2023 projections: 2027, 7,002. 2033, 7,449.&#10;&#1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783153" cy="2337950"/>
                    </a:xfrm>
                    <a:prstGeom prst="rect">
                      <a:avLst/>
                    </a:prstGeom>
                    <a:noFill/>
                  </pic:spPr>
                </pic:pic>
              </a:graphicData>
            </a:graphic>
          </wp:inline>
        </w:drawing>
      </w:r>
    </w:p>
    <w:p w14:paraId="00199FA8" w14:textId="77777777" w:rsidR="00DD7722" w:rsidRPr="007F6332" w:rsidRDefault="00DD7722" w:rsidP="008864EB">
      <w:pPr>
        <w:pStyle w:val="HeadingH5"/>
      </w:pPr>
      <w:r w:rsidRPr="007F6332">
        <w:t>Participants with disabilities other than autism or developmental delay aged 0 to 14</w:t>
      </w:r>
    </w:p>
    <w:p w14:paraId="720E9F02" w14:textId="77777777" w:rsidR="00DD7722" w:rsidRPr="007F6332" w:rsidRDefault="00DD7722" w:rsidP="00DD7722">
      <w:pPr>
        <w:pStyle w:val="FSRnormal"/>
        <w:rPr>
          <w:rFonts w:cs="Arial"/>
        </w:rPr>
      </w:pPr>
      <w:r w:rsidRPr="007F6332">
        <w:rPr>
          <w:rFonts w:cs="Arial"/>
        </w:rPr>
        <w:t>Figures G.7 and G.8 show the actual and projected number of new entrants to the Scheme excluding participants with a primary disability of autism or developmental delay aged 0 to 14 years, for male and female participants, compared to the previous review for each year from 2023-24 onwards.</w:t>
      </w:r>
    </w:p>
    <w:p w14:paraId="35F70BA9" w14:textId="77777777" w:rsidR="00DD7722" w:rsidRPr="007F6332" w:rsidRDefault="00DD7722" w:rsidP="00DD7722">
      <w:pPr>
        <w:pStyle w:val="FSRnormal"/>
        <w:rPr>
          <w:rFonts w:cs="Arial"/>
          <w:b/>
        </w:rPr>
      </w:pPr>
      <w:r w:rsidRPr="007F6332">
        <w:rPr>
          <w:rFonts w:cs="Arial"/>
        </w:rPr>
        <w:t xml:space="preserve">Male new entrant numbers entering the Scheme in 2022-23 was 2,583, 3.1% higher than the expected number of 2,505 estimated in the June 2022 projections. Female new entrant numbers entering the Scheme for the same period were 1,791, 5.6% lower than the </w:t>
      </w:r>
      <w:r w:rsidRPr="007F6332">
        <w:rPr>
          <w:rFonts w:cs="Arial"/>
        </w:rPr>
        <w:lastRenderedPageBreak/>
        <w:t>expected number of 1,897 estimated in the June 2022 projections. Actual new entrants numbers in 2022-23, compared to 2021-22, show a decrease of 10.4% for males and 13.2% for females.</w:t>
      </w:r>
    </w:p>
    <w:p w14:paraId="6187244A" w14:textId="77777777" w:rsidR="00DD7722" w:rsidRPr="007F6332" w:rsidRDefault="00DD7722" w:rsidP="008864EB">
      <w:pPr>
        <w:pStyle w:val="Heading6"/>
        <w:rPr>
          <w:rFonts w:eastAsia="DengXian"/>
        </w:rPr>
      </w:pPr>
      <w:r w:rsidRPr="007F6332">
        <w:rPr>
          <w:rFonts w:eastAsia="DengXian"/>
        </w:rPr>
        <w:t>Figure G.7 Actual and projected new entrant numbers - participants with disabilities other than autism or development delay aged 0 to 14 years, males</w:t>
      </w:r>
    </w:p>
    <w:p w14:paraId="1888192E" w14:textId="77777777" w:rsidR="00DD7722" w:rsidRPr="007F6332" w:rsidRDefault="00DD7722" w:rsidP="00DD7722">
      <w:pPr>
        <w:pStyle w:val="FSRnormal"/>
        <w:rPr>
          <w:rFonts w:cs="Arial"/>
          <w:b/>
        </w:rPr>
      </w:pPr>
      <w:r w:rsidRPr="007F6332">
        <w:rPr>
          <w:rFonts w:cs="Arial"/>
          <w:noProof/>
        </w:rPr>
        <w:drawing>
          <wp:inline distT="0" distB="0" distL="0" distR="0" wp14:anchorId="3A2D88D8" wp14:editId="7FE7A95F">
            <wp:extent cx="5746750" cy="2294115"/>
            <wp:effectExtent l="0" t="0" r="6350" b="0"/>
            <wp:docPr id="1105168046" name="Picture 1105168046" descr="Figure G.7: Shows figures for male participants entering the Scheme with disabilities other than autism or developmental delay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3,382. 2022, 2,882. 2023, 2,583. &#10;Figures from June 2022 projections: 2023, 2,505. 2027, 2,549, 2033, 2,705.&#10;Figures from June 2023 projections: 2027, 2,541. 2033, 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68046" name="Picture 1105168046" descr="Figure G.7: Shows figures for male participants entering the Scheme with disabilities other than autism or developmental delay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3,382. 2022, 2,882. 2023, 2,583. &#10;Figures from June 2022 projections: 2023, 2,505. 2027, 2,549, 2033, 2,705.&#10;Figures from June 2023 projections: 2027, 2,541. 2033, 2,70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746750" cy="2294115"/>
                    </a:xfrm>
                    <a:prstGeom prst="rect">
                      <a:avLst/>
                    </a:prstGeom>
                    <a:noFill/>
                  </pic:spPr>
                </pic:pic>
              </a:graphicData>
            </a:graphic>
          </wp:inline>
        </w:drawing>
      </w:r>
    </w:p>
    <w:p w14:paraId="383ABB93" w14:textId="77777777" w:rsidR="00DD7722" w:rsidRPr="007F6332" w:rsidRDefault="00DD7722" w:rsidP="008864EB">
      <w:pPr>
        <w:pStyle w:val="Heading6"/>
        <w:rPr>
          <w:rFonts w:eastAsia="DengXian"/>
        </w:rPr>
      </w:pPr>
      <w:r w:rsidRPr="007F6332">
        <w:rPr>
          <w:rFonts w:eastAsia="DengXian"/>
        </w:rPr>
        <w:t>Figure G.8 Actual and projected new entrant numbers - participants with disabilities other than autism and development delay aged 0 to 14 years, females</w:t>
      </w:r>
    </w:p>
    <w:p w14:paraId="403AC347" w14:textId="77777777" w:rsidR="00DD7722" w:rsidRPr="007F6332" w:rsidRDefault="00DD7722" w:rsidP="00DD7722">
      <w:pPr>
        <w:pStyle w:val="FSRnormal"/>
        <w:rPr>
          <w:rFonts w:cs="Arial"/>
          <w:b/>
        </w:rPr>
      </w:pPr>
      <w:r w:rsidRPr="007F6332">
        <w:rPr>
          <w:rFonts w:cs="Arial"/>
          <w:noProof/>
        </w:rPr>
        <w:drawing>
          <wp:inline distT="0" distB="0" distL="0" distR="0" wp14:anchorId="755998B8" wp14:editId="0944CAC0">
            <wp:extent cx="5746750" cy="2321913"/>
            <wp:effectExtent l="0" t="0" r="6350" b="2540"/>
            <wp:docPr id="846176082" name="Picture 846176082" descr="Figure G.8: Shows figures for female participants entering the Scheme with disabilities other than autism or developmental delay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2,390. 2022, 2,063. 2023, 1,791. &#10;Figures from June 2022 projections: 2023, 1,897. 2027,1,883, 2033, 1,998.&#10;Figures from June 2023 projections: 2027, 1,828. 2033,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76082" name="Picture 846176082" descr="Figure G.8: Shows figures for female participants entering the Scheme with disabilities other than autism or developmental delay aged 0 to 14 years - actual new entrants to the Scheme for years ending 30 June 2021 through to 30 June 2023 and a comparison between the June 2022 projections and June 2023 projections for each year ending 30 June for the years 2023 to 2033. &#10;Figures for actual experience for years: 2021, 2,390. 2022, 2,063. 2023, 1,791. &#10;Figures from June 2022 projections: 2023, 1,897. 2027,1,883, 2033, 1,998.&#10;Figures from June 2023 projections: 2027, 1,828. 2033, 1,94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746750" cy="2321913"/>
                    </a:xfrm>
                    <a:prstGeom prst="rect">
                      <a:avLst/>
                    </a:prstGeom>
                    <a:noFill/>
                  </pic:spPr>
                </pic:pic>
              </a:graphicData>
            </a:graphic>
          </wp:inline>
        </w:drawing>
      </w:r>
    </w:p>
    <w:p w14:paraId="29626292" w14:textId="77777777" w:rsidR="00DD7722" w:rsidRPr="007F6332" w:rsidRDefault="00DD7722" w:rsidP="008864EB">
      <w:pPr>
        <w:pStyle w:val="HeadingH5"/>
      </w:pPr>
      <w:r w:rsidRPr="007F6332">
        <w:t>Participants with autism aged 15 years and over</w:t>
      </w:r>
    </w:p>
    <w:p w14:paraId="3E6C4478" w14:textId="77777777" w:rsidR="00DD7722" w:rsidRPr="007F6332" w:rsidRDefault="00DD7722" w:rsidP="00DD7722">
      <w:pPr>
        <w:pStyle w:val="FSRnormal"/>
        <w:rPr>
          <w:rFonts w:cs="Arial"/>
        </w:rPr>
      </w:pPr>
      <w:r w:rsidRPr="007F6332">
        <w:rPr>
          <w:rFonts w:cs="Arial"/>
        </w:rPr>
        <w:t>Figures G.9 and G.10 show the actual and projected number of new entrants to the Scheme with a primary disability of autism and aged 15 years and over, for male and female participants, compared to the previous review for each year from 2023-24 onwards.</w:t>
      </w:r>
    </w:p>
    <w:p w14:paraId="5A8B89BB" w14:textId="77777777" w:rsidR="00DD7722" w:rsidRPr="007F6332" w:rsidRDefault="00DD7722" w:rsidP="00DD7722">
      <w:pPr>
        <w:pStyle w:val="FSRnormal"/>
        <w:rPr>
          <w:rFonts w:cs="Arial"/>
        </w:rPr>
      </w:pPr>
      <w:r w:rsidRPr="007F6332">
        <w:rPr>
          <w:rFonts w:cs="Arial"/>
        </w:rPr>
        <w:t xml:space="preserve">Male new entrant numbers entering the Scheme in 2022-23 was 4,111, 9.6% higher than the expected number of 3,752 from the June 2022 projections. Female new entrant numbers entering the Scheme for the same period were 3,934, 37.5% higher than the expected number of 2,862 estimated in the June 2022 projections. Actual new entrant numbers in 2022-23, compared to 2021-22, show an increase of 8.1% for males and 32.0% for females. </w:t>
      </w:r>
    </w:p>
    <w:p w14:paraId="362FB87B" w14:textId="77777777" w:rsidR="00DD7722" w:rsidRPr="007F6332" w:rsidRDefault="00DD7722" w:rsidP="00DD7722">
      <w:pPr>
        <w:pStyle w:val="FSRnormal"/>
        <w:rPr>
          <w:rFonts w:cs="Arial"/>
        </w:rPr>
      </w:pPr>
      <w:r w:rsidRPr="007F6332">
        <w:rPr>
          <w:rFonts w:cs="Arial"/>
        </w:rPr>
        <w:lastRenderedPageBreak/>
        <w:t>For both males and females, the estimated new entrant numbers in the June 2023 projections are higher in the short term up to 2025-26, remaining higher in the medium to long term for females, whilst becoming lower for males from 2026-27 onwards, compared to those estimated in the June 2022 projections.</w:t>
      </w:r>
    </w:p>
    <w:p w14:paraId="5FC50F96" w14:textId="77777777" w:rsidR="00DD7722" w:rsidRPr="007F6332" w:rsidRDefault="00DD7722" w:rsidP="008864EB">
      <w:pPr>
        <w:pStyle w:val="Heading6"/>
        <w:rPr>
          <w:rFonts w:eastAsia="DengXian"/>
        </w:rPr>
      </w:pPr>
      <w:r w:rsidRPr="007F6332">
        <w:rPr>
          <w:rFonts w:eastAsia="DengXian"/>
        </w:rPr>
        <w:t>Figure G.9: Actual and projected new entrant numbers - participants with autism aged 15 years and over, males</w:t>
      </w:r>
    </w:p>
    <w:p w14:paraId="186E88CC" w14:textId="77777777" w:rsidR="00DD7722" w:rsidRPr="007F6332" w:rsidRDefault="00DD7722" w:rsidP="00DD7722">
      <w:pPr>
        <w:rPr>
          <w:rFonts w:cs="Arial"/>
        </w:rPr>
      </w:pPr>
      <w:r w:rsidRPr="007F6332">
        <w:rPr>
          <w:rFonts w:cs="Arial"/>
          <w:noProof/>
        </w:rPr>
        <w:drawing>
          <wp:inline distT="0" distB="0" distL="0" distR="0" wp14:anchorId="2F22DDA0" wp14:editId="679D0D9A">
            <wp:extent cx="6017581" cy="2395522"/>
            <wp:effectExtent l="0" t="0" r="2540" b="5080"/>
            <wp:docPr id="1721369818" name="Picture 5" descr="Figure G.9: Shows figures for male participants entering the Scheme with autism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3,478. 2022, 3,803. 2023, 4,111. &#10;Figures from June 2022 projections: 2023, 3,752. 2027, 3,400, 2033, 3,608.&#10;Figures from June 2023 projections: 2027, 3,156. 2033,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69818" name="Picture 5" descr="Figure G.9: Shows figures for male participants entering the Scheme with autism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3,478. 2022, 3,803. 2023, 4,111. &#10;Figures from June 2022 projections: 2023, 3,752. 2027, 3,400, 2033, 3,608.&#10;Figures from June 2023 projections: 2027, 3,156. 2033, 3,36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067762" cy="2415499"/>
                    </a:xfrm>
                    <a:prstGeom prst="rect">
                      <a:avLst/>
                    </a:prstGeom>
                    <a:noFill/>
                  </pic:spPr>
                </pic:pic>
              </a:graphicData>
            </a:graphic>
          </wp:inline>
        </w:drawing>
      </w:r>
    </w:p>
    <w:p w14:paraId="6382C064" w14:textId="77777777" w:rsidR="00DD7722" w:rsidRPr="007F6332" w:rsidRDefault="00DD7722" w:rsidP="00025A2D">
      <w:pPr>
        <w:pStyle w:val="Heading6"/>
        <w:rPr>
          <w:rFonts w:eastAsia="DengXian"/>
        </w:rPr>
      </w:pPr>
      <w:r w:rsidRPr="007F6332">
        <w:rPr>
          <w:rFonts w:eastAsia="DengXian"/>
        </w:rPr>
        <w:t>Figure G.10: Actual and projected new entrant numbers - participants with autism aged 15 years and over, females</w:t>
      </w:r>
    </w:p>
    <w:p w14:paraId="2A1BA4B4" w14:textId="77777777" w:rsidR="00DD7722" w:rsidRPr="007F6332" w:rsidRDefault="00DD7722" w:rsidP="00DD7722">
      <w:pPr>
        <w:rPr>
          <w:rFonts w:cs="Arial"/>
        </w:rPr>
      </w:pPr>
      <w:r w:rsidRPr="007F6332">
        <w:rPr>
          <w:rFonts w:cs="Arial"/>
          <w:noProof/>
        </w:rPr>
        <w:drawing>
          <wp:inline distT="0" distB="0" distL="0" distR="0" wp14:anchorId="0F1FBBEB" wp14:editId="4F78DA39">
            <wp:extent cx="6051091" cy="2444843"/>
            <wp:effectExtent l="0" t="0" r="6985" b="0"/>
            <wp:docPr id="1295057320" name="Picture 6" descr="Figure G.10: Shows figures for female participants entering the Scheme with autism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2,283. 2022, 2,980. 2023, 3,934 &#10;Figures from June 2022 projections: 2023, 2,862. 2027, 2,611, 2033, 2,770.&#10;Figures from June 2023 projections: 2027, 2,940. 2033, 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57320" name="Picture 6" descr="Figure G.10: Shows figures for female participants entering the Scheme with autism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2,283. 2022, 2,980. 2023, 3,934 &#10;Figures from June 2022 projections: 2023, 2,862. 2027, 2,611, 2033, 2,770.&#10;Figures from June 2023 projections: 2027, 2,940. 2033, 3,12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064382" cy="2450213"/>
                    </a:xfrm>
                    <a:prstGeom prst="rect">
                      <a:avLst/>
                    </a:prstGeom>
                    <a:noFill/>
                  </pic:spPr>
                </pic:pic>
              </a:graphicData>
            </a:graphic>
          </wp:inline>
        </w:drawing>
      </w:r>
    </w:p>
    <w:p w14:paraId="4231BD85" w14:textId="77777777" w:rsidR="00327305" w:rsidRPr="007F6332" w:rsidRDefault="00327305" w:rsidP="00DD7722">
      <w:pPr>
        <w:pStyle w:val="FSRnormal"/>
        <w:rPr>
          <w:rFonts w:cs="Arial"/>
          <w:b/>
        </w:rPr>
        <w:sectPr w:rsidR="00327305" w:rsidRPr="007F6332" w:rsidSect="00CE7E91">
          <w:pgSz w:w="11906" w:h="16838"/>
          <w:pgMar w:top="1440" w:right="1416" w:bottom="1440" w:left="1440" w:header="708" w:footer="850" w:gutter="0"/>
          <w:cols w:space="708"/>
          <w:titlePg/>
          <w:docGrid w:linePitch="360"/>
        </w:sectPr>
      </w:pPr>
    </w:p>
    <w:p w14:paraId="018A6835" w14:textId="77777777" w:rsidR="00DD7722" w:rsidRPr="007F6332" w:rsidRDefault="00DD7722" w:rsidP="00025A2D">
      <w:pPr>
        <w:pStyle w:val="HeadingH5"/>
      </w:pPr>
      <w:r w:rsidRPr="007F6332">
        <w:lastRenderedPageBreak/>
        <w:t>Participants with psychosocial disability aged 15 years and over</w:t>
      </w:r>
    </w:p>
    <w:p w14:paraId="35CC726D" w14:textId="77777777" w:rsidR="00DD7722" w:rsidRPr="007F6332" w:rsidRDefault="00DD7722" w:rsidP="00DD7722">
      <w:pPr>
        <w:pStyle w:val="FSRnormal"/>
        <w:rPr>
          <w:rFonts w:cs="Arial"/>
        </w:rPr>
      </w:pPr>
      <w:r w:rsidRPr="007F6332">
        <w:rPr>
          <w:rFonts w:cs="Arial"/>
        </w:rPr>
        <w:t>Figures G.11 and G.12 show the actual and projected number of new entrants to the Scheme with a primary disability of psychosocial disability and aged 15 years and over, for male and female participants, compared to the previous review for each year from 2023-24 onwards.</w:t>
      </w:r>
    </w:p>
    <w:p w14:paraId="7F4E89C6" w14:textId="77777777" w:rsidR="00DD7722" w:rsidRPr="007F6332" w:rsidRDefault="00DD7722" w:rsidP="00DD7722">
      <w:pPr>
        <w:pStyle w:val="FSRnormal"/>
        <w:rPr>
          <w:rFonts w:cs="Arial"/>
        </w:rPr>
      </w:pPr>
      <w:r w:rsidRPr="007F6332">
        <w:rPr>
          <w:rFonts w:cs="Arial"/>
        </w:rPr>
        <w:t>Male new entrant numbers entering the Scheme in 2022-23 was 3,554, 18.3% lower than the expected number of 4,352 from the June 2022 projections. Female new entrant numbers entering the Scheme for the same period were 3,162, 21.3% lower than the expected number of 4,016 estimated in the June 2022 projections. Actual new entrant numbers 2022-23, compared to 2021-22, show a decrease of 23.6% for males and 28.4% for females.</w:t>
      </w:r>
    </w:p>
    <w:p w14:paraId="030875DB" w14:textId="77777777" w:rsidR="00DD7722" w:rsidRPr="007F6332" w:rsidRDefault="00DD7722" w:rsidP="00DD7722">
      <w:pPr>
        <w:pStyle w:val="FSRnormal"/>
        <w:rPr>
          <w:rFonts w:cs="Arial"/>
        </w:rPr>
      </w:pPr>
      <w:r w:rsidRPr="007F6332">
        <w:rPr>
          <w:rFonts w:cs="Arial"/>
        </w:rPr>
        <w:t>The lower projected new entrant numbers, compared to those estimated in the June 2022 projections, for both males and females, is consistent with the recently observed experience of a continuing decline in adult new entrants with psychosocial disabilities.</w:t>
      </w:r>
    </w:p>
    <w:p w14:paraId="769E0F06" w14:textId="77777777" w:rsidR="00DD7722" w:rsidRPr="007F6332" w:rsidRDefault="00DD7722" w:rsidP="00025A2D">
      <w:pPr>
        <w:pStyle w:val="Heading6"/>
        <w:rPr>
          <w:rFonts w:eastAsia="DengXian"/>
        </w:rPr>
      </w:pPr>
      <w:r w:rsidRPr="007F6332">
        <w:rPr>
          <w:rFonts w:eastAsia="DengXian"/>
        </w:rPr>
        <w:t>Figure G.11: Actual and projected new entrant numbers - participants with psychosocial disability aged 15 years and over, males</w:t>
      </w:r>
    </w:p>
    <w:p w14:paraId="28B3496D" w14:textId="77777777" w:rsidR="00DD7722" w:rsidRPr="007F6332" w:rsidRDefault="00DD7722" w:rsidP="00DD7722">
      <w:pPr>
        <w:rPr>
          <w:rFonts w:cs="Arial"/>
        </w:rPr>
      </w:pPr>
      <w:r w:rsidRPr="007F6332">
        <w:rPr>
          <w:rFonts w:cs="Arial"/>
          <w:noProof/>
        </w:rPr>
        <w:drawing>
          <wp:inline distT="0" distB="0" distL="0" distR="0" wp14:anchorId="6A588ADB" wp14:editId="61D3DEB4">
            <wp:extent cx="6177840" cy="2496053"/>
            <wp:effectExtent l="0" t="0" r="0" b="0"/>
            <wp:docPr id="1478807730" name="Picture 7" descr="Figure G.11: Shows figures for male participants entering the Scheme with psychosocial disability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5,550. 2022, 4,651. 2023, 3,554. &#10;Figures from June 2022 projections: 2023, 4,352. 2027, 2,764, 2033, 2,933.&#10;Figures from June 2023 projections: 2027, 1,949. 2033,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07730" name="Picture 7" descr="Figure G.11: Shows figures for male participants entering the Scheme with psychosocial disability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5,550. 2022, 4,651. 2023, 3,554. &#10;Figures from June 2022 projections: 2023, 4,352. 2027, 2,764, 2033, 2,933.&#10;Figures from June 2023 projections: 2027, 1,949. 2033, 2,07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206985" cy="2507828"/>
                    </a:xfrm>
                    <a:prstGeom prst="rect">
                      <a:avLst/>
                    </a:prstGeom>
                    <a:noFill/>
                  </pic:spPr>
                </pic:pic>
              </a:graphicData>
            </a:graphic>
          </wp:inline>
        </w:drawing>
      </w:r>
    </w:p>
    <w:p w14:paraId="74A3E311" w14:textId="77777777" w:rsidR="00327305" w:rsidRPr="007F6332" w:rsidRDefault="00327305">
      <w:pPr>
        <w:spacing w:line="276" w:lineRule="auto"/>
        <w:rPr>
          <w:rFonts w:eastAsia="DengXian" w:cs="Arial"/>
          <w:b/>
          <w:iCs/>
        </w:rPr>
      </w:pPr>
      <w:r w:rsidRPr="007F6332">
        <w:rPr>
          <w:rFonts w:eastAsia="DengXian" w:cs="Arial"/>
        </w:rPr>
        <w:br w:type="page"/>
      </w:r>
    </w:p>
    <w:p w14:paraId="0114A8E7" w14:textId="7A644B26" w:rsidR="00DD7722" w:rsidRPr="007F6332" w:rsidRDefault="00DD7722" w:rsidP="00025A2D">
      <w:pPr>
        <w:pStyle w:val="Heading6"/>
        <w:rPr>
          <w:rFonts w:eastAsia="DengXian"/>
        </w:rPr>
      </w:pPr>
      <w:r w:rsidRPr="007F6332">
        <w:rPr>
          <w:rFonts w:eastAsia="DengXian"/>
        </w:rPr>
        <w:lastRenderedPageBreak/>
        <w:t>Figure G.12: Actual and projected new entrant numbers - participants with psychosocial disability aged 15 years and over, females</w:t>
      </w:r>
    </w:p>
    <w:p w14:paraId="10A05247" w14:textId="77777777" w:rsidR="00DD7722" w:rsidRPr="007F6332" w:rsidRDefault="00DD7722" w:rsidP="00DD7722">
      <w:pPr>
        <w:rPr>
          <w:rFonts w:cs="Arial"/>
        </w:rPr>
      </w:pPr>
      <w:r w:rsidRPr="007F6332">
        <w:rPr>
          <w:rFonts w:cs="Arial"/>
          <w:noProof/>
        </w:rPr>
        <w:drawing>
          <wp:inline distT="0" distB="0" distL="0" distR="0" wp14:anchorId="181395DB" wp14:editId="4268ACB4">
            <wp:extent cx="6105412" cy="2466790"/>
            <wp:effectExtent l="0" t="0" r="0" b="0"/>
            <wp:docPr id="95071987" name="Picture 8" descr="Figure G.12: Shows figures for female participants entering the Scheme with psychosocial disability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5,402. 2022, 4,417. 2023, 3,162. &#10;Figures from June 2022 projections: 2023, 4,016. 2027, 2,825, 2033, 2,997.&#10;Figures from June 2023 projections: 2027, 2,082. 2033,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1987" name="Picture 8" descr="Figure G.12: Shows figures for female participants entering the Scheme with psychosocial disability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5,402. 2022, 4,417. 2023, 3,162. &#10;Figures from June 2022 projections: 2023, 4,016. 2027, 2,825, 2033, 2,997.&#10;Figures from June 2023 projections: 2027, 2,082. 2033, 2,21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124902" cy="2474664"/>
                    </a:xfrm>
                    <a:prstGeom prst="rect">
                      <a:avLst/>
                    </a:prstGeom>
                    <a:noFill/>
                  </pic:spPr>
                </pic:pic>
              </a:graphicData>
            </a:graphic>
          </wp:inline>
        </w:drawing>
      </w:r>
    </w:p>
    <w:p w14:paraId="21CC5B80" w14:textId="77777777" w:rsidR="00DD7722" w:rsidRPr="007F6332" w:rsidRDefault="00DD7722" w:rsidP="00025A2D">
      <w:pPr>
        <w:pStyle w:val="H5Header"/>
      </w:pPr>
      <w:r w:rsidRPr="007F6332">
        <w:t>Participants with disabilities other than autism or psychosocial disability aged 15 years and over</w:t>
      </w:r>
    </w:p>
    <w:p w14:paraId="37DEEF41" w14:textId="77777777" w:rsidR="00DD7722" w:rsidRPr="007F6332" w:rsidRDefault="00DD7722" w:rsidP="00DD7722">
      <w:pPr>
        <w:pStyle w:val="FSRnormal"/>
        <w:rPr>
          <w:rFonts w:cs="Arial"/>
        </w:rPr>
      </w:pPr>
      <w:r w:rsidRPr="007F6332">
        <w:rPr>
          <w:rFonts w:cs="Arial"/>
        </w:rPr>
        <w:t>Figures G.13 and G.14 show the actual and projected number of new entrants to the Scheme for all disability types excluding autism and psychosocial disability and aged 15 years and over, for male and female participants, compared to the previous review for each year from 2023-24 onwards.</w:t>
      </w:r>
    </w:p>
    <w:p w14:paraId="7E8D5B77" w14:textId="77777777" w:rsidR="00DD7722" w:rsidRPr="007F6332" w:rsidRDefault="00DD7722" w:rsidP="00DD7722">
      <w:pPr>
        <w:pStyle w:val="FSRnormal"/>
        <w:rPr>
          <w:rFonts w:cs="Arial"/>
        </w:rPr>
      </w:pPr>
      <w:r w:rsidRPr="007F6332">
        <w:rPr>
          <w:rFonts w:cs="Arial"/>
        </w:rPr>
        <w:t>Male new entrant numbers entering the Scheme in 2022-23 year was 8,055, 1.3% lower than the expected number of 8,165 from the June 2022 projections. Female new entrant numbers entering the Scheme for the same period were 6,923, 3.4% lower than the expected number of 7,167 estimated in the June 2022 projections. Actual new entrant numbers in 2022-23, compared to 2021-22, show a decrease of 11.8% for males and 10.9% for females.</w:t>
      </w:r>
    </w:p>
    <w:p w14:paraId="0FFACFAE" w14:textId="77777777" w:rsidR="00DD7722" w:rsidRPr="007F6332" w:rsidRDefault="00DD7722" w:rsidP="00DD7722">
      <w:pPr>
        <w:pStyle w:val="FSRnormal"/>
        <w:rPr>
          <w:rFonts w:cs="Arial"/>
        </w:rPr>
      </w:pPr>
      <w:r w:rsidRPr="007F6332">
        <w:rPr>
          <w:rFonts w:cs="Arial"/>
        </w:rPr>
        <w:t>The lower projected new entrant numbers, compared to those estimated in the June 2022 projections, for both males and females, is consistent with the recently observed experience of a continuing decline in adult new entrants for all disability types excluding autism and psychosocial disability.</w:t>
      </w:r>
    </w:p>
    <w:p w14:paraId="1843EE3E" w14:textId="77777777" w:rsidR="00327305" w:rsidRPr="007F6332" w:rsidRDefault="00327305">
      <w:pPr>
        <w:spacing w:line="276" w:lineRule="auto"/>
        <w:rPr>
          <w:rFonts w:eastAsia="DengXian" w:cs="Arial"/>
          <w:b/>
          <w:iCs/>
        </w:rPr>
      </w:pPr>
      <w:r w:rsidRPr="007F6332">
        <w:rPr>
          <w:rFonts w:eastAsia="DengXian" w:cs="Arial"/>
        </w:rPr>
        <w:br w:type="page"/>
      </w:r>
    </w:p>
    <w:p w14:paraId="6CD867A9" w14:textId="3E889188" w:rsidR="00B8514E" w:rsidRPr="007F6332" w:rsidRDefault="00B8514E" w:rsidP="00025A2D">
      <w:pPr>
        <w:pStyle w:val="Heading6"/>
        <w:rPr>
          <w:rFonts w:eastAsia="DengXian"/>
        </w:rPr>
      </w:pPr>
      <w:r w:rsidRPr="007F6332">
        <w:rPr>
          <w:rFonts w:eastAsia="DengXian"/>
        </w:rPr>
        <w:lastRenderedPageBreak/>
        <w:t>Figure G.13: Actual and projected new entrant numbers - participants with disabilities other than autism or psychosocial disability aged 15 years and over, males</w:t>
      </w:r>
    </w:p>
    <w:p w14:paraId="5A058964" w14:textId="77777777" w:rsidR="00327305" w:rsidRPr="007F6332" w:rsidRDefault="0076644E">
      <w:pPr>
        <w:spacing w:line="276" w:lineRule="auto"/>
        <w:rPr>
          <w:rFonts w:eastAsia="DengXian" w:cs="Arial"/>
        </w:rPr>
      </w:pPr>
      <w:r w:rsidRPr="007F6332">
        <w:rPr>
          <w:rFonts w:eastAsiaTheme="majorEastAsia" w:cs="Arial"/>
          <w:noProof/>
        </w:rPr>
        <w:drawing>
          <wp:inline distT="0" distB="0" distL="0" distR="0" wp14:anchorId="44B64D6E" wp14:editId="765797CB">
            <wp:extent cx="6051091" cy="2444843"/>
            <wp:effectExtent l="0" t="0" r="6985" b="0"/>
            <wp:docPr id="1579160271" name="Picture 9" descr="Figure G.13: Shows figures for male participants entering the Scheme with disabilities other than autism or psychosocial disability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10,750. 2022, 9,131. 2023, 8,055. &#10;Figures from June 2022 projections: 2023, 8,165. 2027, 6,812, 2033, 7,229.&#10;Figures from June 2023 projections: 2027, 5,394. 2033, 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60271" name="Picture 9" descr="Figure G.13: Shows figures for male participants entering the Scheme with disabilities other than autism or psychosocial disability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10,750. 2022, 9,131. 2023, 8,055. &#10;Figures from June 2022 projections: 2023, 8,165. 2027, 6,812, 2033, 7,229.&#10;Figures from June 2023 projections: 2027, 5,394. 2033, 5,73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6051091" cy="2444843"/>
                    </a:xfrm>
                    <a:prstGeom prst="rect">
                      <a:avLst/>
                    </a:prstGeom>
                    <a:noFill/>
                  </pic:spPr>
                </pic:pic>
              </a:graphicData>
            </a:graphic>
          </wp:inline>
        </w:drawing>
      </w:r>
    </w:p>
    <w:p w14:paraId="3A9F33E1" w14:textId="3C49290C" w:rsidR="00B8514E" w:rsidRPr="007F6332" w:rsidRDefault="00B8514E" w:rsidP="00025A2D">
      <w:pPr>
        <w:pStyle w:val="Heading6"/>
        <w:rPr>
          <w:noProof/>
        </w:rPr>
      </w:pPr>
      <w:r w:rsidRPr="007F6332">
        <w:rPr>
          <w:rFonts w:eastAsia="DengXian"/>
        </w:rPr>
        <w:t>Figure G.14: Actual and projected new entrant numbers - participants with disabilities other than autism or psychosocial disability aged 15 years and over females</w:t>
      </w:r>
    </w:p>
    <w:p w14:paraId="0EF442B5" w14:textId="4BB30D98" w:rsidR="00B8514E" w:rsidRPr="007F6332" w:rsidRDefault="0076644E" w:rsidP="00CD33D0">
      <w:pPr>
        <w:rPr>
          <w:rFonts w:cs="Arial"/>
        </w:rPr>
      </w:pPr>
      <w:r w:rsidRPr="007F6332">
        <w:rPr>
          <w:rFonts w:eastAsiaTheme="majorEastAsia" w:cs="Arial"/>
          <w:noProof/>
        </w:rPr>
        <w:drawing>
          <wp:inline distT="0" distB="0" distL="0" distR="0" wp14:anchorId="4EE263D2" wp14:editId="46AB747D">
            <wp:extent cx="5670845" cy="2291210"/>
            <wp:effectExtent l="0" t="0" r="6350" b="0"/>
            <wp:docPr id="2010602897" name="Picture 10" descr="Figure G.14: Shows figures for female participants entering the Scheme with disabilities other than autism or psychosocial disability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9,381. 2022, 7,772. 2023, 6,923. &#10;Figures from June 2022 projections: 2023, 7,167. 2027, 6,356, 2033, 6,744.&#10;Figures from June 2023 projections: 2027, 5,119. 2033, 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02897" name="Picture 10" descr="Figure G.14: Shows figures for female participants entering the Scheme with disabilities other than autism or psychosocial disability aged 15 years and over - actual new entrants to the Scheme for years ending 30 June 2021 through to 30 June 2023 and a comparison between the June 2022 projections and June 2023 projections for each year ending 30 June for the years 2023 to 2033. &#10;Figures for actual experience for years: 2021, 9,381. 2022, 7,772. 2023, 6,923. &#10;Figures from June 2022 projections: 2023, 7,167. 2027, 6,356, 2033, 6,744.&#10;Figures from June 2023 projections: 2027, 5,119. 2033, 5,44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670845" cy="2291210"/>
                    </a:xfrm>
                    <a:prstGeom prst="rect">
                      <a:avLst/>
                    </a:prstGeom>
                    <a:noFill/>
                  </pic:spPr>
                </pic:pic>
              </a:graphicData>
            </a:graphic>
          </wp:inline>
        </w:drawing>
      </w:r>
    </w:p>
    <w:p w14:paraId="1A3DC6A5" w14:textId="1417A2FF" w:rsidR="00B8514E" w:rsidRPr="007F6332" w:rsidRDefault="00B8514E" w:rsidP="00025A2D">
      <w:pPr>
        <w:pStyle w:val="H5Header"/>
        <w:rPr>
          <w:rFonts w:eastAsia="DengXian"/>
        </w:rPr>
      </w:pPr>
      <w:r w:rsidRPr="007F6332">
        <w:t>P</w:t>
      </w:r>
      <w:r w:rsidR="00DD7722" w:rsidRPr="007F6332">
        <w:t>articipation rates projected to increase</w:t>
      </w:r>
    </w:p>
    <w:p w14:paraId="37B72F22" w14:textId="48BD3A6E" w:rsidR="00327305" w:rsidRPr="007F6332" w:rsidRDefault="00F3796B">
      <w:pPr>
        <w:spacing w:line="276" w:lineRule="auto"/>
        <w:rPr>
          <w:rFonts w:eastAsia="DengXian" w:cs="Arial"/>
          <w:b/>
          <w:iCs/>
        </w:rPr>
      </w:pPr>
      <w:r w:rsidRPr="00F3796B">
        <w:rPr>
          <w:rFonts w:eastAsia="DengXian" w:cs="Arial"/>
          <w:lang w:val="en-AU"/>
        </w:rPr>
        <w:t>Participation rates refer to the proportion of the general population that have a disability and are accessing Scheme supports. Figure G.15 shows the implied participation rates for people aged 0 to 64 years. The chart shows that the participation rate is projected to increase significantly over the next few years, with a 29% increase in the participation rate expected over the 5-year period between 30 June 2023 (2.78% participation rate) and 30 June 2028 (3.58% participation rate). Over the 5-year period between 30 June 2028 and 30 June 2033, the participation rate is expected to increase a further 18% to 4.21%. These participation rates imply that about 1 in 36 people in Australia aged between 0 and 64 years was a participant in the NDIS at 30 June 2023, and by 30 June 2033 this will increase to about 1 in 24 people.</w:t>
      </w:r>
      <w:r w:rsidR="00327305" w:rsidRPr="007F6332">
        <w:rPr>
          <w:rFonts w:eastAsia="DengXian" w:cs="Arial"/>
        </w:rPr>
        <w:br w:type="page"/>
      </w:r>
    </w:p>
    <w:p w14:paraId="727FF769" w14:textId="65E906CF" w:rsidR="00DD7722" w:rsidRPr="007F6332" w:rsidRDefault="00DD7722" w:rsidP="00025A2D">
      <w:pPr>
        <w:pStyle w:val="Heading6"/>
        <w:rPr>
          <w:rFonts w:eastAsia="DengXian"/>
        </w:rPr>
      </w:pPr>
      <w:r w:rsidRPr="007F6332">
        <w:rPr>
          <w:rFonts w:eastAsia="DengXian"/>
        </w:rPr>
        <w:lastRenderedPageBreak/>
        <w:t>Figure G.15: Implied participation rates for people aged 0 to 64 years</w:t>
      </w:r>
    </w:p>
    <w:p w14:paraId="32435E19" w14:textId="77777777" w:rsidR="00DD7722" w:rsidRPr="007F6332" w:rsidRDefault="00DD7722" w:rsidP="00DD7722">
      <w:pPr>
        <w:rPr>
          <w:rFonts w:cs="Arial"/>
        </w:rPr>
      </w:pPr>
      <w:r w:rsidRPr="007F6332">
        <w:rPr>
          <w:rFonts w:cs="Arial"/>
          <w:noProof/>
        </w:rPr>
        <w:drawing>
          <wp:inline distT="0" distB="0" distL="0" distR="0" wp14:anchorId="38E11284" wp14:editId="2DF425D8">
            <wp:extent cx="5433237" cy="2977515"/>
            <wp:effectExtent l="0" t="0" r="0" b="0"/>
            <wp:docPr id="294550591" name="Picture 294550591" descr="Figure G.15: Implied participation rates for people aged 0 to 64 years. &#10;30 June 2023 implied participation rates 2.78%.&#10;30 June 2028 implied participation rates 3.58%.&#10;30 June 2033 implied participation rates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50591" name="Picture 294550591" descr="Figure G.15: Implied participation rates for people aged 0 to 64 years. &#10;30 June 2023 implied participation rates 2.78%.&#10;30 June 2028 implied participation rates 3.58%.&#10;30 June 2033 implied participation rates 4.2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47906" cy="2985554"/>
                    </a:xfrm>
                    <a:prstGeom prst="rect">
                      <a:avLst/>
                    </a:prstGeom>
                    <a:noFill/>
                  </pic:spPr>
                </pic:pic>
              </a:graphicData>
            </a:graphic>
          </wp:inline>
        </w:drawing>
      </w:r>
    </w:p>
    <w:p w14:paraId="39A55157" w14:textId="77777777" w:rsidR="00DD7722" w:rsidRPr="007F6332" w:rsidRDefault="00DD7722" w:rsidP="00DD7722">
      <w:pPr>
        <w:pStyle w:val="FSRnormal"/>
        <w:rPr>
          <w:rFonts w:cs="Arial"/>
        </w:rPr>
      </w:pPr>
      <w:r w:rsidRPr="007F6332">
        <w:rPr>
          <w:rFonts w:cs="Arial"/>
        </w:rPr>
        <w:t>Figure G.16 shows the implied participation rates for major disability groups at this review, for people aged 0 to 64 years. This chart highlights that the main driver of the increase in participation rate is autism, which increases from a participation rate of 0.98% at 30 June 2023 to 1.62% at 30 June 2028 (a 65% increase over this 5-year period), and to a participation rate of 2.14% at 30 June 2033 (a 32% increase over this 5-year period). These participation rates imply that about 1 in 102 people in Australia aged between 0 and 64 years was a participant of the NDIS with a primary disability of autism at 30 June 2023, and by 30 June 2033 this will increase to about 1 in 47 people.</w:t>
      </w:r>
    </w:p>
    <w:p w14:paraId="162E57CA" w14:textId="77777777" w:rsidR="00DD7722" w:rsidRPr="007F6332" w:rsidRDefault="00DD7722" w:rsidP="00025A2D">
      <w:pPr>
        <w:pStyle w:val="Heading6"/>
        <w:rPr>
          <w:rFonts w:eastAsia="DengXian"/>
        </w:rPr>
      </w:pPr>
      <w:r w:rsidRPr="007F6332">
        <w:rPr>
          <w:rFonts w:eastAsia="DengXian"/>
        </w:rPr>
        <w:t>Figure G.16: Implied participation rates for major disability groups for people aged 0 to 64 years</w:t>
      </w:r>
    </w:p>
    <w:p w14:paraId="0AEAAA6A" w14:textId="77777777" w:rsidR="00DD7722" w:rsidRPr="007F6332" w:rsidRDefault="00DD7722" w:rsidP="00DD7722">
      <w:pPr>
        <w:rPr>
          <w:rFonts w:cs="Arial"/>
        </w:rPr>
      </w:pPr>
      <w:r w:rsidRPr="007F6332">
        <w:rPr>
          <w:rFonts w:cs="Arial"/>
          <w:noProof/>
        </w:rPr>
        <w:drawing>
          <wp:inline distT="0" distB="0" distL="0" distR="0" wp14:anchorId="0E3D844F" wp14:editId="16DB0B6E">
            <wp:extent cx="5914768" cy="2444754"/>
            <wp:effectExtent l="0" t="0" r="0" b="0"/>
            <wp:docPr id="1721986652" name="Picture 1721986652" descr="Figure G.16: Implied participation rates for major disability groups for people aged 0 to 64 years.&#10;Autism: 30 June 2023, implied participation rates 0.98%.&#10;Autism: 30 June 2028, implied  participation rates 1.62%.&#10;Autism: 30 June 2033, implied  participation rates 2.14%.&#10;Intellectual disability: 30 June 2023, implied participation rates 0.46%.&#10;Intellectual disability: 30 June 2028. implied participation rates 0.53%.&#10;Intellectual disability: 30 June 2033, implied participation rates 0.58%.&#10;Developmental delay: 30 June 2023, implied participation rates 0.38%.&#10;Developmental delay: 30 June 2028, implied participation rates 0.34%.&#10;Developmental delay: 30 June 2033, implied participation rates 0.33%.&#10;Psychosocial disability: 30 June 2023, implied participation rates 0.28%. &#10;Psychosocial disability: 30 June 2028, implied participation rates 0.33%.&#10;Psychosocial disability: 30 June 2033, implied participation rates 0.35%.&#10;Sensory disabilities: 30 June 2023, implied participation rates 0.27%.&#10;Sensory disabilities: 30 June 2028, implied participation rates 0.29%.&#10;Sensory disabilities: 30 June 2033, implied participation rates 0.31%.&#10;Other disabilities: 30 June 2023, implied participation rates 0.42%.&#10;Other disabilities: 30 June 2028, implied participation rates 0.47%.&#10;Other disabilities: 30 June 2033 implied participation rates 0.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86652" name="Picture 1721986652" descr="Figure G.16: Implied participation rates for major disability groups for people aged 0 to 64 years.&#10;Autism: 30 June 2023, implied participation rates 0.98%.&#10;Autism: 30 June 2028, implied  participation rates 1.62%.&#10;Autism: 30 June 2033, implied  participation rates 2.14%.&#10;Intellectual disability: 30 June 2023, implied participation rates 0.46%.&#10;Intellectual disability: 30 June 2028. implied participation rates 0.53%.&#10;Intellectual disability: 30 June 2033, implied participation rates 0.58%.&#10;Developmental delay: 30 June 2023, implied participation rates 0.38%.&#10;Developmental delay: 30 June 2028, implied participation rates 0.34%.&#10;Developmental delay: 30 June 2033, implied participation rates 0.33%.&#10;Psychosocial disability: 30 June 2023, implied participation rates 0.28%. &#10;Psychosocial disability: 30 June 2028, implied participation rates 0.33%.&#10;Psychosocial disability: 30 June 2033, implied participation rates 0.35%.&#10;Sensory disabilities: 30 June 2023, implied participation rates 0.27%.&#10;Sensory disabilities: 30 June 2028, implied participation rates 0.29%.&#10;Sensory disabilities: 30 June 2033, implied participation rates 0.31%.&#10;Other disabilities: 30 June 2023, implied participation rates 0.42%.&#10;Other disabilities: 30 June 2028, implied participation rates 0.47%.&#10;Other disabilities: 30 June 2033 implied participation rates 0.49%.&#1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45693" cy="2457536"/>
                    </a:xfrm>
                    <a:prstGeom prst="rect">
                      <a:avLst/>
                    </a:prstGeom>
                    <a:noFill/>
                  </pic:spPr>
                </pic:pic>
              </a:graphicData>
            </a:graphic>
          </wp:inline>
        </w:drawing>
      </w:r>
    </w:p>
    <w:p w14:paraId="5515FC7D" w14:textId="77777777" w:rsidR="00327305" w:rsidRPr="007F6332" w:rsidRDefault="00327305">
      <w:pPr>
        <w:spacing w:line="276" w:lineRule="auto"/>
        <w:rPr>
          <w:rFonts w:cs="Arial"/>
          <w:lang w:val="en-AU"/>
        </w:rPr>
      </w:pPr>
      <w:r w:rsidRPr="007F6332">
        <w:rPr>
          <w:rFonts w:cs="Arial"/>
        </w:rPr>
        <w:br w:type="page"/>
      </w:r>
    </w:p>
    <w:p w14:paraId="679869AA" w14:textId="23E9A2C4" w:rsidR="00DD7722" w:rsidRPr="007F6332" w:rsidRDefault="00DD7722" w:rsidP="00DD7722">
      <w:pPr>
        <w:pStyle w:val="FSRnormal"/>
        <w:rPr>
          <w:rFonts w:cs="Arial"/>
        </w:rPr>
      </w:pPr>
      <w:r w:rsidRPr="007F6332">
        <w:rPr>
          <w:rFonts w:cs="Arial"/>
        </w:rPr>
        <w:lastRenderedPageBreak/>
        <w:t xml:space="preserve">Figure G.17 shows the implied participation rates by age band at this review, for people aged 0 to 64 years. This chart highlights the main driver of the increase in participation rate between 30 June 2023 and 30 June 2033 are participants between the ages of 7 and 24. These participation rates imply 1 in 16 people in Australia aged between 7 and 14 years was a participant of the NDIS at 30 June 2023. By 30 June 2033 this will become approximately 1 in 12 people. </w:t>
      </w:r>
    </w:p>
    <w:p w14:paraId="5D1A91B2" w14:textId="77777777" w:rsidR="00DD7722" w:rsidRPr="007F6332" w:rsidRDefault="00DD7722" w:rsidP="00025A2D">
      <w:pPr>
        <w:pStyle w:val="Heading6"/>
        <w:rPr>
          <w:rFonts w:eastAsia="DengXian"/>
        </w:rPr>
      </w:pPr>
      <w:r w:rsidRPr="007F6332">
        <w:rPr>
          <w:rFonts w:eastAsia="DengXian"/>
        </w:rPr>
        <w:t>Figure G.17: Implied participation rates for all disability types by age band</w:t>
      </w:r>
    </w:p>
    <w:p w14:paraId="5F544BEE" w14:textId="77777777" w:rsidR="00DD7722" w:rsidRPr="007F6332" w:rsidRDefault="00DD7722" w:rsidP="00DD7722">
      <w:pPr>
        <w:rPr>
          <w:rFonts w:cs="Arial"/>
        </w:rPr>
      </w:pPr>
      <w:r w:rsidRPr="007F6332">
        <w:rPr>
          <w:rFonts w:cs="Arial"/>
          <w:noProof/>
        </w:rPr>
        <w:drawing>
          <wp:inline distT="0" distB="0" distL="0" distR="0" wp14:anchorId="2F569233" wp14:editId="50B767AF">
            <wp:extent cx="5999480" cy="2800350"/>
            <wp:effectExtent l="0" t="0" r="1270" b="0"/>
            <wp:docPr id="1371082359" name="Picture 1371082359" descr="Figure G17: Implied participation rates for all disability types by age band&#10;0 to 6: at 30 June 2023 was 4.60%.&#10;0 to 6: at 30 June 2028 was  4.33%.&#10;0 to 6: at 30 June 2033 was 4.60%.&#10;7 to 14: at 30 June 2023 was 6.11%.&#10;7 to 14: at 30 June 2028 was 8.00%.&#10;7 to 14: at 30 June 2033 was 8.22%.&#10;15 to 18: at 30 June 2023 was 4.10%.&#10;15 to 18: at 30 June 2028 was 7.11%.&#10;15 to 18: at 30 June 2033 was 8.87%.&#10;19 to 24: at 30 June 2023 was 2.49%.&#10;19 to 24: at 30 June 2028 was 4.14%.&#10;19 to 24: at 30 June 2033 was 6.48%.&#10;25 to 34: at 30 June 2023 was 1.39%.&#10;25 to 34: at 30 June 2028 was 1.98%.&#10;25 to 34: at 30 June 2033 was 2.94%.&#10;35 to 44: at 30 June 2023 was 1.27%.&#10;35 to 44: at 30 June 2028 was 1.46%.&#10;35 to 44: at 30 June 2033 was 1.74%.&#10;45 to 54: at 30 June 2023 was 1.66%.&#10;45 to 54: at 30 June 2028 was 1.81%.&#10;45 to 54: at 30 June 2033 was 1.86%.&#10;55 to 64: at 30 June 2023 was 2.13%.&#10;55 to 64: at 30 June 2028 was 2.34%.&#10;55 to 64: at 30 June 2033 was 2.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82359" name="Picture 1371082359" descr="Figure G17: Implied participation rates for all disability types by age band&#10;0 to 6: at 30 June 2023 was 4.60%.&#10;0 to 6: at 30 June 2028 was  4.33%.&#10;0 to 6: at 30 June 2033 was 4.60%.&#10;7 to 14: at 30 June 2023 was 6.11%.&#10;7 to 14: at 30 June 2028 was 8.00%.&#10;7 to 14: at 30 June 2033 was 8.22%.&#10;15 to 18: at 30 June 2023 was 4.10%.&#10;15 to 18: at 30 June 2028 was 7.11%.&#10;15 to 18: at 30 June 2033 was 8.87%.&#10;19 to 24: at 30 June 2023 was 2.49%.&#10;19 to 24: at 30 June 2028 was 4.14%.&#10;19 to 24: at 30 June 2033 was 6.48%.&#10;25 to 34: at 30 June 2023 was 1.39%.&#10;25 to 34: at 30 June 2028 was 1.98%.&#10;25 to 34: at 30 June 2033 was 2.94%.&#10;35 to 44: at 30 June 2023 was 1.27%.&#10;35 to 44: at 30 June 2028 was 1.46%.&#10;35 to 44: at 30 June 2033 was 1.74%.&#10;45 to 54: at 30 June 2023 was 1.66%.&#10;45 to 54: at 30 June 2028 was 1.81%.&#10;45 to 54: at 30 June 2033 was 1.86%.&#10;55 to 64: at 30 June 2023 was 2.13%.&#10;55 to 64: at 30 June 2028 was 2.34%.&#10;55 to 64: at 30 June 2033 was 2.47%.&#1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042984" cy="2820656"/>
                    </a:xfrm>
                    <a:prstGeom prst="rect">
                      <a:avLst/>
                    </a:prstGeom>
                    <a:noFill/>
                  </pic:spPr>
                </pic:pic>
              </a:graphicData>
            </a:graphic>
          </wp:inline>
        </w:drawing>
      </w:r>
    </w:p>
    <w:p w14:paraId="5A8B0D0E" w14:textId="77777777" w:rsidR="00DD7722" w:rsidRPr="007F6332" w:rsidRDefault="00DD7722">
      <w:pPr>
        <w:spacing w:line="276" w:lineRule="auto"/>
        <w:rPr>
          <w:rFonts w:cs="Arial"/>
          <w:color w:val="6A2875"/>
          <w:sz w:val="30"/>
          <w:szCs w:val="30"/>
        </w:rPr>
      </w:pPr>
      <w:r w:rsidRPr="007F6332">
        <w:rPr>
          <w:rFonts w:cs="Arial"/>
        </w:rPr>
        <w:br w:type="page"/>
      </w:r>
    </w:p>
    <w:p w14:paraId="3937A97A" w14:textId="006190A3" w:rsidR="00893BA1" w:rsidRPr="008B34A8" w:rsidRDefault="00AD33D4" w:rsidP="008B34A8">
      <w:pPr>
        <w:pStyle w:val="FSRHeading3"/>
        <w:rPr>
          <w:rStyle w:val="Emphasis"/>
          <w:b w:val="0"/>
          <w:bCs w:val="0"/>
          <w:iCs w:val="0"/>
          <w:color w:val="6A2875"/>
          <w:spacing w:val="0"/>
          <w:sz w:val="30"/>
        </w:rPr>
      </w:pPr>
      <w:bookmarkStart w:id="310" w:name="_Toc152615025"/>
      <w:r w:rsidRPr="008B34A8">
        <w:rPr>
          <w:rStyle w:val="Emphasis"/>
          <w:b w:val="0"/>
          <w:bCs w:val="0"/>
          <w:iCs w:val="0"/>
          <w:color w:val="6A2875"/>
          <w:spacing w:val="0"/>
          <w:sz w:val="30"/>
        </w:rPr>
        <w:lastRenderedPageBreak/>
        <w:t>Appendix H</w:t>
      </w:r>
      <w:r w:rsidR="00516710" w:rsidRPr="008B34A8">
        <w:rPr>
          <w:rStyle w:val="Emphasis"/>
          <w:b w:val="0"/>
          <w:bCs w:val="0"/>
          <w:iCs w:val="0"/>
          <w:color w:val="6A2875"/>
          <w:spacing w:val="0"/>
          <w:sz w:val="30"/>
        </w:rPr>
        <w:tab/>
      </w:r>
      <w:r w:rsidR="00893BA1" w:rsidRPr="008B34A8">
        <w:rPr>
          <w:rStyle w:val="Emphasis"/>
          <w:b w:val="0"/>
          <w:bCs w:val="0"/>
          <w:iCs w:val="0"/>
          <w:color w:val="6A2875"/>
          <w:spacing w:val="0"/>
          <w:sz w:val="30"/>
        </w:rPr>
        <w:t xml:space="preserve"> Review of Scheme mortality</w:t>
      </w:r>
      <w:bookmarkEnd w:id="310"/>
    </w:p>
    <w:p w14:paraId="25432FA6" w14:textId="77777777" w:rsidR="00893BA1" w:rsidRPr="007F6332" w:rsidRDefault="00893BA1" w:rsidP="00893BA1">
      <w:pPr>
        <w:pStyle w:val="FSRHeading4"/>
        <w:rPr>
          <w:rFonts w:cs="Arial"/>
        </w:rPr>
      </w:pPr>
      <w:r w:rsidRPr="007F6332">
        <w:rPr>
          <w:rFonts w:cs="Arial"/>
        </w:rPr>
        <w:t>Background</w:t>
      </w:r>
    </w:p>
    <w:p w14:paraId="1D87B000" w14:textId="4DA5CCC2" w:rsidR="00893BA1" w:rsidRPr="007F6332" w:rsidRDefault="00893BA1" w:rsidP="00025A2D">
      <w:pPr>
        <w:rPr>
          <w:b/>
        </w:rPr>
      </w:pPr>
      <w:r w:rsidRPr="007F6332">
        <w:t xml:space="preserve">Scheme mortality rates have been tracking slightly greater than expected across a number of cohorts </w:t>
      </w:r>
      <w:r w:rsidR="00E90411" w:rsidRPr="007F6332">
        <w:t>in recent</w:t>
      </w:r>
      <w:r w:rsidRPr="007F6332">
        <w:t xml:space="preserve"> years. This experience, as well as recommendations by the Australian Government Actuary, prompted a comprehensive review of mortality rates in early 2023 with a view to revise mortality assumptions for the </w:t>
      </w:r>
      <w:r w:rsidR="00B724CC" w:rsidRPr="007F6332">
        <w:t>June 2023 projections</w:t>
      </w:r>
      <w:r w:rsidRPr="007F6332">
        <w:t>.</w:t>
      </w:r>
    </w:p>
    <w:p w14:paraId="7977A86B" w14:textId="77777777" w:rsidR="00893BA1" w:rsidRPr="007F6332" w:rsidRDefault="00893BA1" w:rsidP="00025A2D">
      <w:pPr>
        <w:rPr>
          <w:b/>
        </w:rPr>
      </w:pPr>
      <w:r w:rsidRPr="007F6332">
        <w:t>This Appendix sets out the mortality experience observed over the most recent 5 years, the revised assumptions for the June 2023 projections and the impact of updating these assumptions on projected participant numbers and Scheme expense.</w:t>
      </w:r>
    </w:p>
    <w:p w14:paraId="7E850874" w14:textId="77777777" w:rsidR="00893BA1" w:rsidRPr="007F6332" w:rsidRDefault="00893BA1" w:rsidP="00893BA1">
      <w:pPr>
        <w:pStyle w:val="FSRHeading4"/>
        <w:rPr>
          <w:rFonts w:cs="Arial"/>
        </w:rPr>
      </w:pPr>
      <w:r w:rsidRPr="007F6332">
        <w:rPr>
          <w:rFonts w:cs="Arial"/>
        </w:rPr>
        <w:t>Modelling approach</w:t>
      </w:r>
    </w:p>
    <w:p w14:paraId="50A24672" w14:textId="77777777" w:rsidR="00893BA1" w:rsidRPr="007F6332" w:rsidRDefault="00893BA1" w:rsidP="00893BA1">
      <w:pPr>
        <w:spacing w:line="276" w:lineRule="auto"/>
        <w:rPr>
          <w:rFonts w:cs="Arial"/>
          <w:szCs w:val="28"/>
          <w:lang w:bidi="th-TH"/>
        </w:rPr>
      </w:pPr>
      <w:r w:rsidRPr="007F6332">
        <w:rPr>
          <w:rFonts w:cs="Arial"/>
          <w:szCs w:val="28"/>
          <w:lang w:bidi="th-TH"/>
        </w:rPr>
        <w:t>The mortality assumptions for the June 2023 projections were derived using an experience</w:t>
      </w:r>
      <w:r w:rsidRPr="007F6332">
        <w:rPr>
          <w:rFonts w:cs="Arial"/>
          <w:szCs w:val="28"/>
          <w:lang w:bidi="th-TH"/>
        </w:rPr>
        <w:noBreakHyphen/>
        <w:t xml:space="preserve">based model.  As in past Scheme projections, separate mortality rate assumptions were derived for each primary disability, gender, level of function and age. The Australian Standard Life Table (ALT 2018-20) was used as a base rate for each age and gender and loadings were applied for primary disability and level of function to determine final mortality assumptions. </w:t>
      </w:r>
    </w:p>
    <w:p w14:paraId="7C756A70" w14:textId="512D9712" w:rsidR="00893BA1" w:rsidRPr="007F6332" w:rsidRDefault="00893BA1" w:rsidP="00893BA1">
      <w:pPr>
        <w:spacing w:line="276" w:lineRule="auto"/>
        <w:rPr>
          <w:rFonts w:cs="Arial"/>
          <w:szCs w:val="28"/>
          <w:lang w:bidi="th-TH"/>
        </w:rPr>
      </w:pPr>
      <w:r w:rsidRPr="007F6332">
        <w:rPr>
          <w:rFonts w:cs="Arial"/>
          <w:szCs w:val="28"/>
          <w:lang w:bidi="th-TH"/>
        </w:rPr>
        <w:t xml:space="preserve">Noting that the mortality assumptions for the June 2022 projections were derived using an experience period of 14 months and that a longer experience period was recommended by the Australian Government Actuary in their review of the </w:t>
      </w:r>
      <w:r w:rsidR="00BD7777" w:rsidRPr="007F6332">
        <w:rPr>
          <w:rFonts w:cs="Arial"/>
          <w:szCs w:val="28"/>
          <w:lang w:bidi="th-TH"/>
        </w:rPr>
        <w:t>June 2022 projections</w:t>
      </w:r>
      <w:r w:rsidRPr="007F6332">
        <w:rPr>
          <w:rFonts w:cs="Arial"/>
          <w:szCs w:val="28"/>
          <w:lang w:bidi="th-TH"/>
        </w:rPr>
        <w:t xml:space="preserve">, a 5-year period was used to determine the mortality assumptions for the June 2023 projections. This longer period </w:t>
      </w:r>
      <w:r w:rsidR="00E90411" w:rsidRPr="007F6332">
        <w:rPr>
          <w:rFonts w:cs="Arial"/>
          <w:szCs w:val="28"/>
          <w:lang w:bidi="th-TH"/>
        </w:rPr>
        <w:t>also serves</w:t>
      </w:r>
      <w:r w:rsidRPr="007F6332">
        <w:rPr>
          <w:rFonts w:cs="Arial"/>
          <w:szCs w:val="28"/>
          <w:lang w:bidi="th-TH"/>
        </w:rPr>
        <w:t xml:space="preserve"> to </w:t>
      </w:r>
      <w:r w:rsidR="00E90411" w:rsidRPr="007F6332">
        <w:rPr>
          <w:rFonts w:cs="Arial"/>
          <w:szCs w:val="28"/>
          <w:lang w:bidi="th-TH"/>
        </w:rPr>
        <w:t xml:space="preserve">appropriately allow for </w:t>
      </w:r>
      <w:r w:rsidRPr="007F6332">
        <w:rPr>
          <w:rFonts w:cs="Arial"/>
          <w:szCs w:val="28"/>
          <w:lang w:bidi="th-TH"/>
        </w:rPr>
        <w:t>the recent increases in mortality due to the pandemic.</w:t>
      </w:r>
    </w:p>
    <w:p w14:paraId="3F814186" w14:textId="77777777" w:rsidR="00893BA1" w:rsidRPr="007F6332" w:rsidRDefault="00893BA1" w:rsidP="00893BA1">
      <w:pPr>
        <w:spacing w:line="276" w:lineRule="auto"/>
        <w:rPr>
          <w:rFonts w:cs="Arial"/>
          <w:szCs w:val="28"/>
          <w:lang w:bidi="th-TH"/>
        </w:rPr>
      </w:pPr>
      <w:r w:rsidRPr="007F6332">
        <w:rPr>
          <w:rFonts w:cs="Arial"/>
          <w:szCs w:val="28"/>
          <w:lang w:bidi="th-TH"/>
        </w:rPr>
        <w:t>The mortality assumptions have been derived allowing for the credibility of experience in each sub-group and have also been adjusted for various other factors to ensure the final mortality assumptions are reasonable</w:t>
      </w:r>
      <w:r w:rsidRPr="007F6332">
        <w:rPr>
          <w:rFonts w:cs="Arial"/>
          <w:szCs w:val="28"/>
          <w:vertAlign w:val="superscript"/>
          <w:lang w:bidi="th-TH"/>
        </w:rPr>
        <w:footnoteReference w:id="174"/>
      </w:r>
      <w:r w:rsidRPr="007F6332">
        <w:rPr>
          <w:rFonts w:cs="Arial"/>
          <w:szCs w:val="28"/>
          <w:lang w:bidi="th-TH"/>
        </w:rPr>
        <w:t>.</w:t>
      </w:r>
    </w:p>
    <w:p w14:paraId="5CBB8ED0" w14:textId="77777777" w:rsidR="00893BA1" w:rsidRPr="007F6332" w:rsidRDefault="00893BA1" w:rsidP="00893BA1">
      <w:pPr>
        <w:spacing w:line="276" w:lineRule="auto"/>
        <w:rPr>
          <w:rFonts w:cs="Arial"/>
          <w:szCs w:val="28"/>
          <w:lang w:bidi="th-TH"/>
        </w:rPr>
      </w:pPr>
      <w:r w:rsidRPr="007F6332">
        <w:rPr>
          <w:rFonts w:cs="Arial"/>
          <w:szCs w:val="28"/>
          <w:lang w:bidi="th-TH"/>
        </w:rPr>
        <w:t>The analysis presented in this Appendix is shown on a calendar year basis rather than the financial year basis that is seen throughout this AFSR. This is because the data period used for the review of Scheme mortality was January 2018 to February 2023.</w:t>
      </w:r>
    </w:p>
    <w:p w14:paraId="2262B94D" w14:textId="77777777" w:rsidR="00893BA1" w:rsidRPr="007F6332" w:rsidRDefault="00893BA1" w:rsidP="00893BA1">
      <w:pPr>
        <w:rPr>
          <w:rFonts w:cs="Arial"/>
          <w:b/>
          <w:color w:val="6B2976"/>
          <w:sz w:val="25"/>
        </w:rPr>
      </w:pPr>
      <w:r w:rsidRPr="007F6332">
        <w:rPr>
          <w:rFonts w:cs="Arial"/>
        </w:rPr>
        <w:br w:type="page"/>
      </w:r>
    </w:p>
    <w:p w14:paraId="406B7C7D" w14:textId="77777777" w:rsidR="00893BA1" w:rsidRPr="007F6332" w:rsidRDefault="00893BA1" w:rsidP="00893BA1">
      <w:pPr>
        <w:pStyle w:val="FSRHeading4"/>
        <w:rPr>
          <w:rFonts w:cs="Arial"/>
          <w:iCs/>
        </w:rPr>
      </w:pPr>
      <w:r w:rsidRPr="007F6332">
        <w:rPr>
          <w:rFonts w:cs="Arial"/>
          <w:iCs/>
        </w:rPr>
        <w:lastRenderedPageBreak/>
        <w:t>Analysis of experience</w:t>
      </w:r>
    </w:p>
    <w:p w14:paraId="7693A61E" w14:textId="77777777" w:rsidR="00893BA1" w:rsidRPr="007F6332" w:rsidRDefault="00893BA1" w:rsidP="00025A2D">
      <w:pPr>
        <w:pStyle w:val="H5Header"/>
      </w:pPr>
      <w:r w:rsidRPr="007F6332">
        <w:t>Scheme mortality experience over time</w:t>
      </w:r>
    </w:p>
    <w:p w14:paraId="1958BD85" w14:textId="1ABCFC15" w:rsidR="00893BA1" w:rsidRPr="007F6332" w:rsidRDefault="00893BA1" w:rsidP="00893BA1">
      <w:pPr>
        <w:rPr>
          <w:rFonts w:cs="Arial"/>
          <w:szCs w:val="22"/>
        </w:rPr>
      </w:pPr>
      <w:r w:rsidRPr="007F6332">
        <w:rPr>
          <w:rFonts w:cs="Arial"/>
        </w:rPr>
        <w:t xml:space="preserve">Figure </w:t>
      </w:r>
      <w:r w:rsidR="00165BFB" w:rsidRPr="007F6332">
        <w:rPr>
          <w:rFonts w:cs="Arial"/>
        </w:rPr>
        <w:t>H</w:t>
      </w:r>
      <w:r w:rsidRPr="007F6332">
        <w:rPr>
          <w:rFonts w:cs="Arial"/>
        </w:rPr>
        <w:t>.1 shows the annualised mortality rate (and number) of participants leaving the Scheme due to mortality in the calendar years 2017 to 2023</w:t>
      </w:r>
      <w:r w:rsidRPr="007F6332">
        <w:rPr>
          <w:rStyle w:val="FootnoteReference"/>
          <w:rFonts w:cs="Arial"/>
        </w:rPr>
        <w:footnoteReference w:id="175"/>
      </w:r>
      <w:r w:rsidRPr="007F6332">
        <w:rPr>
          <w:rFonts w:cs="Arial"/>
        </w:rPr>
        <w:t xml:space="preserve"> compared to the expected mortality rate based on assumptions from the June 2022 projections and the participant mix in each period. Note that participants were still transitioning into the Scheme up to 30 June 2019 (and 30 June 2020 in Western Australia).</w:t>
      </w:r>
    </w:p>
    <w:p w14:paraId="7C6B4B17" w14:textId="7C0C83AA" w:rsidR="00893BA1" w:rsidRPr="007F6332" w:rsidRDefault="00893BA1" w:rsidP="00893BA1">
      <w:pPr>
        <w:rPr>
          <w:rFonts w:cs="Arial"/>
        </w:rPr>
      </w:pPr>
      <w:r w:rsidRPr="007F6332">
        <w:rPr>
          <w:rFonts w:cs="Arial"/>
        </w:rPr>
        <w:t xml:space="preserve">Scheme mortality rates have trended upwards over the </w:t>
      </w:r>
      <w:r w:rsidR="00E16F09" w:rsidRPr="007F6332">
        <w:rPr>
          <w:rFonts w:cs="Arial"/>
        </w:rPr>
        <w:t>last 5</w:t>
      </w:r>
      <w:r w:rsidRPr="007F6332">
        <w:rPr>
          <w:rFonts w:cs="Arial"/>
        </w:rPr>
        <w:t xml:space="preserve"> years, with a</w:t>
      </w:r>
      <w:r w:rsidR="00B46FC5" w:rsidRPr="007F6332">
        <w:rPr>
          <w:rFonts w:cs="Arial"/>
        </w:rPr>
        <w:t>n</w:t>
      </w:r>
      <w:r w:rsidRPr="007F6332">
        <w:rPr>
          <w:rFonts w:cs="Arial"/>
        </w:rPr>
        <w:t xml:space="preserve"> increase in the 14 months to February 2023. Although the Scheme mortality experience has generally been in line with expectations (using mortality assumptions from the June 2022 projections) up to the end of 2021, the mortality experience over the 14 months was above expected (1.1% actual compared to 0.9% expected). This increase was consistent with the recent general Australian population experience which saw a 15%</w:t>
      </w:r>
      <w:r w:rsidRPr="007F6332">
        <w:rPr>
          <w:rStyle w:val="FootnoteReference"/>
          <w:rFonts w:cs="Arial"/>
        </w:rPr>
        <w:footnoteReference w:id="176"/>
      </w:r>
      <w:r w:rsidRPr="007F6332">
        <w:rPr>
          <w:rFonts w:cs="Arial"/>
          <w:vertAlign w:val="superscript"/>
        </w:rPr>
        <w:t>,</w:t>
      </w:r>
      <w:r w:rsidRPr="007F6332">
        <w:rPr>
          <w:rStyle w:val="FootnoteReference"/>
          <w:rFonts w:cs="Arial"/>
        </w:rPr>
        <w:footnoteReference w:id="177"/>
      </w:r>
      <w:r w:rsidRPr="007F6332">
        <w:rPr>
          <w:rFonts w:cs="Arial"/>
        </w:rPr>
        <w:t xml:space="preserve"> increase in the number of deaths in 2022 compared to historical averages</w:t>
      </w:r>
      <w:r w:rsidRPr="007F6332">
        <w:rPr>
          <w:rStyle w:val="FootnoteReference"/>
          <w:rFonts w:cs="Arial"/>
        </w:rPr>
        <w:footnoteReference w:id="178"/>
      </w:r>
      <w:r w:rsidRPr="007F6332">
        <w:rPr>
          <w:rFonts w:cs="Arial"/>
        </w:rPr>
        <w:t>.</w:t>
      </w:r>
    </w:p>
    <w:p w14:paraId="07F45189" w14:textId="2A2FEEE4" w:rsidR="00B8514E" w:rsidRPr="007F6332" w:rsidRDefault="00B8514E" w:rsidP="00025A2D">
      <w:pPr>
        <w:pStyle w:val="Heading6"/>
        <w:rPr>
          <w:rFonts w:eastAsia="DengXian"/>
        </w:rPr>
      </w:pPr>
      <w:r w:rsidRPr="007F6332">
        <w:rPr>
          <w:rFonts w:eastAsia="DengXian"/>
        </w:rPr>
        <w:t>Figure H.1: Actual vs expected mortality rates and number of participant deaths</w:t>
      </w:r>
    </w:p>
    <w:p w14:paraId="7B7AEC07" w14:textId="7FB2DE8E" w:rsidR="000935C1" w:rsidRPr="007F6332" w:rsidRDefault="002E127F">
      <w:pPr>
        <w:spacing w:line="276" w:lineRule="auto"/>
        <w:rPr>
          <w:rFonts w:cs="Arial"/>
        </w:rPr>
      </w:pPr>
      <w:r w:rsidRPr="007F6332">
        <w:rPr>
          <w:rFonts w:eastAsiaTheme="majorEastAsia" w:cs="Arial"/>
          <w:noProof/>
        </w:rPr>
        <w:drawing>
          <wp:inline distT="0" distB="0" distL="0" distR="0" wp14:anchorId="52F0632D" wp14:editId="6A54888A">
            <wp:extent cx="5721350" cy="3229610"/>
            <wp:effectExtent l="0" t="0" r="0" b="8890"/>
            <wp:docPr id="1776044556" name="Picture 7" descr="Figure H.1: &#10;Actual vs expected mortality rates and number of participant deaths. &#10;2018: Actual mortality rate (%) 0.89%. 1,549.&#10;2018: Expected mortality rate from June 2022 projections (%) 0.95%. 1,647.&#10; 2019: Actual mortality rate (%) 0.97%. 2,763.&#10;2019: Expected mortality rate from June 2022 projections (%) 0.98%. 2,797.&#10; 2020: Actual mortality rate (%) 0.99%. 3,840.&#10;2020: Expected mortality rate from June 2022 projections (%) 0.96%. 3,720.&#10; 2021: Actual mortality rate (%) 0.94%. 4,389. &#10;2021: Expected mortality rate from June 2022 projections (%) 0.95%. 4,413.&#10;2022: Actual mortality rate (%) 1.07%. 5,750.&#10;2022: Expected mortality rate from June 2022 projections (%) 0.92%. 4,920.&#10;2023 (January to February): Actual mortality rate (%) 1.14%. 1,064. &#10;2023 (January to February): Expected mortality rate from June 2022 projections (%) 0.89%. 83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44556" name="Picture 7" descr="Figure H.1: &#10;Actual vs expected mortality rates and number of participant deaths. &#10;2018: Actual mortality rate (%) 0.89%. 1,549.&#10;2018: Expected mortality rate from June 2022 projections (%) 0.95%. 1,647.&#10; 2019: Actual mortality rate (%) 0.97%. 2,763.&#10;2019: Expected mortality rate from June 2022 projections (%) 0.98%. 2,797.&#10; 2020: Actual mortality rate (%) 0.99%. 3,840.&#10;2020: Expected mortality rate from June 2022 projections (%) 0.96%. 3,720.&#10; 2021: Actual mortality rate (%) 0.94%. 4,389. &#10;2021: Expected mortality rate from June 2022 projections (%) 0.95%. 4,413.&#10;2022: Actual mortality rate (%) 1.07%. 5,750.&#10;2022: Expected mortality rate from June 2022 projections (%) 0.92%. 4,920.&#10;2023 (January to February): Actual mortality rate (%) 1.14%. 1,064. &#10;2023 (January to February): Expected mortality rate from June 2022 projections (%) 0.89%. 836.&#1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721350" cy="3229610"/>
                    </a:xfrm>
                    <a:prstGeom prst="rect">
                      <a:avLst/>
                    </a:prstGeom>
                    <a:noFill/>
                  </pic:spPr>
                </pic:pic>
              </a:graphicData>
            </a:graphic>
          </wp:inline>
        </w:drawing>
      </w:r>
      <w:r w:rsidR="000935C1" w:rsidRPr="007F6332">
        <w:rPr>
          <w:rFonts w:cs="Arial"/>
        </w:rPr>
        <w:br w:type="page"/>
      </w:r>
    </w:p>
    <w:p w14:paraId="4D3C4A1E" w14:textId="5ADD6BBC" w:rsidR="00893BA1" w:rsidRPr="007F6332" w:rsidRDefault="00893BA1" w:rsidP="00893BA1">
      <w:pPr>
        <w:rPr>
          <w:rFonts w:cs="Arial"/>
        </w:rPr>
      </w:pPr>
      <w:r w:rsidRPr="007F6332">
        <w:rPr>
          <w:rFonts w:cs="Arial"/>
        </w:rPr>
        <w:lastRenderedPageBreak/>
        <w:t>The actual mortality rate in the 14 months to 28 February 2023 of 1.08% was 18.4% higher than expected (0.91%). In total, there were 6,814 deaths, 1,058 more than the 5,756 expected for the period. The main contributors to this difference were:</w:t>
      </w:r>
    </w:p>
    <w:p w14:paraId="1CF43CB0" w14:textId="77777777" w:rsidR="00893BA1" w:rsidRPr="007F6332" w:rsidRDefault="00893BA1" w:rsidP="00F26AC5">
      <w:pPr>
        <w:pStyle w:val="FSRlist"/>
        <w:rPr>
          <w:rFonts w:cs="Arial"/>
        </w:rPr>
      </w:pPr>
      <w:r w:rsidRPr="007F6332">
        <w:rPr>
          <w:rFonts w:cs="Arial"/>
        </w:rPr>
        <w:t>Participants aged 35 and over accounting for 93% of the difference.</w:t>
      </w:r>
    </w:p>
    <w:p w14:paraId="60C8F2F8" w14:textId="77777777" w:rsidR="00893BA1" w:rsidRPr="007F6332" w:rsidRDefault="00893BA1" w:rsidP="00F26AC5">
      <w:pPr>
        <w:pStyle w:val="FSRlist"/>
        <w:rPr>
          <w:rFonts w:cs="Arial"/>
        </w:rPr>
      </w:pPr>
      <w:r w:rsidRPr="007F6332">
        <w:rPr>
          <w:rFonts w:cs="Arial"/>
        </w:rPr>
        <w:t>Participants with psychosocial, other and acquired brain injury (ABI) disabilities accounting for 70% of the difference.</w:t>
      </w:r>
    </w:p>
    <w:p w14:paraId="444D888C" w14:textId="77777777" w:rsidR="00E90411" w:rsidRPr="007F6332" w:rsidRDefault="00E90411" w:rsidP="00F26AC5">
      <w:pPr>
        <w:pStyle w:val="FSRlist"/>
        <w:rPr>
          <w:rFonts w:cs="Arial"/>
        </w:rPr>
      </w:pPr>
      <w:r w:rsidRPr="007F6332">
        <w:rPr>
          <w:rFonts w:cs="Arial"/>
        </w:rPr>
        <w:t>Participants with low levels of function accounting for 67% of the difference.</w:t>
      </w:r>
    </w:p>
    <w:p w14:paraId="505D2E90" w14:textId="77777777" w:rsidR="00893BA1" w:rsidRPr="007F6332" w:rsidRDefault="00893BA1" w:rsidP="00025A2D">
      <w:pPr>
        <w:pStyle w:val="H5Header"/>
      </w:pPr>
      <w:r w:rsidRPr="007F6332">
        <w:t>Scheme mortality over time, by disability group</w:t>
      </w:r>
    </w:p>
    <w:p w14:paraId="21D02D98" w14:textId="77777777" w:rsidR="00893BA1" w:rsidRPr="007F6332" w:rsidRDefault="00893BA1" w:rsidP="00F26AC5">
      <w:pPr>
        <w:spacing w:before="240"/>
        <w:rPr>
          <w:rFonts w:cs="Arial"/>
          <w:szCs w:val="22"/>
        </w:rPr>
      </w:pPr>
      <w:r w:rsidRPr="007F6332">
        <w:rPr>
          <w:rFonts w:cs="Arial"/>
        </w:rPr>
        <w:t>Mortality experience varies widely according to disability, noting that each disability has different participant mixes in terms of ages, gender and levels of function.</w:t>
      </w:r>
    </w:p>
    <w:p w14:paraId="027809D2" w14:textId="77777777" w:rsidR="00B8399D" w:rsidRPr="007F6332" w:rsidRDefault="00893BA1" w:rsidP="00F26AC5">
      <w:pPr>
        <w:spacing w:before="240"/>
        <w:rPr>
          <w:rFonts w:cs="Arial"/>
        </w:rPr>
      </w:pPr>
      <w:r w:rsidRPr="007F6332">
        <w:rPr>
          <w:rFonts w:cs="Arial"/>
        </w:rPr>
        <w:t xml:space="preserve">Table </w:t>
      </w:r>
      <w:r w:rsidR="00165BFB" w:rsidRPr="007F6332">
        <w:rPr>
          <w:rFonts w:cs="Arial"/>
        </w:rPr>
        <w:t>H</w:t>
      </w:r>
      <w:r w:rsidRPr="007F6332">
        <w:rPr>
          <w:rFonts w:cs="Arial"/>
        </w:rPr>
        <w:t xml:space="preserve">.1, Table </w:t>
      </w:r>
      <w:r w:rsidR="00165BFB" w:rsidRPr="007F6332">
        <w:rPr>
          <w:rFonts w:cs="Arial"/>
        </w:rPr>
        <w:t>H</w:t>
      </w:r>
      <w:r w:rsidRPr="007F6332">
        <w:rPr>
          <w:rFonts w:cs="Arial"/>
        </w:rPr>
        <w:t xml:space="preserve">.2 and Table </w:t>
      </w:r>
      <w:r w:rsidR="00165BFB" w:rsidRPr="007F6332">
        <w:rPr>
          <w:rFonts w:cs="Arial"/>
        </w:rPr>
        <w:t>H</w:t>
      </w:r>
      <w:r w:rsidRPr="007F6332">
        <w:rPr>
          <w:rFonts w:cs="Arial"/>
        </w:rPr>
        <w:t>.3 show the actual and expected mortality experience for each primary disability as well as the difference between actual and expected experience. Expected mortality rates are the mortality assumptions from the June 2022 projections.</w:t>
      </w:r>
    </w:p>
    <w:p w14:paraId="0FB2D8B9" w14:textId="1287DA3D" w:rsidR="00893BA1" w:rsidRPr="007F6332" w:rsidRDefault="00893BA1" w:rsidP="000A3CE4">
      <w:pPr>
        <w:pStyle w:val="Heading6"/>
      </w:pPr>
      <w:bookmarkStart w:id="311" w:name="_Hlk133411018"/>
      <w:r w:rsidRPr="007F6332">
        <w:t xml:space="preserve">Table </w:t>
      </w:r>
      <w:r w:rsidR="00165BFB" w:rsidRPr="007F6332">
        <w:t>H</w:t>
      </w:r>
      <w:r w:rsidRPr="007F6332">
        <w:t>.1: Actual mortality rates by primary disability</w:t>
      </w:r>
    </w:p>
    <w:tbl>
      <w:tblPr>
        <w:tblStyle w:val="FSRtable"/>
        <w:tblW w:w="9242" w:type="dxa"/>
        <w:tblInd w:w="0" w:type="dxa"/>
        <w:tblLayout w:type="fixed"/>
        <w:tblLook w:val="04A0" w:firstRow="1" w:lastRow="0" w:firstColumn="1" w:lastColumn="0" w:noHBand="0" w:noVBand="1"/>
      </w:tblPr>
      <w:tblGrid>
        <w:gridCol w:w="2494"/>
        <w:gridCol w:w="964"/>
        <w:gridCol w:w="964"/>
        <w:gridCol w:w="964"/>
        <w:gridCol w:w="964"/>
        <w:gridCol w:w="964"/>
        <w:gridCol w:w="964"/>
        <w:gridCol w:w="964"/>
      </w:tblGrid>
      <w:tr w:rsidR="00DE7DD6" w:rsidRPr="007F6332" w14:paraId="352807F7" w14:textId="77777777" w:rsidTr="003D7B37">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dxa"/>
            <w:hideMark/>
          </w:tcPr>
          <w:p w14:paraId="5B30E1E9"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Disability group</w:t>
            </w:r>
          </w:p>
        </w:tc>
        <w:tc>
          <w:tcPr>
            <w:tcW w:w="0" w:type="dxa"/>
            <w:hideMark/>
          </w:tcPr>
          <w:p w14:paraId="7D578407"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0" w:type="dxa"/>
            <w:hideMark/>
          </w:tcPr>
          <w:p w14:paraId="2170FF53"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0" w:type="dxa"/>
            <w:hideMark/>
          </w:tcPr>
          <w:p w14:paraId="06FFD385"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0" w:type="dxa"/>
            <w:hideMark/>
          </w:tcPr>
          <w:p w14:paraId="1F6249EB"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0" w:type="dxa"/>
            <w:hideMark/>
          </w:tcPr>
          <w:p w14:paraId="18BA837B"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0" w:type="dxa"/>
            <w:hideMark/>
          </w:tcPr>
          <w:p w14:paraId="4652C79F"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964" w:type="dxa"/>
            <w:hideMark/>
          </w:tcPr>
          <w:p w14:paraId="70C0F29B"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DE7DD6" w:rsidRPr="007F6332" w14:paraId="5B742532" w14:textId="77777777" w:rsidTr="003D7B37">
        <w:trPr>
          <w:trHeight w:val="290"/>
        </w:trPr>
        <w:tc>
          <w:tcPr>
            <w:cnfStyle w:val="001000000000" w:firstRow="0" w:lastRow="0" w:firstColumn="1" w:lastColumn="0" w:oddVBand="0" w:evenVBand="0" w:oddHBand="0" w:evenHBand="0" w:firstRowFirstColumn="0" w:firstRowLastColumn="0" w:lastRowFirstColumn="0" w:lastRowLastColumn="0"/>
            <w:tcW w:w="2494" w:type="dxa"/>
            <w:noWrap/>
            <w:hideMark/>
          </w:tcPr>
          <w:p w14:paraId="5BC658AF" w14:textId="3FCF5473" w:rsidR="00893BA1" w:rsidRPr="007F6332" w:rsidRDefault="00893BA1" w:rsidP="003D7B37">
            <w:pPr>
              <w:spacing w:line="240" w:lineRule="auto"/>
              <w:ind w:left="37" w:hanging="37"/>
              <w:rPr>
                <w:rFonts w:eastAsia="Times New Roman" w:cs="Arial"/>
                <w:color w:val="000000"/>
                <w:lang w:eastAsia="en-AU"/>
              </w:rPr>
            </w:pPr>
            <w:r w:rsidRPr="007F6332">
              <w:rPr>
                <w:rFonts w:eastAsia="Times New Roman" w:cs="Arial"/>
                <w:color w:val="000000"/>
                <w:lang w:eastAsia="en-AU"/>
              </w:rPr>
              <w:t xml:space="preserve">Acquired brain injury </w:t>
            </w:r>
          </w:p>
        </w:tc>
        <w:tc>
          <w:tcPr>
            <w:tcW w:w="964" w:type="dxa"/>
            <w:noWrap/>
            <w:hideMark/>
          </w:tcPr>
          <w:p w14:paraId="6345162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2.29%</w:t>
            </w:r>
          </w:p>
        </w:tc>
        <w:tc>
          <w:tcPr>
            <w:tcW w:w="964" w:type="dxa"/>
            <w:noWrap/>
            <w:hideMark/>
          </w:tcPr>
          <w:p w14:paraId="6C6EC0A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2.09%</w:t>
            </w:r>
          </w:p>
        </w:tc>
        <w:tc>
          <w:tcPr>
            <w:tcW w:w="964" w:type="dxa"/>
            <w:noWrap/>
            <w:hideMark/>
          </w:tcPr>
          <w:p w14:paraId="6FE2EB7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2.42%</w:t>
            </w:r>
          </w:p>
        </w:tc>
        <w:tc>
          <w:tcPr>
            <w:tcW w:w="964" w:type="dxa"/>
            <w:noWrap/>
            <w:hideMark/>
          </w:tcPr>
          <w:p w14:paraId="6F7011A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2.60%</w:t>
            </w:r>
          </w:p>
        </w:tc>
        <w:tc>
          <w:tcPr>
            <w:tcW w:w="964" w:type="dxa"/>
            <w:noWrap/>
            <w:hideMark/>
          </w:tcPr>
          <w:p w14:paraId="3962941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3.45%</w:t>
            </w:r>
          </w:p>
        </w:tc>
        <w:tc>
          <w:tcPr>
            <w:tcW w:w="964" w:type="dxa"/>
            <w:noWrap/>
            <w:hideMark/>
          </w:tcPr>
          <w:p w14:paraId="15D79DB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3.89%</w:t>
            </w:r>
          </w:p>
        </w:tc>
        <w:tc>
          <w:tcPr>
            <w:tcW w:w="964" w:type="dxa"/>
            <w:noWrap/>
            <w:hideMark/>
          </w:tcPr>
          <w:p w14:paraId="0BC9E57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2.73%</w:t>
            </w:r>
          </w:p>
        </w:tc>
      </w:tr>
      <w:tr w:rsidR="00DE7DD6" w:rsidRPr="007F6332" w14:paraId="142E63CB" w14:textId="77777777" w:rsidTr="003D7B3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11C3E6C1" w14:textId="0FE79B31"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Autism </w:t>
            </w:r>
          </w:p>
        </w:tc>
        <w:tc>
          <w:tcPr>
            <w:tcW w:w="0" w:type="dxa"/>
            <w:noWrap/>
            <w:hideMark/>
          </w:tcPr>
          <w:p w14:paraId="237829B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0.04%</w:t>
            </w:r>
          </w:p>
        </w:tc>
        <w:tc>
          <w:tcPr>
            <w:tcW w:w="0" w:type="dxa"/>
            <w:noWrap/>
            <w:hideMark/>
          </w:tcPr>
          <w:p w14:paraId="53E4524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0.05%</w:t>
            </w:r>
          </w:p>
        </w:tc>
        <w:tc>
          <w:tcPr>
            <w:tcW w:w="0" w:type="dxa"/>
            <w:noWrap/>
            <w:hideMark/>
          </w:tcPr>
          <w:p w14:paraId="7934511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0.05%</w:t>
            </w:r>
          </w:p>
        </w:tc>
        <w:tc>
          <w:tcPr>
            <w:tcW w:w="0" w:type="dxa"/>
            <w:noWrap/>
            <w:hideMark/>
          </w:tcPr>
          <w:p w14:paraId="6718CD0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0.04%</w:t>
            </w:r>
          </w:p>
        </w:tc>
        <w:tc>
          <w:tcPr>
            <w:tcW w:w="0" w:type="dxa"/>
            <w:noWrap/>
            <w:hideMark/>
          </w:tcPr>
          <w:p w14:paraId="3D7D88C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0" w:type="dxa"/>
            <w:noWrap/>
            <w:hideMark/>
          </w:tcPr>
          <w:p w14:paraId="13F576A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0.05%</w:t>
            </w:r>
          </w:p>
        </w:tc>
        <w:tc>
          <w:tcPr>
            <w:tcW w:w="964" w:type="dxa"/>
            <w:noWrap/>
            <w:hideMark/>
          </w:tcPr>
          <w:p w14:paraId="4AD623F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0.05%</w:t>
            </w:r>
          </w:p>
        </w:tc>
      </w:tr>
      <w:tr w:rsidR="00DE7DD6" w:rsidRPr="007F6332" w14:paraId="52E89679" w14:textId="77777777" w:rsidTr="003D7B37">
        <w:trPr>
          <w:trHeight w:val="290"/>
        </w:trPr>
        <w:tc>
          <w:tcPr>
            <w:cnfStyle w:val="001000000000" w:firstRow="0" w:lastRow="0" w:firstColumn="1" w:lastColumn="0" w:oddVBand="0" w:evenVBand="0" w:oddHBand="0" w:evenHBand="0" w:firstRowFirstColumn="0" w:firstRowLastColumn="0" w:lastRowFirstColumn="0" w:lastRowLastColumn="0"/>
            <w:tcW w:w="2494" w:type="dxa"/>
            <w:noWrap/>
            <w:hideMark/>
          </w:tcPr>
          <w:p w14:paraId="52B72AE7" w14:textId="4339715B"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Cerebral Palsy </w:t>
            </w:r>
          </w:p>
        </w:tc>
        <w:tc>
          <w:tcPr>
            <w:tcW w:w="964" w:type="dxa"/>
            <w:noWrap/>
            <w:hideMark/>
          </w:tcPr>
          <w:p w14:paraId="57F5B6A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0.62%</w:t>
            </w:r>
          </w:p>
        </w:tc>
        <w:tc>
          <w:tcPr>
            <w:tcW w:w="964" w:type="dxa"/>
            <w:noWrap/>
            <w:hideMark/>
          </w:tcPr>
          <w:p w14:paraId="086E3E74" w14:textId="701A4F9D"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083%</w:t>
            </w:r>
          </w:p>
        </w:tc>
        <w:tc>
          <w:tcPr>
            <w:tcW w:w="964" w:type="dxa"/>
            <w:noWrap/>
            <w:hideMark/>
          </w:tcPr>
          <w:p w14:paraId="085EAAA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0.56%</w:t>
            </w:r>
          </w:p>
        </w:tc>
        <w:tc>
          <w:tcPr>
            <w:tcW w:w="964" w:type="dxa"/>
            <w:noWrap/>
            <w:hideMark/>
          </w:tcPr>
          <w:p w14:paraId="32C6941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0.81%</w:t>
            </w:r>
          </w:p>
        </w:tc>
        <w:tc>
          <w:tcPr>
            <w:tcW w:w="964" w:type="dxa"/>
            <w:noWrap/>
            <w:hideMark/>
          </w:tcPr>
          <w:p w14:paraId="072B85F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0.99%</w:t>
            </w:r>
          </w:p>
        </w:tc>
        <w:tc>
          <w:tcPr>
            <w:tcW w:w="964" w:type="dxa"/>
            <w:noWrap/>
            <w:hideMark/>
          </w:tcPr>
          <w:p w14:paraId="2BBEAE7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1.13%</w:t>
            </w:r>
          </w:p>
        </w:tc>
        <w:tc>
          <w:tcPr>
            <w:tcW w:w="964" w:type="dxa"/>
            <w:noWrap/>
            <w:hideMark/>
          </w:tcPr>
          <w:p w14:paraId="4D3705D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0.79%</w:t>
            </w:r>
          </w:p>
        </w:tc>
      </w:tr>
      <w:tr w:rsidR="00DE7DD6" w:rsidRPr="007F6332" w14:paraId="4D2B97FF" w14:textId="77777777" w:rsidTr="003D7B3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3FE179B9" w14:textId="0DBE7FA3"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Developmental delay </w:t>
            </w:r>
          </w:p>
        </w:tc>
        <w:tc>
          <w:tcPr>
            <w:tcW w:w="0" w:type="dxa"/>
            <w:noWrap/>
            <w:hideMark/>
          </w:tcPr>
          <w:p w14:paraId="480778E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0.42%</w:t>
            </w:r>
          </w:p>
        </w:tc>
        <w:tc>
          <w:tcPr>
            <w:tcW w:w="0" w:type="dxa"/>
            <w:noWrap/>
            <w:hideMark/>
          </w:tcPr>
          <w:p w14:paraId="61B6602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0.24%</w:t>
            </w:r>
          </w:p>
        </w:tc>
        <w:tc>
          <w:tcPr>
            <w:tcW w:w="0" w:type="dxa"/>
            <w:noWrap/>
            <w:hideMark/>
          </w:tcPr>
          <w:p w14:paraId="2C93AC6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0.17%</w:t>
            </w:r>
          </w:p>
        </w:tc>
        <w:tc>
          <w:tcPr>
            <w:tcW w:w="0" w:type="dxa"/>
            <w:noWrap/>
            <w:hideMark/>
          </w:tcPr>
          <w:p w14:paraId="3848FAE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0.08%</w:t>
            </w:r>
          </w:p>
        </w:tc>
        <w:tc>
          <w:tcPr>
            <w:tcW w:w="0" w:type="dxa"/>
            <w:noWrap/>
            <w:hideMark/>
          </w:tcPr>
          <w:p w14:paraId="62CD43F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0.10%</w:t>
            </w:r>
          </w:p>
        </w:tc>
        <w:tc>
          <w:tcPr>
            <w:tcW w:w="0" w:type="dxa"/>
            <w:noWrap/>
            <w:hideMark/>
          </w:tcPr>
          <w:p w14:paraId="77B4ED0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964" w:type="dxa"/>
            <w:noWrap/>
            <w:hideMark/>
          </w:tcPr>
          <w:p w14:paraId="72F5723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0.12%</w:t>
            </w:r>
          </w:p>
        </w:tc>
      </w:tr>
      <w:tr w:rsidR="00DE7DD6" w:rsidRPr="007F6332" w14:paraId="6CFEB841" w14:textId="77777777" w:rsidTr="003D7B37">
        <w:trPr>
          <w:trHeight w:val="290"/>
        </w:trPr>
        <w:tc>
          <w:tcPr>
            <w:cnfStyle w:val="001000000000" w:firstRow="0" w:lastRow="0" w:firstColumn="1" w:lastColumn="0" w:oddVBand="0" w:evenVBand="0" w:oddHBand="0" w:evenHBand="0" w:firstRowFirstColumn="0" w:firstRowLastColumn="0" w:lastRowFirstColumn="0" w:lastRowLastColumn="0"/>
            <w:tcW w:w="2494" w:type="dxa"/>
            <w:noWrap/>
            <w:hideMark/>
          </w:tcPr>
          <w:p w14:paraId="1C7300C2" w14:textId="60333FF1"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Hearing Impairment </w:t>
            </w:r>
          </w:p>
        </w:tc>
        <w:tc>
          <w:tcPr>
            <w:tcW w:w="964" w:type="dxa"/>
            <w:noWrap/>
            <w:hideMark/>
          </w:tcPr>
          <w:p w14:paraId="02F0D44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0.35%</w:t>
            </w:r>
          </w:p>
        </w:tc>
        <w:tc>
          <w:tcPr>
            <w:tcW w:w="964" w:type="dxa"/>
            <w:noWrap/>
            <w:hideMark/>
          </w:tcPr>
          <w:p w14:paraId="6C0BFA9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0.20%</w:t>
            </w:r>
          </w:p>
        </w:tc>
        <w:tc>
          <w:tcPr>
            <w:tcW w:w="964" w:type="dxa"/>
            <w:noWrap/>
            <w:hideMark/>
          </w:tcPr>
          <w:p w14:paraId="229A1E9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0.26%</w:t>
            </w:r>
          </w:p>
        </w:tc>
        <w:tc>
          <w:tcPr>
            <w:tcW w:w="964" w:type="dxa"/>
            <w:noWrap/>
            <w:hideMark/>
          </w:tcPr>
          <w:p w14:paraId="0D93A72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0.27%</w:t>
            </w:r>
          </w:p>
        </w:tc>
        <w:tc>
          <w:tcPr>
            <w:tcW w:w="964" w:type="dxa"/>
            <w:noWrap/>
            <w:hideMark/>
          </w:tcPr>
          <w:p w14:paraId="74811E8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0.28%</w:t>
            </w:r>
          </w:p>
        </w:tc>
        <w:tc>
          <w:tcPr>
            <w:tcW w:w="964" w:type="dxa"/>
            <w:noWrap/>
            <w:hideMark/>
          </w:tcPr>
          <w:p w14:paraId="187DB95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0.24%</w:t>
            </w:r>
          </w:p>
        </w:tc>
        <w:tc>
          <w:tcPr>
            <w:tcW w:w="964" w:type="dxa"/>
            <w:noWrap/>
            <w:hideMark/>
          </w:tcPr>
          <w:p w14:paraId="2A3C791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0.26%</w:t>
            </w:r>
          </w:p>
        </w:tc>
      </w:tr>
      <w:tr w:rsidR="00DE7DD6" w:rsidRPr="007F6332" w14:paraId="629DF2B8" w14:textId="77777777" w:rsidTr="003D7B3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02EF7F57" w14:textId="2928F571"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Intellectual Disability </w:t>
            </w:r>
          </w:p>
        </w:tc>
        <w:tc>
          <w:tcPr>
            <w:tcW w:w="0" w:type="dxa"/>
            <w:noWrap/>
            <w:hideMark/>
          </w:tcPr>
          <w:p w14:paraId="38F4EB7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0.73%</w:t>
            </w:r>
          </w:p>
        </w:tc>
        <w:tc>
          <w:tcPr>
            <w:tcW w:w="0" w:type="dxa"/>
            <w:noWrap/>
            <w:hideMark/>
          </w:tcPr>
          <w:p w14:paraId="26FA43A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0.77%</w:t>
            </w:r>
          </w:p>
        </w:tc>
        <w:tc>
          <w:tcPr>
            <w:tcW w:w="0" w:type="dxa"/>
            <w:noWrap/>
            <w:hideMark/>
          </w:tcPr>
          <w:p w14:paraId="6A01F4B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0.77%</w:t>
            </w:r>
          </w:p>
        </w:tc>
        <w:tc>
          <w:tcPr>
            <w:tcW w:w="0" w:type="dxa"/>
            <w:noWrap/>
            <w:hideMark/>
          </w:tcPr>
          <w:p w14:paraId="68171B2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0.77%</w:t>
            </w:r>
          </w:p>
        </w:tc>
        <w:tc>
          <w:tcPr>
            <w:tcW w:w="0" w:type="dxa"/>
            <w:noWrap/>
            <w:hideMark/>
          </w:tcPr>
          <w:p w14:paraId="59788F5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0.82%</w:t>
            </w:r>
          </w:p>
        </w:tc>
        <w:tc>
          <w:tcPr>
            <w:tcW w:w="0" w:type="dxa"/>
            <w:noWrap/>
            <w:hideMark/>
          </w:tcPr>
          <w:p w14:paraId="0120BC7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0.81%</w:t>
            </w:r>
          </w:p>
        </w:tc>
        <w:tc>
          <w:tcPr>
            <w:tcW w:w="964" w:type="dxa"/>
            <w:noWrap/>
            <w:hideMark/>
          </w:tcPr>
          <w:p w14:paraId="5FEB580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0.78%</w:t>
            </w:r>
          </w:p>
        </w:tc>
      </w:tr>
      <w:tr w:rsidR="00DE7DD6" w:rsidRPr="007F6332" w14:paraId="48762AE9" w14:textId="77777777" w:rsidTr="003D7B37">
        <w:trPr>
          <w:trHeight w:val="290"/>
        </w:trPr>
        <w:tc>
          <w:tcPr>
            <w:cnfStyle w:val="001000000000" w:firstRow="0" w:lastRow="0" w:firstColumn="1" w:lastColumn="0" w:oddVBand="0" w:evenVBand="0" w:oddHBand="0" w:evenHBand="0" w:firstRowFirstColumn="0" w:firstRowLastColumn="0" w:lastRowFirstColumn="0" w:lastRowLastColumn="0"/>
            <w:tcW w:w="2494" w:type="dxa"/>
            <w:noWrap/>
            <w:hideMark/>
          </w:tcPr>
          <w:p w14:paraId="607555C8" w14:textId="235CB151"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Multiple Sclerosis </w:t>
            </w:r>
          </w:p>
        </w:tc>
        <w:tc>
          <w:tcPr>
            <w:tcW w:w="964" w:type="dxa"/>
            <w:noWrap/>
            <w:hideMark/>
          </w:tcPr>
          <w:p w14:paraId="1068CAC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1.25%</w:t>
            </w:r>
          </w:p>
        </w:tc>
        <w:tc>
          <w:tcPr>
            <w:tcW w:w="964" w:type="dxa"/>
            <w:noWrap/>
            <w:hideMark/>
          </w:tcPr>
          <w:p w14:paraId="1F38D89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1.26%</w:t>
            </w:r>
          </w:p>
        </w:tc>
        <w:tc>
          <w:tcPr>
            <w:tcW w:w="964" w:type="dxa"/>
            <w:noWrap/>
            <w:hideMark/>
          </w:tcPr>
          <w:p w14:paraId="62D9E29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1.07%</w:t>
            </w:r>
          </w:p>
        </w:tc>
        <w:tc>
          <w:tcPr>
            <w:tcW w:w="964" w:type="dxa"/>
            <w:noWrap/>
            <w:hideMark/>
          </w:tcPr>
          <w:p w14:paraId="5BD6642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1.18%</w:t>
            </w:r>
          </w:p>
        </w:tc>
        <w:tc>
          <w:tcPr>
            <w:tcW w:w="964" w:type="dxa"/>
            <w:noWrap/>
            <w:hideMark/>
          </w:tcPr>
          <w:p w14:paraId="4ACC962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1.32%</w:t>
            </w:r>
          </w:p>
        </w:tc>
        <w:tc>
          <w:tcPr>
            <w:tcW w:w="964" w:type="dxa"/>
            <w:noWrap/>
            <w:hideMark/>
          </w:tcPr>
          <w:p w14:paraId="25A8AD7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1.55%</w:t>
            </w:r>
          </w:p>
        </w:tc>
        <w:tc>
          <w:tcPr>
            <w:tcW w:w="964" w:type="dxa"/>
            <w:noWrap/>
            <w:hideMark/>
          </w:tcPr>
          <w:p w14:paraId="53142FA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1.23%</w:t>
            </w:r>
          </w:p>
        </w:tc>
      </w:tr>
      <w:tr w:rsidR="00DE7DD6" w:rsidRPr="007F6332" w14:paraId="2944B31D" w14:textId="77777777" w:rsidTr="003D7B3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7858FA6B" w14:textId="360B2BEB"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Psychosocial disability </w:t>
            </w:r>
          </w:p>
        </w:tc>
        <w:tc>
          <w:tcPr>
            <w:tcW w:w="0" w:type="dxa"/>
            <w:noWrap/>
            <w:hideMark/>
          </w:tcPr>
          <w:p w14:paraId="088BC98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1.00%</w:t>
            </w:r>
          </w:p>
        </w:tc>
        <w:tc>
          <w:tcPr>
            <w:tcW w:w="0" w:type="dxa"/>
            <w:noWrap/>
            <w:hideMark/>
          </w:tcPr>
          <w:p w14:paraId="75BF97E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1.13%</w:t>
            </w:r>
          </w:p>
        </w:tc>
        <w:tc>
          <w:tcPr>
            <w:tcW w:w="0" w:type="dxa"/>
            <w:noWrap/>
            <w:hideMark/>
          </w:tcPr>
          <w:p w14:paraId="5233AB3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1.45%</w:t>
            </w:r>
          </w:p>
        </w:tc>
        <w:tc>
          <w:tcPr>
            <w:tcW w:w="0" w:type="dxa"/>
            <w:noWrap/>
            <w:hideMark/>
          </w:tcPr>
          <w:p w14:paraId="233D756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1.23%</w:t>
            </w:r>
          </w:p>
        </w:tc>
        <w:tc>
          <w:tcPr>
            <w:tcW w:w="0" w:type="dxa"/>
            <w:noWrap/>
            <w:hideMark/>
          </w:tcPr>
          <w:p w14:paraId="07CE421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1.66%</w:t>
            </w:r>
          </w:p>
        </w:tc>
        <w:tc>
          <w:tcPr>
            <w:tcW w:w="0" w:type="dxa"/>
            <w:noWrap/>
            <w:hideMark/>
          </w:tcPr>
          <w:p w14:paraId="0EC968D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1.78%</w:t>
            </w:r>
          </w:p>
        </w:tc>
        <w:tc>
          <w:tcPr>
            <w:tcW w:w="964" w:type="dxa"/>
            <w:noWrap/>
            <w:hideMark/>
          </w:tcPr>
          <w:p w14:paraId="5FC87BD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1.40%</w:t>
            </w:r>
          </w:p>
        </w:tc>
      </w:tr>
      <w:tr w:rsidR="00DE7DD6" w:rsidRPr="007F6332" w14:paraId="15E52543" w14:textId="77777777" w:rsidTr="003D7B37">
        <w:trPr>
          <w:trHeight w:val="290"/>
        </w:trPr>
        <w:tc>
          <w:tcPr>
            <w:cnfStyle w:val="001000000000" w:firstRow="0" w:lastRow="0" w:firstColumn="1" w:lastColumn="0" w:oddVBand="0" w:evenVBand="0" w:oddHBand="0" w:evenHBand="0" w:firstRowFirstColumn="0" w:firstRowLastColumn="0" w:lastRowFirstColumn="0" w:lastRowLastColumn="0"/>
            <w:tcW w:w="2494" w:type="dxa"/>
            <w:noWrap/>
            <w:hideMark/>
          </w:tcPr>
          <w:p w14:paraId="4B98339B" w14:textId="65A0B8C0"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Spinal Cord Injury </w:t>
            </w:r>
          </w:p>
        </w:tc>
        <w:tc>
          <w:tcPr>
            <w:tcW w:w="964" w:type="dxa"/>
            <w:noWrap/>
            <w:hideMark/>
          </w:tcPr>
          <w:p w14:paraId="2900938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1.54%</w:t>
            </w:r>
          </w:p>
        </w:tc>
        <w:tc>
          <w:tcPr>
            <w:tcW w:w="964" w:type="dxa"/>
            <w:noWrap/>
            <w:hideMark/>
          </w:tcPr>
          <w:p w14:paraId="16279FA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2.14%</w:t>
            </w:r>
          </w:p>
        </w:tc>
        <w:tc>
          <w:tcPr>
            <w:tcW w:w="964" w:type="dxa"/>
            <w:noWrap/>
            <w:hideMark/>
          </w:tcPr>
          <w:p w14:paraId="09253AD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2.00%</w:t>
            </w:r>
          </w:p>
        </w:tc>
        <w:tc>
          <w:tcPr>
            <w:tcW w:w="964" w:type="dxa"/>
            <w:noWrap/>
            <w:hideMark/>
          </w:tcPr>
          <w:p w14:paraId="744FFEA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2.12%</w:t>
            </w:r>
          </w:p>
        </w:tc>
        <w:tc>
          <w:tcPr>
            <w:tcW w:w="964" w:type="dxa"/>
            <w:noWrap/>
            <w:hideMark/>
          </w:tcPr>
          <w:p w14:paraId="3BE9731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2.82%</w:t>
            </w:r>
          </w:p>
        </w:tc>
        <w:tc>
          <w:tcPr>
            <w:tcW w:w="964" w:type="dxa"/>
            <w:noWrap/>
            <w:hideMark/>
          </w:tcPr>
          <w:p w14:paraId="05F0D6C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1.83%</w:t>
            </w:r>
          </w:p>
        </w:tc>
        <w:tc>
          <w:tcPr>
            <w:tcW w:w="964" w:type="dxa"/>
            <w:noWrap/>
            <w:hideMark/>
          </w:tcPr>
          <w:p w14:paraId="036D5F1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2.20%</w:t>
            </w:r>
          </w:p>
        </w:tc>
      </w:tr>
      <w:tr w:rsidR="00DE7DD6" w:rsidRPr="007F6332" w14:paraId="1BC3C290" w14:textId="77777777" w:rsidTr="003D7B3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12D32826" w14:textId="61DC8A8B"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Stroke </w:t>
            </w:r>
          </w:p>
        </w:tc>
        <w:tc>
          <w:tcPr>
            <w:tcW w:w="0" w:type="dxa"/>
            <w:noWrap/>
            <w:hideMark/>
          </w:tcPr>
          <w:p w14:paraId="49B8051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2.21%</w:t>
            </w:r>
          </w:p>
        </w:tc>
        <w:tc>
          <w:tcPr>
            <w:tcW w:w="0" w:type="dxa"/>
            <w:noWrap/>
            <w:hideMark/>
          </w:tcPr>
          <w:p w14:paraId="33A8CBB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3.04%</w:t>
            </w:r>
          </w:p>
        </w:tc>
        <w:tc>
          <w:tcPr>
            <w:tcW w:w="0" w:type="dxa"/>
            <w:noWrap/>
            <w:hideMark/>
          </w:tcPr>
          <w:p w14:paraId="6D9B8BA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3.18%</w:t>
            </w:r>
          </w:p>
        </w:tc>
        <w:tc>
          <w:tcPr>
            <w:tcW w:w="0" w:type="dxa"/>
            <w:noWrap/>
            <w:hideMark/>
          </w:tcPr>
          <w:p w14:paraId="0348BE7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3.05%</w:t>
            </w:r>
          </w:p>
        </w:tc>
        <w:tc>
          <w:tcPr>
            <w:tcW w:w="0" w:type="dxa"/>
            <w:noWrap/>
            <w:hideMark/>
          </w:tcPr>
          <w:p w14:paraId="18C085F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3.92%</w:t>
            </w:r>
          </w:p>
        </w:tc>
        <w:tc>
          <w:tcPr>
            <w:tcW w:w="0" w:type="dxa"/>
            <w:noWrap/>
            <w:hideMark/>
          </w:tcPr>
          <w:p w14:paraId="2CE05CA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4.07%</w:t>
            </w:r>
          </w:p>
        </w:tc>
        <w:tc>
          <w:tcPr>
            <w:tcW w:w="964" w:type="dxa"/>
            <w:noWrap/>
            <w:hideMark/>
          </w:tcPr>
          <w:p w14:paraId="364F502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3.30%</w:t>
            </w:r>
          </w:p>
        </w:tc>
      </w:tr>
      <w:tr w:rsidR="00DE7DD6" w:rsidRPr="007F6332" w14:paraId="44CD1B88" w14:textId="77777777" w:rsidTr="003D7B37">
        <w:trPr>
          <w:trHeight w:val="290"/>
        </w:trPr>
        <w:tc>
          <w:tcPr>
            <w:cnfStyle w:val="001000000000" w:firstRow="0" w:lastRow="0" w:firstColumn="1" w:lastColumn="0" w:oddVBand="0" w:evenVBand="0" w:oddHBand="0" w:evenHBand="0" w:firstRowFirstColumn="0" w:firstRowLastColumn="0" w:lastRowFirstColumn="0" w:lastRowLastColumn="0"/>
            <w:tcW w:w="2494" w:type="dxa"/>
            <w:noWrap/>
            <w:hideMark/>
          </w:tcPr>
          <w:p w14:paraId="400BDD96" w14:textId="64BBECCE"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Visual Impairment </w:t>
            </w:r>
          </w:p>
        </w:tc>
        <w:tc>
          <w:tcPr>
            <w:tcW w:w="964" w:type="dxa"/>
            <w:noWrap/>
            <w:hideMark/>
          </w:tcPr>
          <w:p w14:paraId="2240A41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0.98%</w:t>
            </w:r>
          </w:p>
        </w:tc>
        <w:tc>
          <w:tcPr>
            <w:tcW w:w="964" w:type="dxa"/>
            <w:noWrap/>
            <w:hideMark/>
          </w:tcPr>
          <w:p w14:paraId="24E34BE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1.16%</w:t>
            </w:r>
          </w:p>
        </w:tc>
        <w:tc>
          <w:tcPr>
            <w:tcW w:w="964" w:type="dxa"/>
            <w:noWrap/>
            <w:hideMark/>
          </w:tcPr>
          <w:p w14:paraId="3EE40FC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1.22%</w:t>
            </w:r>
          </w:p>
        </w:tc>
        <w:tc>
          <w:tcPr>
            <w:tcW w:w="964" w:type="dxa"/>
            <w:noWrap/>
            <w:hideMark/>
          </w:tcPr>
          <w:p w14:paraId="4E3DE88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1.15%</w:t>
            </w:r>
          </w:p>
        </w:tc>
        <w:tc>
          <w:tcPr>
            <w:tcW w:w="964" w:type="dxa"/>
            <w:noWrap/>
            <w:hideMark/>
          </w:tcPr>
          <w:p w14:paraId="380DAB4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1.06%</w:t>
            </w:r>
          </w:p>
        </w:tc>
        <w:tc>
          <w:tcPr>
            <w:tcW w:w="964" w:type="dxa"/>
            <w:noWrap/>
            <w:hideMark/>
          </w:tcPr>
          <w:p w14:paraId="7F718E4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2.00%</w:t>
            </w:r>
          </w:p>
        </w:tc>
        <w:tc>
          <w:tcPr>
            <w:tcW w:w="964" w:type="dxa"/>
            <w:noWrap/>
            <w:hideMark/>
          </w:tcPr>
          <w:p w14:paraId="426C037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1.16%</w:t>
            </w:r>
          </w:p>
        </w:tc>
      </w:tr>
      <w:tr w:rsidR="00DE7DD6" w:rsidRPr="007F6332" w14:paraId="3852D16E" w14:textId="77777777" w:rsidTr="003D7B3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0BA6188F" w14:textId="187893C6"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Other Neurological </w:t>
            </w:r>
          </w:p>
        </w:tc>
        <w:tc>
          <w:tcPr>
            <w:tcW w:w="0" w:type="dxa"/>
            <w:noWrap/>
            <w:hideMark/>
          </w:tcPr>
          <w:p w14:paraId="7E08EBD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4.51%</w:t>
            </w:r>
          </w:p>
        </w:tc>
        <w:tc>
          <w:tcPr>
            <w:tcW w:w="0" w:type="dxa"/>
            <w:noWrap/>
            <w:hideMark/>
          </w:tcPr>
          <w:p w14:paraId="374D1C7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5.18%</w:t>
            </w:r>
          </w:p>
        </w:tc>
        <w:tc>
          <w:tcPr>
            <w:tcW w:w="0" w:type="dxa"/>
            <w:noWrap/>
            <w:hideMark/>
          </w:tcPr>
          <w:p w14:paraId="24497D9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5.11%</w:t>
            </w:r>
          </w:p>
        </w:tc>
        <w:tc>
          <w:tcPr>
            <w:tcW w:w="0" w:type="dxa"/>
            <w:noWrap/>
            <w:hideMark/>
          </w:tcPr>
          <w:p w14:paraId="3262B49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4.82%</w:t>
            </w:r>
          </w:p>
        </w:tc>
        <w:tc>
          <w:tcPr>
            <w:tcW w:w="0" w:type="dxa"/>
            <w:noWrap/>
            <w:hideMark/>
          </w:tcPr>
          <w:p w14:paraId="0FB7A07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5.57%</w:t>
            </w:r>
          </w:p>
        </w:tc>
        <w:tc>
          <w:tcPr>
            <w:tcW w:w="0" w:type="dxa"/>
            <w:noWrap/>
            <w:hideMark/>
          </w:tcPr>
          <w:p w14:paraId="129395E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6.41%</w:t>
            </w:r>
          </w:p>
        </w:tc>
        <w:tc>
          <w:tcPr>
            <w:tcW w:w="964" w:type="dxa"/>
            <w:noWrap/>
            <w:hideMark/>
          </w:tcPr>
          <w:p w14:paraId="42EA79E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5.17%</w:t>
            </w:r>
          </w:p>
        </w:tc>
      </w:tr>
      <w:tr w:rsidR="00DE7DD6" w:rsidRPr="007F6332" w14:paraId="4868D9E0" w14:textId="77777777" w:rsidTr="003D7B37">
        <w:trPr>
          <w:trHeight w:val="290"/>
        </w:trPr>
        <w:tc>
          <w:tcPr>
            <w:cnfStyle w:val="001000000000" w:firstRow="0" w:lastRow="0" w:firstColumn="1" w:lastColumn="0" w:oddVBand="0" w:evenVBand="0" w:oddHBand="0" w:evenHBand="0" w:firstRowFirstColumn="0" w:firstRowLastColumn="0" w:lastRowFirstColumn="0" w:lastRowLastColumn="0"/>
            <w:tcW w:w="2494" w:type="dxa"/>
            <w:noWrap/>
            <w:hideMark/>
          </w:tcPr>
          <w:p w14:paraId="5C394C3D" w14:textId="64C9CCD9"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Other Physical </w:t>
            </w:r>
          </w:p>
        </w:tc>
        <w:tc>
          <w:tcPr>
            <w:tcW w:w="964" w:type="dxa"/>
            <w:noWrap/>
            <w:hideMark/>
          </w:tcPr>
          <w:p w14:paraId="1D2EB3D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3.71%</w:t>
            </w:r>
          </w:p>
        </w:tc>
        <w:tc>
          <w:tcPr>
            <w:tcW w:w="964" w:type="dxa"/>
            <w:noWrap/>
            <w:hideMark/>
          </w:tcPr>
          <w:p w14:paraId="23B6770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3.79%</w:t>
            </w:r>
          </w:p>
        </w:tc>
        <w:tc>
          <w:tcPr>
            <w:tcW w:w="964" w:type="dxa"/>
            <w:noWrap/>
            <w:hideMark/>
          </w:tcPr>
          <w:p w14:paraId="2A022B2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4.23%</w:t>
            </w:r>
          </w:p>
        </w:tc>
        <w:tc>
          <w:tcPr>
            <w:tcW w:w="964" w:type="dxa"/>
            <w:noWrap/>
            <w:hideMark/>
          </w:tcPr>
          <w:p w14:paraId="303E538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3.76%</w:t>
            </w:r>
          </w:p>
        </w:tc>
        <w:tc>
          <w:tcPr>
            <w:tcW w:w="964" w:type="dxa"/>
            <w:noWrap/>
            <w:hideMark/>
          </w:tcPr>
          <w:p w14:paraId="6218470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3.91%</w:t>
            </w:r>
          </w:p>
        </w:tc>
        <w:tc>
          <w:tcPr>
            <w:tcW w:w="964" w:type="dxa"/>
            <w:noWrap/>
            <w:hideMark/>
          </w:tcPr>
          <w:p w14:paraId="5868B1B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4.02%</w:t>
            </w:r>
          </w:p>
        </w:tc>
        <w:tc>
          <w:tcPr>
            <w:tcW w:w="964" w:type="dxa"/>
            <w:noWrap/>
            <w:hideMark/>
          </w:tcPr>
          <w:p w14:paraId="4377078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3.91%</w:t>
            </w:r>
          </w:p>
        </w:tc>
      </w:tr>
      <w:tr w:rsidR="00DE7DD6" w:rsidRPr="007F6332" w14:paraId="2B45DE5B" w14:textId="77777777" w:rsidTr="003D7B3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797B4EAC" w14:textId="2CC48A55"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Other Sensory/Speech </w:t>
            </w:r>
          </w:p>
        </w:tc>
        <w:tc>
          <w:tcPr>
            <w:tcW w:w="0" w:type="dxa"/>
            <w:noWrap/>
            <w:hideMark/>
          </w:tcPr>
          <w:p w14:paraId="0A8616B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0.10%</w:t>
            </w:r>
          </w:p>
        </w:tc>
        <w:tc>
          <w:tcPr>
            <w:tcW w:w="0" w:type="dxa"/>
            <w:noWrap/>
            <w:hideMark/>
          </w:tcPr>
          <w:p w14:paraId="5521680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0.13%</w:t>
            </w:r>
          </w:p>
        </w:tc>
        <w:tc>
          <w:tcPr>
            <w:tcW w:w="0" w:type="dxa"/>
            <w:noWrap/>
            <w:hideMark/>
          </w:tcPr>
          <w:p w14:paraId="7DA0CBA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0.24%</w:t>
            </w:r>
          </w:p>
        </w:tc>
        <w:tc>
          <w:tcPr>
            <w:tcW w:w="0" w:type="dxa"/>
            <w:noWrap/>
            <w:hideMark/>
          </w:tcPr>
          <w:p w14:paraId="1CB2A4B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0.20%</w:t>
            </w:r>
          </w:p>
        </w:tc>
        <w:tc>
          <w:tcPr>
            <w:tcW w:w="0" w:type="dxa"/>
            <w:noWrap/>
            <w:hideMark/>
          </w:tcPr>
          <w:p w14:paraId="0C658D2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0.18%</w:t>
            </w:r>
          </w:p>
        </w:tc>
        <w:tc>
          <w:tcPr>
            <w:tcW w:w="0" w:type="dxa"/>
            <w:noWrap/>
            <w:hideMark/>
          </w:tcPr>
          <w:p w14:paraId="2EE492A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0.58%</w:t>
            </w:r>
          </w:p>
        </w:tc>
        <w:tc>
          <w:tcPr>
            <w:tcW w:w="964" w:type="dxa"/>
            <w:noWrap/>
            <w:hideMark/>
          </w:tcPr>
          <w:p w14:paraId="11DB75E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0.19%</w:t>
            </w:r>
          </w:p>
        </w:tc>
      </w:tr>
      <w:tr w:rsidR="00DE7DD6" w:rsidRPr="007F6332" w14:paraId="78498F94" w14:textId="77777777" w:rsidTr="003D7B37">
        <w:trPr>
          <w:trHeight w:val="290"/>
        </w:trPr>
        <w:tc>
          <w:tcPr>
            <w:cnfStyle w:val="001000000000" w:firstRow="0" w:lastRow="0" w:firstColumn="1" w:lastColumn="0" w:oddVBand="0" w:evenVBand="0" w:oddHBand="0" w:evenHBand="0" w:firstRowFirstColumn="0" w:firstRowLastColumn="0" w:lastRowFirstColumn="0" w:lastRowLastColumn="0"/>
            <w:tcW w:w="2494" w:type="dxa"/>
            <w:noWrap/>
            <w:hideMark/>
          </w:tcPr>
          <w:p w14:paraId="32700394" w14:textId="0AFBAF21"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Other </w:t>
            </w:r>
          </w:p>
        </w:tc>
        <w:tc>
          <w:tcPr>
            <w:tcW w:w="964" w:type="dxa"/>
            <w:noWrap/>
            <w:hideMark/>
          </w:tcPr>
          <w:p w14:paraId="0E46194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1.55%</w:t>
            </w:r>
          </w:p>
        </w:tc>
        <w:tc>
          <w:tcPr>
            <w:tcW w:w="964" w:type="dxa"/>
            <w:noWrap/>
            <w:hideMark/>
          </w:tcPr>
          <w:p w14:paraId="3244DB2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1.47%</w:t>
            </w:r>
          </w:p>
        </w:tc>
        <w:tc>
          <w:tcPr>
            <w:tcW w:w="964" w:type="dxa"/>
            <w:noWrap/>
            <w:hideMark/>
          </w:tcPr>
          <w:p w14:paraId="1698A55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2.62%</w:t>
            </w:r>
          </w:p>
        </w:tc>
        <w:tc>
          <w:tcPr>
            <w:tcW w:w="964" w:type="dxa"/>
            <w:noWrap/>
            <w:hideMark/>
          </w:tcPr>
          <w:p w14:paraId="790BAE3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4.91%</w:t>
            </w:r>
          </w:p>
        </w:tc>
        <w:tc>
          <w:tcPr>
            <w:tcW w:w="964" w:type="dxa"/>
            <w:noWrap/>
            <w:hideMark/>
          </w:tcPr>
          <w:p w14:paraId="5027ED0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5.98%</w:t>
            </w:r>
          </w:p>
        </w:tc>
        <w:tc>
          <w:tcPr>
            <w:tcW w:w="964" w:type="dxa"/>
            <w:noWrap/>
            <w:hideMark/>
          </w:tcPr>
          <w:p w14:paraId="26BD902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7.73%</w:t>
            </w:r>
          </w:p>
        </w:tc>
        <w:tc>
          <w:tcPr>
            <w:tcW w:w="964" w:type="dxa"/>
            <w:noWrap/>
            <w:hideMark/>
          </w:tcPr>
          <w:p w14:paraId="514FAA6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4.65%</w:t>
            </w:r>
          </w:p>
        </w:tc>
      </w:tr>
      <w:tr w:rsidR="00DE7DD6" w:rsidRPr="007F6332" w14:paraId="4612937A" w14:textId="77777777" w:rsidTr="003D7B3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39161042" w14:textId="77777777" w:rsidR="00893BA1" w:rsidRPr="007F6332" w:rsidRDefault="00893BA1" w:rsidP="00AD524A">
            <w:pPr>
              <w:spacing w:line="240" w:lineRule="auto"/>
              <w:rPr>
                <w:rFonts w:eastAsia="Times New Roman" w:cs="Arial"/>
                <w:color w:val="000000"/>
                <w:lang w:eastAsia="en-AU"/>
              </w:rPr>
            </w:pPr>
            <w:r w:rsidRPr="007F6332">
              <w:rPr>
                <w:rFonts w:eastAsia="Times New Roman" w:cs="Arial"/>
                <w:color w:val="000000"/>
                <w:lang w:eastAsia="en-AU"/>
              </w:rPr>
              <w:t xml:space="preserve"> Missing </w:t>
            </w:r>
          </w:p>
        </w:tc>
        <w:tc>
          <w:tcPr>
            <w:tcW w:w="0" w:type="dxa"/>
            <w:noWrap/>
            <w:hideMark/>
          </w:tcPr>
          <w:p w14:paraId="1E7A989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0" w:type="dxa"/>
            <w:noWrap/>
            <w:hideMark/>
          </w:tcPr>
          <w:p w14:paraId="603D49F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0" w:type="dxa"/>
            <w:noWrap/>
            <w:hideMark/>
          </w:tcPr>
          <w:p w14:paraId="2A4BC33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0" w:type="dxa"/>
            <w:noWrap/>
            <w:hideMark/>
          </w:tcPr>
          <w:p w14:paraId="378D65E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0" w:type="dxa"/>
            <w:noWrap/>
            <w:hideMark/>
          </w:tcPr>
          <w:p w14:paraId="468A527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0" w:type="dxa"/>
            <w:noWrap/>
            <w:hideMark/>
          </w:tcPr>
          <w:p w14:paraId="438A5E0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964" w:type="dxa"/>
            <w:noWrap/>
            <w:hideMark/>
          </w:tcPr>
          <w:p w14:paraId="2E45C7E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0.00%</w:t>
            </w:r>
          </w:p>
        </w:tc>
      </w:tr>
      <w:tr w:rsidR="00DE7DD6" w:rsidRPr="007F6332" w14:paraId="1061E054" w14:textId="77777777" w:rsidTr="00C1755E">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B499B7"/>
            <w:noWrap/>
            <w:hideMark/>
          </w:tcPr>
          <w:p w14:paraId="51B08FC1" w14:textId="747A4D11"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Total </w:t>
            </w:r>
          </w:p>
        </w:tc>
        <w:tc>
          <w:tcPr>
            <w:tcW w:w="0" w:type="dxa"/>
            <w:shd w:val="clear" w:color="auto" w:fill="B499B7"/>
            <w:noWrap/>
            <w:hideMark/>
          </w:tcPr>
          <w:p w14:paraId="7D87B02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0.89%</w:t>
            </w:r>
          </w:p>
        </w:tc>
        <w:tc>
          <w:tcPr>
            <w:tcW w:w="0" w:type="dxa"/>
            <w:shd w:val="clear" w:color="auto" w:fill="B499B7"/>
            <w:noWrap/>
            <w:hideMark/>
          </w:tcPr>
          <w:p w14:paraId="597EE97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0.97%</w:t>
            </w:r>
          </w:p>
        </w:tc>
        <w:tc>
          <w:tcPr>
            <w:tcW w:w="0" w:type="dxa"/>
            <w:shd w:val="clear" w:color="auto" w:fill="B499B7"/>
            <w:noWrap/>
            <w:hideMark/>
          </w:tcPr>
          <w:p w14:paraId="74CE835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0.99%</w:t>
            </w:r>
          </w:p>
        </w:tc>
        <w:tc>
          <w:tcPr>
            <w:tcW w:w="0" w:type="dxa"/>
            <w:shd w:val="clear" w:color="auto" w:fill="B499B7"/>
            <w:noWrap/>
            <w:hideMark/>
          </w:tcPr>
          <w:p w14:paraId="3190B08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0.94%</w:t>
            </w:r>
          </w:p>
        </w:tc>
        <w:tc>
          <w:tcPr>
            <w:tcW w:w="0" w:type="dxa"/>
            <w:shd w:val="clear" w:color="auto" w:fill="B499B7"/>
            <w:noWrap/>
            <w:hideMark/>
          </w:tcPr>
          <w:p w14:paraId="16D0759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1.07%</w:t>
            </w:r>
          </w:p>
        </w:tc>
        <w:tc>
          <w:tcPr>
            <w:tcW w:w="0" w:type="dxa"/>
            <w:shd w:val="clear" w:color="auto" w:fill="B499B7"/>
            <w:noWrap/>
            <w:hideMark/>
          </w:tcPr>
          <w:p w14:paraId="563D1B0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1.14%</w:t>
            </w:r>
          </w:p>
        </w:tc>
        <w:tc>
          <w:tcPr>
            <w:tcW w:w="0" w:type="dxa"/>
            <w:shd w:val="clear" w:color="auto" w:fill="B499B7"/>
            <w:noWrap/>
            <w:hideMark/>
          </w:tcPr>
          <w:p w14:paraId="01435D6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0.99%</w:t>
            </w:r>
          </w:p>
        </w:tc>
      </w:tr>
    </w:tbl>
    <w:p w14:paraId="45280F22" w14:textId="77777777" w:rsidR="0076644E" w:rsidRPr="007F6332" w:rsidRDefault="0076644E" w:rsidP="0092687A">
      <w:pPr>
        <w:pStyle w:val="Heading7"/>
        <w:rPr>
          <w:rFonts w:cs="Arial"/>
        </w:rPr>
        <w:sectPr w:rsidR="0076644E" w:rsidRPr="007F6332" w:rsidSect="00CE7E91">
          <w:pgSz w:w="11906" w:h="16838"/>
          <w:pgMar w:top="1440" w:right="1416" w:bottom="1440" w:left="1440" w:header="708" w:footer="850" w:gutter="0"/>
          <w:cols w:space="708"/>
          <w:titlePg/>
          <w:docGrid w:linePitch="360"/>
        </w:sectPr>
      </w:pPr>
    </w:p>
    <w:p w14:paraId="1A5C3725" w14:textId="7596DE8B" w:rsidR="00893BA1" w:rsidRPr="007F6332" w:rsidRDefault="00893BA1" w:rsidP="000A3CE4">
      <w:pPr>
        <w:pStyle w:val="Heading6"/>
      </w:pPr>
      <w:r w:rsidRPr="007F6332">
        <w:lastRenderedPageBreak/>
        <w:t xml:space="preserve">Table </w:t>
      </w:r>
      <w:r w:rsidR="00165BFB" w:rsidRPr="007F6332">
        <w:t>H</w:t>
      </w:r>
      <w:r w:rsidRPr="007F6332">
        <w:t>.2: Expected mortality rates by primary disability</w:t>
      </w:r>
    </w:p>
    <w:tbl>
      <w:tblPr>
        <w:tblStyle w:val="FSRtable"/>
        <w:tblW w:w="9513" w:type="dxa"/>
        <w:tblInd w:w="0" w:type="dxa"/>
        <w:tblLayout w:type="fixed"/>
        <w:tblLook w:val="04A0" w:firstRow="1" w:lastRow="0" w:firstColumn="1" w:lastColumn="0" w:noHBand="0" w:noVBand="1"/>
      </w:tblPr>
      <w:tblGrid>
        <w:gridCol w:w="1985"/>
        <w:gridCol w:w="1055"/>
        <w:gridCol w:w="1055"/>
        <w:gridCol w:w="1055"/>
        <w:gridCol w:w="1055"/>
        <w:gridCol w:w="1055"/>
        <w:gridCol w:w="1055"/>
        <w:gridCol w:w="1198"/>
      </w:tblGrid>
      <w:tr w:rsidR="00EF483F" w:rsidRPr="007F6332" w14:paraId="3FC68EAF" w14:textId="77777777" w:rsidTr="009757CB">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985" w:type="dxa"/>
            <w:hideMark/>
          </w:tcPr>
          <w:p w14:paraId="5EBC4B4D"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Disability group</w:t>
            </w:r>
          </w:p>
        </w:tc>
        <w:tc>
          <w:tcPr>
            <w:tcW w:w="1055" w:type="dxa"/>
            <w:hideMark/>
          </w:tcPr>
          <w:p w14:paraId="78A1A009"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1055" w:type="dxa"/>
            <w:hideMark/>
          </w:tcPr>
          <w:p w14:paraId="6B857C04"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1055" w:type="dxa"/>
            <w:hideMark/>
          </w:tcPr>
          <w:p w14:paraId="7AF3A44E"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1055" w:type="dxa"/>
            <w:hideMark/>
          </w:tcPr>
          <w:p w14:paraId="6FF3321A"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1055" w:type="dxa"/>
            <w:hideMark/>
          </w:tcPr>
          <w:p w14:paraId="5FD613B1"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1055" w:type="dxa"/>
            <w:hideMark/>
          </w:tcPr>
          <w:p w14:paraId="32BE5E12"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1198" w:type="dxa"/>
            <w:hideMark/>
          </w:tcPr>
          <w:p w14:paraId="4C2B9A2D"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91588C" w:rsidRPr="007F6332" w14:paraId="6648DB0B" w14:textId="77777777" w:rsidTr="009757CB">
        <w:trPr>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F5C9D5A"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Acquired brain injury </w:t>
            </w:r>
          </w:p>
        </w:tc>
        <w:tc>
          <w:tcPr>
            <w:tcW w:w="1055" w:type="dxa"/>
            <w:noWrap/>
            <w:hideMark/>
          </w:tcPr>
          <w:p w14:paraId="5F0D4E0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2.49%</w:t>
            </w:r>
          </w:p>
        </w:tc>
        <w:tc>
          <w:tcPr>
            <w:tcW w:w="1055" w:type="dxa"/>
            <w:noWrap/>
            <w:hideMark/>
          </w:tcPr>
          <w:p w14:paraId="1C763AB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2.60%</w:t>
            </w:r>
          </w:p>
        </w:tc>
        <w:tc>
          <w:tcPr>
            <w:tcW w:w="1055" w:type="dxa"/>
            <w:noWrap/>
            <w:hideMark/>
          </w:tcPr>
          <w:p w14:paraId="7EB6EA0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2.65%</w:t>
            </w:r>
          </w:p>
        </w:tc>
        <w:tc>
          <w:tcPr>
            <w:tcW w:w="1055" w:type="dxa"/>
            <w:noWrap/>
            <w:hideMark/>
          </w:tcPr>
          <w:p w14:paraId="4A3CD1D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2.69%</w:t>
            </w:r>
          </w:p>
        </w:tc>
        <w:tc>
          <w:tcPr>
            <w:tcW w:w="1055" w:type="dxa"/>
            <w:noWrap/>
            <w:hideMark/>
          </w:tcPr>
          <w:p w14:paraId="1A4A905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2.72%</w:t>
            </w:r>
          </w:p>
        </w:tc>
        <w:tc>
          <w:tcPr>
            <w:tcW w:w="1055" w:type="dxa"/>
            <w:noWrap/>
            <w:hideMark/>
          </w:tcPr>
          <w:p w14:paraId="39909A7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2.74%</w:t>
            </w:r>
          </w:p>
        </w:tc>
        <w:tc>
          <w:tcPr>
            <w:tcW w:w="1198" w:type="dxa"/>
            <w:noWrap/>
            <w:hideMark/>
          </w:tcPr>
          <w:p w14:paraId="7B82DC4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2.66%</w:t>
            </w:r>
          </w:p>
        </w:tc>
      </w:tr>
      <w:tr w:rsidR="00EF483F" w:rsidRPr="007F6332" w14:paraId="7D401C11" w14:textId="77777777" w:rsidTr="009757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40813A2"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Autism </w:t>
            </w:r>
          </w:p>
        </w:tc>
        <w:tc>
          <w:tcPr>
            <w:tcW w:w="1055" w:type="dxa"/>
            <w:noWrap/>
            <w:hideMark/>
          </w:tcPr>
          <w:p w14:paraId="14E5F12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055" w:type="dxa"/>
            <w:noWrap/>
            <w:hideMark/>
          </w:tcPr>
          <w:p w14:paraId="5460A9E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055" w:type="dxa"/>
            <w:noWrap/>
            <w:hideMark/>
          </w:tcPr>
          <w:p w14:paraId="1B62C2C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055" w:type="dxa"/>
            <w:noWrap/>
            <w:hideMark/>
          </w:tcPr>
          <w:p w14:paraId="36D65D0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055" w:type="dxa"/>
            <w:noWrap/>
            <w:hideMark/>
          </w:tcPr>
          <w:p w14:paraId="58BB932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055" w:type="dxa"/>
            <w:noWrap/>
            <w:hideMark/>
          </w:tcPr>
          <w:p w14:paraId="2F08650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198" w:type="dxa"/>
            <w:noWrap/>
            <w:hideMark/>
          </w:tcPr>
          <w:p w14:paraId="7018AA0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0.06%</w:t>
            </w:r>
          </w:p>
        </w:tc>
      </w:tr>
      <w:tr w:rsidR="0091588C" w:rsidRPr="007F6332" w14:paraId="22F98D49" w14:textId="77777777" w:rsidTr="009757CB">
        <w:trPr>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F81C1AC"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Cerebral Palsy </w:t>
            </w:r>
          </w:p>
        </w:tc>
        <w:tc>
          <w:tcPr>
            <w:tcW w:w="1055" w:type="dxa"/>
            <w:noWrap/>
            <w:hideMark/>
          </w:tcPr>
          <w:p w14:paraId="4FEFA2F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0.78%</w:t>
            </w:r>
          </w:p>
        </w:tc>
        <w:tc>
          <w:tcPr>
            <w:tcW w:w="1055" w:type="dxa"/>
            <w:noWrap/>
            <w:hideMark/>
          </w:tcPr>
          <w:p w14:paraId="374B185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0.79%</w:t>
            </w:r>
          </w:p>
        </w:tc>
        <w:tc>
          <w:tcPr>
            <w:tcW w:w="1055" w:type="dxa"/>
            <w:noWrap/>
            <w:hideMark/>
          </w:tcPr>
          <w:p w14:paraId="56F1E08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0.78%</w:t>
            </w:r>
          </w:p>
        </w:tc>
        <w:tc>
          <w:tcPr>
            <w:tcW w:w="1055" w:type="dxa"/>
            <w:noWrap/>
            <w:hideMark/>
          </w:tcPr>
          <w:p w14:paraId="183F7ED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0.77%</w:t>
            </w:r>
          </w:p>
        </w:tc>
        <w:tc>
          <w:tcPr>
            <w:tcW w:w="1055" w:type="dxa"/>
            <w:noWrap/>
            <w:hideMark/>
          </w:tcPr>
          <w:p w14:paraId="56F2229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0.77%</w:t>
            </w:r>
          </w:p>
        </w:tc>
        <w:tc>
          <w:tcPr>
            <w:tcW w:w="1055" w:type="dxa"/>
            <w:noWrap/>
            <w:hideMark/>
          </w:tcPr>
          <w:p w14:paraId="22252FC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0.78%</w:t>
            </w:r>
          </w:p>
        </w:tc>
        <w:tc>
          <w:tcPr>
            <w:tcW w:w="1198" w:type="dxa"/>
            <w:noWrap/>
            <w:hideMark/>
          </w:tcPr>
          <w:p w14:paraId="07A6BEF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0.78%</w:t>
            </w:r>
          </w:p>
        </w:tc>
      </w:tr>
      <w:tr w:rsidR="00EF483F" w:rsidRPr="007F6332" w14:paraId="433E43C5" w14:textId="77777777" w:rsidTr="009757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AADE4C9" w14:textId="4AFC6BBF"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Developmental delay </w:t>
            </w:r>
          </w:p>
        </w:tc>
        <w:tc>
          <w:tcPr>
            <w:tcW w:w="1055" w:type="dxa"/>
            <w:noWrap/>
            <w:hideMark/>
          </w:tcPr>
          <w:p w14:paraId="5C2EE6D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0.14%</w:t>
            </w:r>
          </w:p>
        </w:tc>
        <w:tc>
          <w:tcPr>
            <w:tcW w:w="1055" w:type="dxa"/>
            <w:noWrap/>
            <w:hideMark/>
          </w:tcPr>
          <w:p w14:paraId="0E5B58B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0.14%</w:t>
            </w:r>
          </w:p>
        </w:tc>
        <w:tc>
          <w:tcPr>
            <w:tcW w:w="1055" w:type="dxa"/>
            <w:noWrap/>
            <w:hideMark/>
          </w:tcPr>
          <w:p w14:paraId="616759A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0.14%</w:t>
            </w:r>
          </w:p>
        </w:tc>
        <w:tc>
          <w:tcPr>
            <w:tcW w:w="1055" w:type="dxa"/>
            <w:noWrap/>
            <w:hideMark/>
          </w:tcPr>
          <w:p w14:paraId="54E7D24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0.13%</w:t>
            </w:r>
          </w:p>
        </w:tc>
        <w:tc>
          <w:tcPr>
            <w:tcW w:w="1055" w:type="dxa"/>
            <w:noWrap/>
            <w:hideMark/>
          </w:tcPr>
          <w:p w14:paraId="5C79FF5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0.13%</w:t>
            </w:r>
          </w:p>
        </w:tc>
        <w:tc>
          <w:tcPr>
            <w:tcW w:w="1055" w:type="dxa"/>
            <w:noWrap/>
            <w:hideMark/>
          </w:tcPr>
          <w:p w14:paraId="4F45DD3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0.12%</w:t>
            </w:r>
          </w:p>
        </w:tc>
        <w:tc>
          <w:tcPr>
            <w:tcW w:w="1198" w:type="dxa"/>
            <w:noWrap/>
            <w:hideMark/>
          </w:tcPr>
          <w:p w14:paraId="46443F5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0.13%</w:t>
            </w:r>
          </w:p>
        </w:tc>
      </w:tr>
      <w:tr w:rsidR="0091588C" w:rsidRPr="007F6332" w14:paraId="3E9DED39" w14:textId="77777777" w:rsidTr="009757CB">
        <w:trPr>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6BAB6A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Hearing Impairment </w:t>
            </w:r>
          </w:p>
        </w:tc>
        <w:tc>
          <w:tcPr>
            <w:tcW w:w="1055" w:type="dxa"/>
            <w:noWrap/>
            <w:hideMark/>
          </w:tcPr>
          <w:p w14:paraId="03FD251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0.26%</w:t>
            </w:r>
          </w:p>
        </w:tc>
        <w:tc>
          <w:tcPr>
            <w:tcW w:w="1055" w:type="dxa"/>
            <w:noWrap/>
            <w:hideMark/>
          </w:tcPr>
          <w:p w14:paraId="2183CA3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0.26%</w:t>
            </w:r>
          </w:p>
        </w:tc>
        <w:tc>
          <w:tcPr>
            <w:tcW w:w="1055" w:type="dxa"/>
            <w:noWrap/>
            <w:hideMark/>
          </w:tcPr>
          <w:p w14:paraId="57F0FC3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0.24%</w:t>
            </w:r>
          </w:p>
        </w:tc>
        <w:tc>
          <w:tcPr>
            <w:tcW w:w="1055" w:type="dxa"/>
            <w:noWrap/>
            <w:hideMark/>
          </w:tcPr>
          <w:p w14:paraId="530997B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0.24%</w:t>
            </w:r>
          </w:p>
        </w:tc>
        <w:tc>
          <w:tcPr>
            <w:tcW w:w="1055" w:type="dxa"/>
            <w:noWrap/>
            <w:hideMark/>
          </w:tcPr>
          <w:p w14:paraId="320DFC0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0.25%</w:t>
            </w:r>
          </w:p>
        </w:tc>
        <w:tc>
          <w:tcPr>
            <w:tcW w:w="1055" w:type="dxa"/>
            <w:noWrap/>
            <w:hideMark/>
          </w:tcPr>
          <w:p w14:paraId="5D8998D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0.26%</w:t>
            </w:r>
          </w:p>
        </w:tc>
        <w:tc>
          <w:tcPr>
            <w:tcW w:w="1198" w:type="dxa"/>
            <w:noWrap/>
            <w:hideMark/>
          </w:tcPr>
          <w:p w14:paraId="02BA42B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0.25%</w:t>
            </w:r>
          </w:p>
        </w:tc>
      </w:tr>
      <w:tr w:rsidR="00EF483F" w:rsidRPr="007F6332" w14:paraId="273A00E1" w14:textId="77777777" w:rsidTr="009757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BA28AE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Intellectual Disability </w:t>
            </w:r>
          </w:p>
        </w:tc>
        <w:tc>
          <w:tcPr>
            <w:tcW w:w="1055" w:type="dxa"/>
            <w:noWrap/>
            <w:hideMark/>
          </w:tcPr>
          <w:p w14:paraId="35B6F58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0.75%</w:t>
            </w:r>
          </w:p>
        </w:tc>
        <w:tc>
          <w:tcPr>
            <w:tcW w:w="1055" w:type="dxa"/>
            <w:noWrap/>
            <w:hideMark/>
          </w:tcPr>
          <w:p w14:paraId="46F594A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0.79%</w:t>
            </w:r>
          </w:p>
        </w:tc>
        <w:tc>
          <w:tcPr>
            <w:tcW w:w="1055" w:type="dxa"/>
            <w:noWrap/>
            <w:hideMark/>
          </w:tcPr>
          <w:p w14:paraId="5653CFD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0.78%</w:t>
            </w:r>
          </w:p>
        </w:tc>
        <w:tc>
          <w:tcPr>
            <w:tcW w:w="1055" w:type="dxa"/>
            <w:noWrap/>
            <w:hideMark/>
          </w:tcPr>
          <w:p w14:paraId="685A0FE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0.79%</w:t>
            </w:r>
          </w:p>
        </w:tc>
        <w:tc>
          <w:tcPr>
            <w:tcW w:w="1055" w:type="dxa"/>
            <w:noWrap/>
            <w:hideMark/>
          </w:tcPr>
          <w:p w14:paraId="6221CB3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0.80%</w:t>
            </w:r>
          </w:p>
        </w:tc>
        <w:tc>
          <w:tcPr>
            <w:tcW w:w="1055" w:type="dxa"/>
            <w:noWrap/>
            <w:hideMark/>
          </w:tcPr>
          <w:p w14:paraId="457EE2B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0.80%</w:t>
            </w:r>
          </w:p>
        </w:tc>
        <w:tc>
          <w:tcPr>
            <w:tcW w:w="1198" w:type="dxa"/>
            <w:noWrap/>
            <w:hideMark/>
          </w:tcPr>
          <w:p w14:paraId="2FCB599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0.79%</w:t>
            </w:r>
          </w:p>
        </w:tc>
      </w:tr>
      <w:tr w:rsidR="0091588C" w:rsidRPr="007F6332" w14:paraId="62058292" w14:textId="77777777" w:rsidTr="009757CB">
        <w:trPr>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740829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Multiple Sclerosis </w:t>
            </w:r>
          </w:p>
        </w:tc>
        <w:tc>
          <w:tcPr>
            <w:tcW w:w="1055" w:type="dxa"/>
            <w:noWrap/>
            <w:hideMark/>
          </w:tcPr>
          <w:p w14:paraId="00DEC64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1.42%</w:t>
            </w:r>
          </w:p>
        </w:tc>
        <w:tc>
          <w:tcPr>
            <w:tcW w:w="1055" w:type="dxa"/>
            <w:noWrap/>
            <w:hideMark/>
          </w:tcPr>
          <w:p w14:paraId="7D6A641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1.45%</w:t>
            </w:r>
          </w:p>
        </w:tc>
        <w:tc>
          <w:tcPr>
            <w:tcW w:w="1055" w:type="dxa"/>
            <w:noWrap/>
            <w:hideMark/>
          </w:tcPr>
          <w:p w14:paraId="758ECAA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1.48%</w:t>
            </w:r>
          </w:p>
        </w:tc>
        <w:tc>
          <w:tcPr>
            <w:tcW w:w="1055" w:type="dxa"/>
            <w:noWrap/>
            <w:hideMark/>
          </w:tcPr>
          <w:p w14:paraId="0202520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1.50%</w:t>
            </w:r>
          </w:p>
        </w:tc>
        <w:tc>
          <w:tcPr>
            <w:tcW w:w="1055" w:type="dxa"/>
            <w:noWrap/>
            <w:hideMark/>
          </w:tcPr>
          <w:p w14:paraId="2E12724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1.52%</w:t>
            </w:r>
          </w:p>
        </w:tc>
        <w:tc>
          <w:tcPr>
            <w:tcW w:w="1055" w:type="dxa"/>
            <w:noWrap/>
            <w:hideMark/>
          </w:tcPr>
          <w:p w14:paraId="14B7A29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1.54%</w:t>
            </w:r>
          </w:p>
        </w:tc>
        <w:tc>
          <w:tcPr>
            <w:tcW w:w="1198" w:type="dxa"/>
            <w:noWrap/>
            <w:hideMark/>
          </w:tcPr>
          <w:p w14:paraId="63E4F7D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1.49%</w:t>
            </w:r>
          </w:p>
        </w:tc>
      </w:tr>
      <w:tr w:rsidR="00EF483F" w:rsidRPr="007F6332" w14:paraId="59E50E9A" w14:textId="77777777" w:rsidTr="009757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86EF81B" w14:textId="50BE49EA"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Psychosocial disability </w:t>
            </w:r>
          </w:p>
        </w:tc>
        <w:tc>
          <w:tcPr>
            <w:tcW w:w="1055" w:type="dxa"/>
            <w:noWrap/>
            <w:hideMark/>
          </w:tcPr>
          <w:p w14:paraId="2430C7D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1.04%</w:t>
            </w:r>
          </w:p>
        </w:tc>
        <w:tc>
          <w:tcPr>
            <w:tcW w:w="1055" w:type="dxa"/>
            <w:noWrap/>
            <w:hideMark/>
          </w:tcPr>
          <w:p w14:paraId="7E6FB7D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1.07%</w:t>
            </w:r>
          </w:p>
        </w:tc>
        <w:tc>
          <w:tcPr>
            <w:tcW w:w="1055" w:type="dxa"/>
            <w:noWrap/>
            <w:hideMark/>
          </w:tcPr>
          <w:p w14:paraId="1EEC44B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1.10%</w:t>
            </w:r>
          </w:p>
        </w:tc>
        <w:tc>
          <w:tcPr>
            <w:tcW w:w="1055" w:type="dxa"/>
            <w:noWrap/>
            <w:hideMark/>
          </w:tcPr>
          <w:p w14:paraId="6914EE5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1.12%</w:t>
            </w:r>
          </w:p>
        </w:tc>
        <w:tc>
          <w:tcPr>
            <w:tcW w:w="1055" w:type="dxa"/>
            <w:noWrap/>
            <w:hideMark/>
          </w:tcPr>
          <w:p w14:paraId="6308022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1.13%</w:t>
            </w:r>
          </w:p>
        </w:tc>
        <w:tc>
          <w:tcPr>
            <w:tcW w:w="1055" w:type="dxa"/>
            <w:noWrap/>
            <w:hideMark/>
          </w:tcPr>
          <w:p w14:paraId="454772C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1.14%</w:t>
            </w:r>
          </w:p>
        </w:tc>
        <w:tc>
          <w:tcPr>
            <w:tcW w:w="1198" w:type="dxa"/>
            <w:noWrap/>
            <w:hideMark/>
          </w:tcPr>
          <w:p w14:paraId="610A0EC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1.11%</w:t>
            </w:r>
          </w:p>
        </w:tc>
      </w:tr>
      <w:tr w:rsidR="0091588C" w:rsidRPr="007F6332" w14:paraId="6AF32C99" w14:textId="77777777" w:rsidTr="009757CB">
        <w:trPr>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36E19E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Spinal Cord Injury </w:t>
            </w:r>
          </w:p>
        </w:tc>
        <w:tc>
          <w:tcPr>
            <w:tcW w:w="1055" w:type="dxa"/>
            <w:noWrap/>
            <w:hideMark/>
          </w:tcPr>
          <w:p w14:paraId="71E4018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1.73%</w:t>
            </w:r>
          </w:p>
        </w:tc>
        <w:tc>
          <w:tcPr>
            <w:tcW w:w="1055" w:type="dxa"/>
            <w:noWrap/>
            <w:hideMark/>
          </w:tcPr>
          <w:p w14:paraId="531BF06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1.75%</w:t>
            </w:r>
          </w:p>
        </w:tc>
        <w:tc>
          <w:tcPr>
            <w:tcW w:w="1055" w:type="dxa"/>
            <w:noWrap/>
            <w:hideMark/>
          </w:tcPr>
          <w:p w14:paraId="71E3C25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1.77%</w:t>
            </w:r>
          </w:p>
        </w:tc>
        <w:tc>
          <w:tcPr>
            <w:tcW w:w="1055" w:type="dxa"/>
            <w:noWrap/>
            <w:hideMark/>
          </w:tcPr>
          <w:p w14:paraId="49A372A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1.80%</w:t>
            </w:r>
          </w:p>
        </w:tc>
        <w:tc>
          <w:tcPr>
            <w:tcW w:w="1055" w:type="dxa"/>
            <w:noWrap/>
            <w:hideMark/>
          </w:tcPr>
          <w:p w14:paraId="1E722BA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1.83%</w:t>
            </w:r>
          </w:p>
        </w:tc>
        <w:tc>
          <w:tcPr>
            <w:tcW w:w="1055" w:type="dxa"/>
            <w:noWrap/>
            <w:hideMark/>
          </w:tcPr>
          <w:p w14:paraId="1D00E42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1.84%</w:t>
            </w:r>
          </w:p>
        </w:tc>
        <w:tc>
          <w:tcPr>
            <w:tcW w:w="1198" w:type="dxa"/>
            <w:noWrap/>
            <w:hideMark/>
          </w:tcPr>
          <w:p w14:paraId="463E9BF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1.79%</w:t>
            </w:r>
          </w:p>
        </w:tc>
      </w:tr>
      <w:tr w:rsidR="00EF483F" w:rsidRPr="007F6332" w14:paraId="64BD2341" w14:textId="77777777" w:rsidTr="009757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E02D4CF"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Stroke </w:t>
            </w:r>
          </w:p>
        </w:tc>
        <w:tc>
          <w:tcPr>
            <w:tcW w:w="1055" w:type="dxa"/>
            <w:noWrap/>
            <w:hideMark/>
          </w:tcPr>
          <w:p w14:paraId="1DAAB9F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2.62%</w:t>
            </w:r>
          </w:p>
        </w:tc>
        <w:tc>
          <w:tcPr>
            <w:tcW w:w="1055" w:type="dxa"/>
            <w:noWrap/>
            <w:hideMark/>
          </w:tcPr>
          <w:p w14:paraId="39AD8F2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2.66%</w:t>
            </w:r>
          </w:p>
        </w:tc>
        <w:tc>
          <w:tcPr>
            <w:tcW w:w="1055" w:type="dxa"/>
            <w:noWrap/>
            <w:hideMark/>
          </w:tcPr>
          <w:p w14:paraId="525A85A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2.72%</w:t>
            </w:r>
          </w:p>
        </w:tc>
        <w:tc>
          <w:tcPr>
            <w:tcW w:w="1055" w:type="dxa"/>
            <w:noWrap/>
            <w:hideMark/>
          </w:tcPr>
          <w:p w14:paraId="75C5CBA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2.77%</w:t>
            </w:r>
          </w:p>
        </w:tc>
        <w:tc>
          <w:tcPr>
            <w:tcW w:w="1055" w:type="dxa"/>
            <w:noWrap/>
            <w:hideMark/>
          </w:tcPr>
          <w:p w14:paraId="4023A9A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2.81%</w:t>
            </w:r>
          </w:p>
        </w:tc>
        <w:tc>
          <w:tcPr>
            <w:tcW w:w="1055" w:type="dxa"/>
            <w:noWrap/>
            <w:hideMark/>
          </w:tcPr>
          <w:p w14:paraId="3330449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2.83%</w:t>
            </w:r>
          </w:p>
        </w:tc>
        <w:tc>
          <w:tcPr>
            <w:tcW w:w="1198" w:type="dxa"/>
            <w:noWrap/>
            <w:hideMark/>
          </w:tcPr>
          <w:p w14:paraId="5DC4DF7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2.75%</w:t>
            </w:r>
          </w:p>
        </w:tc>
      </w:tr>
      <w:tr w:rsidR="0091588C" w:rsidRPr="007F6332" w14:paraId="3DFFD185" w14:textId="77777777" w:rsidTr="009757CB">
        <w:trPr>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6FE64B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Visual Impairment </w:t>
            </w:r>
          </w:p>
        </w:tc>
        <w:tc>
          <w:tcPr>
            <w:tcW w:w="1055" w:type="dxa"/>
            <w:noWrap/>
            <w:hideMark/>
          </w:tcPr>
          <w:p w14:paraId="286A436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0.95%</w:t>
            </w:r>
          </w:p>
        </w:tc>
        <w:tc>
          <w:tcPr>
            <w:tcW w:w="1055" w:type="dxa"/>
            <w:noWrap/>
            <w:hideMark/>
          </w:tcPr>
          <w:p w14:paraId="0FA8A37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1.03%</w:t>
            </w:r>
          </w:p>
        </w:tc>
        <w:tc>
          <w:tcPr>
            <w:tcW w:w="1055" w:type="dxa"/>
            <w:noWrap/>
            <w:hideMark/>
          </w:tcPr>
          <w:p w14:paraId="5394701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1.08%</w:t>
            </w:r>
          </w:p>
        </w:tc>
        <w:tc>
          <w:tcPr>
            <w:tcW w:w="1055" w:type="dxa"/>
            <w:noWrap/>
            <w:hideMark/>
          </w:tcPr>
          <w:p w14:paraId="009CE3F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1.14%</w:t>
            </w:r>
          </w:p>
        </w:tc>
        <w:tc>
          <w:tcPr>
            <w:tcW w:w="1055" w:type="dxa"/>
            <w:noWrap/>
            <w:hideMark/>
          </w:tcPr>
          <w:p w14:paraId="1DE3659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1.21%</w:t>
            </w:r>
          </w:p>
        </w:tc>
        <w:tc>
          <w:tcPr>
            <w:tcW w:w="1055" w:type="dxa"/>
            <w:noWrap/>
            <w:hideMark/>
          </w:tcPr>
          <w:p w14:paraId="37BDDF7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1.25%</w:t>
            </w:r>
          </w:p>
        </w:tc>
        <w:tc>
          <w:tcPr>
            <w:tcW w:w="1198" w:type="dxa"/>
            <w:noWrap/>
            <w:hideMark/>
          </w:tcPr>
          <w:p w14:paraId="0A32129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1.11%</w:t>
            </w:r>
          </w:p>
        </w:tc>
      </w:tr>
      <w:tr w:rsidR="00EF483F" w:rsidRPr="007F6332" w14:paraId="285F0309" w14:textId="77777777" w:rsidTr="009757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A15AAAB"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Other Neurological </w:t>
            </w:r>
          </w:p>
        </w:tc>
        <w:tc>
          <w:tcPr>
            <w:tcW w:w="1055" w:type="dxa"/>
            <w:noWrap/>
            <w:hideMark/>
          </w:tcPr>
          <w:p w14:paraId="4C41234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4.98%</w:t>
            </w:r>
          </w:p>
        </w:tc>
        <w:tc>
          <w:tcPr>
            <w:tcW w:w="1055" w:type="dxa"/>
            <w:noWrap/>
            <w:hideMark/>
          </w:tcPr>
          <w:p w14:paraId="79F4689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5.19%</w:t>
            </w:r>
          </w:p>
        </w:tc>
        <w:tc>
          <w:tcPr>
            <w:tcW w:w="1055" w:type="dxa"/>
            <w:noWrap/>
            <w:hideMark/>
          </w:tcPr>
          <w:p w14:paraId="305D28F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5.28%</w:t>
            </w:r>
          </w:p>
        </w:tc>
        <w:tc>
          <w:tcPr>
            <w:tcW w:w="1055" w:type="dxa"/>
            <w:noWrap/>
            <w:hideMark/>
          </w:tcPr>
          <w:p w14:paraId="00FA84B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5.30%</w:t>
            </w:r>
          </w:p>
        </w:tc>
        <w:tc>
          <w:tcPr>
            <w:tcW w:w="1055" w:type="dxa"/>
            <w:noWrap/>
            <w:hideMark/>
          </w:tcPr>
          <w:p w14:paraId="25C1742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5.24%</w:t>
            </w:r>
          </w:p>
        </w:tc>
        <w:tc>
          <w:tcPr>
            <w:tcW w:w="1055" w:type="dxa"/>
            <w:noWrap/>
            <w:hideMark/>
          </w:tcPr>
          <w:p w14:paraId="0991238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5.20%</w:t>
            </w:r>
          </w:p>
        </w:tc>
        <w:tc>
          <w:tcPr>
            <w:tcW w:w="1198" w:type="dxa"/>
            <w:noWrap/>
            <w:hideMark/>
          </w:tcPr>
          <w:p w14:paraId="200CDBF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5.23%</w:t>
            </w:r>
          </w:p>
        </w:tc>
      </w:tr>
      <w:tr w:rsidR="0091588C" w:rsidRPr="007F6332" w14:paraId="59B0A42B" w14:textId="77777777" w:rsidTr="009757CB">
        <w:trPr>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00434DD"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Other Physical </w:t>
            </w:r>
          </w:p>
        </w:tc>
        <w:tc>
          <w:tcPr>
            <w:tcW w:w="1055" w:type="dxa"/>
            <w:noWrap/>
            <w:hideMark/>
          </w:tcPr>
          <w:p w14:paraId="1C6CFA8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3.64%</w:t>
            </w:r>
          </w:p>
        </w:tc>
        <w:tc>
          <w:tcPr>
            <w:tcW w:w="1055" w:type="dxa"/>
            <w:noWrap/>
            <w:hideMark/>
          </w:tcPr>
          <w:p w14:paraId="1BD324E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3.68%</w:t>
            </w:r>
          </w:p>
        </w:tc>
        <w:tc>
          <w:tcPr>
            <w:tcW w:w="1055" w:type="dxa"/>
            <w:noWrap/>
            <w:hideMark/>
          </w:tcPr>
          <w:p w14:paraId="0E3B2C9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3.79%</w:t>
            </w:r>
          </w:p>
        </w:tc>
        <w:tc>
          <w:tcPr>
            <w:tcW w:w="1055" w:type="dxa"/>
            <w:noWrap/>
            <w:hideMark/>
          </w:tcPr>
          <w:p w14:paraId="0F2AC76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3.85%</w:t>
            </w:r>
          </w:p>
        </w:tc>
        <w:tc>
          <w:tcPr>
            <w:tcW w:w="1055" w:type="dxa"/>
            <w:noWrap/>
            <w:hideMark/>
          </w:tcPr>
          <w:p w14:paraId="7730310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3.87%</w:t>
            </w:r>
          </w:p>
        </w:tc>
        <w:tc>
          <w:tcPr>
            <w:tcW w:w="1055" w:type="dxa"/>
            <w:noWrap/>
            <w:hideMark/>
          </w:tcPr>
          <w:p w14:paraId="0ED6A4E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3.87%</w:t>
            </w:r>
          </w:p>
        </w:tc>
        <w:tc>
          <w:tcPr>
            <w:tcW w:w="1198" w:type="dxa"/>
            <w:noWrap/>
            <w:hideMark/>
          </w:tcPr>
          <w:p w14:paraId="5B80079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3.80%</w:t>
            </w:r>
          </w:p>
        </w:tc>
      </w:tr>
      <w:tr w:rsidR="00EF483F" w:rsidRPr="007F6332" w14:paraId="2BE960FE" w14:textId="77777777" w:rsidTr="009757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896DDCF"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Other Sensory/Speech </w:t>
            </w:r>
          </w:p>
        </w:tc>
        <w:tc>
          <w:tcPr>
            <w:tcW w:w="1055" w:type="dxa"/>
            <w:noWrap/>
            <w:hideMark/>
          </w:tcPr>
          <w:p w14:paraId="7EC8466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1055" w:type="dxa"/>
            <w:noWrap/>
            <w:hideMark/>
          </w:tcPr>
          <w:p w14:paraId="644104E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0.04%</w:t>
            </w:r>
          </w:p>
        </w:tc>
        <w:tc>
          <w:tcPr>
            <w:tcW w:w="1055" w:type="dxa"/>
            <w:noWrap/>
            <w:hideMark/>
          </w:tcPr>
          <w:p w14:paraId="2D66E48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0.04%</w:t>
            </w:r>
          </w:p>
        </w:tc>
        <w:tc>
          <w:tcPr>
            <w:tcW w:w="1055" w:type="dxa"/>
            <w:noWrap/>
            <w:hideMark/>
          </w:tcPr>
          <w:p w14:paraId="5F5995C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0.05%</w:t>
            </w:r>
          </w:p>
        </w:tc>
        <w:tc>
          <w:tcPr>
            <w:tcW w:w="1055" w:type="dxa"/>
            <w:noWrap/>
            <w:hideMark/>
          </w:tcPr>
          <w:p w14:paraId="0AD4273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055" w:type="dxa"/>
            <w:noWrap/>
            <w:hideMark/>
          </w:tcPr>
          <w:p w14:paraId="07F0879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198" w:type="dxa"/>
            <w:noWrap/>
            <w:hideMark/>
          </w:tcPr>
          <w:p w14:paraId="318DE72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0.04%</w:t>
            </w:r>
          </w:p>
        </w:tc>
      </w:tr>
      <w:tr w:rsidR="0091588C" w:rsidRPr="007F6332" w14:paraId="5CAAA8C1" w14:textId="77777777" w:rsidTr="009757CB">
        <w:trPr>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33AAEFD"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Other </w:t>
            </w:r>
          </w:p>
        </w:tc>
        <w:tc>
          <w:tcPr>
            <w:tcW w:w="1055" w:type="dxa"/>
            <w:noWrap/>
            <w:hideMark/>
          </w:tcPr>
          <w:p w14:paraId="6D57FB0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2.54%</w:t>
            </w:r>
          </w:p>
        </w:tc>
        <w:tc>
          <w:tcPr>
            <w:tcW w:w="1055" w:type="dxa"/>
            <w:noWrap/>
            <w:hideMark/>
          </w:tcPr>
          <w:p w14:paraId="6345EA3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2.59%</w:t>
            </w:r>
          </w:p>
        </w:tc>
        <w:tc>
          <w:tcPr>
            <w:tcW w:w="1055" w:type="dxa"/>
            <w:noWrap/>
            <w:hideMark/>
          </w:tcPr>
          <w:p w14:paraId="0C376CD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2.78%</w:t>
            </w:r>
          </w:p>
        </w:tc>
        <w:tc>
          <w:tcPr>
            <w:tcW w:w="1055" w:type="dxa"/>
            <w:noWrap/>
            <w:hideMark/>
          </w:tcPr>
          <w:p w14:paraId="45574FA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3.20%</w:t>
            </w:r>
          </w:p>
        </w:tc>
        <w:tc>
          <w:tcPr>
            <w:tcW w:w="1055" w:type="dxa"/>
            <w:noWrap/>
            <w:hideMark/>
          </w:tcPr>
          <w:p w14:paraId="41982B9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3.44%</w:t>
            </w:r>
          </w:p>
        </w:tc>
        <w:tc>
          <w:tcPr>
            <w:tcW w:w="1055" w:type="dxa"/>
            <w:noWrap/>
            <w:hideMark/>
          </w:tcPr>
          <w:p w14:paraId="05CDED5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3.52%</w:t>
            </w:r>
          </w:p>
        </w:tc>
        <w:tc>
          <w:tcPr>
            <w:tcW w:w="1198" w:type="dxa"/>
            <w:noWrap/>
            <w:hideMark/>
          </w:tcPr>
          <w:p w14:paraId="481805F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3.15%</w:t>
            </w:r>
          </w:p>
        </w:tc>
      </w:tr>
      <w:tr w:rsidR="00EF483F" w:rsidRPr="007F6332" w14:paraId="5D7DC7F8" w14:textId="77777777" w:rsidTr="009757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A18D8E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Missing </w:t>
            </w:r>
          </w:p>
        </w:tc>
        <w:tc>
          <w:tcPr>
            <w:tcW w:w="1055" w:type="dxa"/>
            <w:noWrap/>
            <w:hideMark/>
          </w:tcPr>
          <w:p w14:paraId="4645886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1055" w:type="dxa"/>
            <w:noWrap/>
            <w:hideMark/>
          </w:tcPr>
          <w:p w14:paraId="748FC97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1055" w:type="dxa"/>
            <w:noWrap/>
            <w:hideMark/>
          </w:tcPr>
          <w:p w14:paraId="4B319EF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1055" w:type="dxa"/>
            <w:noWrap/>
            <w:hideMark/>
          </w:tcPr>
          <w:p w14:paraId="49AC72E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1055" w:type="dxa"/>
            <w:noWrap/>
            <w:hideMark/>
          </w:tcPr>
          <w:p w14:paraId="77C1B7F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1055" w:type="dxa"/>
            <w:noWrap/>
            <w:hideMark/>
          </w:tcPr>
          <w:p w14:paraId="5DBBCF6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1198" w:type="dxa"/>
            <w:noWrap/>
            <w:hideMark/>
          </w:tcPr>
          <w:p w14:paraId="09109DA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r>
      <w:tr w:rsidR="00EF483F" w:rsidRPr="007F6332" w14:paraId="7AFDF8A5" w14:textId="77777777" w:rsidTr="009757CB">
        <w:trPr>
          <w:trHeight w:val="300"/>
        </w:trPr>
        <w:tc>
          <w:tcPr>
            <w:cnfStyle w:val="001000000000" w:firstRow="0" w:lastRow="0" w:firstColumn="1" w:lastColumn="0" w:oddVBand="0" w:evenVBand="0" w:oddHBand="0" w:evenHBand="0" w:firstRowFirstColumn="0" w:firstRowLastColumn="0" w:lastRowFirstColumn="0" w:lastRowLastColumn="0"/>
            <w:tcW w:w="1985" w:type="dxa"/>
            <w:shd w:val="clear" w:color="auto" w:fill="B499B7"/>
            <w:noWrap/>
            <w:hideMark/>
          </w:tcPr>
          <w:p w14:paraId="3D6D51EE"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Total </w:t>
            </w:r>
          </w:p>
        </w:tc>
        <w:tc>
          <w:tcPr>
            <w:tcW w:w="1055" w:type="dxa"/>
            <w:shd w:val="clear" w:color="auto" w:fill="B499B7"/>
            <w:noWrap/>
            <w:hideMark/>
          </w:tcPr>
          <w:p w14:paraId="25ECF35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0.95%</w:t>
            </w:r>
          </w:p>
        </w:tc>
        <w:tc>
          <w:tcPr>
            <w:tcW w:w="1055" w:type="dxa"/>
            <w:shd w:val="clear" w:color="auto" w:fill="B499B7"/>
            <w:noWrap/>
            <w:hideMark/>
          </w:tcPr>
          <w:p w14:paraId="0E3F852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0.98%</w:t>
            </w:r>
          </w:p>
        </w:tc>
        <w:tc>
          <w:tcPr>
            <w:tcW w:w="1055" w:type="dxa"/>
            <w:shd w:val="clear" w:color="auto" w:fill="B499B7"/>
            <w:noWrap/>
            <w:hideMark/>
          </w:tcPr>
          <w:p w14:paraId="35E4066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0.96%</w:t>
            </w:r>
          </w:p>
        </w:tc>
        <w:tc>
          <w:tcPr>
            <w:tcW w:w="1055" w:type="dxa"/>
            <w:shd w:val="clear" w:color="auto" w:fill="B499B7"/>
            <w:noWrap/>
            <w:hideMark/>
          </w:tcPr>
          <w:p w14:paraId="07D58F9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0.94%</w:t>
            </w:r>
          </w:p>
        </w:tc>
        <w:tc>
          <w:tcPr>
            <w:tcW w:w="1055" w:type="dxa"/>
            <w:shd w:val="clear" w:color="auto" w:fill="B499B7"/>
            <w:noWrap/>
            <w:hideMark/>
          </w:tcPr>
          <w:p w14:paraId="26F2008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0.92%</w:t>
            </w:r>
          </w:p>
        </w:tc>
        <w:tc>
          <w:tcPr>
            <w:tcW w:w="1055" w:type="dxa"/>
            <w:shd w:val="clear" w:color="auto" w:fill="B499B7"/>
            <w:noWrap/>
            <w:hideMark/>
          </w:tcPr>
          <w:p w14:paraId="2D0AF3C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0.89%</w:t>
            </w:r>
          </w:p>
        </w:tc>
        <w:tc>
          <w:tcPr>
            <w:tcW w:w="1198" w:type="dxa"/>
            <w:shd w:val="clear" w:color="auto" w:fill="B499B7"/>
            <w:noWrap/>
            <w:hideMark/>
          </w:tcPr>
          <w:p w14:paraId="18366CF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0.94%</w:t>
            </w:r>
          </w:p>
        </w:tc>
      </w:tr>
    </w:tbl>
    <w:p w14:paraId="697A0826" w14:textId="77777777" w:rsidR="0076644E" w:rsidRPr="007F6332" w:rsidRDefault="0076644E" w:rsidP="0092687A">
      <w:pPr>
        <w:pStyle w:val="Heading7"/>
        <w:rPr>
          <w:rFonts w:cs="Arial"/>
        </w:rPr>
        <w:sectPr w:rsidR="0076644E" w:rsidRPr="007F6332" w:rsidSect="00CE7E91">
          <w:pgSz w:w="11906" w:h="16838"/>
          <w:pgMar w:top="1440" w:right="1416" w:bottom="1440" w:left="1440" w:header="708" w:footer="850" w:gutter="0"/>
          <w:cols w:space="708"/>
          <w:titlePg/>
          <w:docGrid w:linePitch="360"/>
        </w:sectPr>
      </w:pPr>
    </w:p>
    <w:p w14:paraId="27537043" w14:textId="2CD9584E" w:rsidR="00893BA1" w:rsidRPr="007F6332" w:rsidRDefault="00893BA1" w:rsidP="000A3CE4">
      <w:pPr>
        <w:pStyle w:val="Heading6"/>
      </w:pPr>
      <w:r w:rsidRPr="007F6332">
        <w:lastRenderedPageBreak/>
        <w:t xml:space="preserve">Table </w:t>
      </w:r>
      <w:r w:rsidR="00165BFB" w:rsidRPr="007F6332">
        <w:t>H</w:t>
      </w:r>
      <w:r w:rsidRPr="007F6332">
        <w:t>.3: Difference between actual and expected mortality rates by primary disability</w:t>
      </w:r>
    </w:p>
    <w:tbl>
      <w:tblPr>
        <w:tblStyle w:val="FSRtable"/>
        <w:tblW w:w="9286" w:type="dxa"/>
        <w:tblInd w:w="0" w:type="dxa"/>
        <w:tblLook w:val="04A0" w:firstRow="1" w:lastRow="0" w:firstColumn="1" w:lastColumn="0" w:noHBand="0" w:noVBand="1"/>
      </w:tblPr>
      <w:tblGrid>
        <w:gridCol w:w="2503"/>
        <w:gridCol w:w="969"/>
        <w:gridCol w:w="969"/>
        <w:gridCol w:w="969"/>
        <w:gridCol w:w="969"/>
        <w:gridCol w:w="969"/>
        <w:gridCol w:w="969"/>
        <w:gridCol w:w="969"/>
      </w:tblGrid>
      <w:tr w:rsidR="00893BA1" w:rsidRPr="007F6332" w14:paraId="4DE1E2D0" w14:textId="77777777" w:rsidTr="00C1755E">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7067D67"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Disability group</w:t>
            </w:r>
          </w:p>
        </w:tc>
        <w:tc>
          <w:tcPr>
            <w:tcW w:w="969" w:type="dxa"/>
            <w:hideMark/>
          </w:tcPr>
          <w:p w14:paraId="5F05A1B2"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969" w:type="dxa"/>
            <w:hideMark/>
          </w:tcPr>
          <w:p w14:paraId="76191C3A"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969" w:type="dxa"/>
            <w:hideMark/>
          </w:tcPr>
          <w:p w14:paraId="3C5CD2DC"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969" w:type="dxa"/>
            <w:hideMark/>
          </w:tcPr>
          <w:p w14:paraId="50120A14"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969" w:type="dxa"/>
            <w:hideMark/>
          </w:tcPr>
          <w:p w14:paraId="5F197808"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969" w:type="dxa"/>
            <w:hideMark/>
          </w:tcPr>
          <w:p w14:paraId="6F1EB1C8"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969" w:type="dxa"/>
            <w:hideMark/>
          </w:tcPr>
          <w:p w14:paraId="07972E8F"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893BA1" w:rsidRPr="007F6332" w14:paraId="2B526551"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DC72E9C"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Acquired brain injury </w:t>
            </w:r>
          </w:p>
        </w:tc>
        <w:tc>
          <w:tcPr>
            <w:tcW w:w="969" w:type="dxa"/>
            <w:noWrap/>
            <w:hideMark/>
          </w:tcPr>
          <w:p w14:paraId="0D5409D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-0.20%</w:t>
            </w:r>
          </w:p>
        </w:tc>
        <w:tc>
          <w:tcPr>
            <w:tcW w:w="969" w:type="dxa"/>
            <w:noWrap/>
            <w:hideMark/>
          </w:tcPr>
          <w:p w14:paraId="6C0A379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-0.51%</w:t>
            </w:r>
          </w:p>
        </w:tc>
        <w:tc>
          <w:tcPr>
            <w:tcW w:w="969" w:type="dxa"/>
            <w:noWrap/>
            <w:hideMark/>
          </w:tcPr>
          <w:p w14:paraId="5F04C9A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-0.23%</w:t>
            </w:r>
          </w:p>
        </w:tc>
        <w:tc>
          <w:tcPr>
            <w:tcW w:w="969" w:type="dxa"/>
            <w:noWrap/>
            <w:hideMark/>
          </w:tcPr>
          <w:p w14:paraId="55B8949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969" w:type="dxa"/>
            <w:noWrap/>
            <w:hideMark/>
          </w:tcPr>
          <w:p w14:paraId="2529099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+0.73%</w:t>
            </w:r>
          </w:p>
        </w:tc>
        <w:tc>
          <w:tcPr>
            <w:tcW w:w="969" w:type="dxa"/>
            <w:noWrap/>
            <w:hideMark/>
          </w:tcPr>
          <w:p w14:paraId="3261000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+1.15%</w:t>
            </w:r>
          </w:p>
        </w:tc>
        <w:tc>
          <w:tcPr>
            <w:tcW w:w="969" w:type="dxa"/>
            <w:noWrap/>
            <w:hideMark/>
          </w:tcPr>
          <w:p w14:paraId="4E4AEC2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+0.07%</w:t>
            </w:r>
          </w:p>
        </w:tc>
      </w:tr>
      <w:tr w:rsidR="00893BA1" w:rsidRPr="007F6332" w14:paraId="22F2FE66"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05A36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Autism </w:t>
            </w:r>
          </w:p>
        </w:tc>
        <w:tc>
          <w:tcPr>
            <w:tcW w:w="969" w:type="dxa"/>
            <w:noWrap/>
            <w:hideMark/>
          </w:tcPr>
          <w:p w14:paraId="5A5A6B2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59CC9A1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-0.01%</w:t>
            </w:r>
          </w:p>
        </w:tc>
        <w:tc>
          <w:tcPr>
            <w:tcW w:w="969" w:type="dxa"/>
            <w:noWrap/>
            <w:hideMark/>
          </w:tcPr>
          <w:p w14:paraId="1941558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-0.01%</w:t>
            </w:r>
          </w:p>
        </w:tc>
        <w:tc>
          <w:tcPr>
            <w:tcW w:w="969" w:type="dxa"/>
            <w:noWrap/>
            <w:hideMark/>
          </w:tcPr>
          <w:p w14:paraId="7A7AF3B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59E4548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969" w:type="dxa"/>
            <w:noWrap/>
            <w:hideMark/>
          </w:tcPr>
          <w:p w14:paraId="278B769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969" w:type="dxa"/>
            <w:noWrap/>
            <w:hideMark/>
          </w:tcPr>
          <w:p w14:paraId="2C50630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-0.01%</w:t>
            </w:r>
          </w:p>
        </w:tc>
      </w:tr>
      <w:tr w:rsidR="00893BA1" w:rsidRPr="007F6332" w14:paraId="0E3096B6"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164B2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Cerebral Palsy </w:t>
            </w:r>
          </w:p>
        </w:tc>
        <w:tc>
          <w:tcPr>
            <w:tcW w:w="969" w:type="dxa"/>
            <w:noWrap/>
            <w:hideMark/>
          </w:tcPr>
          <w:p w14:paraId="754DBE3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-0.16%</w:t>
            </w:r>
          </w:p>
        </w:tc>
        <w:tc>
          <w:tcPr>
            <w:tcW w:w="969" w:type="dxa"/>
            <w:noWrap/>
            <w:hideMark/>
          </w:tcPr>
          <w:p w14:paraId="4286C31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969" w:type="dxa"/>
            <w:noWrap/>
            <w:hideMark/>
          </w:tcPr>
          <w:p w14:paraId="46F6CF9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-0.21%</w:t>
            </w:r>
          </w:p>
        </w:tc>
        <w:tc>
          <w:tcPr>
            <w:tcW w:w="969" w:type="dxa"/>
            <w:noWrap/>
            <w:hideMark/>
          </w:tcPr>
          <w:p w14:paraId="0586172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+0.04%</w:t>
            </w:r>
          </w:p>
        </w:tc>
        <w:tc>
          <w:tcPr>
            <w:tcW w:w="969" w:type="dxa"/>
            <w:noWrap/>
            <w:hideMark/>
          </w:tcPr>
          <w:p w14:paraId="04337B2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+0.22%</w:t>
            </w:r>
          </w:p>
        </w:tc>
        <w:tc>
          <w:tcPr>
            <w:tcW w:w="969" w:type="dxa"/>
            <w:noWrap/>
            <w:hideMark/>
          </w:tcPr>
          <w:p w14:paraId="4608594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+0.35%</w:t>
            </w:r>
          </w:p>
        </w:tc>
        <w:tc>
          <w:tcPr>
            <w:tcW w:w="969" w:type="dxa"/>
            <w:noWrap/>
            <w:hideMark/>
          </w:tcPr>
          <w:p w14:paraId="495648B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+0.01%</w:t>
            </w:r>
          </w:p>
        </w:tc>
      </w:tr>
      <w:tr w:rsidR="00893BA1" w:rsidRPr="007F6332" w14:paraId="1A1266F7"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126BC0"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Developmental delay </w:t>
            </w:r>
          </w:p>
        </w:tc>
        <w:tc>
          <w:tcPr>
            <w:tcW w:w="969" w:type="dxa"/>
            <w:noWrap/>
            <w:hideMark/>
          </w:tcPr>
          <w:p w14:paraId="52BCA85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+0.28%</w:t>
            </w:r>
          </w:p>
        </w:tc>
        <w:tc>
          <w:tcPr>
            <w:tcW w:w="969" w:type="dxa"/>
            <w:noWrap/>
            <w:hideMark/>
          </w:tcPr>
          <w:p w14:paraId="2A92507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+0.11%</w:t>
            </w:r>
          </w:p>
        </w:tc>
        <w:tc>
          <w:tcPr>
            <w:tcW w:w="969" w:type="dxa"/>
            <w:noWrap/>
            <w:hideMark/>
          </w:tcPr>
          <w:p w14:paraId="4A26D18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969" w:type="dxa"/>
            <w:noWrap/>
            <w:hideMark/>
          </w:tcPr>
          <w:p w14:paraId="4E412D7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-0.05%</w:t>
            </w:r>
          </w:p>
        </w:tc>
        <w:tc>
          <w:tcPr>
            <w:tcW w:w="969" w:type="dxa"/>
            <w:noWrap/>
            <w:hideMark/>
          </w:tcPr>
          <w:p w14:paraId="357B018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969" w:type="dxa"/>
            <w:noWrap/>
            <w:hideMark/>
          </w:tcPr>
          <w:p w14:paraId="4AF59DA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-0.04%</w:t>
            </w:r>
          </w:p>
        </w:tc>
        <w:tc>
          <w:tcPr>
            <w:tcW w:w="969" w:type="dxa"/>
            <w:noWrap/>
            <w:hideMark/>
          </w:tcPr>
          <w:p w14:paraId="4BAF2B0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-0.01%</w:t>
            </w:r>
          </w:p>
        </w:tc>
      </w:tr>
      <w:tr w:rsidR="00893BA1" w:rsidRPr="007F6332" w14:paraId="20811C41"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F04C6C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Hearing Impairment </w:t>
            </w:r>
          </w:p>
        </w:tc>
        <w:tc>
          <w:tcPr>
            <w:tcW w:w="969" w:type="dxa"/>
            <w:noWrap/>
            <w:hideMark/>
          </w:tcPr>
          <w:p w14:paraId="054AB13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969" w:type="dxa"/>
            <w:noWrap/>
            <w:hideMark/>
          </w:tcPr>
          <w:p w14:paraId="1D7D343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969" w:type="dxa"/>
            <w:noWrap/>
            <w:hideMark/>
          </w:tcPr>
          <w:p w14:paraId="674811E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52E34CB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969" w:type="dxa"/>
            <w:noWrap/>
            <w:hideMark/>
          </w:tcPr>
          <w:p w14:paraId="7502F01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0CC21DA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0DF8E54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+0.02%</w:t>
            </w:r>
          </w:p>
        </w:tc>
      </w:tr>
      <w:tr w:rsidR="00893BA1" w:rsidRPr="007F6332" w14:paraId="6E375573"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25B15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Intellectual Disability </w:t>
            </w:r>
          </w:p>
        </w:tc>
        <w:tc>
          <w:tcPr>
            <w:tcW w:w="969" w:type="dxa"/>
            <w:noWrap/>
            <w:hideMark/>
          </w:tcPr>
          <w:p w14:paraId="05106A1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61C38D6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2614DBC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-0.01%</w:t>
            </w:r>
          </w:p>
        </w:tc>
        <w:tc>
          <w:tcPr>
            <w:tcW w:w="969" w:type="dxa"/>
            <w:noWrap/>
            <w:hideMark/>
          </w:tcPr>
          <w:p w14:paraId="0940F51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1C07D80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noWrap/>
            <w:hideMark/>
          </w:tcPr>
          <w:p w14:paraId="73F7B93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969" w:type="dxa"/>
            <w:noWrap/>
            <w:hideMark/>
          </w:tcPr>
          <w:p w14:paraId="01888A8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-0.01%</w:t>
            </w:r>
          </w:p>
        </w:tc>
      </w:tr>
      <w:tr w:rsidR="00893BA1" w:rsidRPr="007F6332" w14:paraId="6E557556"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D61902"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Multiple Sclerosis </w:t>
            </w:r>
          </w:p>
        </w:tc>
        <w:tc>
          <w:tcPr>
            <w:tcW w:w="969" w:type="dxa"/>
            <w:noWrap/>
            <w:hideMark/>
          </w:tcPr>
          <w:p w14:paraId="3F8A4D4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-0.17%</w:t>
            </w:r>
          </w:p>
        </w:tc>
        <w:tc>
          <w:tcPr>
            <w:tcW w:w="969" w:type="dxa"/>
            <w:noWrap/>
            <w:hideMark/>
          </w:tcPr>
          <w:p w14:paraId="37C25CD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-0.20%</w:t>
            </w:r>
          </w:p>
        </w:tc>
        <w:tc>
          <w:tcPr>
            <w:tcW w:w="969" w:type="dxa"/>
            <w:noWrap/>
            <w:hideMark/>
          </w:tcPr>
          <w:p w14:paraId="366FFCE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-0.41%</w:t>
            </w:r>
          </w:p>
        </w:tc>
        <w:tc>
          <w:tcPr>
            <w:tcW w:w="969" w:type="dxa"/>
            <w:noWrap/>
            <w:hideMark/>
          </w:tcPr>
          <w:p w14:paraId="01469D4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-0.32%</w:t>
            </w:r>
          </w:p>
        </w:tc>
        <w:tc>
          <w:tcPr>
            <w:tcW w:w="969" w:type="dxa"/>
            <w:noWrap/>
            <w:hideMark/>
          </w:tcPr>
          <w:p w14:paraId="0D0CD22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-0.20%</w:t>
            </w:r>
          </w:p>
        </w:tc>
        <w:tc>
          <w:tcPr>
            <w:tcW w:w="969" w:type="dxa"/>
            <w:noWrap/>
            <w:hideMark/>
          </w:tcPr>
          <w:p w14:paraId="3FE7442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+0.00%</w:t>
            </w:r>
          </w:p>
        </w:tc>
        <w:tc>
          <w:tcPr>
            <w:tcW w:w="969" w:type="dxa"/>
            <w:noWrap/>
            <w:hideMark/>
          </w:tcPr>
          <w:p w14:paraId="262ED95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-0.26%</w:t>
            </w:r>
          </w:p>
        </w:tc>
      </w:tr>
      <w:tr w:rsidR="00893BA1" w:rsidRPr="007F6332" w14:paraId="6D687835"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83590E"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Psychosocial disability </w:t>
            </w:r>
          </w:p>
        </w:tc>
        <w:tc>
          <w:tcPr>
            <w:tcW w:w="969" w:type="dxa"/>
            <w:noWrap/>
            <w:hideMark/>
          </w:tcPr>
          <w:p w14:paraId="4CFC4ED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-0.04%</w:t>
            </w:r>
          </w:p>
        </w:tc>
        <w:tc>
          <w:tcPr>
            <w:tcW w:w="969" w:type="dxa"/>
            <w:noWrap/>
            <w:hideMark/>
          </w:tcPr>
          <w:p w14:paraId="066894E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969" w:type="dxa"/>
            <w:noWrap/>
            <w:hideMark/>
          </w:tcPr>
          <w:p w14:paraId="75240CE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+0.35%</w:t>
            </w:r>
          </w:p>
        </w:tc>
        <w:tc>
          <w:tcPr>
            <w:tcW w:w="969" w:type="dxa"/>
            <w:noWrap/>
            <w:hideMark/>
          </w:tcPr>
          <w:p w14:paraId="030F9DE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+0.12%</w:t>
            </w:r>
          </w:p>
        </w:tc>
        <w:tc>
          <w:tcPr>
            <w:tcW w:w="969" w:type="dxa"/>
            <w:noWrap/>
            <w:hideMark/>
          </w:tcPr>
          <w:p w14:paraId="0928C82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+0.53%</w:t>
            </w:r>
          </w:p>
        </w:tc>
        <w:tc>
          <w:tcPr>
            <w:tcW w:w="969" w:type="dxa"/>
            <w:noWrap/>
            <w:hideMark/>
          </w:tcPr>
          <w:p w14:paraId="7C92A2C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+0.64%</w:t>
            </w:r>
          </w:p>
        </w:tc>
        <w:tc>
          <w:tcPr>
            <w:tcW w:w="969" w:type="dxa"/>
            <w:noWrap/>
            <w:hideMark/>
          </w:tcPr>
          <w:p w14:paraId="207CC39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+0.29%</w:t>
            </w:r>
          </w:p>
        </w:tc>
      </w:tr>
      <w:tr w:rsidR="00893BA1" w:rsidRPr="007F6332" w14:paraId="740674F3"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D868DC"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Spinal Cord Injury </w:t>
            </w:r>
          </w:p>
        </w:tc>
        <w:tc>
          <w:tcPr>
            <w:tcW w:w="969" w:type="dxa"/>
            <w:noWrap/>
            <w:hideMark/>
          </w:tcPr>
          <w:p w14:paraId="183BB76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-0.19%</w:t>
            </w:r>
          </w:p>
        </w:tc>
        <w:tc>
          <w:tcPr>
            <w:tcW w:w="969" w:type="dxa"/>
            <w:noWrap/>
            <w:hideMark/>
          </w:tcPr>
          <w:p w14:paraId="45F8EC4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+0.39%</w:t>
            </w:r>
          </w:p>
        </w:tc>
        <w:tc>
          <w:tcPr>
            <w:tcW w:w="969" w:type="dxa"/>
            <w:noWrap/>
            <w:hideMark/>
          </w:tcPr>
          <w:p w14:paraId="798E0AA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+0.23%</w:t>
            </w:r>
          </w:p>
        </w:tc>
        <w:tc>
          <w:tcPr>
            <w:tcW w:w="969" w:type="dxa"/>
            <w:noWrap/>
            <w:hideMark/>
          </w:tcPr>
          <w:p w14:paraId="593CA4B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+0.32%</w:t>
            </w:r>
          </w:p>
        </w:tc>
        <w:tc>
          <w:tcPr>
            <w:tcW w:w="969" w:type="dxa"/>
            <w:noWrap/>
            <w:hideMark/>
          </w:tcPr>
          <w:p w14:paraId="0687720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+0.99%</w:t>
            </w:r>
          </w:p>
        </w:tc>
        <w:tc>
          <w:tcPr>
            <w:tcW w:w="969" w:type="dxa"/>
            <w:noWrap/>
            <w:hideMark/>
          </w:tcPr>
          <w:p w14:paraId="152E017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-0.01%</w:t>
            </w:r>
          </w:p>
        </w:tc>
        <w:tc>
          <w:tcPr>
            <w:tcW w:w="969" w:type="dxa"/>
            <w:noWrap/>
            <w:hideMark/>
          </w:tcPr>
          <w:p w14:paraId="20FBB97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+0.41%</w:t>
            </w:r>
          </w:p>
        </w:tc>
      </w:tr>
      <w:tr w:rsidR="00893BA1" w:rsidRPr="007F6332" w14:paraId="59F84918"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6C1780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Stroke </w:t>
            </w:r>
          </w:p>
        </w:tc>
        <w:tc>
          <w:tcPr>
            <w:tcW w:w="969" w:type="dxa"/>
            <w:noWrap/>
            <w:hideMark/>
          </w:tcPr>
          <w:p w14:paraId="37257D3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-0.42%</w:t>
            </w:r>
          </w:p>
        </w:tc>
        <w:tc>
          <w:tcPr>
            <w:tcW w:w="969" w:type="dxa"/>
            <w:noWrap/>
            <w:hideMark/>
          </w:tcPr>
          <w:p w14:paraId="3442031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+0.38%</w:t>
            </w:r>
          </w:p>
        </w:tc>
        <w:tc>
          <w:tcPr>
            <w:tcW w:w="969" w:type="dxa"/>
            <w:noWrap/>
            <w:hideMark/>
          </w:tcPr>
          <w:p w14:paraId="637E891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+0.47%</w:t>
            </w:r>
          </w:p>
        </w:tc>
        <w:tc>
          <w:tcPr>
            <w:tcW w:w="969" w:type="dxa"/>
            <w:noWrap/>
            <w:hideMark/>
          </w:tcPr>
          <w:p w14:paraId="085D0BA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+0.28%</w:t>
            </w:r>
          </w:p>
        </w:tc>
        <w:tc>
          <w:tcPr>
            <w:tcW w:w="969" w:type="dxa"/>
            <w:noWrap/>
            <w:hideMark/>
          </w:tcPr>
          <w:p w14:paraId="7493A04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+1.11%</w:t>
            </w:r>
          </w:p>
        </w:tc>
        <w:tc>
          <w:tcPr>
            <w:tcW w:w="969" w:type="dxa"/>
            <w:noWrap/>
            <w:hideMark/>
          </w:tcPr>
          <w:p w14:paraId="5E79F6D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+1.23%</w:t>
            </w:r>
          </w:p>
        </w:tc>
        <w:tc>
          <w:tcPr>
            <w:tcW w:w="969" w:type="dxa"/>
            <w:noWrap/>
            <w:hideMark/>
          </w:tcPr>
          <w:p w14:paraId="07FEEDD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+0.55%</w:t>
            </w:r>
          </w:p>
        </w:tc>
      </w:tr>
      <w:tr w:rsidR="00893BA1" w:rsidRPr="007F6332" w14:paraId="4073A8B6"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51909B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Visual Impairment </w:t>
            </w:r>
          </w:p>
        </w:tc>
        <w:tc>
          <w:tcPr>
            <w:tcW w:w="969" w:type="dxa"/>
            <w:noWrap/>
            <w:hideMark/>
          </w:tcPr>
          <w:p w14:paraId="4C959B5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969" w:type="dxa"/>
            <w:noWrap/>
            <w:hideMark/>
          </w:tcPr>
          <w:p w14:paraId="227498B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+0.14%</w:t>
            </w:r>
          </w:p>
        </w:tc>
        <w:tc>
          <w:tcPr>
            <w:tcW w:w="969" w:type="dxa"/>
            <w:noWrap/>
            <w:hideMark/>
          </w:tcPr>
          <w:p w14:paraId="6E129A7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+0.14%</w:t>
            </w:r>
          </w:p>
        </w:tc>
        <w:tc>
          <w:tcPr>
            <w:tcW w:w="969" w:type="dxa"/>
            <w:noWrap/>
            <w:hideMark/>
          </w:tcPr>
          <w:p w14:paraId="5ABC8AB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+0.01%</w:t>
            </w:r>
          </w:p>
        </w:tc>
        <w:tc>
          <w:tcPr>
            <w:tcW w:w="969" w:type="dxa"/>
            <w:noWrap/>
            <w:hideMark/>
          </w:tcPr>
          <w:p w14:paraId="0E2367D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-0.15%</w:t>
            </w:r>
          </w:p>
        </w:tc>
        <w:tc>
          <w:tcPr>
            <w:tcW w:w="969" w:type="dxa"/>
            <w:noWrap/>
            <w:hideMark/>
          </w:tcPr>
          <w:p w14:paraId="7F52EA7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+0.74%</w:t>
            </w:r>
          </w:p>
        </w:tc>
        <w:tc>
          <w:tcPr>
            <w:tcW w:w="969" w:type="dxa"/>
            <w:noWrap/>
            <w:hideMark/>
          </w:tcPr>
          <w:p w14:paraId="2AF97E6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+0.05%</w:t>
            </w:r>
          </w:p>
        </w:tc>
      </w:tr>
      <w:tr w:rsidR="00893BA1" w:rsidRPr="007F6332" w14:paraId="2115C58C"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1C1FCA"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Other Neurological </w:t>
            </w:r>
          </w:p>
        </w:tc>
        <w:tc>
          <w:tcPr>
            <w:tcW w:w="969" w:type="dxa"/>
            <w:noWrap/>
            <w:hideMark/>
          </w:tcPr>
          <w:p w14:paraId="41FC61C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-0.47%</w:t>
            </w:r>
          </w:p>
        </w:tc>
        <w:tc>
          <w:tcPr>
            <w:tcW w:w="969" w:type="dxa"/>
            <w:noWrap/>
            <w:hideMark/>
          </w:tcPr>
          <w:p w14:paraId="0A3FB72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-0.01%</w:t>
            </w:r>
          </w:p>
        </w:tc>
        <w:tc>
          <w:tcPr>
            <w:tcW w:w="969" w:type="dxa"/>
            <w:noWrap/>
            <w:hideMark/>
          </w:tcPr>
          <w:p w14:paraId="4962454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-0.16%</w:t>
            </w:r>
          </w:p>
        </w:tc>
        <w:tc>
          <w:tcPr>
            <w:tcW w:w="969" w:type="dxa"/>
            <w:noWrap/>
            <w:hideMark/>
          </w:tcPr>
          <w:p w14:paraId="5A08CD7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-0.48%</w:t>
            </w:r>
          </w:p>
        </w:tc>
        <w:tc>
          <w:tcPr>
            <w:tcW w:w="969" w:type="dxa"/>
            <w:noWrap/>
            <w:hideMark/>
          </w:tcPr>
          <w:p w14:paraId="1EC0620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+0.33%</w:t>
            </w:r>
          </w:p>
        </w:tc>
        <w:tc>
          <w:tcPr>
            <w:tcW w:w="969" w:type="dxa"/>
            <w:noWrap/>
            <w:hideMark/>
          </w:tcPr>
          <w:p w14:paraId="557D2E5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+1.21%</w:t>
            </w:r>
          </w:p>
        </w:tc>
        <w:tc>
          <w:tcPr>
            <w:tcW w:w="969" w:type="dxa"/>
            <w:noWrap/>
            <w:hideMark/>
          </w:tcPr>
          <w:p w14:paraId="3E676EE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r>
      <w:tr w:rsidR="00893BA1" w:rsidRPr="007F6332" w14:paraId="2237A1E8"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483F7C"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Other Physical </w:t>
            </w:r>
          </w:p>
        </w:tc>
        <w:tc>
          <w:tcPr>
            <w:tcW w:w="969" w:type="dxa"/>
            <w:noWrap/>
            <w:hideMark/>
          </w:tcPr>
          <w:p w14:paraId="7DB857A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+0.07%</w:t>
            </w:r>
          </w:p>
        </w:tc>
        <w:tc>
          <w:tcPr>
            <w:tcW w:w="969" w:type="dxa"/>
            <w:noWrap/>
            <w:hideMark/>
          </w:tcPr>
          <w:p w14:paraId="2407992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+0.11%</w:t>
            </w:r>
          </w:p>
        </w:tc>
        <w:tc>
          <w:tcPr>
            <w:tcW w:w="969" w:type="dxa"/>
            <w:noWrap/>
            <w:hideMark/>
          </w:tcPr>
          <w:p w14:paraId="528C48C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+0.44%</w:t>
            </w:r>
          </w:p>
        </w:tc>
        <w:tc>
          <w:tcPr>
            <w:tcW w:w="969" w:type="dxa"/>
            <w:noWrap/>
            <w:hideMark/>
          </w:tcPr>
          <w:p w14:paraId="6AD02C8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969" w:type="dxa"/>
            <w:noWrap/>
            <w:hideMark/>
          </w:tcPr>
          <w:p w14:paraId="4F48AF5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+0.04%</w:t>
            </w:r>
          </w:p>
        </w:tc>
        <w:tc>
          <w:tcPr>
            <w:tcW w:w="969" w:type="dxa"/>
            <w:noWrap/>
            <w:hideMark/>
          </w:tcPr>
          <w:p w14:paraId="327AE83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+0.15%</w:t>
            </w:r>
          </w:p>
        </w:tc>
        <w:tc>
          <w:tcPr>
            <w:tcW w:w="969" w:type="dxa"/>
            <w:noWrap/>
            <w:hideMark/>
          </w:tcPr>
          <w:p w14:paraId="302BFA8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+0.11%</w:t>
            </w:r>
          </w:p>
        </w:tc>
      </w:tr>
      <w:tr w:rsidR="00893BA1" w:rsidRPr="007F6332" w14:paraId="08E3BB06"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4AFAFA"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Other Sensory/Speech </w:t>
            </w:r>
          </w:p>
        </w:tc>
        <w:tc>
          <w:tcPr>
            <w:tcW w:w="969" w:type="dxa"/>
            <w:noWrap/>
            <w:hideMark/>
          </w:tcPr>
          <w:p w14:paraId="168B1D6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+0.07%</w:t>
            </w:r>
          </w:p>
        </w:tc>
        <w:tc>
          <w:tcPr>
            <w:tcW w:w="969" w:type="dxa"/>
            <w:noWrap/>
            <w:hideMark/>
          </w:tcPr>
          <w:p w14:paraId="71F4481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+0.10%</w:t>
            </w:r>
          </w:p>
        </w:tc>
        <w:tc>
          <w:tcPr>
            <w:tcW w:w="969" w:type="dxa"/>
            <w:noWrap/>
            <w:hideMark/>
          </w:tcPr>
          <w:p w14:paraId="437F943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+0.20%</w:t>
            </w:r>
          </w:p>
        </w:tc>
        <w:tc>
          <w:tcPr>
            <w:tcW w:w="969" w:type="dxa"/>
            <w:noWrap/>
            <w:hideMark/>
          </w:tcPr>
          <w:p w14:paraId="106602C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+0.15%</w:t>
            </w:r>
          </w:p>
        </w:tc>
        <w:tc>
          <w:tcPr>
            <w:tcW w:w="969" w:type="dxa"/>
            <w:noWrap/>
            <w:hideMark/>
          </w:tcPr>
          <w:p w14:paraId="348595B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+0.12%</w:t>
            </w:r>
          </w:p>
        </w:tc>
        <w:tc>
          <w:tcPr>
            <w:tcW w:w="969" w:type="dxa"/>
            <w:noWrap/>
            <w:hideMark/>
          </w:tcPr>
          <w:p w14:paraId="03CD45E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+0.52%</w:t>
            </w:r>
          </w:p>
        </w:tc>
        <w:tc>
          <w:tcPr>
            <w:tcW w:w="969" w:type="dxa"/>
            <w:noWrap/>
            <w:hideMark/>
          </w:tcPr>
          <w:p w14:paraId="74FF802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+0.14%</w:t>
            </w:r>
          </w:p>
        </w:tc>
      </w:tr>
      <w:tr w:rsidR="00893BA1" w:rsidRPr="007F6332" w14:paraId="45BE7280"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38A95D8"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Other </w:t>
            </w:r>
          </w:p>
        </w:tc>
        <w:tc>
          <w:tcPr>
            <w:tcW w:w="969" w:type="dxa"/>
            <w:noWrap/>
            <w:hideMark/>
          </w:tcPr>
          <w:p w14:paraId="16A34FF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-0.99%</w:t>
            </w:r>
          </w:p>
        </w:tc>
        <w:tc>
          <w:tcPr>
            <w:tcW w:w="969" w:type="dxa"/>
            <w:noWrap/>
            <w:hideMark/>
          </w:tcPr>
          <w:p w14:paraId="123EAD8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-1.12%</w:t>
            </w:r>
          </w:p>
        </w:tc>
        <w:tc>
          <w:tcPr>
            <w:tcW w:w="969" w:type="dxa"/>
            <w:noWrap/>
            <w:hideMark/>
          </w:tcPr>
          <w:p w14:paraId="09944A9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-0.16%</w:t>
            </w:r>
          </w:p>
        </w:tc>
        <w:tc>
          <w:tcPr>
            <w:tcW w:w="969" w:type="dxa"/>
            <w:noWrap/>
            <w:hideMark/>
          </w:tcPr>
          <w:p w14:paraId="18FD88C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+1.71%</w:t>
            </w:r>
          </w:p>
        </w:tc>
        <w:tc>
          <w:tcPr>
            <w:tcW w:w="969" w:type="dxa"/>
            <w:noWrap/>
            <w:hideMark/>
          </w:tcPr>
          <w:p w14:paraId="5175D81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+2.54%</w:t>
            </w:r>
          </w:p>
        </w:tc>
        <w:tc>
          <w:tcPr>
            <w:tcW w:w="969" w:type="dxa"/>
            <w:noWrap/>
            <w:hideMark/>
          </w:tcPr>
          <w:p w14:paraId="30EEFBD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+4.21%</w:t>
            </w:r>
          </w:p>
        </w:tc>
        <w:tc>
          <w:tcPr>
            <w:tcW w:w="969" w:type="dxa"/>
            <w:noWrap/>
            <w:hideMark/>
          </w:tcPr>
          <w:p w14:paraId="5B401DA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+1.49%</w:t>
            </w:r>
          </w:p>
        </w:tc>
      </w:tr>
      <w:tr w:rsidR="00893BA1" w:rsidRPr="007F6332" w14:paraId="24214C18"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BFBFBF" w:themeFill="background1" w:themeFillShade="BF"/>
            <w:noWrap/>
            <w:hideMark/>
          </w:tcPr>
          <w:p w14:paraId="363B626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Missing </w:t>
            </w:r>
          </w:p>
        </w:tc>
        <w:tc>
          <w:tcPr>
            <w:tcW w:w="969" w:type="dxa"/>
            <w:shd w:val="clear" w:color="auto" w:fill="BFBFBF" w:themeFill="background1" w:themeFillShade="BF"/>
            <w:noWrap/>
            <w:hideMark/>
          </w:tcPr>
          <w:p w14:paraId="1F3A00D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shd w:val="clear" w:color="auto" w:fill="BFBFBF" w:themeFill="background1" w:themeFillShade="BF"/>
            <w:noWrap/>
            <w:hideMark/>
          </w:tcPr>
          <w:p w14:paraId="0F3E737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969" w:type="dxa"/>
            <w:shd w:val="clear" w:color="auto" w:fill="BFBFBF" w:themeFill="background1" w:themeFillShade="BF"/>
            <w:noWrap/>
            <w:hideMark/>
          </w:tcPr>
          <w:p w14:paraId="69E0B41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969" w:type="dxa"/>
            <w:shd w:val="clear" w:color="auto" w:fill="BFBFBF" w:themeFill="background1" w:themeFillShade="BF"/>
            <w:noWrap/>
            <w:hideMark/>
          </w:tcPr>
          <w:p w14:paraId="6C6A772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-0.03%</w:t>
            </w:r>
          </w:p>
        </w:tc>
        <w:tc>
          <w:tcPr>
            <w:tcW w:w="969" w:type="dxa"/>
            <w:shd w:val="clear" w:color="auto" w:fill="BFBFBF" w:themeFill="background1" w:themeFillShade="BF"/>
            <w:noWrap/>
            <w:hideMark/>
          </w:tcPr>
          <w:p w14:paraId="4B69087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shd w:val="clear" w:color="auto" w:fill="BFBFBF" w:themeFill="background1" w:themeFillShade="BF"/>
            <w:noWrap/>
            <w:hideMark/>
          </w:tcPr>
          <w:p w14:paraId="177701E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c>
          <w:tcPr>
            <w:tcW w:w="969" w:type="dxa"/>
            <w:shd w:val="clear" w:color="auto" w:fill="BFBFBF" w:themeFill="background1" w:themeFillShade="BF"/>
            <w:noWrap/>
            <w:hideMark/>
          </w:tcPr>
          <w:p w14:paraId="4B9166C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-0.02%</w:t>
            </w:r>
          </w:p>
        </w:tc>
      </w:tr>
      <w:tr w:rsidR="00893BA1" w:rsidRPr="007F6332" w14:paraId="481B5560" w14:textId="77777777" w:rsidTr="00C1755E">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B499B7"/>
            <w:noWrap/>
            <w:hideMark/>
          </w:tcPr>
          <w:p w14:paraId="2C710019"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Total </w:t>
            </w:r>
          </w:p>
        </w:tc>
        <w:tc>
          <w:tcPr>
            <w:tcW w:w="969" w:type="dxa"/>
            <w:shd w:val="clear" w:color="auto" w:fill="B499B7"/>
            <w:noWrap/>
            <w:hideMark/>
          </w:tcPr>
          <w:p w14:paraId="061D8E9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-0.06%</w:t>
            </w:r>
          </w:p>
        </w:tc>
        <w:tc>
          <w:tcPr>
            <w:tcW w:w="969" w:type="dxa"/>
            <w:shd w:val="clear" w:color="auto" w:fill="B499B7"/>
            <w:noWrap/>
            <w:hideMark/>
          </w:tcPr>
          <w:p w14:paraId="36F3B94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-0.01%</w:t>
            </w:r>
          </w:p>
        </w:tc>
        <w:tc>
          <w:tcPr>
            <w:tcW w:w="969" w:type="dxa"/>
            <w:shd w:val="clear" w:color="auto" w:fill="B499B7"/>
            <w:noWrap/>
            <w:hideMark/>
          </w:tcPr>
          <w:p w14:paraId="3F16C54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+0.03%</w:t>
            </w:r>
          </w:p>
        </w:tc>
        <w:tc>
          <w:tcPr>
            <w:tcW w:w="969" w:type="dxa"/>
            <w:shd w:val="clear" w:color="auto" w:fill="B499B7"/>
            <w:noWrap/>
            <w:hideMark/>
          </w:tcPr>
          <w:p w14:paraId="679A5C3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-0.01%</w:t>
            </w:r>
          </w:p>
        </w:tc>
        <w:tc>
          <w:tcPr>
            <w:tcW w:w="969" w:type="dxa"/>
            <w:shd w:val="clear" w:color="auto" w:fill="B499B7"/>
            <w:noWrap/>
            <w:hideMark/>
          </w:tcPr>
          <w:p w14:paraId="27D1027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+0.15%</w:t>
            </w:r>
          </w:p>
        </w:tc>
        <w:tc>
          <w:tcPr>
            <w:tcW w:w="969" w:type="dxa"/>
            <w:shd w:val="clear" w:color="auto" w:fill="B499B7"/>
            <w:noWrap/>
            <w:hideMark/>
          </w:tcPr>
          <w:p w14:paraId="1857C66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+0.24%</w:t>
            </w:r>
          </w:p>
        </w:tc>
        <w:tc>
          <w:tcPr>
            <w:tcW w:w="969" w:type="dxa"/>
            <w:shd w:val="clear" w:color="auto" w:fill="B499B7"/>
            <w:noWrap/>
            <w:hideMark/>
          </w:tcPr>
          <w:p w14:paraId="7A6321F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+0.05%</w:t>
            </w:r>
          </w:p>
        </w:tc>
      </w:tr>
    </w:tbl>
    <w:p w14:paraId="380BA60C" w14:textId="078832AD" w:rsidR="00893BA1" w:rsidRPr="007F6332" w:rsidRDefault="00893BA1" w:rsidP="0076644E">
      <w:pPr>
        <w:spacing w:before="360"/>
        <w:rPr>
          <w:rFonts w:cs="Arial"/>
        </w:rPr>
      </w:pPr>
      <w:r w:rsidRPr="007F6332">
        <w:rPr>
          <w:rFonts w:cs="Arial"/>
        </w:rPr>
        <w:t xml:space="preserve">Figure </w:t>
      </w:r>
      <w:r w:rsidR="00516710" w:rsidRPr="007F6332">
        <w:rPr>
          <w:rFonts w:cs="Arial"/>
        </w:rPr>
        <w:t>H</w:t>
      </w:r>
      <w:r w:rsidRPr="007F6332">
        <w:rPr>
          <w:rFonts w:cs="Arial"/>
        </w:rPr>
        <w:t>.2 shows that actual mortality rates have increased from 2020 to 2023 in most disability groups. The upward trend in mortality rates is particularly evident amongst participants with acquired brain injury, psychosocial disability, spinal cord injury, stroke, other neurological disability and other disability.</w:t>
      </w:r>
    </w:p>
    <w:p w14:paraId="31EDE092" w14:textId="77777777" w:rsidR="00893BA1" w:rsidRPr="007F6332" w:rsidRDefault="00893BA1" w:rsidP="00893BA1">
      <w:pPr>
        <w:rPr>
          <w:rFonts w:cs="Arial"/>
        </w:rPr>
      </w:pPr>
      <w:r w:rsidRPr="007F6332">
        <w:rPr>
          <w:rFonts w:cs="Arial"/>
        </w:rPr>
        <w:t>Actual mortality experience against expectations for 2022 was varied.</w:t>
      </w:r>
    </w:p>
    <w:p w14:paraId="0DCCFC16" w14:textId="77777777" w:rsidR="00893BA1" w:rsidRPr="007F6332" w:rsidRDefault="00893BA1" w:rsidP="00F26AC5">
      <w:pPr>
        <w:pStyle w:val="FSRlist"/>
        <w:rPr>
          <w:rFonts w:cs="Arial"/>
        </w:rPr>
      </w:pPr>
      <w:r w:rsidRPr="007F6332">
        <w:rPr>
          <w:rFonts w:cs="Arial"/>
        </w:rPr>
        <w:t>Mortality rates amongst participants with autism and intellectual disability were 0.06% and 0.82% respectively and were both broadly in-line with expectations.</w:t>
      </w:r>
    </w:p>
    <w:p w14:paraId="0BEF9091" w14:textId="77777777" w:rsidR="00893BA1" w:rsidRPr="007F6332" w:rsidRDefault="00893BA1" w:rsidP="00F26AC5">
      <w:pPr>
        <w:pStyle w:val="FSRlist"/>
        <w:rPr>
          <w:rFonts w:cs="Arial"/>
        </w:rPr>
      </w:pPr>
      <w:r w:rsidRPr="007F6332">
        <w:rPr>
          <w:rFonts w:cs="Arial"/>
        </w:rPr>
        <w:t>The remaining disability types, other than developmental delay, multiple sclerosis and visual impairment, had higher rates of mortality than expected.</w:t>
      </w:r>
    </w:p>
    <w:p w14:paraId="3ED844FF" w14:textId="77777777" w:rsidR="009C4D5C" w:rsidRPr="007F6332" w:rsidRDefault="009C4D5C" w:rsidP="00CD33D0">
      <w:pPr>
        <w:pStyle w:val="FSRlist"/>
        <w:numPr>
          <w:ilvl w:val="0"/>
          <w:numId w:val="0"/>
        </w:numPr>
        <w:ind w:left="360"/>
        <w:rPr>
          <w:rFonts w:cs="Arial"/>
        </w:rPr>
      </w:pPr>
    </w:p>
    <w:p w14:paraId="6D840151" w14:textId="77777777" w:rsidR="0076644E" w:rsidRPr="007F6332" w:rsidRDefault="0076644E" w:rsidP="0076644E">
      <w:pPr>
        <w:pStyle w:val="FSRlist"/>
        <w:numPr>
          <w:ilvl w:val="0"/>
          <w:numId w:val="0"/>
        </w:numPr>
        <w:ind w:left="720"/>
        <w:rPr>
          <w:rFonts w:cs="Arial"/>
        </w:rPr>
        <w:sectPr w:rsidR="0076644E" w:rsidRPr="007F6332" w:rsidSect="00CE7E91">
          <w:pgSz w:w="11906" w:h="16838"/>
          <w:pgMar w:top="1440" w:right="1416" w:bottom="1440" w:left="1440" w:header="708" w:footer="850" w:gutter="0"/>
          <w:cols w:space="708"/>
          <w:titlePg/>
          <w:docGrid w:linePitch="360"/>
        </w:sectPr>
      </w:pPr>
    </w:p>
    <w:p w14:paraId="1BB56A1A" w14:textId="0C85FDEF" w:rsidR="009C4D5C" w:rsidRPr="007F6332" w:rsidRDefault="009C4D5C" w:rsidP="000A3CE4">
      <w:pPr>
        <w:pStyle w:val="Heading6"/>
        <w:rPr>
          <w:noProof/>
        </w:rPr>
      </w:pPr>
      <w:bookmarkStart w:id="312" w:name="_Hlk152341838"/>
      <w:r w:rsidRPr="007F6332">
        <w:lastRenderedPageBreak/>
        <w:t>Figure H.2: Actual vs expected mortality rates by calendar year and primary disability</w:t>
      </w:r>
    </w:p>
    <w:p w14:paraId="6DBBB438" w14:textId="1C1295D7" w:rsidR="00893BA1" w:rsidRPr="007F6332" w:rsidRDefault="0076644E" w:rsidP="000A3CE4">
      <w:pPr>
        <w:pStyle w:val="H5Header"/>
      </w:pPr>
      <w:r w:rsidRPr="007F6332">
        <w:rPr>
          <w:noProof/>
        </w:rPr>
        <w:drawing>
          <wp:inline distT="0" distB="0" distL="0" distR="0" wp14:anchorId="05F64DAA" wp14:editId="7503FF3D">
            <wp:extent cx="5746750" cy="4888865"/>
            <wp:effectExtent l="0" t="0" r="6350" b="6985"/>
            <wp:docPr id="1527832833" name="Picture 15" descr="Figure H.2: Actual vs expected mortality rates by calendar year and primary disability. &#10;The chart shows the actual figures versus expected. The actual mortality percentages  went up in 2022 with the expected percentages forecast being 0.2% to 2.5% difference. Multiple Sclerosis was the only primary disability where the actual percentages were lower across all years from 2018 to 2022,   than expected percentage mortality projections. The other categories for primary disabilities totals for all years, the actual percentages were higher than the expected valu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32833" name="Picture 15" descr="Figure H.2: Actual vs expected mortality rates by calendar year and primary disability. &#10;The chart shows the actual figures versus expected. The actual mortality percentages  went up in 2022 with the expected percentages forecast being 0.2% to 2.5% difference. Multiple Sclerosis was the only primary disability where the actual percentages were lower across all years from 2018 to 2022,   than expected percentage mortality projections. The other categories for primary disabilities totals for all years, the actual percentages were higher than the expected values.&#10;"/>
                    <pic:cNvPicPr>
                      <a:picLocks noChangeAspect="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46750" cy="4888865"/>
                    </a:xfrm>
                    <a:prstGeom prst="rect">
                      <a:avLst/>
                    </a:prstGeom>
                    <a:noFill/>
                    <a:ln>
                      <a:noFill/>
                    </a:ln>
                  </pic:spPr>
                </pic:pic>
              </a:graphicData>
            </a:graphic>
          </wp:inline>
        </w:drawing>
      </w:r>
      <w:bookmarkEnd w:id="311"/>
      <w:bookmarkEnd w:id="312"/>
      <w:r w:rsidR="00893BA1" w:rsidRPr="007F6332">
        <w:t>Scheme mortality over time, by age group</w:t>
      </w:r>
    </w:p>
    <w:p w14:paraId="54FDC4F3" w14:textId="50264F7F" w:rsidR="00893BA1" w:rsidRPr="007F6332" w:rsidRDefault="00893BA1" w:rsidP="00893BA1">
      <w:pPr>
        <w:keepNext/>
        <w:rPr>
          <w:rFonts w:cs="Arial"/>
          <w:szCs w:val="22"/>
        </w:rPr>
      </w:pPr>
      <w:r w:rsidRPr="007F6332">
        <w:rPr>
          <w:rFonts w:cs="Arial"/>
        </w:rPr>
        <w:t xml:space="preserve">As shown in Figure </w:t>
      </w:r>
      <w:r w:rsidR="002266B9" w:rsidRPr="007F6332">
        <w:rPr>
          <w:rFonts w:cs="Arial"/>
        </w:rPr>
        <w:t>H</w:t>
      </w:r>
      <w:r w:rsidRPr="007F6332">
        <w:rPr>
          <w:rFonts w:cs="Arial"/>
        </w:rPr>
        <w:t>.3:</w:t>
      </w:r>
    </w:p>
    <w:p w14:paraId="26797AD1" w14:textId="77777777" w:rsidR="00893BA1" w:rsidRPr="007F6332" w:rsidRDefault="00893BA1" w:rsidP="00F26AC5">
      <w:pPr>
        <w:pStyle w:val="FSRlist"/>
        <w:rPr>
          <w:rFonts w:cs="Arial"/>
        </w:rPr>
      </w:pPr>
      <w:r w:rsidRPr="007F6332">
        <w:rPr>
          <w:rFonts w:cs="Arial"/>
        </w:rPr>
        <w:t>Mortality rates generally increase with age (after the age of 6). In 2022, actual mortality rates were 0.06% for participants aged 7 to 14, increasing to 5.57% for participants over 65.</w:t>
      </w:r>
    </w:p>
    <w:p w14:paraId="1D6963EB" w14:textId="06B507E4" w:rsidR="00893BA1" w:rsidRPr="007F6332" w:rsidRDefault="00893BA1" w:rsidP="00F26AC5">
      <w:pPr>
        <w:pStyle w:val="FSRlist"/>
        <w:rPr>
          <w:rFonts w:cs="Arial"/>
        </w:rPr>
      </w:pPr>
      <w:r w:rsidRPr="007F6332">
        <w:rPr>
          <w:rFonts w:cs="Arial"/>
        </w:rPr>
        <w:t>For adult participants, mortality rates in the 14 months to 28 February 2023 increased compared to prior years, with larger increases observed for older age bands</w:t>
      </w:r>
      <w:r w:rsidR="00E90411" w:rsidRPr="007F6332">
        <w:rPr>
          <w:rStyle w:val="FootnoteReference"/>
          <w:rFonts w:cs="Arial"/>
        </w:rPr>
        <w:footnoteReference w:id="179"/>
      </w:r>
      <w:r w:rsidRPr="007F6332">
        <w:rPr>
          <w:rFonts w:cs="Arial"/>
        </w:rPr>
        <w:t>.</w:t>
      </w:r>
    </w:p>
    <w:p w14:paraId="6F2AE67D" w14:textId="77777777" w:rsidR="00893BA1" w:rsidRPr="007F6332" w:rsidRDefault="00893BA1" w:rsidP="00F26AC5">
      <w:pPr>
        <w:pStyle w:val="FSRlist"/>
        <w:rPr>
          <w:rFonts w:cs="Arial"/>
        </w:rPr>
      </w:pPr>
      <w:r w:rsidRPr="007F6332">
        <w:rPr>
          <w:rFonts w:cs="Arial"/>
        </w:rPr>
        <w:t>For participants aged 34 and below, actual mortality experience was reasonably steady between calendar year 2020 and 2022, with a slight increase in 2022.</w:t>
      </w:r>
    </w:p>
    <w:p w14:paraId="5BD94B7C" w14:textId="77777777" w:rsidR="00893BA1" w:rsidRPr="007F6332" w:rsidRDefault="00893BA1" w:rsidP="00F26AC5">
      <w:pPr>
        <w:pStyle w:val="FSRlist"/>
        <w:rPr>
          <w:rFonts w:cs="Arial"/>
        </w:rPr>
      </w:pPr>
      <w:r w:rsidRPr="007F6332">
        <w:rPr>
          <w:rFonts w:cs="Arial"/>
        </w:rPr>
        <w:t>Participants aged 35 and over were the primary contributors to the overall increase in mortality in 2022 and 2023. This cohort accounted for 93% of the higher-than-expected deaths in the period.</w:t>
      </w:r>
    </w:p>
    <w:p w14:paraId="3A31BA79" w14:textId="77777777" w:rsidR="00893BA1" w:rsidRPr="007F6332" w:rsidRDefault="00893BA1" w:rsidP="00893BA1">
      <w:pPr>
        <w:keepNext/>
        <w:rPr>
          <w:rFonts w:cs="Arial"/>
        </w:rPr>
      </w:pPr>
      <w:r w:rsidRPr="007F6332">
        <w:rPr>
          <w:rFonts w:cs="Arial"/>
        </w:rPr>
        <w:lastRenderedPageBreak/>
        <w:t>Actual mortality experience for the 14 months to February 2023 was higher than expected for all age bands, except for the 7 to 14 group, the age band with the greatest number of participants.</w:t>
      </w:r>
    </w:p>
    <w:p w14:paraId="3CCAD7FB" w14:textId="67358E28" w:rsidR="00327305" w:rsidRPr="001309C9" w:rsidRDefault="00893BA1" w:rsidP="001309C9">
      <w:pPr>
        <w:pStyle w:val="Heading6"/>
      </w:pPr>
      <w:r w:rsidRPr="007F6332">
        <w:t xml:space="preserve">Figure </w:t>
      </w:r>
      <w:r w:rsidR="002266B9" w:rsidRPr="007F6332">
        <w:t>H</w:t>
      </w:r>
      <w:r w:rsidRPr="007F6332">
        <w:t>.3: Actual vs expected mortality rates by calendar year and age group</w:t>
      </w:r>
      <w:r w:rsidR="001309C9" w:rsidRPr="001309C9">
        <w:rPr>
          <w:rFonts w:cs="Arial"/>
          <w:noProof/>
        </w:rPr>
        <w:t xml:space="preserve"> </w:t>
      </w:r>
      <w:r w:rsidR="001309C9" w:rsidRPr="007F6332">
        <w:rPr>
          <w:rFonts w:cs="Arial"/>
          <w:noProof/>
        </w:rPr>
        <w:drawing>
          <wp:inline distT="0" distB="0" distL="0" distR="0" wp14:anchorId="75ACC2EF" wp14:editId="1DD53D96">
            <wp:extent cx="5732145" cy="3328087"/>
            <wp:effectExtent l="0" t="0" r="1905" b="5715"/>
            <wp:docPr id="1202731887" name="Picture 5" descr="Figure H.3: Actual vs expected mortality rates by calendar year and age group. The actual rates for age groups 0 to 65 + were consistent  with the expected projectio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31887" name="Picture 5" descr="Figure H.3: Actual vs expected mortality rates by calendar year and age group. The actual rates for age groups 0 to 65 + were consistent  with the expected projections. &#1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733032" cy="3328602"/>
                    </a:xfrm>
                    <a:prstGeom prst="rect">
                      <a:avLst/>
                    </a:prstGeom>
                    <a:noFill/>
                    <a:ln>
                      <a:noFill/>
                    </a:ln>
                  </pic:spPr>
                </pic:pic>
              </a:graphicData>
            </a:graphic>
          </wp:inline>
        </w:drawing>
      </w:r>
    </w:p>
    <w:p w14:paraId="25924F1A" w14:textId="77777777" w:rsidR="00327305" w:rsidRPr="007F6332" w:rsidRDefault="00327305" w:rsidP="00E81C0D">
      <w:pPr>
        <w:pStyle w:val="FSRnormal"/>
        <w:spacing w:before="0" w:after="0"/>
        <w:rPr>
          <w:rFonts w:cs="Arial"/>
        </w:rPr>
      </w:pPr>
    </w:p>
    <w:p w14:paraId="692C9B19" w14:textId="75179A95" w:rsidR="00893BA1" w:rsidRPr="007F6332" w:rsidRDefault="00C55AC0" w:rsidP="000A3CE4">
      <w:pPr>
        <w:pStyle w:val="Heading6"/>
      </w:pPr>
      <w:r w:rsidRPr="007F6332">
        <w:t>T</w:t>
      </w:r>
      <w:r w:rsidR="00893BA1" w:rsidRPr="007F6332">
        <w:t xml:space="preserve">able </w:t>
      </w:r>
      <w:r w:rsidR="00516710" w:rsidRPr="007F6332">
        <w:t>H</w:t>
      </w:r>
      <w:r w:rsidR="00893BA1" w:rsidRPr="007F6332">
        <w:t>.</w:t>
      </w:r>
      <w:r w:rsidR="00516710" w:rsidRPr="007F6332">
        <w:t>4</w:t>
      </w:r>
      <w:r w:rsidR="00893BA1" w:rsidRPr="007F6332">
        <w:t>: Actual mortality by calendar year and age group</w:t>
      </w:r>
    </w:p>
    <w:tbl>
      <w:tblPr>
        <w:tblStyle w:val="FSRtable"/>
        <w:tblW w:w="9214" w:type="dxa"/>
        <w:tblInd w:w="0" w:type="dxa"/>
        <w:tblLayout w:type="fixed"/>
        <w:tblLook w:val="04A0" w:firstRow="1" w:lastRow="0" w:firstColumn="1" w:lastColumn="0" w:noHBand="0" w:noVBand="1"/>
      </w:tblPr>
      <w:tblGrid>
        <w:gridCol w:w="1275"/>
        <w:gridCol w:w="1134"/>
        <w:gridCol w:w="1134"/>
        <w:gridCol w:w="1134"/>
        <w:gridCol w:w="1134"/>
        <w:gridCol w:w="1134"/>
        <w:gridCol w:w="1134"/>
        <w:gridCol w:w="1135"/>
      </w:tblGrid>
      <w:tr w:rsidR="003A5E39" w:rsidRPr="007F6332" w14:paraId="2FB83252" w14:textId="77777777" w:rsidTr="00C1755E">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dxa"/>
            <w:hideMark/>
          </w:tcPr>
          <w:p w14:paraId="6F46F003"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Age group</w:t>
            </w:r>
          </w:p>
        </w:tc>
        <w:tc>
          <w:tcPr>
            <w:tcW w:w="1134" w:type="dxa"/>
            <w:hideMark/>
          </w:tcPr>
          <w:p w14:paraId="0F728C71"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1134" w:type="dxa"/>
            <w:hideMark/>
          </w:tcPr>
          <w:p w14:paraId="38828D83"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1134" w:type="dxa"/>
            <w:hideMark/>
          </w:tcPr>
          <w:p w14:paraId="037BB8DB"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1134" w:type="dxa"/>
            <w:hideMark/>
          </w:tcPr>
          <w:p w14:paraId="3C6F4A01"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1134" w:type="dxa"/>
            <w:hideMark/>
          </w:tcPr>
          <w:p w14:paraId="1476D4CB"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1134" w:type="dxa"/>
            <w:hideMark/>
          </w:tcPr>
          <w:p w14:paraId="2DCE2DB7" w14:textId="77777777" w:rsidR="00893BA1" w:rsidRPr="007F6332" w:rsidRDefault="00893BA1" w:rsidP="00C1755E">
            <w:pPr>
              <w:spacing w:line="240" w:lineRule="auto"/>
              <w:ind w:right="-102"/>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1135" w:type="dxa"/>
            <w:hideMark/>
          </w:tcPr>
          <w:p w14:paraId="59BC8146"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3A5E39" w:rsidRPr="007F6332" w14:paraId="19BEEBFD"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486F501A"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0 to 6 </w:t>
            </w:r>
          </w:p>
        </w:tc>
        <w:tc>
          <w:tcPr>
            <w:tcW w:w="1134" w:type="dxa"/>
            <w:noWrap/>
            <w:hideMark/>
          </w:tcPr>
          <w:p w14:paraId="7160C6E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0.10%</w:t>
            </w:r>
          </w:p>
        </w:tc>
        <w:tc>
          <w:tcPr>
            <w:tcW w:w="1134" w:type="dxa"/>
            <w:noWrap/>
            <w:hideMark/>
          </w:tcPr>
          <w:p w14:paraId="28BB03A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0.16%</w:t>
            </w:r>
          </w:p>
        </w:tc>
        <w:tc>
          <w:tcPr>
            <w:tcW w:w="1134" w:type="dxa"/>
            <w:noWrap/>
            <w:hideMark/>
          </w:tcPr>
          <w:p w14:paraId="2988DE9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0.10%</w:t>
            </w:r>
          </w:p>
        </w:tc>
        <w:tc>
          <w:tcPr>
            <w:tcW w:w="1134" w:type="dxa"/>
            <w:noWrap/>
            <w:hideMark/>
          </w:tcPr>
          <w:p w14:paraId="02CFF91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1134" w:type="dxa"/>
            <w:noWrap/>
            <w:hideMark/>
          </w:tcPr>
          <w:p w14:paraId="7F9282B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0.12%</w:t>
            </w:r>
          </w:p>
        </w:tc>
        <w:tc>
          <w:tcPr>
            <w:tcW w:w="1134" w:type="dxa"/>
            <w:noWrap/>
            <w:hideMark/>
          </w:tcPr>
          <w:p w14:paraId="32AED279" w14:textId="77777777" w:rsidR="00893BA1" w:rsidRPr="007F6332" w:rsidRDefault="00893BA1" w:rsidP="00AF16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0.11%</w:t>
            </w:r>
          </w:p>
        </w:tc>
        <w:tc>
          <w:tcPr>
            <w:tcW w:w="1135" w:type="dxa"/>
            <w:noWrap/>
            <w:hideMark/>
          </w:tcPr>
          <w:p w14:paraId="77CD4AE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0.11%</w:t>
            </w:r>
          </w:p>
        </w:tc>
      </w:tr>
      <w:tr w:rsidR="003A5E39" w:rsidRPr="007F6332" w14:paraId="2B7545CE"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4C7016C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7 to 14 </w:t>
            </w:r>
          </w:p>
        </w:tc>
        <w:tc>
          <w:tcPr>
            <w:tcW w:w="1134" w:type="dxa"/>
            <w:noWrap/>
            <w:hideMark/>
          </w:tcPr>
          <w:p w14:paraId="0326061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1134" w:type="dxa"/>
            <w:noWrap/>
            <w:hideMark/>
          </w:tcPr>
          <w:p w14:paraId="64C5671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0.10%</w:t>
            </w:r>
          </w:p>
        </w:tc>
        <w:tc>
          <w:tcPr>
            <w:tcW w:w="1134" w:type="dxa"/>
            <w:noWrap/>
            <w:hideMark/>
          </w:tcPr>
          <w:p w14:paraId="0411C8E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0.05%</w:t>
            </w:r>
          </w:p>
        </w:tc>
        <w:tc>
          <w:tcPr>
            <w:tcW w:w="1134" w:type="dxa"/>
            <w:noWrap/>
            <w:hideMark/>
          </w:tcPr>
          <w:p w14:paraId="3955696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134" w:type="dxa"/>
            <w:noWrap/>
            <w:hideMark/>
          </w:tcPr>
          <w:p w14:paraId="1CB9C80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134" w:type="dxa"/>
            <w:noWrap/>
            <w:hideMark/>
          </w:tcPr>
          <w:p w14:paraId="1E3B50B8" w14:textId="77777777" w:rsidR="00893BA1" w:rsidRPr="007F6332" w:rsidRDefault="00893BA1" w:rsidP="00AF16CF">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0.06%</w:t>
            </w:r>
          </w:p>
        </w:tc>
        <w:tc>
          <w:tcPr>
            <w:tcW w:w="1135" w:type="dxa"/>
            <w:noWrap/>
            <w:hideMark/>
          </w:tcPr>
          <w:p w14:paraId="649461B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0.07%</w:t>
            </w:r>
          </w:p>
        </w:tc>
      </w:tr>
      <w:tr w:rsidR="003A5E39" w:rsidRPr="007F6332" w14:paraId="1DD91025"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4D03BCA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15 to 18 </w:t>
            </w:r>
          </w:p>
        </w:tc>
        <w:tc>
          <w:tcPr>
            <w:tcW w:w="1134" w:type="dxa"/>
            <w:noWrap/>
            <w:hideMark/>
          </w:tcPr>
          <w:p w14:paraId="23689A0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0.20%</w:t>
            </w:r>
          </w:p>
        </w:tc>
        <w:tc>
          <w:tcPr>
            <w:tcW w:w="1134" w:type="dxa"/>
            <w:noWrap/>
            <w:hideMark/>
          </w:tcPr>
          <w:p w14:paraId="7EE9A5B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0.17%</w:t>
            </w:r>
          </w:p>
        </w:tc>
        <w:tc>
          <w:tcPr>
            <w:tcW w:w="1134" w:type="dxa"/>
            <w:noWrap/>
            <w:hideMark/>
          </w:tcPr>
          <w:p w14:paraId="6487D0B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0.18%</w:t>
            </w:r>
          </w:p>
        </w:tc>
        <w:tc>
          <w:tcPr>
            <w:tcW w:w="1134" w:type="dxa"/>
            <w:noWrap/>
            <w:hideMark/>
          </w:tcPr>
          <w:p w14:paraId="495E2DE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0.14%</w:t>
            </w:r>
          </w:p>
        </w:tc>
        <w:tc>
          <w:tcPr>
            <w:tcW w:w="1134" w:type="dxa"/>
            <w:noWrap/>
            <w:hideMark/>
          </w:tcPr>
          <w:p w14:paraId="3D12FC3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0.15%</w:t>
            </w:r>
          </w:p>
        </w:tc>
        <w:tc>
          <w:tcPr>
            <w:tcW w:w="1134" w:type="dxa"/>
            <w:noWrap/>
            <w:hideMark/>
          </w:tcPr>
          <w:p w14:paraId="1C61830C" w14:textId="77777777" w:rsidR="00893BA1" w:rsidRPr="007F6332" w:rsidRDefault="00893BA1" w:rsidP="00AF16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0.14%</w:t>
            </w:r>
          </w:p>
        </w:tc>
        <w:tc>
          <w:tcPr>
            <w:tcW w:w="1135" w:type="dxa"/>
            <w:noWrap/>
            <w:hideMark/>
          </w:tcPr>
          <w:p w14:paraId="63ED336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0.16%</w:t>
            </w:r>
          </w:p>
        </w:tc>
      </w:tr>
      <w:tr w:rsidR="003A5E39" w:rsidRPr="007F6332" w14:paraId="460A4206"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2B4D113E"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19 to 24 </w:t>
            </w:r>
          </w:p>
        </w:tc>
        <w:tc>
          <w:tcPr>
            <w:tcW w:w="1134" w:type="dxa"/>
            <w:noWrap/>
            <w:hideMark/>
          </w:tcPr>
          <w:p w14:paraId="469B3B0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0.25%</w:t>
            </w:r>
          </w:p>
        </w:tc>
        <w:tc>
          <w:tcPr>
            <w:tcW w:w="1134" w:type="dxa"/>
            <w:noWrap/>
            <w:hideMark/>
          </w:tcPr>
          <w:p w14:paraId="4C3494F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0.31%</w:t>
            </w:r>
          </w:p>
        </w:tc>
        <w:tc>
          <w:tcPr>
            <w:tcW w:w="1134" w:type="dxa"/>
            <w:noWrap/>
            <w:hideMark/>
          </w:tcPr>
          <w:p w14:paraId="1844D47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0.21%</w:t>
            </w:r>
          </w:p>
        </w:tc>
        <w:tc>
          <w:tcPr>
            <w:tcW w:w="1134" w:type="dxa"/>
            <w:noWrap/>
            <w:hideMark/>
          </w:tcPr>
          <w:p w14:paraId="23981DF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0.19%</w:t>
            </w:r>
          </w:p>
        </w:tc>
        <w:tc>
          <w:tcPr>
            <w:tcW w:w="1134" w:type="dxa"/>
            <w:noWrap/>
            <w:hideMark/>
          </w:tcPr>
          <w:p w14:paraId="1DC372A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0.23%</w:t>
            </w:r>
          </w:p>
        </w:tc>
        <w:tc>
          <w:tcPr>
            <w:tcW w:w="1134" w:type="dxa"/>
            <w:noWrap/>
            <w:hideMark/>
          </w:tcPr>
          <w:p w14:paraId="6E12B1FB" w14:textId="77777777" w:rsidR="00893BA1" w:rsidRPr="007F6332" w:rsidRDefault="00893BA1" w:rsidP="00AF16CF">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0.26%</w:t>
            </w:r>
          </w:p>
        </w:tc>
        <w:tc>
          <w:tcPr>
            <w:tcW w:w="1135" w:type="dxa"/>
            <w:noWrap/>
            <w:hideMark/>
          </w:tcPr>
          <w:p w14:paraId="5E42DC4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0.23%</w:t>
            </w:r>
          </w:p>
        </w:tc>
      </w:tr>
      <w:tr w:rsidR="003A5E39" w:rsidRPr="007F6332" w14:paraId="5B20AD21"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1293C809"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25 to 34 </w:t>
            </w:r>
          </w:p>
        </w:tc>
        <w:tc>
          <w:tcPr>
            <w:tcW w:w="1134" w:type="dxa"/>
            <w:noWrap/>
            <w:hideMark/>
          </w:tcPr>
          <w:p w14:paraId="4A6DAB4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0.49%</w:t>
            </w:r>
          </w:p>
        </w:tc>
        <w:tc>
          <w:tcPr>
            <w:tcW w:w="1134" w:type="dxa"/>
            <w:noWrap/>
            <w:hideMark/>
          </w:tcPr>
          <w:p w14:paraId="6C51A55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0.51%</w:t>
            </w:r>
          </w:p>
        </w:tc>
        <w:tc>
          <w:tcPr>
            <w:tcW w:w="1134" w:type="dxa"/>
            <w:noWrap/>
            <w:hideMark/>
          </w:tcPr>
          <w:p w14:paraId="13415B9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0.46%</w:t>
            </w:r>
          </w:p>
        </w:tc>
        <w:tc>
          <w:tcPr>
            <w:tcW w:w="1134" w:type="dxa"/>
            <w:noWrap/>
            <w:hideMark/>
          </w:tcPr>
          <w:p w14:paraId="4D6481D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0.47%</w:t>
            </w:r>
          </w:p>
        </w:tc>
        <w:tc>
          <w:tcPr>
            <w:tcW w:w="1134" w:type="dxa"/>
            <w:noWrap/>
            <w:hideMark/>
          </w:tcPr>
          <w:p w14:paraId="23D6970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0.52%</w:t>
            </w:r>
          </w:p>
        </w:tc>
        <w:tc>
          <w:tcPr>
            <w:tcW w:w="1134" w:type="dxa"/>
            <w:noWrap/>
            <w:hideMark/>
          </w:tcPr>
          <w:p w14:paraId="7A6C0981" w14:textId="77777777" w:rsidR="00893BA1" w:rsidRPr="007F6332" w:rsidRDefault="00893BA1" w:rsidP="00AF16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0.48%</w:t>
            </w:r>
          </w:p>
        </w:tc>
        <w:tc>
          <w:tcPr>
            <w:tcW w:w="1135" w:type="dxa"/>
            <w:noWrap/>
            <w:hideMark/>
          </w:tcPr>
          <w:p w14:paraId="1DB59BA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0.49%</w:t>
            </w:r>
          </w:p>
        </w:tc>
      </w:tr>
      <w:tr w:rsidR="003A5E39" w:rsidRPr="007F6332" w14:paraId="45ABEC03"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0F9EC0EE"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35 to 44 </w:t>
            </w:r>
          </w:p>
        </w:tc>
        <w:tc>
          <w:tcPr>
            <w:tcW w:w="1134" w:type="dxa"/>
            <w:noWrap/>
            <w:hideMark/>
          </w:tcPr>
          <w:p w14:paraId="585C1A3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0.94%</w:t>
            </w:r>
          </w:p>
        </w:tc>
        <w:tc>
          <w:tcPr>
            <w:tcW w:w="1134" w:type="dxa"/>
            <w:noWrap/>
            <w:hideMark/>
          </w:tcPr>
          <w:p w14:paraId="6065985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0.92%</w:t>
            </w:r>
          </w:p>
        </w:tc>
        <w:tc>
          <w:tcPr>
            <w:tcW w:w="1134" w:type="dxa"/>
            <w:noWrap/>
            <w:hideMark/>
          </w:tcPr>
          <w:p w14:paraId="34918FC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0.94%</w:t>
            </w:r>
          </w:p>
        </w:tc>
        <w:tc>
          <w:tcPr>
            <w:tcW w:w="1134" w:type="dxa"/>
            <w:noWrap/>
            <w:hideMark/>
          </w:tcPr>
          <w:p w14:paraId="4F45A72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0.87%</w:t>
            </w:r>
          </w:p>
        </w:tc>
        <w:tc>
          <w:tcPr>
            <w:tcW w:w="1134" w:type="dxa"/>
            <w:noWrap/>
            <w:hideMark/>
          </w:tcPr>
          <w:p w14:paraId="3E2A3F3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1.06%</w:t>
            </w:r>
          </w:p>
        </w:tc>
        <w:tc>
          <w:tcPr>
            <w:tcW w:w="1134" w:type="dxa"/>
            <w:noWrap/>
            <w:hideMark/>
          </w:tcPr>
          <w:p w14:paraId="75C6DADE" w14:textId="77777777" w:rsidR="00893BA1" w:rsidRPr="007F6332" w:rsidRDefault="00893BA1" w:rsidP="00AF16CF">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0.97%</w:t>
            </w:r>
          </w:p>
        </w:tc>
        <w:tc>
          <w:tcPr>
            <w:tcW w:w="1135" w:type="dxa"/>
            <w:noWrap/>
            <w:hideMark/>
          </w:tcPr>
          <w:p w14:paraId="68C76CF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0.95%</w:t>
            </w:r>
          </w:p>
        </w:tc>
      </w:tr>
      <w:tr w:rsidR="003A5E39" w:rsidRPr="007F6332" w14:paraId="7C2AA011"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6F8A165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45 to 54 </w:t>
            </w:r>
          </w:p>
        </w:tc>
        <w:tc>
          <w:tcPr>
            <w:tcW w:w="1134" w:type="dxa"/>
            <w:noWrap/>
            <w:hideMark/>
          </w:tcPr>
          <w:p w14:paraId="1F87ECF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1.74%</w:t>
            </w:r>
          </w:p>
        </w:tc>
        <w:tc>
          <w:tcPr>
            <w:tcW w:w="1134" w:type="dxa"/>
            <w:noWrap/>
            <w:hideMark/>
          </w:tcPr>
          <w:p w14:paraId="3C9B503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1.75%</w:t>
            </w:r>
          </w:p>
        </w:tc>
        <w:tc>
          <w:tcPr>
            <w:tcW w:w="1134" w:type="dxa"/>
            <w:noWrap/>
            <w:hideMark/>
          </w:tcPr>
          <w:p w14:paraId="2D624C6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1.98%</w:t>
            </w:r>
          </w:p>
        </w:tc>
        <w:tc>
          <w:tcPr>
            <w:tcW w:w="1134" w:type="dxa"/>
            <w:noWrap/>
            <w:hideMark/>
          </w:tcPr>
          <w:p w14:paraId="2F1A5BF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1.80%</w:t>
            </w:r>
          </w:p>
        </w:tc>
        <w:tc>
          <w:tcPr>
            <w:tcW w:w="1134" w:type="dxa"/>
            <w:noWrap/>
            <w:hideMark/>
          </w:tcPr>
          <w:p w14:paraId="214619C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2.12%</w:t>
            </w:r>
          </w:p>
        </w:tc>
        <w:tc>
          <w:tcPr>
            <w:tcW w:w="1134" w:type="dxa"/>
            <w:noWrap/>
            <w:hideMark/>
          </w:tcPr>
          <w:p w14:paraId="19587A82" w14:textId="77777777" w:rsidR="00893BA1" w:rsidRPr="007F6332" w:rsidRDefault="00893BA1" w:rsidP="00AF16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2.13%</w:t>
            </w:r>
          </w:p>
        </w:tc>
        <w:tc>
          <w:tcPr>
            <w:tcW w:w="1135" w:type="dxa"/>
            <w:noWrap/>
            <w:hideMark/>
          </w:tcPr>
          <w:p w14:paraId="7260871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1.92%</w:t>
            </w:r>
          </w:p>
        </w:tc>
      </w:tr>
      <w:tr w:rsidR="003A5E39" w:rsidRPr="007F6332" w14:paraId="4D055AAB" w14:textId="77777777" w:rsidTr="003A5E39">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0A4BA6FD"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55 to 64 </w:t>
            </w:r>
          </w:p>
        </w:tc>
        <w:tc>
          <w:tcPr>
            <w:tcW w:w="1134" w:type="dxa"/>
            <w:noWrap/>
            <w:hideMark/>
          </w:tcPr>
          <w:p w14:paraId="1351E04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3.47%</w:t>
            </w:r>
          </w:p>
        </w:tc>
        <w:tc>
          <w:tcPr>
            <w:tcW w:w="1134" w:type="dxa"/>
            <w:noWrap/>
            <w:hideMark/>
          </w:tcPr>
          <w:p w14:paraId="471699C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3.45%</w:t>
            </w:r>
          </w:p>
        </w:tc>
        <w:tc>
          <w:tcPr>
            <w:tcW w:w="1134" w:type="dxa"/>
            <w:noWrap/>
            <w:hideMark/>
          </w:tcPr>
          <w:p w14:paraId="49163CC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3.82%</w:t>
            </w:r>
          </w:p>
        </w:tc>
        <w:tc>
          <w:tcPr>
            <w:tcW w:w="1134" w:type="dxa"/>
            <w:noWrap/>
            <w:hideMark/>
          </w:tcPr>
          <w:p w14:paraId="7526CE8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3.48%</w:t>
            </w:r>
          </w:p>
        </w:tc>
        <w:tc>
          <w:tcPr>
            <w:tcW w:w="1134" w:type="dxa"/>
            <w:noWrap/>
            <w:hideMark/>
          </w:tcPr>
          <w:p w14:paraId="6CCDCCE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3.90%</w:t>
            </w:r>
          </w:p>
        </w:tc>
        <w:tc>
          <w:tcPr>
            <w:tcW w:w="1134" w:type="dxa"/>
            <w:noWrap/>
            <w:hideMark/>
          </w:tcPr>
          <w:p w14:paraId="2E3AE595" w14:textId="77777777" w:rsidR="00893BA1" w:rsidRPr="007F6332" w:rsidRDefault="00893BA1" w:rsidP="00AF16CF">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4.58%</w:t>
            </w:r>
          </w:p>
        </w:tc>
        <w:tc>
          <w:tcPr>
            <w:tcW w:w="1135" w:type="dxa"/>
            <w:noWrap/>
            <w:hideMark/>
          </w:tcPr>
          <w:p w14:paraId="24863E0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3.70%</w:t>
            </w:r>
          </w:p>
        </w:tc>
      </w:tr>
      <w:tr w:rsidR="003A5E39" w:rsidRPr="007F6332" w14:paraId="323107AC"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617435B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65+ </w:t>
            </w:r>
          </w:p>
        </w:tc>
        <w:tc>
          <w:tcPr>
            <w:tcW w:w="1134" w:type="dxa"/>
            <w:noWrap/>
            <w:hideMark/>
          </w:tcPr>
          <w:p w14:paraId="423CFD3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3.67%</w:t>
            </w:r>
          </w:p>
        </w:tc>
        <w:tc>
          <w:tcPr>
            <w:tcW w:w="1134" w:type="dxa"/>
            <w:noWrap/>
            <w:hideMark/>
          </w:tcPr>
          <w:p w14:paraId="38CB74C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4.92%</w:t>
            </w:r>
          </w:p>
        </w:tc>
        <w:tc>
          <w:tcPr>
            <w:tcW w:w="1134" w:type="dxa"/>
            <w:noWrap/>
            <w:hideMark/>
          </w:tcPr>
          <w:p w14:paraId="704D01C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4.45%</w:t>
            </w:r>
          </w:p>
        </w:tc>
        <w:tc>
          <w:tcPr>
            <w:tcW w:w="1134" w:type="dxa"/>
            <w:noWrap/>
            <w:hideMark/>
          </w:tcPr>
          <w:p w14:paraId="55498A8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4.90%</w:t>
            </w:r>
          </w:p>
        </w:tc>
        <w:tc>
          <w:tcPr>
            <w:tcW w:w="1134" w:type="dxa"/>
            <w:noWrap/>
            <w:hideMark/>
          </w:tcPr>
          <w:p w14:paraId="015349A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5.57%</w:t>
            </w:r>
          </w:p>
        </w:tc>
        <w:tc>
          <w:tcPr>
            <w:tcW w:w="1134" w:type="dxa"/>
            <w:noWrap/>
            <w:hideMark/>
          </w:tcPr>
          <w:p w14:paraId="733DA737" w14:textId="77777777" w:rsidR="00893BA1" w:rsidRPr="007F6332" w:rsidRDefault="00893BA1" w:rsidP="00AF16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5.85%</w:t>
            </w:r>
          </w:p>
        </w:tc>
        <w:tc>
          <w:tcPr>
            <w:tcW w:w="1135" w:type="dxa"/>
            <w:noWrap/>
            <w:hideMark/>
          </w:tcPr>
          <w:p w14:paraId="1F44EC7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5.05%</w:t>
            </w:r>
          </w:p>
        </w:tc>
      </w:tr>
      <w:tr w:rsidR="003A5E39" w:rsidRPr="007F6332" w14:paraId="190EA613" w14:textId="77777777" w:rsidTr="00C1755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dxa"/>
            <w:shd w:val="clear" w:color="auto" w:fill="B499B7"/>
            <w:noWrap/>
            <w:hideMark/>
          </w:tcPr>
          <w:p w14:paraId="1E0014EC"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Overall </w:t>
            </w:r>
          </w:p>
        </w:tc>
        <w:tc>
          <w:tcPr>
            <w:tcW w:w="0" w:type="dxa"/>
            <w:shd w:val="clear" w:color="auto" w:fill="B499B7"/>
            <w:noWrap/>
            <w:hideMark/>
          </w:tcPr>
          <w:p w14:paraId="042F677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0.89%</w:t>
            </w:r>
          </w:p>
        </w:tc>
        <w:tc>
          <w:tcPr>
            <w:tcW w:w="0" w:type="dxa"/>
            <w:shd w:val="clear" w:color="auto" w:fill="B499B7"/>
            <w:noWrap/>
            <w:hideMark/>
          </w:tcPr>
          <w:p w14:paraId="29A22AB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0.97%</w:t>
            </w:r>
          </w:p>
        </w:tc>
        <w:tc>
          <w:tcPr>
            <w:tcW w:w="0" w:type="dxa"/>
            <w:shd w:val="clear" w:color="auto" w:fill="B499B7"/>
            <w:noWrap/>
            <w:hideMark/>
          </w:tcPr>
          <w:p w14:paraId="4D4E3F9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0.99%</w:t>
            </w:r>
          </w:p>
        </w:tc>
        <w:tc>
          <w:tcPr>
            <w:tcW w:w="0" w:type="dxa"/>
            <w:shd w:val="clear" w:color="auto" w:fill="B499B7"/>
            <w:noWrap/>
            <w:hideMark/>
          </w:tcPr>
          <w:p w14:paraId="4DEA872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0.94%</w:t>
            </w:r>
          </w:p>
        </w:tc>
        <w:tc>
          <w:tcPr>
            <w:tcW w:w="0" w:type="dxa"/>
            <w:shd w:val="clear" w:color="auto" w:fill="B499B7"/>
            <w:noWrap/>
            <w:hideMark/>
          </w:tcPr>
          <w:p w14:paraId="394EDFD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1.07%</w:t>
            </w:r>
          </w:p>
        </w:tc>
        <w:tc>
          <w:tcPr>
            <w:tcW w:w="0" w:type="dxa"/>
            <w:shd w:val="clear" w:color="auto" w:fill="B499B7"/>
            <w:noWrap/>
            <w:hideMark/>
          </w:tcPr>
          <w:p w14:paraId="21ED452C" w14:textId="77777777" w:rsidR="00893BA1" w:rsidRPr="007F6332" w:rsidRDefault="00893BA1" w:rsidP="00AF16CF">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1.14%</w:t>
            </w:r>
          </w:p>
        </w:tc>
        <w:tc>
          <w:tcPr>
            <w:tcW w:w="0" w:type="dxa"/>
            <w:shd w:val="clear" w:color="auto" w:fill="B499B7"/>
            <w:noWrap/>
            <w:hideMark/>
          </w:tcPr>
          <w:p w14:paraId="26836035" w14:textId="77777777" w:rsidR="00893BA1" w:rsidRPr="007F6332" w:rsidRDefault="00893BA1" w:rsidP="00AF16CF">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0.99%</w:t>
            </w:r>
          </w:p>
        </w:tc>
      </w:tr>
    </w:tbl>
    <w:p w14:paraId="01429E27" w14:textId="77777777" w:rsidR="00812FC6" w:rsidRPr="007F6332" w:rsidRDefault="00812FC6" w:rsidP="0092687A">
      <w:pPr>
        <w:pStyle w:val="Heading7"/>
        <w:rPr>
          <w:rFonts w:cs="Arial"/>
        </w:rPr>
        <w:sectPr w:rsidR="00812FC6" w:rsidRPr="007F6332" w:rsidSect="00CE7E91">
          <w:pgSz w:w="11906" w:h="16838"/>
          <w:pgMar w:top="1440" w:right="1416" w:bottom="1440" w:left="1440" w:header="708" w:footer="850" w:gutter="0"/>
          <w:cols w:space="708"/>
          <w:titlePg/>
          <w:docGrid w:linePitch="360"/>
        </w:sectPr>
      </w:pPr>
    </w:p>
    <w:p w14:paraId="10F0557D" w14:textId="5038C3EB" w:rsidR="00893BA1" w:rsidRPr="007F6332" w:rsidRDefault="00893BA1" w:rsidP="000A3CE4">
      <w:pPr>
        <w:pStyle w:val="Heading6"/>
      </w:pPr>
      <w:r w:rsidRPr="007F6332">
        <w:lastRenderedPageBreak/>
        <w:t xml:space="preserve">Table </w:t>
      </w:r>
      <w:r w:rsidR="00516710" w:rsidRPr="007F6332">
        <w:t>H.5</w:t>
      </w:r>
      <w:r w:rsidRPr="007F6332">
        <w:t>: Expected mortality by calendar year and age group</w:t>
      </w:r>
    </w:p>
    <w:tbl>
      <w:tblPr>
        <w:tblStyle w:val="FSRtable"/>
        <w:tblW w:w="9200" w:type="dxa"/>
        <w:tblInd w:w="0" w:type="dxa"/>
        <w:tblLayout w:type="fixed"/>
        <w:tblLook w:val="04A0" w:firstRow="1" w:lastRow="0" w:firstColumn="1" w:lastColumn="0" w:noHBand="0" w:noVBand="1"/>
      </w:tblPr>
      <w:tblGrid>
        <w:gridCol w:w="1276"/>
        <w:gridCol w:w="1132"/>
        <w:gridCol w:w="1132"/>
        <w:gridCol w:w="1132"/>
        <w:gridCol w:w="1132"/>
        <w:gridCol w:w="1132"/>
        <w:gridCol w:w="1132"/>
        <w:gridCol w:w="1132"/>
      </w:tblGrid>
      <w:tr w:rsidR="008C0825" w:rsidRPr="007F6332" w14:paraId="595B1F14" w14:textId="77777777" w:rsidTr="00C1755E">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276" w:type="dxa"/>
            <w:hideMark/>
          </w:tcPr>
          <w:p w14:paraId="6F0C4791"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Age group</w:t>
            </w:r>
          </w:p>
        </w:tc>
        <w:tc>
          <w:tcPr>
            <w:tcW w:w="1132" w:type="dxa"/>
            <w:hideMark/>
          </w:tcPr>
          <w:p w14:paraId="4522777E"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1132" w:type="dxa"/>
            <w:hideMark/>
          </w:tcPr>
          <w:p w14:paraId="564EF351"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1132" w:type="dxa"/>
            <w:hideMark/>
          </w:tcPr>
          <w:p w14:paraId="2DD93C66"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1132" w:type="dxa"/>
            <w:hideMark/>
          </w:tcPr>
          <w:p w14:paraId="01EEE3F5"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1132" w:type="dxa"/>
            <w:hideMark/>
          </w:tcPr>
          <w:p w14:paraId="44ABEBBF"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1132" w:type="dxa"/>
            <w:hideMark/>
          </w:tcPr>
          <w:p w14:paraId="127FCBA5" w14:textId="77777777" w:rsidR="00893BA1" w:rsidRPr="007F6332" w:rsidRDefault="00893BA1" w:rsidP="00C1755E">
            <w:pPr>
              <w:spacing w:line="240" w:lineRule="auto"/>
              <w:ind w:left="-104" w:right="-104"/>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1132" w:type="dxa"/>
            <w:hideMark/>
          </w:tcPr>
          <w:p w14:paraId="4BB42779"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8C0825" w:rsidRPr="007F6332" w14:paraId="25824F92"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17C41F1B"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0 to 6 </w:t>
            </w:r>
          </w:p>
        </w:tc>
        <w:tc>
          <w:tcPr>
            <w:tcW w:w="1132" w:type="dxa"/>
            <w:noWrap/>
            <w:hideMark/>
          </w:tcPr>
          <w:p w14:paraId="59EA044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0.08%</w:t>
            </w:r>
          </w:p>
        </w:tc>
        <w:tc>
          <w:tcPr>
            <w:tcW w:w="1132" w:type="dxa"/>
            <w:noWrap/>
            <w:hideMark/>
          </w:tcPr>
          <w:p w14:paraId="01B418B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1132" w:type="dxa"/>
            <w:noWrap/>
            <w:hideMark/>
          </w:tcPr>
          <w:p w14:paraId="7524683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1132" w:type="dxa"/>
            <w:noWrap/>
            <w:hideMark/>
          </w:tcPr>
          <w:p w14:paraId="10BFC48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1132" w:type="dxa"/>
            <w:noWrap/>
            <w:hideMark/>
          </w:tcPr>
          <w:p w14:paraId="27E2594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0.10%</w:t>
            </w:r>
          </w:p>
        </w:tc>
        <w:tc>
          <w:tcPr>
            <w:tcW w:w="1132" w:type="dxa"/>
            <w:noWrap/>
            <w:hideMark/>
          </w:tcPr>
          <w:p w14:paraId="3187355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0.10%</w:t>
            </w:r>
          </w:p>
        </w:tc>
        <w:tc>
          <w:tcPr>
            <w:tcW w:w="1132" w:type="dxa"/>
            <w:noWrap/>
            <w:hideMark/>
          </w:tcPr>
          <w:p w14:paraId="2B16D1F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0.09%</w:t>
            </w:r>
          </w:p>
        </w:tc>
      </w:tr>
      <w:tr w:rsidR="008C0825" w:rsidRPr="007F6332" w14:paraId="5389ADD1"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13334F29"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7 to 14 </w:t>
            </w:r>
          </w:p>
        </w:tc>
        <w:tc>
          <w:tcPr>
            <w:tcW w:w="1132" w:type="dxa"/>
            <w:noWrap/>
            <w:hideMark/>
          </w:tcPr>
          <w:p w14:paraId="3270976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1132" w:type="dxa"/>
            <w:noWrap/>
            <w:hideMark/>
          </w:tcPr>
          <w:p w14:paraId="246E585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0.09%</w:t>
            </w:r>
          </w:p>
        </w:tc>
        <w:tc>
          <w:tcPr>
            <w:tcW w:w="1132" w:type="dxa"/>
            <w:noWrap/>
            <w:hideMark/>
          </w:tcPr>
          <w:p w14:paraId="3840B5D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0.08%</w:t>
            </w:r>
          </w:p>
        </w:tc>
        <w:tc>
          <w:tcPr>
            <w:tcW w:w="1132" w:type="dxa"/>
            <w:noWrap/>
            <w:hideMark/>
          </w:tcPr>
          <w:p w14:paraId="258D9D1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0.07%</w:t>
            </w:r>
          </w:p>
        </w:tc>
        <w:tc>
          <w:tcPr>
            <w:tcW w:w="1132" w:type="dxa"/>
            <w:noWrap/>
            <w:hideMark/>
          </w:tcPr>
          <w:p w14:paraId="44D0C2A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0.07%</w:t>
            </w:r>
          </w:p>
        </w:tc>
        <w:tc>
          <w:tcPr>
            <w:tcW w:w="1132" w:type="dxa"/>
            <w:noWrap/>
            <w:hideMark/>
          </w:tcPr>
          <w:p w14:paraId="17C8D3E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0.07%</w:t>
            </w:r>
          </w:p>
        </w:tc>
        <w:tc>
          <w:tcPr>
            <w:tcW w:w="1132" w:type="dxa"/>
            <w:noWrap/>
            <w:hideMark/>
          </w:tcPr>
          <w:p w14:paraId="0E75AD6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0.07%</w:t>
            </w:r>
          </w:p>
        </w:tc>
      </w:tr>
      <w:tr w:rsidR="008C0825" w:rsidRPr="007F6332" w14:paraId="2CFF041E"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63DE189E"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15 to 18 </w:t>
            </w:r>
          </w:p>
        </w:tc>
        <w:tc>
          <w:tcPr>
            <w:tcW w:w="1132" w:type="dxa"/>
            <w:noWrap/>
            <w:hideMark/>
          </w:tcPr>
          <w:p w14:paraId="5A63629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0.20%</w:t>
            </w:r>
          </w:p>
        </w:tc>
        <w:tc>
          <w:tcPr>
            <w:tcW w:w="1132" w:type="dxa"/>
            <w:noWrap/>
            <w:hideMark/>
          </w:tcPr>
          <w:p w14:paraId="31CA9BC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0.19%</w:t>
            </w:r>
          </w:p>
        </w:tc>
        <w:tc>
          <w:tcPr>
            <w:tcW w:w="1132" w:type="dxa"/>
            <w:noWrap/>
            <w:hideMark/>
          </w:tcPr>
          <w:p w14:paraId="44C7792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0.16%</w:t>
            </w:r>
          </w:p>
        </w:tc>
        <w:tc>
          <w:tcPr>
            <w:tcW w:w="1132" w:type="dxa"/>
            <w:noWrap/>
            <w:hideMark/>
          </w:tcPr>
          <w:p w14:paraId="337FFF8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0.15%</w:t>
            </w:r>
          </w:p>
        </w:tc>
        <w:tc>
          <w:tcPr>
            <w:tcW w:w="1132" w:type="dxa"/>
            <w:noWrap/>
            <w:hideMark/>
          </w:tcPr>
          <w:p w14:paraId="507990A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0.13%</w:t>
            </w:r>
          </w:p>
        </w:tc>
        <w:tc>
          <w:tcPr>
            <w:tcW w:w="1132" w:type="dxa"/>
            <w:noWrap/>
            <w:hideMark/>
          </w:tcPr>
          <w:p w14:paraId="62AFA85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0.12%</w:t>
            </w:r>
          </w:p>
        </w:tc>
        <w:tc>
          <w:tcPr>
            <w:tcW w:w="1132" w:type="dxa"/>
            <w:noWrap/>
            <w:hideMark/>
          </w:tcPr>
          <w:p w14:paraId="07D90E1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0.15%</w:t>
            </w:r>
          </w:p>
        </w:tc>
      </w:tr>
      <w:tr w:rsidR="008C0825" w:rsidRPr="007F6332" w14:paraId="3F3DDA3C"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4E4DB25D"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19 to 24 </w:t>
            </w:r>
          </w:p>
        </w:tc>
        <w:tc>
          <w:tcPr>
            <w:tcW w:w="1132" w:type="dxa"/>
            <w:noWrap/>
            <w:hideMark/>
          </w:tcPr>
          <w:p w14:paraId="15C06DD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0.29%</w:t>
            </w:r>
          </w:p>
        </w:tc>
        <w:tc>
          <w:tcPr>
            <w:tcW w:w="1132" w:type="dxa"/>
            <w:noWrap/>
            <w:hideMark/>
          </w:tcPr>
          <w:p w14:paraId="12433CC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0.28%</w:t>
            </w:r>
          </w:p>
        </w:tc>
        <w:tc>
          <w:tcPr>
            <w:tcW w:w="1132" w:type="dxa"/>
            <w:noWrap/>
            <w:hideMark/>
          </w:tcPr>
          <w:p w14:paraId="387E9BE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0.26%</w:t>
            </w:r>
          </w:p>
        </w:tc>
        <w:tc>
          <w:tcPr>
            <w:tcW w:w="1132" w:type="dxa"/>
            <w:noWrap/>
            <w:hideMark/>
          </w:tcPr>
          <w:p w14:paraId="6C305E1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0.24%</w:t>
            </w:r>
          </w:p>
        </w:tc>
        <w:tc>
          <w:tcPr>
            <w:tcW w:w="1132" w:type="dxa"/>
            <w:noWrap/>
            <w:hideMark/>
          </w:tcPr>
          <w:p w14:paraId="16974CE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0.22%</w:t>
            </w:r>
          </w:p>
        </w:tc>
        <w:tc>
          <w:tcPr>
            <w:tcW w:w="1132" w:type="dxa"/>
            <w:noWrap/>
            <w:hideMark/>
          </w:tcPr>
          <w:p w14:paraId="456E607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0.21%</w:t>
            </w:r>
          </w:p>
        </w:tc>
        <w:tc>
          <w:tcPr>
            <w:tcW w:w="1132" w:type="dxa"/>
            <w:noWrap/>
            <w:hideMark/>
          </w:tcPr>
          <w:p w14:paraId="367846B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0.25%</w:t>
            </w:r>
          </w:p>
        </w:tc>
      </w:tr>
      <w:tr w:rsidR="008C0825" w:rsidRPr="007F6332" w14:paraId="51C83946"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42E9FE06"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25 to 34 </w:t>
            </w:r>
          </w:p>
        </w:tc>
        <w:tc>
          <w:tcPr>
            <w:tcW w:w="1132" w:type="dxa"/>
            <w:noWrap/>
            <w:hideMark/>
          </w:tcPr>
          <w:p w14:paraId="25C2F7E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0.49%</w:t>
            </w:r>
          </w:p>
        </w:tc>
        <w:tc>
          <w:tcPr>
            <w:tcW w:w="1132" w:type="dxa"/>
            <w:noWrap/>
            <w:hideMark/>
          </w:tcPr>
          <w:p w14:paraId="43AE57C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0.48%</w:t>
            </w:r>
          </w:p>
        </w:tc>
        <w:tc>
          <w:tcPr>
            <w:tcW w:w="1132" w:type="dxa"/>
            <w:noWrap/>
            <w:hideMark/>
          </w:tcPr>
          <w:p w14:paraId="126B345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0.46%</w:t>
            </w:r>
          </w:p>
        </w:tc>
        <w:tc>
          <w:tcPr>
            <w:tcW w:w="1132" w:type="dxa"/>
            <w:noWrap/>
            <w:hideMark/>
          </w:tcPr>
          <w:p w14:paraId="35C45B9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0.44%</w:t>
            </w:r>
          </w:p>
        </w:tc>
        <w:tc>
          <w:tcPr>
            <w:tcW w:w="1132" w:type="dxa"/>
            <w:noWrap/>
            <w:hideMark/>
          </w:tcPr>
          <w:p w14:paraId="48FA126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0.42%</w:t>
            </w:r>
          </w:p>
        </w:tc>
        <w:tc>
          <w:tcPr>
            <w:tcW w:w="1132" w:type="dxa"/>
            <w:noWrap/>
            <w:hideMark/>
          </w:tcPr>
          <w:p w14:paraId="3CA1113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0.41%</w:t>
            </w:r>
          </w:p>
        </w:tc>
        <w:tc>
          <w:tcPr>
            <w:tcW w:w="1132" w:type="dxa"/>
            <w:noWrap/>
            <w:hideMark/>
          </w:tcPr>
          <w:p w14:paraId="0A1E91B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0.45%</w:t>
            </w:r>
          </w:p>
        </w:tc>
      </w:tr>
      <w:tr w:rsidR="008C0825" w:rsidRPr="007F6332" w14:paraId="1D41D62E"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094A039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35 to 44 </w:t>
            </w:r>
          </w:p>
        </w:tc>
        <w:tc>
          <w:tcPr>
            <w:tcW w:w="1132" w:type="dxa"/>
            <w:noWrap/>
            <w:hideMark/>
          </w:tcPr>
          <w:p w14:paraId="777813B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0.92%</w:t>
            </w:r>
          </w:p>
        </w:tc>
        <w:tc>
          <w:tcPr>
            <w:tcW w:w="1132" w:type="dxa"/>
            <w:noWrap/>
            <w:hideMark/>
          </w:tcPr>
          <w:p w14:paraId="549A24B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0.91%</w:t>
            </w:r>
          </w:p>
        </w:tc>
        <w:tc>
          <w:tcPr>
            <w:tcW w:w="1132" w:type="dxa"/>
            <w:noWrap/>
            <w:hideMark/>
          </w:tcPr>
          <w:p w14:paraId="3880098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0.90%</w:t>
            </w:r>
          </w:p>
        </w:tc>
        <w:tc>
          <w:tcPr>
            <w:tcW w:w="1132" w:type="dxa"/>
            <w:noWrap/>
            <w:hideMark/>
          </w:tcPr>
          <w:p w14:paraId="22F95F1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0.88%</w:t>
            </w:r>
          </w:p>
        </w:tc>
        <w:tc>
          <w:tcPr>
            <w:tcW w:w="1132" w:type="dxa"/>
            <w:noWrap/>
            <w:hideMark/>
          </w:tcPr>
          <w:p w14:paraId="53C215A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0.84%</w:t>
            </w:r>
          </w:p>
        </w:tc>
        <w:tc>
          <w:tcPr>
            <w:tcW w:w="1132" w:type="dxa"/>
            <w:noWrap/>
            <w:hideMark/>
          </w:tcPr>
          <w:p w14:paraId="57C4894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0.82%</w:t>
            </w:r>
          </w:p>
        </w:tc>
        <w:tc>
          <w:tcPr>
            <w:tcW w:w="1132" w:type="dxa"/>
            <w:noWrap/>
            <w:hideMark/>
          </w:tcPr>
          <w:p w14:paraId="29D2F65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0.88%</w:t>
            </w:r>
          </w:p>
        </w:tc>
      </w:tr>
      <w:tr w:rsidR="008C0825" w:rsidRPr="007F6332" w14:paraId="5B2BB14E"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01C2636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45 to 54 </w:t>
            </w:r>
          </w:p>
        </w:tc>
        <w:tc>
          <w:tcPr>
            <w:tcW w:w="1132" w:type="dxa"/>
            <w:noWrap/>
            <w:hideMark/>
          </w:tcPr>
          <w:p w14:paraId="196B2A5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1.89%</w:t>
            </w:r>
          </w:p>
        </w:tc>
        <w:tc>
          <w:tcPr>
            <w:tcW w:w="1132" w:type="dxa"/>
            <w:noWrap/>
            <w:hideMark/>
          </w:tcPr>
          <w:p w14:paraId="3F44755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1.87%</w:t>
            </w:r>
          </w:p>
        </w:tc>
        <w:tc>
          <w:tcPr>
            <w:tcW w:w="1132" w:type="dxa"/>
            <w:noWrap/>
            <w:hideMark/>
          </w:tcPr>
          <w:p w14:paraId="4055A53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1.84%</w:t>
            </w:r>
          </w:p>
        </w:tc>
        <w:tc>
          <w:tcPr>
            <w:tcW w:w="1132" w:type="dxa"/>
            <w:noWrap/>
            <w:hideMark/>
          </w:tcPr>
          <w:p w14:paraId="30B0852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1.80%</w:t>
            </w:r>
          </w:p>
        </w:tc>
        <w:tc>
          <w:tcPr>
            <w:tcW w:w="1132" w:type="dxa"/>
            <w:noWrap/>
            <w:hideMark/>
          </w:tcPr>
          <w:p w14:paraId="7EEFFB6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1.74%</w:t>
            </w:r>
          </w:p>
        </w:tc>
        <w:tc>
          <w:tcPr>
            <w:tcW w:w="1132" w:type="dxa"/>
            <w:noWrap/>
            <w:hideMark/>
          </w:tcPr>
          <w:p w14:paraId="578CBC5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1.71%</w:t>
            </w:r>
          </w:p>
        </w:tc>
        <w:tc>
          <w:tcPr>
            <w:tcW w:w="1132" w:type="dxa"/>
            <w:noWrap/>
            <w:hideMark/>
          </w:tcPr>
          <w:p w14:paraId="4D23381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1.81%</w:t>
            </w:r>
          </w:p>
        </w:tc>
      </w:tr>
      <w:tr w:rsidR="008C0825" w:rsidRPr="007F6332" w14:paraId="333593BC"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363DED34"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55 to 64 </w:t>
            </w:r>
          </w:p>
        </w:tc>
        <w:tc>
          <w:tcPr>
            <w:tcW w:w="1132" w:type="dxa"/>
            <w:noWrap/>
            <w:hideMark/>
          </w:tcPr>
          <w:p w14:paraId="00C1C50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3.61%</w:t>
            </w:r>
          </w:p>
        </w:tc>
        <w:tc>
          <w:tcPr>
            <w:tcW w:w="1132" w:type="dxa"/>
            <w:noWrap/>
            <w:hideMark/>
          </w:tcPr>
          <w:p w14:paraId="24AF541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3.59%</w:t>
            </w:r>
          </w:p>
        </w:tc>
        <w:tc>
          <w:tcPr>
            <w:tcW w:w="1132" w:type="dxa"/>
            <w:noWrap/>
            <w:hideMark/>
          </w:tcPr>
          <w:p w14:paraId="7538B31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3.56%</w:t>
            </w:r>
          </w:p>
        </w:tc>
        <w:tc>
          <w:tcPr>
            <w:tcW w:w="1132" w:type="dxa"/>
            <w:noWrap/>
            <w:hideMark/>
          </w:tcPr>
          <w:p w14:paraId="1B3B776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3.48%</w:t>
            </w:r>
          </w:p>
        </w:tc>
        <w:tc>
          <w:tcPr>
            <w:tcW w:w="1132" w:type="dxa"/>
            <w:noWrap/>
            <w:hideMark/>
          </w:tcPr>
          <w:p w14:paraId="5361486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3.37%</w:t>
            </w:r>
          </w:p>
        </w:tc>
        <w:tc>
          <w:tcPr>
            <w:tcW w:w="1132" w:type="dxa"/>
            <w:noWrap/>
            <w:hideMark/>
          </w:tcPr>
          <w:p w14:paraId="5624171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3.31%</w:t>
            </w:r>
          </w:p>
        </w:tc>
        <w:tc>
          <w:tcPr>
            <w:tcW w:w="1132" w:type="dxa"/>
            <w:noWrap/>
            <w:hideMark/>
          </w:tcPr>
          <w:p w14:paraId="4196047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3.49%</w:t>
            </w:r>
          </w:p>
        </w:tc>
      </w:tr>
      <w:tr w:rsidR="008C0825" w:rsidRPr="007F6332" w14:paraId="66D7D7CD"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2971529D"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65+ </w:t>
            </w:r>
          </w:p>
        </w:tc>
        <w:tc>
          <w:tcPr>
            <w:tcW w:w="1132" w:type="dxa"/>
            <w:noWrap/>
            <w:hideMark/>
          </w:tcPr>
          <w:p w14:paraId="7B7B172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4.78%</w:t>
            </w:r>
          </w:p>
        </w:tc>
        <w:tc>
          <w:tcPr>
            <w:tcW w:w="1132" w:type="dxa"/>
            <w:noWrap/>
            <w:hideMark/>
          </w:tcPr>
          <w:p w14:paraId="3C34A70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4.85%</w:t>
            </w:r>
          </w:p>
        </w:tc>
        <w:tc>
          <w:tcPr>
            <w:tcW w:w="1132" w:type="dxa"/>
            <w:noWrap/>
            <w:hideMark/>
          </w:tcPr>
          <w:p w14:paraId="4AF9CD9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4.86%</w:t>
            </w:r>
          </w:p>
        </w:tc>
        <w:tc>
          <w:tcPr>
            <w:tcW w:w="1132" w:type="dxa"/>
            <w:noWrap/>
            <w:hideMark/>
          </w:tcPr>
          <w:p w14:paraId="6C508C8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4.88%</w:t>
            </w:r>
          </w:p>
        </w:tc>
        <w:tc>
          <w:tcPr>
            <w:tcW w:w="1132" w:type="dxa"/>
            <w:noWrap/>
            <w:hideMark/>
          </w:tcPr>
          <w:p w14:paraId="692B976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4.87%</w:t>
            </w:r>
          </w:p>
        </w:tc>
        <w:tc>
          <w:tcPr>
            <w:tcW w:w="1132" w:type="dxa"/>
            <w:noWrap/>
            <w:hideMark/>
          </w:tcPr>
          <w:p w14:paraId="485CBA4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4.86%</w:t>
            </w:r>
          </w:p>
        </w:tc>
        <w:tc>
          <w:tcPr>
            <w:tcW w:w="1132" w:type="dxa"/>
            <w:noWrap/>
            <w:hideMark/>
          </w:tcPr>
          <w:p w14:paraId="286286B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4.86%</w:t>
            </w:r>
          </w:p>
        </w:tc>
      </w:tr>
      <w:tr w:rsidR="00AF16CF" w:rsidRPr="007F6332" w14:paraId="43A1ED8B" w14:textId="77777777" w:rsidTr="00C1755E">
        <w:trPr>
          <w:cnfStyle w:val="000000010000" w:firstRow="0" w:lastRow="0" w:firstColumn="0" w:lastColumn="0" w:oddVBand="0" w:evenVBand="0" w:oddHBand="0" w:evenHBand="1"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dxa"/>
            <w:shd w:val="clear" w:color="auto" w:fill="B499B7"/>
            <w:noWrap/>
            <w:hideMark/>
          </w:tcPr>
          <w:p w14:paraId="017EB6D5"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Overall </w:t>
            </w:r>
          </w:p>
        </w:tc>
        <w:tc>
          <w:tcPr>
            <w:tcW w:w="1132" w:type="dxa"/>
            <w:shd w:val="clear" w:color="auto" w:fill="B499B7"/>
            <w:noWrap/>
            <w:hideMark/>
          </w:tcPr>
          <w:p w14:paraId="7538B74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0.95%</w:t>
            </w:r>
          </w:p>
        </w:tc>
        <w:tc>
          <w:tcPr>
            <w:tcW w:w="1132" w:type="dxa"/>
            <w:shd w:val="clear" w:color="auto" w:fill="B499B7"/>
            <w:noWrap/>
            <w:hideMark/>
          </w:tcPr>
          <w:p w14:paraId="1BDD38C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0.98%</w:t>
            </w:r>
          </w:p>
        </w:tc>
        <w:tc>
          <w:tcPr>
            <w:tcW w:w="1132" w:type="dxa"/>
            <w:shd w:val="clear" w:color="auto" w:fill="B499B7"/>
            <w:noWrap/>
            <w:hideMark/>
          </w:tcPr>
          <w:p w14:paraId="10D8F37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0.96%</w:t>
            </w:r>
          </w:p>
        </w:tc>
        <w:tc>
          <w:tcPr>
            <w:tcW w:w="1132" w:type="dxa"/>
            <w:shd w:val="clear" w:color="auto" w:fill="B499B7"/>
            <w:noWrap/>
            <w:hideMark/>
          </w:tcPr>
          <w:p w14:paraId="6E0080F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0.94%</w:t>
            </w:r>
          </w:p>
        </w:tc>
        <w:tc>
          <w:tcPr>
            <w:tcW w:w="1132" w:type="dxa"/>
            <w:shd w:val="clear" w:color="auto" w:fill="B499B7"/>
            <w:noWrap/>
            <w:hideMark/>
          </w:tcPr>
          <w:p w14:paraId="24600C5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0.92%</w:t>
            </w:r>
          </w:p>
        </w:tc>
        <w:tc>
          <w:tcPr>
            <w:tcW w:w="1132" w:type="dxa"/>
            <w:shd w:val="clear" w:color="auto" w:fill="B499B7"/>
            <w:noWrap/>
            <w:hideMark/>
          </w:tcPr>
          <w:p w14:paraId="13C687F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0.89%</w:t>
            </w:r>
          </w:p>
        </w:tc>
        <w:tc>
          <w:tcPr>
            <w:tcW w:w="1132" w:type="dxa"/>
            <w:shd w:val="clear" w:color="auto" w:fill="B499B7"/>
            <w:noWrap/>
            <w:hideMark/>
          </w:tcPr>
          <w:p w14:paraId="425B4CE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0.94%</w:t>
            </w:r>
          </w:p>
        </w:tc>
      </w:tr>
    </w:tbl>
    <w:p w14:paraId="7B784CBC" w14:textId="77777777" w:rsidR="00327305" w:rsidRPr="007F6332" w:rsidRDefault="00327305" w:rsidP="00E81C0D">
      <w:pPr>
        <w:pStyle w:val="FSRnormal"/>
        <w:spacing w:before="0" w:after="0"/>
        <w:rPr>
          <w:rFonts w:cs="Arial"/>
        </w:rPr>
      </w:pPr>
    </w:p>
    <w:p w14:paraId="702355F4" w14:textId="46E5DDBC" w:rsidR="00893BA1" w:rsidRPr="007F6332" w:rsidRDefault="00893BA1" w:rsidP="000A3CE4">
      <w:pPr>
        <w:pStyle w:val="Heading6"/>
      </w:pPr>
      <w:r w:rsidRPr="007F6332">
        <w:t xml:space="preserve">Table </w:t>
      </w:r>
      <w:r w:rsidR="00516710" w:rsidRPr="007F6332">
        <w:t>H.6</w:t>
      </w:r>
      <w:r w:rsidRPr="007F6332">
        <w:t>: Difference between actual and expected mortality by calendar year and age group</w:t>
      </w:r>
    </w:p>
    <w:tbl>
      <w:tblPr>
        <w:tblStyle w:val="FSRtable"/>
        <w:tblW w:w="9214" w:type="dxa"/>
        <w:tblInd w:w="0" w:type="dxa"/>
        <w:tblLayout w:type="fixed"/>
        <w:tblLook w:val="04A0" w:firstRow="1" w:lastRow="0" w:firstColumn="1" w:lastColumn="0" w:noHBand="0" w:noVBand="1"/>
      </w:tblPr>
      <w:tblGrid>
        <w:gridCol w:w="1134"/>
        <w:gridCol w:w="1154"/>
        <w:gridCol w:w="1154"/>
        <w:gridCol w:w="1154"/>
        <w:gridCol w:w="1155"/>
        <w:gridCol w:w="1154"/>
        <w:gridCol w:w="1154"/>
        <w:gridCol w:w="1155"/>
      </w:tblGrid>
      <w:tr w:rsidR="00D703C7" w:rsidRPr="007F6332" w14:paraId="53ABF600" w14:textId="77777777" w:rsidTr="00C1755E">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dxa"/>
            <w:hideMark/>
          </w:tcPr>
          <w:p w14:paraId="3A390EC2" w14:textId="77777777" w:rsidR="00D703C7" w:rsidRPr="007F6332" w:rsidRDefault="00893BA1" w:rsidP="0092687A">
            <w:pPr>
              <w:spacing w:line="240" w:lineRule="auto"/>
              <w:ind w:right="-174"/>
              <w:rPr>
                <w:rFonts w:eastAsia="Times New Roman"/>
                <w:b w:val="0"/>
                <w:bCs/>
                <w:color w:val="FFFFFF"/>
                <w:lang w:eastAsia="en-AU"/>
              </w:rPr>
            </w:pPr>
            <w:r w:rsidRPr="007F6332">
              <w:rPr>
                <w:rFonts w:eastAsia="Times New Roman"/>
                <w:bCs/>
                <w:color w:val="FFFFFF"/>
                <w:lang w:eastAsia="en-AU"/>
              </w:rPr>
              <w:t>Age</w:t>
            </w:r>
            <w:r w:rsidR="003A5E39" w:rsidRPr="007F6332">
              <w:rPr>
                <w:rFonts w:eastAsia="Times New Roman"/>
                <w:bCs/>
                <w:color w:val="FFFFFF"/>
                <w:lang w:eastAsia="en-AU"/>
              </w:rPr>
              <w:t xml:space="preserve">  </w:t>
            </w:r>
            <w:r w:rsidRPr="007F6332">
              <w:rPr>
                <w:rFonts w:eastAsia="Times New Roman"/>
                <w:bCs/>
                <w:color w:val="FFFFFF"/>
                <w:lang w:eastAsia="en-AU"/>
              </w:rPr>
              <w:t xml:space="preserve"> </w:t>
            </w:r>
          </w:p>
          <w:p w14:paraId="16A566FB" w14:textId="0B1EDE0B" w:rsidR="00893BA1" w:rsidRPr="007F6332" w:rsidRDefault="00893BA1" w:rsidP="0092687A">
            <w:pPr>
              <w:spacing w:line="240" w:lineRule="auto"/>
              <w:ind w:right="-174"/>
              <w:rPr>
                <w:rFonts w:eastAsia="Times New Roman"/>
                <w:b w:val="0"/>
                <w:bCs/>
                <w:color w:val="FFFFFF"/>
                <w:szCs w:val="22"/>
                <w:lang w:eastAsia="en-AU"/>
              </w:rPr>
            </w:pPr>
            <w:r w:rsidRPr="007F6332">
              <w:rPr>
                <w:rFonts w:eastAsia="Times New Roman"/>
                <w:bCs/>
                <w:color w:val="FFFFFF"/>
                <w:lang w:eastAsia="en-AU"/>
              </w:rPr>
              <w:t>group</w:t>
            </w:r>
          </w:p>
        </w:tc>
        <w:tc>
          <w:tcPr>
            <w:tcW w:w="1154" w:type="dxa"/>
            <w:hideMark/>
          </w:tcPr>
          <w:p w14:paraId="626C700A"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1154" w:type="dxa"/>
            <w:hideMark/>
          </w:tcPr>
          <w:p w14:paraId="75132D0F"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1154" w:type="dxa"/>
            <w:hideMark/>
          </w:tcPr>
          <w:p w14:paraId="7BB49B32"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1155" w:type="dxa"/>
            <w:hideMark/>
          </w:tcPr>
          <w:p w14:paraId="5AB2CC04"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1154" w:type="dxa"/>
            <w:hideMark/>
          </w:tcPr>
          <w:p w14:paraId="1849A33A"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1154" w:type="dxa"/>
            <w:hideMark/>
          </w:tcPr>
          <w:p w14:paraId="5C079F84"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1155" w:type="dxa"/>
            <w:hideMark/>
          </w:tcPr>
          <w:p w14:paraId="2B7F74AE"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D703C7" w:rsidRPr="007F6332" w14:paraId="0C9E0867"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07094016"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0 to 6 </w:t>
            </w:r>
          </w:p>
        </w:tc>
        <w:tc>
          <w:tcPr>
            <w:tcW w:w="1154" w:type="dxa"/>
            <w:noWrap/>
            <w:hideMark/>
          </w:tcPr>
          <w:p w14:paraId="08EC368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54" w:type="dxa"/>
            <w:noWrap/>
            <w:hideMark/>
          </w:tcPr>
          <w:p w14:paraId="68F59FA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+0.07%</w:t>
            </w:r>
          </w:p>
        </w:tc>
        <w:tc>
          <w:tcPr>
            <w:tcW w:w="1154" w:type="dxa"/>
            <w:noWrap/>
            <w:hideMark/>
          </w:tcPr>
          <w:p w14:paraId="31FAC11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55" w:type="dxa"/>
            <w:noWrap/>
            <w:hideMark/>
          </w:tcPr>
          <w:p w14:paraId="7BCEF0D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c>
          <w:tcPr>
            <w:tcW w:w="1154" w:type="dxa"/>
            <w:noWrap/>
            <w:hideMark/>
          </w:tcPr>
          <w:p w14:paraId="4CF94AC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c>
          <w:tcPr>
            <w:tcW w:w="1154" w:type="dxa"/>
            <w:noWrap/>
            <w:hideMark/>
          </w:tcPr>
          <w:p w14:paraId="12B5BD3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+0.00%</w:t>
            </w:r>
          </w:p>
        </w:tc>
        <w:tc>
          <w:tcPr>
            <w:tcW w:w="1155" w:type="dxa"/>
            <w:noWrap/>
            <w:hideMark/>
          </w:tcPr>
          <w:p w14:paraId="6129689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r>
      <w:tr w:rsidR="00D703C7" w:rsidRPr="007F6332" w14:paraId="5A2EEB89"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25B51CF4"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7 to 14 </w:t>
            </w:r>
          </w:p>
        </w:tc>
        <w:tc>
          <w:tcPr>
            <w:tcW w:w="1154" w:type="dxa"/>
            <w:noWrap/>
            <w:hideMark/>
          </w:tcPr>
          <w:p w14:paraId="302485B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-0.01%</w:t>
            </w:r>
          </w:p>
        </w:tc>
        <w:tc>
          <w:tcPr>
            <w:tcW w:w="1154" w:type="dxa"/>
            <w:noWrap/>
            <w:hideMark/>
          </w:tcPr>
          <w:p w14:paraId="0429DB5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54" w:type="dxa"/>
            <w:noWrap/>
            <w:hideMark/>
          </w:tcPr>
          <w:p w14:paraId="54CFDAF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-0.02%</w:t>
            </w:r>
          </w:p>
        </w:tc>
        <w:tc>
          <w:tcPr>
            <w:tcW w:w="1155" w:type="dxa"/>
            <w:noWrap/>
            <w:hideMark/>
          </w:tcPr>
          <w:p w14:paraId="450F169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-0.01%</w:t>
            </w:r>
          </w:p>
        </w:tc>
        <w:tc>
          <w:tcPr>
            <w:tcW w:w="1154" w:type="dxa"/>
            <w:noWrap/>
            <w:hideMark/>
          </w:tcPr>
          <w:p w14:paraId="6EE2337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-0.01%</w:t>
            </w:r>
          </w:p>
        </w:tc>
        <w:tc>
          <w:tcPr>
            <w:tcW w:w="1154" w:type="dxa"/>
            <w:noWrap/>
            <w:hideMark/>
          </w:tcPr>
          <w:p w14:paraId="76DD0DD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c>
          <w:tcPr>
            <w:tcW w:w="1155" w:type="dxa"/>
            <w:noWrap/>
            <w:hideMark/>
          </w:tcPr>
          <w:p w14:paraId="196887D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-0.01%</w:t>
            </w:r>
          </w:p>
        </w:tc>
      </w:tr>
      <w:tr w:rsidR="00D703C7" w:rsidRPr="007F6332" w14:paraId="2F168511"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550ED0B8"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15 to 18 </w:t>
            </w:r>
          </w:p>
        </w:tc>
        <w:tc>
          <w:tcPr>
            <w:tcW w:w="1154" w:type="dxa"/>
            <w:noWrap/>
            <w:hideMark/>
          </w:tcPr>
          <w:p w14:paraId="3469F68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54" w:type="dxa"/>
            <w:noWrap/>
            <w:hideMark/>
          </w:tcPr>
          <w:p w14:paraId="6023E1D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-0.02%</w:t>
            </w:r>
          </w:p>
        </w:tc>
        <w:tc>
          <w:tcPr>
            <w:tcW w:w="1154" w:type="dxa"/>
            <w:noWrap/>
            <w:hideMark/>
          </w:tcPr>
          <w:p w14:paraId="5B9C3A3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55" w:type="dxa"/>
            <w:noWrap/>
            <w:hideMark/>
          </w:tcPr>
          <w:p w14:paraId="1373326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-0.01%</w:t>
            </w:r>
          </w:p>
        </w:tc>
        <w:tc>
          <w:tcPr>
            <w:tcW w:w="1154" w:type="dxa"/>
            <w:noWrap/>
            <w:hideMark/>
          </w:tcPr>
          <w:p w14:paraId="4561065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c>
          <w:tcPr>
            <w:tcW w:w="1154" w:type="dxa"/>
            <w:noWrap/>
            <w:hideMark/>
          </w:tcPr>
          <w:p w14:paraId="363BF8B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c>
          <w:tcPr>
            <w:tcW w:w="1155" w:type="dxa"/>
            <w:noWrap/>
            <w:hideMark/>
          </w:tcPr>
          <w:p w14:paraId="35C058A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r>
      <w:tr w:rsidR="00D703C7" w:rsidRPr="007F6332" w14:paraId="4D53711E"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0DFBBB10"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19 to 24 </w:t>
            </w:r>
          </w:p>
        </w:tc>
        <w:tc>
          <w:tcPr>
            <w:tcW w:w="1154" w:type="dxa"/>
            <w:noWrap/>
            <w:hideMark/>
          </w:tcPr>
          <w:p w14:paraId="0D441F2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-0.04%</w:t>
            </w:r>
          </w:p>
        </w:tc>
        <w:tc>
          <w:tcPr>
            <w:tcW w:w="1154" w:type="dxa"/>
            <w:noWrap/>
            <w:hideMark/>
          </w:tcPr>
          <w:p w14:paraId="096B891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+0.03%</w:t>
            </w:r>
          </w:p>
        </w:tc>
        <w:tc>
          <w:tcPr>
            <w:tcW w:w="1154" w:type="dxa"/>
            <w:noWrap/>
            <w:hideMark/>
          </w:tcPr>
          <w:p w14:paraId="7D77D9A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-0.05%</w:t>
            </w:r>
          </w:p>
        </w:tc>
        <w:tc>
          <w:tcPr>
            <w:tcW w:w="1155" w:type="dxa"/>
            <w:noWrap/>
            <w:hideMark/>
          </w:tcPr>
          <w:p w14:paraId="79E4C2E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-0.05%</w:t>
            </w:r>
          </w:p>
        </w:tc>
        <w:tc>
          <w:tcPr>
            <w:tcW w:w="1154" w:type="dxa"/>
            <w:noWrap/>
            <w:hideMark/>
          </w:tcPr>
          <w:p w14:paraId="581570B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54" w:type="dxa"/>
            <w:noWrap/>
            <w:hideMark/>
          </w:tcPr>
          <w:p w14:paraId="49928FE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+0.05%</w:t>
            </w:r>
          </w:p>
        </w:tc>
        <w:tc>
          <w:tcPr>
            <w:tcW w:w="1155" w:type="dxa"/>
            <w:noWrap/>
            <w:hideMark/>
          </w:tcPr>
          <w:p w14:paraId="16A8305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-0.02%</w:t>
            </w:r>
          </w:p>
        </w:tc>
      </w:tr>
      <w:tr w:rsidR="00D703C7" w:rsidRPr="007F6332" w14:paraId="6EC0269A"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15275AE0"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25 to 34 </w:t>
            </w:r>
          </w:p>
        </w:tc>
        <w:tc>
          <w:tcPr>
            <w:tcW w:w="1154" w:type="dxa"/>
            <w:noWrap/>
            <w:hideMark/>
          </w:tcPr>
          <w:p w14:paraId="21D6081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c>
          <w:tcPr>
            <w:tcW w:w="1154" w:type="dxa"/>
            <w:noWrap/>
            <w:hideMark/>
          </w:tcPr>
          <w:p w14:paraId="2B00FD2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+0.03%</w:t>
            </w:r>
          </w:p>
        </w:tc>
        <w:tc>
          <w:tcPr>
            <w:tcW w:w="1154" w:type="dxa"/>
            <w:noWrap/>
            <w:hideMark/>
          </w:tcPr>
          <w:p w14:paraId="5FFB72E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+0.00%</w:t>
            </w:r>
          </w:p>
        </w:tc>
        <w:tc>
          <w:tcPr>
            <w:tcW w:w="1155" w:type="dxa"/>
            <w:noWrap/>
            <w:hideMark/>
          </w:tcPr>
          <w:p w14:paraId="4C736C7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+0.03%</w:t>
            </w:r>
          </w:p>
        </w:tc>
        <w:tc>
          <w:tcPr>
            <w:tcW w:w="1154" w:type="dxa"/>
            <w:noWrap/>
            <w:hideMark/>
          </w:tcPr>
          <w:p w14:paraId="03160B8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+0.10%</w:t>
            </w:r>
          </w:p>
        </w:tc>
        <w:tc>
          <w:tcPr>
            <w:tcW w:w="1154" w:type="dxa"/>
            <w:noWrap/>
            <w:hideMark/>
          </w:tcPr>
          <w:p w14:paraId="7FC5B14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+0.07%</w:t>
            </w:r>
          </w:p>
        </w:tc>
        <w:tc>
          <w:tcPr>
            <w:tcW w:w="1155" w:type="dxa"/>
            <w:noWrap/>
            <w:hideMark/>
          </w:tcPr>
          <w:p w14:paraId="5E2FE71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+0.04%</w:t>
            </w:r>
          </w:p>
        </w:tc>
      </w:tr>
      <w:tr w:rsidR="00D703C7" w:rsidRPr="007F6332" w14:paraId="63C38BBA"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5C95E152"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35 to 44 </w:t>
            </w:r>
          </w:p>
        </w:tc>
        <w:tc>
          <w:tcPr>
            <w:tcW w:w="1154" w:type="dxa"/>
            <w:noWrap/>
            <w:hideMark/>
          </w:tcPr>
          <w:p w14:paraId="7CF1FEE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c>
          <w:tcPr>
            <w:tcW w:w="1154" w:type="dxa"/>
            <w:noWrap/>
            <w:hideMark/>
          </w:tcPr>
          <w:p w14:paraId="6ACC9DE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54" w:type="dxa"/>
            <w:noWrap/>
            <w:hideMark/>
          </w:tcPr>
          <w:p w14:paraId="46D2E44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+0.04%</w:t>
            </w:r>
          </w:p>
        </w:tc>
        <w:tc>
          <w:tcPr>
            <w:tcW w:w="1155" w:type="dxa"/>
            <w:noWrap/>
            <w:hideMark/>
          </w:tcPr>
          <w:p w14:paraId="238BB87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c>
          <w:tcPr>
            <w:tcW w:w="1154" w:type="dxa"/>
            <w:noWrap/>
            <w:hideMark/>
          </w:tcPr>
          <w:p w14:paraId="42310DD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+0.22%</w:t>
            </w:r>
          </w:p>
        </w:tc>
        <w:tc>
          <w:tcPr>
            <w:tcW w:w="1154" w:type="dxa"/>
            <w:noWrap/>
            <w:hideMark/>
          </w:tcPr>
          <w:p w14:paraId="6EEDC68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+0.15%</w:t>
            </w:r>
          </w:p>
        </w:tc>
        <w:tc>
          <w:tcPr>
            <w:tcW w:w="1155" w:type="dxa"/>
            <w:noWrap/>
            <w:hideMark/>
          </w:tcPr>
          <w:p w14:paraId="32E7055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+0.07%</w:t>
            </w:r>
          </w:p>
        </w:tc>
      </w:tr>
      <w:tr w:rsidR="00D703C7" w:rsidRPr="007F6332" w14:paraId="78B125B6"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5FD44B3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45 to 54 </w:t>
            </w:r>
          </w:p>
        </w:tc>
        <w:tc>
          <w:tcPr>
            <w:tcW w:w="1154" w:type="dxa"/>
            <w:noWrap/>
            <w:hideMark/>
          </w:tcPr>
          <w:p w14:paraId="6E56655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-0.15%</w:t>
            </w:r>
          </w:p>
        </w:tc>
        <w:tc>
          <w:tcPr>
            <w:tcW w:w="1154" w:type="dxa"/>
            <w:noWrap/>
            <w:hideMark/>
          </w:tcPr>
          <w:p w14:paraId="037B2EE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-0.12%</w:t>
            </w:r>
          </w:p>
        </w:tc>
        <w:tc>
          <w:tcPr>
            <w:tcW w:w="1154" w:type="dxa"/>
            <w:noWrap/>
            <w:hideMark/>
          </w:tcPr>
          <w:p w14:paraId="27C2008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+0.14%</w:t>
            </w:r>
          </w:p>
        </w:tc>
        <w:tc>
          <w:tcPr>
            <w:tcW w:w="1155" w:type="dxa"/>
            <w:noWrap/>
            <w:hideMark/>
          </w:tcPr>
          <w:p w14:paraId="589BC50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54" w:type="dxa"/>
            <w:noWrap/>
            <w:hideMark/>
          </w:tcPr>
          <w:p w14:paraId="6AE2E3B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+0.38%</w:t>
            </w:r>
          </w:p>
        </w:tc>
        <w:tc>
          <w:tcPr>
            <w:tcW w:w="1154" w:type="dxa"/>
            <w:noWrap/>
            <w:hideMark/>
          </w:tcPr>
          <w:p w14:paraId="1D47414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+0.42%</w:t>
            </w:r>
          </w:p>
        </w:tc>
        <w:tc>
          <w:tcPr>
            <w:tcW w:w="1155" w:type="dxa"/>
            <w:noWrap/>
            <w:hideMark/>
          </w:tcPr>
          <w:p w14:paraId="519FC0B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+0.11%</w:t>
            </w:r>
          </w:p>
        </w:tc>
      </w:tr>
      <w:tr w:rsidR="00D703C7" w:rsidRPr="007F6332" w14:paraId="7FC54A33" w14:textId="77777777" w:rsidTr="00C1755E">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3F00B346"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55 to 64 </w:t>
            </w:r>
          </w:p>
        </w:tc>
        <w:tc>
          <w:tcPr>
            <w:tcW w:w="1154" w:type="dxa"/>
            <w:noWrap/>
            <w:hideMark/>
          </w:tcPr>
          <w:p w14:paraId="18EA5D8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-0.14%</w:t>
            </w:r>
          </w:p>
        </w:tc>
        <w:tc>
          <w:tcPr>
            <w:tcW w:w="1154" w:type="dxa"/>
            <w:noWrap/>
            <w:hideMark/>
          </w:tcPr>
          <w:p w14:paraId="7212900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-0.14%</w:t>
            </w:r>
          </w:p>
        </w:tc>
        <w:tc>
          <w:tcPr>
            <w:tcW w:w="1154" w:type="dxa"/>
            <w:noWrap/>
            <w:hideMark/>
          </w:tcPr>
          <w:p w14:paraId="4D2C5F2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+0.26%</w:t>
            </w:r>
          </w:p>
        </w:tc>
        <w:tc>
          <w:tcPr>
            <w:tcW w:w="1155" w:type="dxa"/>
            <w:noWrap/>
            <w:hideMark/>
          </w:tcPr>
          <w:p w14:paraId="3A4AD8F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c>
          <w:tcPr>
            <w:tcW w:w="1154" w:type="dxa"/>
            <w:noWrap/>
            <w:hideMark/>
          </w:tcPr>
          <w:p w14:paraId="64737E3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+0.53%</w:t>
            </w:r>
          </w:p>
        </w:tc>
        <w:tc>
          <w:tcPr>
            <w:tcW w:w="1154" w:type="dxa"/>
            <w:noWrap/>
            <w:hideMark/>
          </w:tcPr>
          <w:p w14:paraId="3DBDB3B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+1.27%</w:t>
            </w:r>
          </w:p>
        </w:tc>
        <w:tc>
          <w:tcPr>
            <w:tcW w:w="1155" w:type="dxa"/>
            <w:noWrap/>
            <w:hideMark/>
          </w:tcPr>
          <w:p w14:paraId="31A41BA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+0.22%</w:t>
            </w:r>
          </w:p>
        </w:tc>
      </w:tr>
      <w:tr w:rsidR="00D703C7" w:rsidRPr="007F6332" w14:paraId="453FAE3E" w14:textId="77777777" w:rsidTr="00C1755E">
        <w:trPr>
          <w:trHeight w:val="290"/>
        </w:trPr>
        <w:tc>
          <w:tcPr>
            <w:cnfStyle w:val="001000000000" w:firstRow="0" w:lastRow="0" w:firstColumn="1" w:lastColumn="0" w:oddVBand="0" w:evenVBand="0" w:oddHBand="0" w:evenHBand="0" w:firstRowFirstColumn="0" w:firstRowLastColumn="0" w:lastRowFirstColumn="0" w:lastRowLastColumn="0"/>
            <w:tcW w:w="0" w:type="dxa"/>
            <w:noWrap/>
            <w:hideMark/>
          </w:tcPr>
          <w:p w14:paraId="4EBC8EBF"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65+ </w:t>
            </w:r>
          </w:p>
        </w:tc>
        <w:tc>
          <w:tcPr>
            <w:tcW w:w="1154" w:type="dxa"/>
            <w:noWrap/>
            <w:hideMark/>
          </w:tcPr>
          <w:p w14:paraId="32BD17E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-1.11%</w:t>
            </w:r>
          </w:p>
        </w:tc>
        <w:tc>
          <w:tcPr>
            <w:tcW w:w="1154" w:type="dxa"/>
            <w:noWrap/>
            <w:hideMark/>
          </w:tcPr>
          <w:p w14:paraId="1B4B66B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+0.07%</w:t>
            </w:r>
          </w:p>
        </w:tc>
        <w:tc>
          <w:tcPr>
            <w:tcW w:w="1154" w:type="dxa"/>
            <w:noWrap/>
            <w:hideMark/>
          </w:tcPr>
          <w:p w14:paraId="36B14EB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-0.41%</w:t>
            </w:r>
          </w:p>
        </w:tc>
        <w:tc>
          <w:tcPr>
            <w:tcW w:w="1155" w:type="dxa"/>
            <w:noWrap/>
            <w:hideMark/>
          </w:tcPr>
          <w:p w14:paraId="4B262F4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+0.03%</w:t>
            </w:r>
          </w:p>
        </w:tc>
        <w:tc>
          <w:tcPr>
            <w:tcW w:w="1154" w:type="dxa"/>
            <w:noWrap/>
            <w:hideMark/>
          </w:tcPr>
          <w:p w14:paraId="12EFA9D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+0.70%</w:t>
            </w:r>
          </w:p>
        </w:tc>
        <w:tc>
          <w:tcPr>
            <w:tcW w:w="1154" w:type="dxa"/>
            <w:noWrap/>
            <w:hideMark/>
          </w:tcPr>
          <w:p w14:paraId="0F53F6D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+0.99%</w:t>
            </w:r>
          </w:p>
        </w:tc>
        <w:tc>
          <w:tcPr>
            <w:tcW w:w="1155" w:type="dxa"/>
            <w:noWrap/>
            <w:hideMark/>
          </w:tcPr>
          <w:p w14:paraId="2331B6D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+0.18%</w:t>
            </w:r>
          </w:p>
        </w:tc>
      </w:tr>
      <w:tr w:rsidR="00D703C7" w:rsidRPr="007F6332" w14:paraId="530215CF" w14:textId="77777777" w:rsidTr="00C1755E">
        <w:trPr>
          <w:cnfStyle w:val="000000010000" w:firstRow="0" w:lastRow="0" w:firstColumn="0" w:lastColumn="0" w:oddVBand="0" w:evenVBand="0" w:oddHBand="0" w:evenHBand="1"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134" w:type="dxa"/>
            <w:shd w:val="clear" w:color="auto" w:fill="B499B7"/>
            <w:noWrap/>
            <w:hideMark/>
          </w:tcPr>
          <w:p w14:paraId="370C6873"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Overall </w:t>
            </w:r>
          </w:p>
        </w:tc>
        <w:tc>
          <w:tcPr>
            <w:tcW w:w="1154" w:type="dxa"/>
            <w:shd w:val="clear" w:color="auto" w:fill="B499B7"/>
            <w:noWrap/>
            <w:hideMark/>
          </w:tcPr>
          <w:p w14:paraId="720FDB2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-0.06%</w:t>
            </w:r>
          </w:p>
        </w:tc>
        <w:tc>
          <w:tcPr>
            <w:tcW w:w="1154" w:type="dxa"/>
            <w:shd w:val="clear" w:color="auto" w:fill="B499B7"/>
            <w:noWrap/>
            <w:hideMark/>
          </w:tcPr>
          <w:p w14:paraId="6556EC5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-0.01%</w:t>
            </w:r>
          </w:p>
        </w:tc>
        <w:tc>
          <w:tcPr>
            <w:tcW w:w="1154" w:type="dxa"/>
            <w:shd w:val="clear" w:color="auto" w:fill="B499B7"/>
            <w:noWrap/>
            <w:hideMark/>
          </w:tcPr>
          <w:p w14:paraId="52B58D9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+0.03%</w:t>
            </w:r>
          </w:p>
        </w:tc>
        <w:tc>
          <w:tcPr>
            <w:tcW w:w="1155" w:type="dxa"/>
            <w:shd w:val="clear" w:color="auto" w:fill="B499B7"/>
            <w:noWrap/>
            <w:hideMark/>
          </w:tcPr>
          <w:p w14:paraId="1A0688D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-0.01%</w:t>
            </w:r>
          </w:p>
        </w:tc>
        <w:tc>
          <w:tcPr>
            <w:tcW w:w="1154" w:type="dxa"/>
            <w:shd w:val="clear" w:color="auto" w:fill="B499B7"/>
            <w:noWrap/>
            <w:hideMark/>
          </w:tcPr>
          <w:p w14:paraId="07BD756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+0.15%</w:t>
            </w:r>
          </w:p>
        </w:tc>
        <w:tc>
          <w:tcPr>
            <w:tcW w:w="1154" w:type="dxa"/>
            <w:shd w:val="clear" w:color="auto" w:fill="B499B7"/>
            <w:noWrap/>
            <w:hideMark/>
          </w:tcPr>
          <w:p w14:paraId="0A4DD89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+0.24%</w:t>
            </w:r>
          </w:p>
        </w:tc>
        <w:tc>
          <w:tcPr>
            <w:tcW w:w="1155" w:type="dxa"/>
            <w:shd w:val="clear" w:color="auto" w:fill="B499B7"/>
            <w:noWrap/>
            <w:hideMark/>
          </w:tcPr>
          <w:p w14:paraId="677A1EF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+0.05%</w:t>
            </w:r>
          </w:p>
        </w:tc>
      </w:tr>
    </w:tbl>
    <w:p w14:paraId="5E86BB99" w14:textId="77777777" w:rsidR="00C55AC0" w:rsidRPr="007F6332" w:rsidRDefault="00C55AC0" w:rsidP="0092687A">
      <w:pPr>
        <w:spacing w:before="240"/>
        <w:rPr>
          <w:rFonts w:cs="Arial"/>
          <w:b/>
          <w:bCs/>
        </w:rPr>
        <w:sectPr w:rsidR="00C55AC0" w:rsidRPr="007F6332" w:rsidSect="00CE7E91">
          <w:pgSz w:w="11906" w:h="16838"/>
          <w:pgMar w:top="1440" w:right="1416" w:bottom="1440" w:left="1440" w:header="708" w:footer="850" w:gutter="0"/>
          <w:cols w:space="708"/>
          <w:titlePg/>
          <w:docGrid w:linePitch="360"/>
        </w:sectPr>
      </w:pPr>
    </w:p>
    <w:p w14:paraId="6177AC0F" w14:textId="703F5D0A" w:rsidR="00893BA1" w:rsidRPr="007F6332" w:rsidRDefault="00893BA1" w:rsidP="000A3CE4">
      <w:pPr>
        <w:pStyle w:val="H5Header"/>
      </w:pPr>
      <w:r w:rsidRPr="007F6332">
        <w:lastRenderedPageBreak/>
        <w:t>Scheme mortality over time, by gender</w:t>
      </w:r>
    </w:p>
    <w:p w14:paraId="4710973C" w14:textId="710EFFDB" w:rsidR="00893BA1" w:rsidRPr="007F6332" w:rsidRDefault="00893BA1" w:rsidP="00F26AC5">
      <w:pPr>
        <w:spacing w:before="240"/>
        <w:rPr>
          <w:rFonts w:cs="Arial"/>
        </w:rPr>
      </w:pPr>
      <w:r w:rsidRPr="007F6332">
        <w:rPr>
          <w:rFonts w:cs="Arial"/>
        </w:rPr>
        <w:t xml:space="preserve">Contrary to experience in the general Australian population, the actual mortality rates of female participants are higher than those of male participants (1.19% compared to 1.00% in 2022). This is driven by a larger proportion of female participants being in participant groups with higher mortality (and often with lower levels of function), </w:t>
      </w:r>
      <w:r w:rsidR="00F27331" w:rsidRPr="007F6332">
        <w:rPr>
          <w:rFonts w:cs="Arial"/>
        </w:rPr>
        <w:t>e.g.,</w:t>
      </w:r>
      <w:r w:rsidRPr="007F6332">
        <w:rPr>
          <w:rFonts w:cs="Arial"/>
        </w:rPr>
        <w:t xml:space="preserve"> other neurological, intellectual disability, other physical, other, psychosocial disability and multiple sclerosis. Most of the actual male mortality rates in the other participant groups are higher than those of female.</w:t>
      </w:r>
    </w:p>
    <w:p w14:paraId="6286C631" w14:textId="77777777" w:rsidR="00893BA1" w:rsidRPr="007F6332" w:rsidRDefault="00893BA1" w:rsidP="00F26AC5">
      <w:pPr>
        <w:spacing w:before="240"/>
        <w:rPr>
          <w:rFonts w:cs="Arial"/>
        </w:rPr>
      </w:pPr>
      <w:r w:rsidRPr="007F6332">
        <w:rPr>
          <w:rFonts w:cs="Arial"/>
        </w:rPr>
        <w:t xml:space="preserve">The mortality rate in 2022 was 16% to 17% higher than expected across male and female participants. The actual mortality rate for male participants increased from 0.87% in 2021 to 1.00% in 2022, while the rate for females increased from 1.06% to 1.19%. </w:t>
      </w:r>
    </w:p>
    <w:p w14:paraId="676E2721" w14:textId="59583074" w:rsidR="00893BA1" w:rsidRPr="007F6332" w:rsidRDefault="00893BA1" w:rsidP="00F26AC5">
      <w:pPr>
        <w:spacing w:before="240"/>
        <w:rPr>
          <w:rFonts w:cs="Arial"/>
        </w:rPr>
      </w:pPr>
      <w:r w:rsidRPr="007F6332">
        <w:rPr>
          <w:rFonts w:cs="Arial"/>
        </w:rPr>
        <w:t>Note that the comparison of actual and expected experience also includes participants whose gender is “</w:t>
      </w:r>
      <w:r w:rsidR="00701F02" w:rsidRPr="007F6332">
        <w:rPr>
          <w:rFonts w:cs="Arial"/>
        </w:rPr>
        <w:t>other</w:t>
      </w:r>
      <w:r w:rsidRPr="007F6332">
        <w:rPr>
          <w:rFonts w:cs="Arial"/>
        </w:rPr>
        <w:t>”, however this is a relatively small group.</w:t>
      </w:r>
    </w:p>
    <w:p w14:paraId="07E01B52" w14:textId="2205CEF9" w:rsidR="00893BA1" w:rsidRPr="007F6332" w:rsidRDefault="00893BA1" w:rsidP="000A3CE4">
      <w:pPr>
        <w:pStyle w:val="Heading6"/>
      </w:pPr>
      <w:r w:rsidRPr="007F6332">
        <w:t xml:space="preserve">Figure </w:t>
      </w:r>
      <w:r w:rsidR="00516710" w:rsidRPr="007F6332">
        <w:t>H</w:t>
      </w:r>
      <w:r w:rsidRPr="007F6332">
        <w:t>.4: Actual vs expected mortality rates by calendar year and gender</w:t>
      </w:r>
    </w:p>
    <w:p w14:paraId="3B84D5B5" w14:textId="22D7DD4C" w:rsidR="00893BA1" w:rsidRPr="007F6332" w:rsidRDefault="00893BA1" w:rsidP="00893BA1">
      <w:pPr>
        <w:rPr>
          <w:rFonts w:cs="Arial"/>
          <w:szCs w:val="22"/>
        </w:rPr>
      </w:pPr>
      <w:r w:rsidRPr="007F6332">
        <w:rPr>
          <w:rFonts w:cs="Arial"/>
          <w:noProof/>
        </w:rPr>
        <w:drawing>
          <wp:inline distT="0" distB="0" distL="0" distR="0" wp14:anchorId="40234CB9" wp14:editId="06C7841E">
            <wp:extent cx="5732145" cy="2734945"/>
            <wp:effectExtent l="0" t="0" r="1905" b="8255"/>
            <wp:docPr id="1346317934" name="Picture 4" descr="Figure H.4: Actual vs expected mortality rates by calendar year and gender.&#10;Females for 2017  to  2022 shows actual and expected rates  of mortality to be similar. Males followed the same trend. Indeterminate actual increased above the expected rates by 1.5% for the same range of ag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17934" name="Picture 4" descr="Figure H.4: Actual vs expected mortality rates by calendar year and gender.&#10;Females for 2017  to  2022 shows actual and expected rates  of mortality to be similar. Males followed the same trend. Indeterminate actual increased above the expected rates by 1.5% for the same range of ages. &#1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732145" cy="2734945"/>
                    </a:xfrm>
                    <a:prstGeom prst="rect">
                      <a:avLst/>
                    </a:prstGeom>
                    <a:noFill/>
                    <a:ln>
                      <a:noFill/>
                    </a:ln>
                  </pic:spPr>
                </pic:pic>
              </a:graphicData>
            </a:graphic>
          </wp:inline>
        </w:drawing>
      </w:r>
    </w:p>
    <w:p w14:paraId="72074E14" w14:textId="0CF1D9C0" w:rsidR="00893BA1" w:rsidRPr="007F6332" w:rsidRDefault="00893BA1" w:rsidP="000A3CE4">
      <w:pPr>
        <w:pStyle w:val="Heading6"/>
      </w:pPr>
      <w:r w:rsidRPr="007F6332">
        <w:t xml:space="preserve">Table </w:t>
      </w:r>
      <w:r w:rsidR="00516710" w:rsidRPr="007F6332">
        <w:t>H.7</w:t>
      </w:r>
      <w:r w:rsidRPr="007F6332">
        <w:t>: Actual mortality by calendar year and gender</w:t>
      </w:r>
    </w:p>
    <w:tbl>
      <w:tblPr>
        <w:tblStyle w:val="FSRtable"/>
        <w:tblW w:w="9634" w:type="dxa"/>
        <w:tblInd w:w="0" w:type="dxa"/>
        <w:tblLayout w:type="fixed"/>
        <w:tblLook w:val="04A0" w:firstRow="1" w:lastRow="0" w:firstColumn="1" w:lastColumn="0" w:noHBand="0" w:noVBand="1"/>
      </w:tblPr>
      <w:tblGrid>
        <w:gridCol w:w="1623"/>
        <w:gridCol w:w="1144"/>
        <w:gridCol w:w="1144"/>
        <w:gridCol w:w="1145"/>
        <w:gridCol w:w="1144"/>
        <w:gridCol w:w="1145"/>
        <w:gridCol w:w="1144"/>
        <w:gridCol w:w="1145"/>
      </w:tblGrid>
      <w:tr w:rsidR="00893BA1" w:rsidRPr="007F6332" w14:paraId="6622779B" w14:textId="77777777" w:rsidTr="00092FF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623" w:type="dxa"/>
            <w:hideMark/>
          </w:tcPr>
          <w:p w14:paraId="1D4B407E"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Gender</w:t>
            </w:r>
          </w:p>
        </w:tc>
        <w:tc>
          <w:tcPr>
            <w:tcW w:w="1144" w:type="dxa"/>
            <w:hideMark/>
          </w:tcPr>
          <w:p w14:paraId="6AF5D28D"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1144" w:type="dxa"/>
            <w:hideMark/>
          </w:tcPr>
          <w:p w14:paraId="739B4E93"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1145" w:type="dxa"/>
            <w:hideMark/>
          </w:tcPr>
          <w:p w14:paraId="28225836"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1144" w:type="dxa"/>
            <w:hideMark/>
          </w:tcPr>
          <w:p w14:paraId="489EDE5E"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1145" w:type="dxa"/>
            <w:hideMark/>
          </w:tcPr>
          <w:p w14:paraId="11C59252"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1144" w:type="dxa"/>
            <w:hideMark/>
          </w:tcPr>
          <w:p w14:paraId="638B02EB"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1145" w:type="dxa"/>
            <w:hideMark/>
          </w:tcPr>
          <w:p w14:paraId="66FBD4E0"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893BA1" w:rsidRPr="007F6332" w14:paraId="16F1513E" w14:textId="77777777" w:rsidTr="00092FF7">
        <w:trPr>
          <w:trHeight w:val="227"/>
        </w:trPr>
        <w:tc>
          <w:tcPr>
            <w:cnfStyle w:val="001000000000" w:firstRow="0" w:lastRow="0" w:firstColumn="1" w:lastColumn="0" w:oddVBand="0" w:evenVBand="0" w:oddHBand="0" w:evenHBand="0" w:firstRowFirstColumn="0" w:firstRowLastColumn="0" w:lastRowFirstColumn="0" w:lastRowLastColumn="0"/>
            <w:tcW w:w="1623" w:type="dxa"/>
            <w:noWrap/>
            <w:hideMark/>
          </w:tcPr>
          <w:p w14:paraId="5353542B"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Female </w:t>
            </w:r>
          </w:p>
        </w:tc>
        <w:tc>
          <w:tcPr>
            <w:tcW w:w="1144" w:type="dxa"/>
            <w:noWrap/>
            <w:hideMark/>
          </w:tcPr>
          <w:p w14:paraId="3ED0CDD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1.04%</w:t>
            </w:r>
          </w:p>
        </w:tc>
        <w:tc>
          <w:tcPr>
            <w:tcW w:w="1144" w:type="dxa"/>
            <w:noWrap/>
            <w:hideMark/>
          </w:tcPr>
          <w:p w14:paraId="6B74766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1.04%</w:t>
            </w:r>
          </w:p>
        </w:tc>
        <w:tc>
          <w:tcPr>
            <w:tcW w:w="1145" w:type="dxa"/>
            <w:noWrap/>
            <w:hideMark/>
          </w:tcPr>
          <w:p w14:paraId="6DEE74E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1.08%</w:t>
            </w:r>
          </w:p>
        </w:tc>
        <w:tc>
          <w:tcPr>
            <w:tcW w:w="1144" w:type="dxa"/>
            <w:noWrap/>
            <w:hideMark/>
          </w:tcPr>
          <w:p w14:paraId="7008948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1.06%</w:t>
            </w:r>
          </w:p>
        </w:tc>
        <w:tc>
          <w:tcPr>
            <w:tcW w:w="1145" w:type="dxa"/>
            <w:noWrap/>
            <w:hideMark/>
          </w:tcPr>
          <w:p w14:paraId="143685D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1.19%</w:t>
            </w:r>
          </w:p>
        </w:tc>
        <w:tc>
          <w:tcPr>
            <w:tcW w:w="1144" w:type="dxa"/>
            <w:noWrap/>
            <w:hideMark/>
          </w:tcPr>
          <w:p w14:paraId="0ABA372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1.22%</w:t>
            </w:r>
          </w:p>
        </w:tc>
        <w:tc>
          <w:tcPr>
            <w:tcW w:w="1145" w:type="dxa"/>
            <w:noWrap/>
            <w:hideMark/>
          </w:tcPr>
          <w:p w14:paraId="24E2415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1.10%</w:t>
            </w:r>
          </w:p>
        </w:tc>
      </w:tr>
      <w:tr w:rsidR="00893BA1" w:rsidRPr="007F6332" w14:paraId="43CA88D5" w14:textId="77777777" w:rsidTr="00092FF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623" w:type="dxa"/>
            <w:noWrap/>
            <w:hideMark/>
          </w:tcPr>
          <w:p w14:paraId="42C67890"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Male </w:t>
            </w:r>
          </w:p>
        </w:tc>
        <w:tc>
          <w:tcPr>
            <w:tcW w:w="1144" w:type="dxa"/>
            <w:noWrap/>
            <w:hideMark/>
          </w:tcPr>
          <w:p w14:paraId="530BF94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0.80%</w:t>
            </w:r>
          </w:p>
        </w:tc>
        <w:tc>
          <w:tcPr>
            <w:tcW w:w="1144" w:type="dxa"/>
            <w:noWrap/>
            <w:hideMark/>
          </w:tcPr>
          <w:p w14:paraId="0D666E1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0.93%</w:t>
            </w:r>
          </w:p>
        </w:tc>
        <w:tc>
          <w:tcPr>
            <w:tcW w:w="1145" w:type="dxa"/>
            <w:noWrap/>
            <w:hideMark/>
          </w:tcPr>
          <w:p w14:paraId="2D9A074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0.93%</w:t>
            </w:r>
          </w:p>
        </w:tc>
        <w:tc>
          <w:tcPr>
            <w:tcW w:w="1144" w:type="dxa"/>
            <w:noWrap/>
            <w:hideMark/>
          </w:tcPr>
          <w:p w14:paraId="0916EF7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0.87%</w:t>
            </w:r>
          </w:p>
        </w:tc>
        <w:tc>
          <w:tcPr>
            <w:tcW w:w="1145" w:type="dxa"/>
            <w:noWrap/>
            <w:hideMark/>
          </w:tcPr>
          <w:p w14:paraId="4FEE521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1.00%</w:t>
            </w:r>
          </w:p>
        </w:tc>
        <w:tc>
          <w:tcPr>
            <w:tcW w:w="1144" w:type="dxa"/>
            <w:noWrap/>
            <w:hideMark/>
          </w:tcPr>
          <w:p w14:paraId="04CF573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1.08%</w:t>
            </w:r>
          </w:p>
        </w:tc>
        <w:tc>
          <w:tcPr>
            <w:tcW w:w="1145" w:type="dxa"/>
            <w:noWrap/>
            <w:hideMark/>
          </w:tcPr>
          <w:p w14:paraId="2151377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0.93%</w:t>
            </w:r>
          </w:p>
        </w:tc>
      </w:tr>
      <w:tr w:rsidR="00893BA1" w:rsidRPr="007F6332" w14:paraId="526CB0DC" w14:textId="77777777" w:rsidTr="00092FF7">
        <w:trPr>
          <w:trHeight w:val="227"/>
        </w:trPr>
        <w:tc>
          <w:tcPr>
            <w:cnfStyle w:val="001000000000" w:firstRow="0" w:lastRow="0" w:firstColumn="1" w:lastColumn="0" w:oddVBand="0" w:evenVBand="0" w:oddHBand="0" w:evenHBand="0" w:firstRowFirstColumn="0" w:firstRowLastColumn="0" w:lastRowFirstColumn="0" w:lastRowLastColumn="0"/>
            <w:tcW w:w="1623" w:type="dxa"/>
            <w:noWrap/>
            <w:hideMark/>
          </w:tcPr>
          <w:p w14:paraId="4BF025BA" w14:textId="2747AC48"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w:t>
            </w:r>
            <w:r w:rsidR="00701F02" w:rsidRPr="007F6332">
              <w:rPr>
                <w:rFonts w:eastAsia="Times New Roman" w:cs="Arial"/>
                <w:color w:val="000000"/>
                <w:lang w:eastAsia="en-AU"/>
              </w:rPr>
              <w:t xml:space="preserve">Other </w:t>
            </w:r>
          </w:p>
        </w:tc>
        <w:tc>
          <w:tcPr>
            <w:tcW w:w="1144" w:type="dxa"/>
            <w:noWrap/>
            <w:hideMark/>
          </w:tcPr>
          <w:p w14:paraId="56E41BF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1.02%</w:t>
            </w:r>
          </w:p>
        </w:tc>
        <w:tc>
          <w:tcPr>
            <w:tcW w:w="1144" w:type="dxa"/>
            <w:noWrap/>
            <w:hideMark/>
          </w:tcPr>
          <w:p w14:paraId="081108C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0.92%</w:t>
            </w:r>
          </w:p>
        </w:tc>
        <w:tc>
          <w:tcPr>
            <w:tcW w:w="1145" w:type="dxa"/>
            <w:noWrap/>
            <w:hideMark/>
          </w:tcPr>
          <w:p w14:paraId="108A896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1.12%</w:t>
            </w:r>
          </w:p>
        </w:tc>
        <w:tc>
          <w:tcPr>
            <w:tcW w:w="1144" w:type="dxa"/>
            <w:noWrap/>
            <w:hideMark/>
          </w:tcPr>
          <w:p w14:paraId="2DC6A08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0.69%</w:t>
            </w:r>
          </w:p>
        </w:tc>
        <w:tc>
          <w:tcPr>
            <w:tcW w:w="1145" w:type="dxa"/>
            <w:noWrap/>
            <w:hideMark/>
          </w:tcPr>
          <w:p w14:paraId="3808CF3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0.90%</w:t>
            </w:r>
          </w:p>
        </w:tc>
        <w:tc>
          <w:tcPr>
            <w:tcW w:w="1144" w:type="dxa"/>
            <w:noWrap/>
            <w:hideMark/>
          </w:tcPr>
          <w:p w14:paraId="4501E34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1.31%</w:t>
            </w:r>
          </w:p>
        </w:tc>
        <w:tc>
          <w:tcPr>
            <w:tcW w:w="1145" w:type="dxa"/>
            <w:noWrap/>
            <w:hideMark/>
          </w:tcPr>
          <w:p w14:paraId="74789EB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0.92%</w:t>
            </w:r>
          </w:p>
        </w:tc>
      </w:tr>
      <w:tr w:rsidR="00893BA1" w:rsidRPr="007F6332" w14:paraId="75F562E7" w14:textId="77777777" w:rsidTr="00C1755E">
        <w:trPr>
          <w:cnfStyle w:val="000000010000" w:firstRow="0" w:lastRow="0" w:firstColumn="0" w:lastColumn="0" w:oddVBand="0" w:evenVBand="0" w:oddHBand="0" w:evenHBand="1"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0" w:type="dxa"/>
            <w:shd w:val="clear" w:color="auto" w:fill="B499B7"/>
            <w:noWrap/>
            <w:hideMark/>
          </w:tcPr>
          <w:p w14:paraId="2EC9C98E"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Total </w:t>
            </w:r>
          </w:p>
        </w:tc>
        <w:tc>
          <w:tcPr>
            <w:tcW w:w="0" w:type="dxa"/>
            <w:shd w:val="clear" w:color="auto" w:fill="B499B7"/>
            <w:noWrap/>
            <w:hideMark/>
          </w:tcPr>
          <w:p w14:paraId="0E461A1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0.89%</w:t>
            </w:r>
          </w:p>
        </w:tc>
        <w:tc>
          <w:tcPr>
            <w:tcW w:w="0" w:type="dxa"/>
            <w:shd w:val="clear" w:color="auto" w:fill="B499B7"/>
            <w:noWrap/>
            <w:hideMark/>
          </w:tcPr>
          <w:p w14:paraId="3262AA9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0.97%</w:t>
            </w:r>
          </w:p>
        </w:tc>
        <w:tc>
          <w:tcPr>
            <w:tcW w:w="0" w:type="dxa"/>
            <w:shd w:val="clear" w:color="auto" w:fill="B499B7"/>
            <w:noWrap/>
            <w:hideMark/>
          </w:tcPr>
          <w:p w14:paraId="0E37F18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0.99%</w:t>
            </w:r>
          </w:p>
        </w:tc>
        <w:tc>
          <w:tcPr>
            <w:tcW w:w="0" w:type="dxa"/>
            <w:shd w:val="clear" w:color="auto" w:fill="B499B7"/>
            <w:noWrap/>
            <w:hideMark/>
          </w:tcPr>
          <w:p w14:paraId="1338724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0.94%</w:t>
            </w:r>
          </w:p>
        </w:tc>
        <w:tc>
          <w:tcPr>
            <w:tcW w:w="0" w:type="dxa"/>
            <w:shd w:val="clear" w:color="auto" w:fill="B499B7"/>
            <w:noWrap/>
            <w:hideMark/>
          </w:tcPr>
          <w:p w14:paraId="7784B8C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1.07%</w:t>
            </w:r>
          </w:p>
        </w:tc>
        <w:tc>
          <w:tcPr>
            <w:tcW w:w="0" w:type="dxa"/>
            <w:shd w:val="clear" w:color="auto" w:fill="B499B7"/>
            <w:noWrap/>
            <w:hideMark/>
          </w:tcPr>
          <w:p w14:paraId="39B2745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1.14%</w:t>
            </w:r>
          </w:p>
        </w:tc>
        <w:tc>
          <w:tcPr>
            <w:tcW w:w="0" w:type="dxa"/>
            <w:shd w:val="clear" w:color="auto" w:fill="B499B7"/>
            <w:noWrap/>
            <w:hideMark/>
          </w:tcPr>
          <w:p w14:paraId="0E267F7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0.99%</w:t>
            </w:r>
          </w:p>
        </w:tc>
      </w:tr>
    </w:tbl>
    <w:p w14:paraId="4EC9C6C1" w14:textId="77777777" w:rsidR="00950565" w:rsidRPr="007F6332" w:rsidRDefault="00950565" w:rsidP="0092687A">
      <w:pPr>
        <w:pStyle w:val="Heading7"/>
        <w:rPr>
          <w:rFonts w:cs="Arial"/>
        </w:rPr>
        <w:sectPr w:rsidR="00950565" w:rsidRPr="007F6332" w:rsidSect="00C46DEB">
          <w:pgSz w:w="11906" w:h="16838"/>
          <w:pgMar w:top="1440" w:right="1416" w:bottom="1440" w:left="1440" w:header="708" w:footer="421" w:gutter="0"/>
          <w:cols w:space="708"/>
          <w:titlePg/>
          <w:docGrid w:linePitch="360"/>
        </w:sectPr>
      </w:pPr>
    </w:p>
    <w:p w14:paraId="714055BB" w14:textId="4967083F" w:rsidR="00893BA1" w:rsidRPr="007F6332" w:rsidRDefault="00893BA1" w:rsidP="000A3CE4">
      <w:pPr>
        <w:pStyle w:val="Heading6"/>
      </w:pPr>
      <w:r w:rsidRPr="007F6332">
        <w:lastRenderedPageBreak/>
        <w:t xml:space="preserve">Table </w:t>
      </w:r>
      <w:r w:rsidR="00516710" w:rsidRPr="007F6332">
        <w:t>H.8</w:t>
      </w:r>
      <w:r w:rsidRPr="007F6332">
        <w:t>: Expected mortality by calendar year and gender</w:t>
      </w:r>
    </w:p>
    <w:tbl>
      <w:tblPr>
        <w:tblStyle w:val="FSRtable"/>
        <w:tblW w:w="9634" w:type="dxa"/>
        <w:tblInd w:w="0" w:type="dxa"/>
        <w:tblLayout w:type="fixed"/>
        <w:tblLook w:val="04A0" w:firstRow="1" w:lastRow="0" w:firstColumn="1" w:lastColumn="0" w:noHBand="0" w:noVBand="1"/>
      </w:tblPr>
      <w:tblGrid>
        <w:gridCol w:w="1623"/>
        <w:gridCol w:w="1144"/>
        <w:gridCol w:w="1144"/>
        <w:gridCol w:w="1145"/>
        <w:gridCol w:w="1144"/>
        <w:gridCol w:w="1145"/>
        <w:gridCol w:w="1144"/>
        <w:gridCol w:w="1145"/>
      </w:tblGrid>
      <w:tr w:rsidR="00893BA1" w:rsidRPr="007F6332" w14:paraId="15D4CE8E" w14:textId="77777777" w:rsidTr="00092FF7">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623" w:type="dxa"/>
            <w:hideMark/>
          </w:tcPr>
          <w:p w14:paraId="4C25DDC5"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Gender</w:t>
            </w:r>
          </w:p>
        </w:tc>
        <w:tc>
          <w:tcPr>
            <w:tcW w:w="1144" w:type="dxa"/>
            <w:hideMark/>
          </w:tcPr>
          <w:p w14:paraId="63B9ABB3"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1144" w:type="dxa"/>
            <w:hideMark/>
          </w:tcPr>
          <w:p w14:paraId="64FCE9C3"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1145" w:type="dxa"/>
            <w:hideMark/>
          </w:tcPr>
          <w:p w14:paraId="55A0C1B8"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1144" w:type="dxa"/>
            <w:hideMark/>
          </w:tcPr>
          <w:p w14:paraId="13348E8E"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1145" w:type="dxa"/>
            <w:hideMark/>
          </w:tcPr>
          <w:p w14:paraId="624DA7D7"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1144" w:type="dxa"/>
            <w:hideMark/>
          </w:tcPr>
          <w:p w14:paraId="582CBD2B"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1145" w:type="dxa"/>
            <w:hideMark/>
          </w:tcPr>
          <w:p w14:paraId="47620133"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893BA1" w:rsidRPr="007F6332" w14:paraId="7193D66D" w14:textId="77777777" w:rsidTr="00092FF7">
        <w:trPr>
          <w:trHeight w:val="290"/>
        </w:trPr>
        <w:tc>
          <w:tcPr>
            <w:cnfStyle w:val="001000000000" w:firstRow="0" w:lastRow="0" w:firstColumn="1" w:lastColumn="0" w:oddVBand="0" w:evenVBand="0" w:oddHBand="0" w:evenHBand="0" w:firstRowFirstColumn="0" w:firstRowLastColumn="0" w:lastRowFirstColumn="0" w:lastRowLastColumn="0"/>
            <w:tcW w:w="1623" w:type="dxa"/>
            <w:noWrap/>
            <w:hideMark/>
          </w:tcPr>
          <w:p w14:paraId="2004ECF0"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Female </w:t>
            </w:r>
          </w:p>
        </w:tc>
        <w:tc>
          <w:tcPr>
            <w:tcW w:w="1144" w:type="dxa"/>
            <w:noWrap/>
            <w:hideMark/>
          </w:tcPr>
          <w:p w14:paraId="7802745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1.05%</w:t>
            </w:r>
          </w:p>
        </w:tc>
        <w:tc>
          <w:tcPr>
            <w:tcW w:w="1144" w:type="dxa"/>
            <w:noWrap/>
            <w:hideMark/>
          </w:tcPr>
          <w:p w14:paraId="113761C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1.08%</w:t>
            </w:r>
          </w:p>
        </w:tc>
        <w:tc>
          <w:tcPr>
            <w:tcW w:w="1145" w:type="dxa"/>
            <w:noWrap/>
            <w:hideMark/>
          </w:tcPr>
          <w:p w14:paraId="14AE5C6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1.06%</w:t>
            </w:r>
          </w:p>
        </w:tc>
        <w:tc>
          <w:tcPr>
            <w:tcW w:w="1144" w:type="dxa"/>
            <w:noWrap/>
            <w:hideMark/>
          </w:tcPr>
          <w:p w14:paraId="001C41E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1.04%</w:t>
            </w:r>
          </w:p>
        </w:tc>
        <w:tc>
          <w:tcPr>
            <w:tcW w:w="1145" w:type="dxa"/>
            <w:noWrap/>
            <w:hideMark/>
          </w:tcPr>
          <w:p w14:paraId="5718E3E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1.01%</w:t>
            </w:r>
          </w:p>
        </w:tc>
        <w:tc>
          <w:tcPr>
            <w:tcW w:w="1144" w:type="dxa"/>
            <w:noWrap/>
            <w:hideMark/>
          </w:tcPr>
          <w:p w14:paraId="70EBFC7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0.99%</w:t>
            </w:r>
          </w:p>
        </w:tc>
        <w:tc>
          <w:tcPr>
            <w:tcW w:w="1145" w:type="dxa"/>
            <w:noWrap/>
            <w:hideMark/>
          </w:tcPr>
          <w:p w14:paraId="284170D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1.04%</w:t>
            </w:r>
          </w:p>
        </w:tc>
      </w:tr>
      <w:tr w:rsidR="00893BA1" w:rsidRPr="007F6332" w14:paraId="57A6E179" w14:textId="77777777" w:rsidTr="00092FF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23" w:type="dxa"/>
            <w:noWrap/>
            <w:hideMark/>
          </w:tcPr>
          <w:p w14:paraId="4F96155F"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Male </w:t>
            </w:r>
          </w:p>
        </w:tc>
        <w:tc>
          <w:tcPr>
            <w:tcW w:w="1144" w:type="dxa"/>
            <w:noWrap/>
            <w:hideMark/>
          </w:tcPr>
          <w:p w14:paraId="4BBECE6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0.89%</w:t>
            </w:r>
          </w:p>
        </w:tc>
        <w:tc>
          <w:tcPr>
            <w:tcW w:w="1144" w:type="dxa"/>
            <w:noWrap/>
            <w:hideMark/>
          </w:tcPr>
          <w:p w14:paraId="7202218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0.92%</w:t>
            </w:r>
          </w:p>
        </w:tc>
        <w:tc>
          <w:tcPr>
            <w:tcW w:w="1145" w:type="dxa"/>
            <w:noWrap/>
            <w:hideMark/>
          </w:tcPr>
          <w:p w14:paraId="56CD5AD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0.90%</w:t>
            </w:r>
          </w:p>
        </w:tc>
        <w:tc>
          <w:tcPr>
            <w:tcW w:w="1144" w:type="dxa"/>
            <w:noWrap/>
            <w:hideMark/>
          </w:tcPr>
          <w:p w14:paraId="1F239EE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0.89%</w:t>
            </w:r>
          </w:p>
        </w:tc>
        <w:tc>
          <w:tcPr>
            <w:tcW w:w="1145" w:type="dxa"/>
            <w:noWrap/>
            <w:hideMark/>
          </w:tcPr>
          <w:p w14:paraId="349332B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0.86%</w:t>
            </w:r>
          </w:p>
        </w:tc>
        <w:tc>
          <w:tcPr>
            <w:tcW w:w="1144" w:type="dxa"/>
            <w:noWrap/>
            <w:hideMark/>
          </w:tcPr>
          <w:p w14:paraId="0E0CB46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0.84%</w:t>
            </w:r>
          </w:p>
        </w:tc>
        <w:tc>
          <w:tcPr>
            <w:tcW w:w="1145" w:type="dxa"/>
            <w:noWrap/>
            <w:hideMark/>
          </w:tcPr>
          <w:p w14:paraId="18718FD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0.88%</w:t>
            </w:r>
          </w:p>
        </w:tc>
      </w:tr>
      <w:tr w:rsidR="00893BA1" w:rsidRPr="007F6332" w14:paraId="3AE1E34F" w14:textId="77777777" w:rsidTr="00092FF7">
        <w:trPr>
          <w:trHeight w:val="290"/>
        </w:trPr>
        <w:tc>
          <w:tcPr>
            <w:cnfStyle w:val="001000000000" w:firstRow="0" w:lastRow="0" w:firstColumn="1" w:lastColumn="0" w:oddVBand="0" w:evenVBand="0" w:oddHBand="0" w:evenHBand="0" w:firstRowFirstColumn="0" w:firstRowLastColumn="0" w:lastRowFirstColumn="0" w:lastRowLastColumn="0"/>
            <w:tcW w:w="1623" w:type="dxa"/>
            <w:noWrap/>
            <w:hideMark/>
          </w:tcPr>
          <w:p w14:paraId="3824C0AA" w14:textId="03A90D58"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w:t>
            </w:r>
            <w:r w:rsidR="00701F02" w:rsidRPr="007F6332">
              <w:rPr>
                <w:rFonts w:eastAsia="Times New Roman" w:cs="Arial"/>
                <w:color w:val="000000"/>
                <w:lang w:eastAsia="en-AU"/>
              </w:rPr>
              <w:t xml:space="preserve">Other </w:t>
            </w:r>
          </w:p>
        </w:tc>
        <w:tc>
          <w:tcPr>
            <w:tcW w:w="1144" w:type="dxa"/>
            <w:noWrap/>
            <w:hideMark/>
          </w:tcPr>
          <w:p w14:paraId="75000E3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0.74%</w:t>
            </w:r>
          </w:p>
        </w:tc>
        <w:tc>
          <w:tcPr>
            <w:tcW w:w="1144" w:type="dxa"/>
            <w:noWrap/>
            <w:hideMark/>
          </w:tcPr>
          <w:p w14:paraId="1E2DAF9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0.77%</w:t>
            </w:r>
          </w:p>
        </w:tc>
        <w:tc>
          <w:tcPr>
            <w:tcW w:w="1145" w:type="dxa"/>
            <w:noWrap/>
            <w:hideMark/>
          </w:tcPr>
          <w:p w14:paraId="59B51D0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0.81%</w:t>
            </w:r>
          </w:p>
        </w:tc>
        <w:tc>
          <w:tcPr>
            <w:tcW w:w="1144" w:type="dxa"/>
            <w:noWrap/>
            <w:hideMark/>
          </w:tcPr>
          <w:p w14:paraId="142756B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0.81%</w:t>
            </w:r>
          </w:p>
        </w:tc>
        <w:tc>
          <w:tcPr>
            <w:tcW w:w="1145" w:type="dxa"/>
            <w:noWrap/>
            <w:hideMark/>
          </w:tcPr>
          <w:p w14:paraId="44371ED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0.76%</w:t>
            </w:r>
          </w:p>
        </w:tc>
        <w:tc>
          <w:tcPr>
            <w:tcW w:w="1144" w:type="dxa"/>
            <w:noWrap/>
            <w:hideMark/>
          </w:tcPr>
          <w:p w14:paraId="11A644C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0.73%</w:t>
            </w:r>
          </w:p>
        </w:tc>
        <w:tc>
          <w:tcPr>
            <w:tcW w:w="1145" w:type="dxa"/>
            <w:noWrap/>
            <w:hideMark/>
          </w:tcPr>
          <w:p w14:paraId="32A9E5C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0.78%</w:t>
            </w:r>
          </w:p>
        </w:tc>
      </w:tr>
      <w:tr w:rsidR="00893BA1" w:rsidRPr="007F6332" w14:paraId="310CEE89" w14:textId="77777777" w:rsidTr="00C1755E">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0" w:type="dxa"/>
            <w:shd w:val="clear" w:color="auto" w:fill="B499B7"/>
            <w:noWrap/>
            <w:hideMark/>
          </w:tcPr>
          <w:p w14:paraId="06DA0E84"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Total </w:t>
            </w:r>
          </w:p>
        </w:tc>
        <w:tc>
          <w:tcPr>
            <w:tcW w:w="0" w:type="dxa"/>
            <w:shd w:val="clear" w:color="auto" w:fill="B499B7"/>
            <w:noWrap/>
            <w:hideMark/>
          </w:tcPr>
          <w:p w14:paraId="766B95F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0.95%</w:t>
            </w:r>
          </w:p>
        </w:tc>
        <w:tc>
          <w:tcPr>
            <w:tcW w:w="0" w:type="dxa"/>
            <w:shd w:val="clear" w:color="auto" w:fill="B499B7"/>
            <w:noWrap/>
            <w:hideMark/>
          </w:tcPr>
          <w:p w14:paraId="186652B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0.98%</w:t>
            </w:r>
          </w:p>
        </w:tc>
        <w:tc>
          <w:tcPr>
            <w:tcW w:w="0" w:type="dxa"/>
            <w:shd w:val="clear" w:color="auto" w:fill="B499B7"/>
            <w:noWrap/>
            <w:hideMark/>
          </w:tcPr>
          <w:p w14:paraId="28812DA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0.96%</w:t>
            </w:r>
          </w:p>
        </w:tc>
        <w:tc>
          <w:tcPr>
            <w:tcW w:w="0" w:type="dxa"/>
            <w:shd w:val="clear" w:color="auto" w:fill="B499B7"/>
            <w:noWrap/>
            <w:hideMark/>
          </w:tcPr>
          <w:p w14:paraId="7EC0FEF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0.94%</w:t>
            </w:r>
          </w:p>
        </w:tc>
        <w:tc>
          <w:tcPr>
            <w:tcW w:w="0" w:type="dxa"/>
            <w:shd w:val="clear" w:color="auto" w:fill="B499B7"/>
            <w:noWrap/>
            <w:hideMark/>
          </w:tcPr>
          <w:p w14:paraId="4D0306E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0.92%</w:t>
            </w:r>
          </w:p>
        </w:tc>
        <w:tc>
          <w:tcPr>
            <w:tcW w:w="0" w:type="dxa"/>
            <w:shd w:val="clear" w:color="auto" w:fill="B499B7"/>
            <w:noWrap/>
            <w:hideMark/>
          </w:tcPr>
          <w:p w14:paraId="082CA16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0.89%</w:t>
            </w:r>
          </w:p>
        </w:tc>
        <w:tc>
          <w:tcPr>
            <w:tcW w:w="0" w:type="dxa"/>
            <w:shd w:val="clear" w:color="auto" w:fill="B499B7"/>
            <w:noWrap/>
            <w:hideMark/>
          </w:tcPr>
          <w:p w14:paraId="33391CA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0.94%</w:t>
            </w:r>
          </w:p>
        </w:tc>
      </w:tr>
    </w:tbl>
    <w:p w14:paraId="0C47E4AF" w14:textId="3E5ABAF3" w:rsidR="00893BA1" w:rsidRPr="007F6332" w:rsidRDefault="00893BA1" w:rsidP="0092687A">
      <w:pPr>
        <w:pStyle w:val="Heading7"/>
        <w:rPr>
          <w:rFonts w:cs="Arial"/>
        </w:rPr>
      </w:pPr>
      <w:r w:rsidRPr="007F6332">
        <w:rPr>
          <w:rFonts w:cs="Arial"/>
        </w:rPr>
        <w:t xml:space="preserve">Table </w:t>
      </w:r>
      <w:r w:rsidR="00516710" w:rsidRPr="007F6332">
        <w:rPr>
          <w:rFonts w:cs="Arial"/>
        </w:rPr>
        <w:t>H.9</w:t>
      </w:r>
      <w:r w:rsidRPr="007F6332">
        <w:rPr>
          <w:rFonts w:cs="Arial"/>
        </w:rPr>
        <w:t>: Difference between actual and expected mortality by calendar year and gender</w:t>
      </w:r>
    </w:p>
    <w:tbl>
      <w:tblPr>
        <w:tblStyle w:val="FSRtable"/>
        <w:tblW w:w="9634" w:type="dxa"/>
        <w:tblInd w:w="0" w:type="dxa"/>
        <w:tblLayout w:type="fixed"/>
        <w:tblLook w:val="04A0" w:firstRow="1" w:lastRow="0" w:firstColumn="1" w:lastColumn="0" w:noHBand="0" w:noVBand="1"/>
      </w:tblPr>
      <w:tblGrid>
        <w:gridCol w:w="1623"/>
        <w:gridCol w:w="1144"/>
        <w:gridCol w:w="1144"/>
        <w:gridCol w:w="1145"/>
        <w:gridCol w:w="1144"/>
        <w:gridCol w:w="1145"/>
        <w:gridCol w:w="1144"/>
        <w:gridCol w:w="1145"/>
      </w:tblGrid>
      <w:tr w:rsidR="00893BA1" w:rsidRPr="007F6332" w14:paraId="21B4193C" w14:textId="77777777" w:rsidTr="00092FF7">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623" w:type="dxa"/>
            <w:hideMark/>
          </w:tcPr>
          <w:p w14:paraId="3D1CB908"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Gender</w:t>
            </w:r>
          </w:p>
        </w:tc>
        <w:tc>
          <w:tcPr>
            <w:tcW w:w="1144" w:type="dxa"/>
            <w:hideMark/>
          </w:tcPr>
          <w:p w14:paraId="11F34F3C"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2018</w:t>
            </w:r>
          </w:p>
        </w:tc>
        <w:tc>
          <w:tcPr>
            <w:tcW w:w="1144" w:type="dxa"/>
            <w:hideMark/>
          </w:tcPr>
          <w:p w14:paraId="3E3376C8"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2019</w:t>
            </w:r>
          </w:p>
        </w:tc>
        <w:tc>
          <w:tcPr>
            <w:tcW w:w="1145" w:type="dxa"/>
            <w:hideMark/>
          </w:tcPr>
          <w:p w14:paraId="5760A328"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2020</w:t>
            </w:r>
          </w:p>
        </w:tc>
        <w:tc>
          <w:tcPr>
            <w:tcW w:w="1144" w:type="dxa"/>
            <w:hideMark/>
          </w:tcPr>
          <w:p w14:paraId="316020D4"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2021</w:t>
            </w:r>
          </w:p>
        </w:tc>
        <w:tc>
          <w:tcPr>
            <w:tcW w:w="1145" w:type="dxa"/>
            <w:hideMark/>
          </w:tcPr>
          <w:p w14:paraId="4FD8430D"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2022</w:t>
            </w:r>
          </w:p>
        </w:tc>
        <w:tc>
          <w:tcPr>
            <w:tcW w:w="1144" w:type="dxa"/>
            <w:hideMark/>
          </w:tcPr>
          <w:p w14:paraId="369121FD"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2023</w:t>
            </w:r>
            <w:r w:rsidRPr="007F6332">
              <w:rPr>
                <w:rFonts w:eastAsia="Times New Roman"/>
                <w:bCs/>
                <w:color w:val="FFFFFF"/>
                <w:lang w:eastAsia="en-AU"/>
              </w:rPr>
              <w:br/>
              <w:t>(Jan to Feb)</w:t>
            </w:r>
          </w:p>
        </w:tc>
        <w:tc>
          <w:tcPr>
            <w:tcW w:w="1145" w:type="dxa"/>
            <w:hideMark/>
          </w:tcPr>
          <w:p w14:paraId="78D1BFB2"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Overall (2018 to Feb 2023)</w:t>
            </w:r>
          </w:p>
        </w:tc>
      </w:tr>
      <w:tr w:rsidR="00893BA1" w:rsidRPr="007F6332" w14:paraId="11D2D282" w14:textId="77777777" w:rsidTr="00092FF7">
        <w:trPr>
          <w:trHeight w:val="290"/>
        </w:trPr>
        <w:tc>
          <w:tcPr>
            <w:cnfStyle w:val="001000000000" w:firstRow="0" w:lastRow="0" w:firstColumn="1" w:lastColumn="0" w:oddVBand="0" w:evenVBand="0" w:oddHBand="0" w:evenHBand="0" w:firstRowFirstColumn="0" w:firstRowLastColumn="0" w:lastRowFirstColumn="0" w:lastRowLastColumn="0"/>
            <w:tcW w:w="1623" w:type="dxa"/>
            <w:noWrap/>
            <w:hideMark/>
          </w:tcPr>
          <w:p w14:paraId="1538D928"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Female </w:t>
            </w:r>
          </w:p>
        </w:tc>
        <w:tc>
          <w:tcPr>
            <w:tcW w:w="1144" w:type="dxa"/>
            <w:noWrap/>
            <w:hideMark/>
          </w:tcPr>
          <w:p w14:paraId="40EF9C8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-0.01%</w:t>
            </w:r>
          </w:p>
        </w:tc>
        <w:tc>
          <w:tcPr>
            <w:tcW w:w="1144" w:type="dxa"/>
            <w:noWrap/>
            <w:hideMark/>
          </w:tcPr>
          <w:p w14:paraId="4354244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-0.05%</w:t>
            </w:r>
          </w:p>
        </w:tc>
        <w:tc>
          <w:tcPr>
            <w:tcW w:w="1145" w:type="dxa"/>
            <w:noWrap/>
            <w:hideMark/>
          </w:tcPr>
          <w:p w14:paraId="0E00BE1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c>
          <w:tcPr>
            <w:tcW w:w="1144" w:type="dxa"/>
            <w:noWrap/>
            <w:hideMark/>
          </w:tcPr>
          <w:p w14:paraId="4D8858D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45" w:type="dxa"/>
            <w:noWrap/>
            <w:hideMark/>
          </w:tcPr>
          <w:p w14:paraId="02C4C83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+0.18%</w:t>
            </w:r>
          </w:p>
        </w:tc>
        <w:tc>
          <w:tcPr>
            <w:tcW w:w="1144" w:type="dxa"/>
            <w:noWrap/>
            <w:hideMark/>
          </w:tcPr>
          <w:p w14:paraId="52426C0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+0.23%</w:t>
            </w:r>
          </w:p>
        </w:tc>
        <w:tc>
          <w:tcPr>
            <w:tcW w:w="1145" w:type="dxa"/>
            <w:noWrap/>
            <w:hideMark/>
          </w:tcPr>
          <w:p w14:paraId="593643C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+0.06%</w:t>
            </w:r>
          </w:p>
        </w:tc>
      </w:tr>
      <w:tr w:rsidR="00893BA1" w:rsidRPr="007F6332" w14:paraId="550BFBF0" w14:textId="77777777" w:rsidTr="00092FF7">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23" w:type="dxa"/>
            <w:noWrap/>
            <w:hideMark/>
          </w:tcPr>
          <w:p w14:paraId="5FE274F4"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Male </w:t>
            </w:r>
          </w:p>
        </w:tc>
        <w:tc>
          <w:tcPr>
            <w:tcW w:w="1144" w:type="dxa"/>
            <w:noWrap/>
            <w:hideMark/>
          </w:tcPr>
          <w:p w14:paraId="0DADA98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-0.09%</w:t>
            </w:r>
          </w:p>
        </w:tc>
        <w:tc>
          <w:tcPr>
            <w:tcW w:w="1144" w:type="dxa"/>
            <w:noWrap/>
            <w:hideMark/>
          </w:tcPr>
          <w:p w14:paraId="5A4D87A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c>
          <w:tcPr>
            <w:tcW w:w="1145" w:type="dxa"/>
            <w:noWrap/>
            <w:hideMark/>
          </w:tcPr>
          <w:p w14:paraId="6B5A8CF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+0.03%</w:t>
            </w:r>
          </w:p>
        </w:tc>
        <w:tc>
          <w:tcPr>
            <w:tcW w:w="1144" w:type="dxa"/>
            <w:noWrap/>
            <w:hideMark/>
          </w:tcPr>
          <w:p w14:paraId="0BDF353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-0.01%</w:t>
            </w:r>
          </w:p>
        </w:tc>
        <w:tc>
          <w:tcPr>
            <w:tcW w:w="1145" w:type="dxa"/>
            <w:noWrap/>
            <w:hideMark/>
          </w:tcPr>
          <w:p w14:paraId="0D08D26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+0.14%</w:t>
            </w:r>
          </w:p>
        </w:tc>
        <w:tc>
          <w:tcPr>
            <w:tcW w:w="1144" w:type="dxa"/>
            <w:noWrap/>
            <w:hideMark/>
          </w:tcPr>
          <w:p w14:paraId="267C69F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+0.24%</w:t>
            </w:r>
          </w:p>
        </w:tc>
        <w:tc>
          <w:tcPr>
            <w:tcW w:w="1145" w:type="dxa"/>
            <w:noWrap/>
            <w:hideMark/>
          </w:tcPr>
          <w:p w14:paraId="0DFA43E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+0.05%</w:t>
            </w:r>
          </w:p>
        </w:tc>
      </w:tr>
      <w:tr w:rsidR="00893BA1" w:rsidRPr="007F6332" w14:paraId="617AAAAF" w14:textId="77777777" w:rsidTr="00092FF7">
        <w:trPr>
          <w:trHeight w:val="290"/>
        </w:trPr>
        <w:tc>
          <w:tcPr>
            <w:cnfStyle w:val="001000000000" w:firstRow="0" w:lastRow="0" w:firstColumn="1" w:lastColumn="0" w:oddVBand="0" w:evenVBand="0" w:oddHBand="0" w:evenHBand="0" w:firstRowFirstColumn="0" w:firstRowLastColumn="0" w:lastRowFirstColumn="0" w:lastRowLastColumn="0"/>
            <w:tcW w:w="1623" w:type="dxa"/>
            <w:noWrap/>
            <w:hideMark/>
          </w:tcPr>
          <w:p w14:paraId="47CD0C2A" w14:textId="07718B84"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w:t>
            </w:r>
            <w:r w:rsidR="00701F02" w:rsidRPr="007F6332">
              <w:rPr>
                <w:rFonts w:eastAsia="Times New Roman" w:cs="Arial"/>
                <w:color w:val="000000"/>
                <w:lang w:eastAsia="en-AU"/>
              </w:rPr>
              <w:t xml:space="preserve">Other </w:t>
            </w:r>
          </w:p>
        </w:tc>
        <w:tc>
          <w:tcPr>
            <w:tcW w:w="1144" w:type="dxa"/>
            <w:noWrap/>
            <w:hideMark/>
          </w:tcPr>
          <w:p w14:paraId="2058894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+0.28%</w:t>
            </w:r>
          </w:p>
        </w:tc>
        <w:tc>
          <w:tcPr>
            <w:tcW w:w="1144" w:type="dxa"/>
            <w:noWrap/>
            <w:hideMark/>
          </w:tcPr>
          <w:p w14:paraId="7F96BFA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+0.15%</w:t>
            </w:r>
          </w:p>
        </w:tc>
        <w:tc>
          <w:tcPr>
            <w:tcW w:w="1145" w:type="dxa"/>
            <w:noWrap/>
            <w:hideMark/>
          </w:tcPr>
          <w:p w14:paraId="5543749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+0.31%</w:t>
            </w:r>
          </w:p>
        </w:tc>
        <w:tc>
          <w:tcPr>
            <w:tcW w:w="1144" w:type="dxa"/>
            <w:noWrap/>
            <w:hideMark/>
          </w:tcPr>
          <w:p w14:paraId="17DC6F5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-0.13%</w:t>
            </w:r>
          </w:p>
        </w:tc>
        <w:tc>
          <w:tcPr>
            <w:tcW w:w="1145" w:type="dxa"/>
            <w:noWrap/>
            <w:hideMark/>
          </w:tcPr>
          <w:p w14:paraId="7EA8361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+0.14%</w:t>
            </w:r>
          </w:p>
        </w:tc>
        <w:tc>
          <w:tcPr>
            <w:tcW w:w="1144" w:type="dxa"/>
            <w:noWrap/>
            <w:hideMark/>
          </w:tcPr>
          <w:p w14:paraId="162F25B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+0.58%</w:t>
            </w:r>
          </w:p>
        </w:tc>
        <w:tc>
          <w:tcPr>
            <w:tcW w:w="1145" w:type="dxa"/>
            <w:noWrap/>
            <w:hideMark/>
          </w:tcPr>
          <w:p w14:paraId="29C7650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+0.14%</w:t>
            </w:r>
          </w:p>
        </w:tc>
      </w:tr>
      <w:tr w:rsidR="00893BA1" w:rsidRPr="007F6332" w14:paraId="0C138DE9" w14:textId="77777777" w:rsidTr="00C1755E">
        <w:trPr>
          <w:cnfStyle w:val="000000010000" w:firstRow="0" w:lastRow="0" w:firstColumn="0" w:lastColumn="0" w:oddVBand="0" w:evenVBand="0" w:oddHBand="0" w:evenHBand="1"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0" w:type="dxa"/>
            <w:shd w:val="clear" w:color="auto" w:fill="B499B7"/>
            <w:noWrap/>
            <w:hideMark/>
          </w:tcPr>
          <w:p w14:paraId="39F2D4D1"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Total </w:t>
            </w:r>
          </w:p>
        </w:tc>
        <w:tc>
          <w:tcPr>
            <w:tcW w:w="0" w:type="dxa"/>
            <w:shd w:val="clear" w:color="auto" w:fill="B499B7"/>
            <w:noWrap/>
            <w:hideMark/>
          </w:tcPr>
          <w:p w14:paraId="33DB163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-0.06%</w:t>
            </w:r>
          </w:p>
        </w:tc>
        <w:tc>
          <w:tcPr>
            <w:tcW w:w="0" w:type="dxa"/>
            <w:shd w:val="clear" w:color="auto" w:fill="B499B7"/>
            <w:noWrap/>
            <w:hideMark/>
          </w:tcPr>
          <w:p w14:paraId="76F00FF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-0.01%</w:t>
            </w:r>
          </w:p>
        </w:tc>
        <w:tc>
          <w:tcPr>
            <w:tcW w:w="0" w:type="dxa"/>
            <w:shd w:val="clear" w:color="auto" w:fill="B499B7"/>
            <w:noWrap/>
            <w:hideMark/>
          </w:tcPr>
          <w:p w14:paraId="72A1B50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+0.03%</w:t>
            </w:r>
          </w:p>
        </w:tc>
        <w:tc>
          <w:tcPr>
            <w:tcW w:w="0" w:type="dxa"/>
            <w:shd w:val="clear" w:color="auto" w:fill="B499B7"/>
            <w:noWrap/>
            <w:hideMark/>
          </w:tcPr>
          <w:p w14:paraId="40AB754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-0.01%</w:t>
            </w:r>
          </w:p>
        </w:tc>
        <w:tc>
          <w:tcPr>
            <w:tcW w:w="0" w:type="dxa"/>
            <w:shd w:val="clear" w:color="auto" w:fill="B499B7"/>
            <w:noWrap/>
            <w:hideMark/>
          </w:tcPr>
          <w:p w14:paraId="0CBF48F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+0.15%</w:t>
            </w:r>
          </w:p>
        </w:tc>
        <w:tc>
          <w:tcPr>
            <w:tcW w:w="0" w:type="dxa"/>
            <w:shd w:val="clear" w:color="auto" w:fill="B499B7"/>
            <w:noWrap/>
            <w:hideMark/>
          </w:tcPr>
          <w:p w14:paraId="215EDE3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+0.24%</w:t>
            </w:r>
          </w:p>
        </w:tc>
        <w:tc>
          <w:tcPr>
            <w:tcW w:w="0" w:type="dxa"/>
            <w:shd w:val="clear" w:color="auto" w:fill="B499B7"/>
            <w:noWrap/>
            <w:hideMark/>
          </w:tcPr>
          <w:p w14:paraId="4F80679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lang w:eastAsia="en-AU"/>
              </w:rPr>
            </w:pPr>
            <w:r w:rsidRPr="007F6332">
              <w:rPr>
                <w:rFonts w:eastAsia="Times New Roman" w:cs="Arial"/>
                <w:b/>
                <w:bCs/>
                <w:lang w:eastAsia="en-AU"/>
              </w:rPr>
              <w:t>+0.05%</w:t>
            </w:r>
          </w:p>
        </w:tc>
      </w:tr>
    </w:tbl>
    <w:p w14:paraId="2D8BEC2C" w14:textId="77777777" w:rsidR="00893BA1" w:rsidRPr="007F6332" w:rsidRDefault="00893BA1" w:rsidP="00893BA1">
      <w:pPr>
        <w:pStyle w:val="FSRHeading4"/>
        <w:rPr>
          <w:rFonts w:cs="Arial"/>
        </w:rPr>
      </w:pPr>
      <w:r w:rsidRPr="007F6332">
        <w:rPr>
          <w:rFonts w:cs="Arial"/>
        </w:rPr>
        <w:t>Revised mortality assumptions</w:t>
      </w:r>
    </w:p>
    <w:p w14:paraId="6BF01F49" w14:textId="423B2C1E" w:rsidR="00893BA1" w:rsidRPr="007F6332" w:rsidRDefault="00893BA1" w:rsidP="00893BA1">
      <w:pPr>
        <w:rPr>
          <w:rFonts w:cs="Arial"/>
        </w:rPr>
      </w:pPr>
      <w:r w:rsidRPr="007F6332">
        <w:rPr>
          <w:rFonts w:cs="Arial"/>
        </w:rPr>
        <w:t xml:space="preserve">The mortality rates assumed for the June 2023 projections, compared with the previous review, are shown in </w:t>
      </w:r>
      <w:r w:rsidR="00E90411" w:rsidRPr="007F6332">
        <w:rPr>
          <w:rFonts w:cs="Arial"/>
        </w:rPr>
        <w:t>Tables H.10, Table H.11, Table H.12 and Table H.13</w:t>
      </w:r>
      <w:r w:rsidRPr="007F6332">
        <w:rPr>
          <w:rFonts w:cs="Arial"/>
        </w:rPr>
        <w:t>. The rates presented in these tables are all based on the mix of participants over the five years to 28 February 2023.</w:t>
      </w:r>
    </w:p>
    <w:p w14:paraId="75ED2269" w14:textId="77777777" w:rsidR="00893BA1" w:rsidRPr="007F6332" w:rsidRDefault="00893BA1" w:rsidP="000A3CE4">
      <w:pPr>
        <w:pStyle w:val="tablelistbullet"/>
      </w:pPr>
      <w:r w:rsidRPr="007F6332">
        <w:rPr>
          <w:b/>
          <w:bCs/>
        </w:rPr>
        <w:t xml:space="preserve">Exposure </w:t>
      </w:r>
      <w:r w:rsidRPr="007F6332">
        <w:t>refers to the distribution of the underlying participant population over the period of analysis.</w:t>
      </w:r>
    </w:p>
    <w:p w14:paraId="254E0FC1" w14:textId="77777777" w:rsidR="00893BA1" w:rsidRPr="007F6332" w:rsidRDefault="00893BA1" w:rsidP="000A3CE4">
      <w:pPr>
        <w:pStyle w:val="tablelistbullet"/>
      </w:pPr>
      <w:r w:rsidRPr="007F6332">
        <w:rPr>
          <w:b/>
          <w:bCs/>
        </w:rPr>
        <w:t>June 2022 projections</w:t>
      </w:r>
      <w:r w:rsidRPr="007F6332">
        <w:t xml:space="preserve"> refers to the mortality rate assumptions in the previous review.</w:t>
      </w:r>
    </w:p>
    <w:p w14:paraId="3EBF3176" w14:textId="77777777" w:rsidR="00893BA1" w:rsidRPr="007F6332" w:rsidRDefault="00893BA1" w:rsidP="000A3CE4">
      <w:pPr>
        <w:pStyle w:val="tablelistbullet"/>
      </w:pPr>
      <w:r w:rsidRPr="007F6332">
        <w:rPr>
          <w:b/>
          <w:bCs/>
        </w:rPr>
        <w:t>June 2023 projections</w:t>
      </w:r>
      <w:r w:rsidRPr="007F6332">
        <w:t xml:space="preserve"> refers to the revised mortality rate assumptions in this review.</w:t>
      </w:r>
    </w:p>
    <w:p w14:paraId="47D9473F" w14:textId="77777777" w:rsidR="00893BA1" w:rsidRPr="007F6332" w:rsidRDefault="00893BA1" w:rsidP="000A3CE4">
      <w:pPr>
        <w:pStyle w:val="tablelistbullet"/>
      </w:pPr>
      <w:r w:rsidRPr="007F6332">
        <w:rPr>
          <w:b/>
          <w:bCs/>
        </w:rPr>
        <w:t>Difference</w:t>
      </w:r>
      <w:r w:rsidRPr="007F6332">
        <w:t xml:space="preserve"> is the absolute difference between the mortality rates from the June 2022 projections and June 2023 projections.</w:t>
      </w:r>
    </w:p>
    <w:p w14:paraId="758F0B62" w14:textId="77777777" w:rsidR="00893BA1" w:rsidRPr="007F6332" w:rsidRDefault="00893BA1" w:rsidP="00893BA1">
      <w:pPr>
        <w:rPr>
          <w:rFonts w:cs="Arial"/>
        </w:rPr>
      </w:pPr>
      <w:r w:rsidRPr="007F6332">
        <w:rPr>
          <w:rFonts w:cs="Arial"/>
        </w:rPr>
        <w:t xml:space="preserve">Overall, mortality rate assumptions have been increased slightly. The disability groups with the largest increases in mortality assumptions include: </w:t>
      </w:r>
    </w:p>
    <w:p w14:paraId="0BB4A418" w14:textId="77777777" w:rsidR="00893BA1" w:rsidRPr="007F6332" w:rsidRDefault="00893BA1" w:rsidP="00CE7E91">
      <w:pPr>
        <w:pStyle w:val="ListParagraph"/>
        <w:numPr>
          <w:ilvl w:val="0"/>
          <w:numId w:val="37"/>
        </w:numPr>
        <w:rPr>
          <w:rFonts w:cs="Arial"/>
        </w:rPr>
      </w:pPr>
      <w:r w:rsidRPr="007F6332">
        <w:rPr>
          <w:rFonts w:cs="Arial"/>
        </w:rPr>
        <w:t>Other Sensory/Speech (0.05% to 0.11%).</w:t>
      </w:r>
    </w:p>
    <w:p w14:paraId="2C07D901" w14:textId="77777777" w:rsidR="00893BA1" w:rsidRPr="007F6332" w:rsidRDefault="00893BA1" w:rsidP="00CE7E91">
      <w:pPr>
        <w:pStyle w:val="ListParagraph"/>
        <w:numPr>
          <w:ilvl w:val="0"/>
          <w:numId w:val="37"/>
        </w:numPr>
        <w:rPr>
          <w:rFonts w:cs="Arial"/>
        </w:rPr>
      </w:pPr>
      <w:r w:rsidRPr="007F6332">
        <w:rPr>
          <w:rFonts w:cs="Arial"/>
        </w:rPr>
        <w:t>Other (3.16% to 3.97%).</w:t>
      </w:r>
    </w:p>
    <w:p w14:paraId="441CBC40" w14:textId="345B6BD6" w:rsidR="00893BA1" w:rsidRPr="007F6332" w:rsidRDefault="00893BA1" w:rsidP="00CE7E91">
      <w:pPr>
        <w:pStyle w:val="ListParagraph"/>
        <w:numPr>
          <w:ilvl w:val="0"/>
          <w:numId w:val="37"/>
        </w:numPr>
        <w:rPr>
          <w:rFonts w:cs="Arial"/>
        </w:rPr>
      </w:pPr>
      <w:r w:rsidRPr="007F6332">
        <w:rPr>
          <w:rFonts w:cs="Arial"/>
        </w:rPr>
        <w:t>Psychosocial</w:t>
      </w:r>
      <w:r w:rsidR="00E66F9F" w:rsidRPr="007F6332">
        <w:rPr>
          <w:rFonts w:cs="Arial"/>
        </w:rPr>
        <w:t xml:space="preserve"> disability</w:t>
      </w:r>
      <w:r w:rsidRPr="007F6332">
        <w:rPr>
          <w:rFonts w:cs="Arial"/>
        </w:rPr>
        <w:t xml:space="preserve"> (1.11% to 1.32%).</w:t>
      </w:r>
    </w:p>
    <w:p w14:paraId="1D6EC8A1" w14:textId="77777777" w:rsidR="00893BA1" w:rsidRPr="007F6332" w:rsidRDefault="00893BA1" w:rsidP="00CE7E91">
      <w:pPr>
        <w:pStyle w:val="ListParagraph"/>
        <w:numPr>
          <w:ilvl w:val="0"/>
          <w:numId w:val="37"/>
        </w:numPr>
        <w:rPr>
          <w:rFonts w:cs="Arial"/>
        </w:rPr>
      </w:pPr>
      <w:r w:rsidRPr="007F6332">
        <w:rPr>
          <w:rFonts w:cs="Arial"/>
        </w:rPr>
        <w:t>Stroke (2.75% to 3.01%).</w:t>
      </w:r>
    </w:p>
    <w:p w14:paraId="3E13991D" w14:textId="77777777" w:rsidR="00893BA1" w:rsidRPr="007F6332" w:rsidRDefault="00893BA1" w:rsidP="00CE7E91">
      <w:pPr>
        <w:pStyle w:val="ListParagraph"/>
        <w:numPr>
          <w:ilvl w:val="0"/>
          <w:numId w:val="37"/>
        </w:numPr>
        <w:rPr>
          <w:rFonts w:cs="Arial"/>
        </w:rPr>
      </w:pPr>
      <w:r w:rsidRPr="007F6332">
        <w:rPr>
          <w:rFonts w:cs="Arial"/>
        </w:rPr>
        <w:t xml:space="preserve">Spinal Cord Injury (1.79% to 1.89%).  </w:t>
      </w:r>
    </w:p>
    <w:p w14:paraId="7C27F0DF" w14:textId="77777777" w:rsidR="0076644E" w:rsidRPr="007F6332" w:rsidRDefault="00893BA1" w:rsidP="0076644E">
      <w:pPr>
        <w:spacing w:after="120"/>
        <w:rPr>
          <w:rFonts w:cs="Arial"/>
        </w:rPr>
      </w:pPr>
      <w:r w:rsidRPr="007F6332">
        <w:rPr>
          <w:rFonts w:cs="Arial"/>
        </w:rPr>
        <w:t>The disability group with the largest decrease in mortality rates was for participants with multiple sclerosis (1.49% to 1.38%).</w:t>
      </w:r>
    </w:p>
    <w:p w14:paraId="56EE2446" w14:textId="4A74C149" w:rsidR="00893BA1" w:rsidRPr="007F6332" w:rsidRDefault="00893BA1" w:rsidP="000A3CE4">
      <w:pPr>
        <w:pStyle w:val="FiguresandTablesHeading5"/>
      </w:pPr>
      <w:r w:rsidRPr="007F6332">
        <w:lastRenderedPageBreak/>
        <w:t xml:space="preserve">Table </w:t>
      </w:r>
      <w:r w:rsidR="00516710" w:rsidRPr="007F6332">
        <w:t>H.10</w:t>
      </w:r>
      <w:r w:rsidRPr="007F6332">
        <w:t>: Mortality rate assumptions by primary disability</w:t>
      </w:r>
    </w:p>
    <w:tbl>
      <w:tblPr>
        <w:tblStyle w:val="FSRtable"/>
        <w:tblW w:w="9209" w:type="dxa"/>
        <w:tblInd w:w="0" w:type="dxa"/>
        <w:tblLayout w:type="fixed"/>
        <w:tblLook w:val="04A0" w:firstRow="1" w:lastRow="0" w:firstColumn="1" w:lastColumn="0" w:noHBand="0" w:noVBand="1"/>
      </w:tblPr>
      <w:tblGrid>
        <w:gridCol w:w="2442"/>
        <w:gridCol w:w="1691"/>
        <w:gridCol w:w="1692"/>
        <w:gridCol w:w="1692"/>
        <w:gridCol w:w="1692"/>
      </w:tblGrid>
      <w:tr w:rsidR="00893BA1" w:rsidRPr="007F6332" w14:paraId="6FEC521E" w14:textId="77777777" w:rsidTr="00092FF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42" w:type="dxa"/>
            <w:hideMark/>
          </w:tcPr>
          <w:p w14:paraId="08F27E4E"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Disability group</w:t>
            </w:r>
          </w:p>
        </w:tc>
        <w:tc>
          <w:tcPr>
            <w:tcW w:w="1691" w:type="dxa"/>
            <w:hideMark/>
          </w:tcPr>
          <w:p w14:paraId="59E426E3"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Exposure</w:t>
            </w:r>
          </w:p>
        </w:tc>
        <w:tc>
          <w:tcPr>
            <w:tcW w:w="1692" w:type="dxa"/>
            <w:hideMark/>
          </w:tcPr>
          <w:p w14:paraId="20B4C748"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June 2022 projections</w:t>
            </w:r>
          </w:p>
        </w:tc>
        <w:tc>
          <w:tcPr>
            <w:tcW w:w="1692" w:type="dxa"/>
            <w:hideMark/>
          </w:tcPr>
          <w:p w14:paraId="524DCF73"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June 2023 projections</w:t>
            </w:r>
          </w:p>
        </w:tc>
        <w:tc>
          <w:tcPr>
            <w:tcW w:w="1692" w:type="dxa"/>
            <w:hideMark/>
          </w:tcPr>
          <w:p w14:paraId="0E1C54C2"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Change</w:t>
            </w:r>
          </w:p>
        </w:tc>
      </w:tr>
      <w:tr w:rsidR="00893BA1" w:rsidRPr="007F6332" w14:paraId="603A0939" w14:textId="77777777" w:rsidTr="00092FF7">
        <w:trPr>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5817393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Acquired brain injury</w:t>
            </w:r>
          </w:p>
        </w:tc>
        <w:tc>
          <w:tcPr>
            <w:tcW w:w="1691" w:type="dxa"/>
            <w:noWrap/>
            <w:hideMark/>
          </w:tcPr>
          <w:p w14:paraId="0DFAD79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w:t>
            </w:r>
          </w:p>
        </w:tc>
        <w:tc>
          <w:tcPr>
            <w:tcW w:w="1692" w:type="dxa"/>
            <w:noWrap/>
            <w:hideMark/>
          </w:tcPr>
          <w:p w14:paraId="6B2E535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2.66%</w:t>
            </w:r>
          </w:p>
        </w:tc>
        <w:tc>
          <w:tcPr>
            <w:tcW w:w="1692" w:type="dxa"/>
            <w:noWrap/>
            <w:hideMark/>
          </w:tcPr>
          <w:p w14:paraId="6B3FF80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2.70%</w:t>
            </w:r>
          </w:p>
        </w:tc>
        <w:tc>
          <w:tcPr>
            <w:tcW w:w="1692" w:type="dxa"/>
            <w:noWrap/>
            <w:hideMark/>
          </w:tcPr>
          <w:p w14:paraId="101A68F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+0.03%</w:t>
            </w:r>
          </w:p>
        </w:tc>
      </w:tr>
      <w:tr w:rsidR="00893BA1" w:rsidRPr="007F6332" w14:paraId="36A320EF" w14:textId="77777777" w:rsidTr="00092F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2D80B7B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Autism</w:t>
            </w:r>
          </w:p>
        </w:tc>
        <w:tc>
          <w:tcPr>
            <w:tcW w:w="1691" w:type="dxa"/>
            <w:noWrap/>
            <w:hideMark/>
          </w:tcPr>
          <w:p w14:paraId="3E14791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34%</w:t>
            </w:r>
          </w:p>
        </w:tc>
        <w:tc>
          <w:tcPr>
            <w:tcW w:w="1692" w:type="dxa"/>
            <w:noWrap/>
            <w:hideMark/>
          </w:tcPr>
          <w:p w14:paraId="3276352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0.06%</w:t>
            </w:r>
          </w:p>
        </w:tc>
        <w:tc>
          <w:tcPr>
            <w:tcW w:w="1692" w:type="dxa"/>
            <w:noWrap/>
            <w:hideMark/>
          </w:tcPr>
          <w:p w14:paraId="7BE121A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0.06%</w:t>
            </w:r>
          </w:p>
        </w:tc>
        <w:tc>
          <w:tcPr>
            <w:tcW w:w="1692" w:type="dxa"/>
            <w:noWrap/>
            <w:hideMark/>
          </w:tcPr>
          <w:p w14:paraId="06D50EB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r>
      <w:tr w:rsidR="00893BA1" w:rsidRPr="007F6332" w14:paraId="4FFF216B" w14:textId="77777777" w:rsidTr="00092FF7">
        <w:trPr>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2B33341D"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Cerebral Palsy</w:t>
            </w:r>
          </w:p>
        </w:tc>
        <w:tc>
          <w:tcPr>
            <w:tcW w:w="1691" w:type="dxa"/>
            <w:noWrap/>
            <w:hideMark/>
          </w:tcPr>
          <w:p w14:paraId="6662F45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4%</w:t>
            </w:r>
          </w:p>
        </w:tc>
        <w:tc>
          <w:tcPr>
            <w:tcW w:w="1692" w:type="dxa"/>
            <w:noWrap/>
            <w:hideMark/>
          </w:tcPr>
          <w:p w14:paraId="7D452D4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0.78%</w:t>
            </w:r>
          </w:p>
        </w:tc>
        <w:tc>
          <w:tcPr>
            <w:tcW w:w="1692" w:type="dxa"/>
            <w:noWrap/>
            <w:hideMark/>
          </w:tcPr>
          <w:p w14:paraId="61E633E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0.79%</w:t>
            </w:r>
          </w:p>
        </w:tc>
        <w:tc>
          <w:tcPr>
            <w:tcW w:w="1692" w:type="dxa"/>
            <w:noWrap/>
            <w:hideMark/>
          </w:tcPr>
          <w:p w14:paraId="57616F7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r>
      <w:tr w:rsidR="00893BA1" w:rsidRPr="007F6332" w14:paraId="18846C59" w14:textId="77777777" w:rsidTr="00092F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09B1EE40"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Developmental delay</w:t>
            </w:r>
          </w:p>
        </w:tc>
        <w:tc>
          <w:tcPr>
            <w:tcW w:w="1691" w:type="dxa"/>
            <w:noWrap/>
            <w:hideMark/>
          </w:tcPr>
          <w:p w14:paraId="0A0DC1B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7%</w:t>
            </w:r>
          </w:p>
        </w:tc>
        <w:tc>
          <w:tcPr>
            <w:tcW w:w="1692" w:type="dxa"/>
            <w:noWrap/>
            <w:hideMark/>
          </w:tcPr>
          <w:p w14:paraId="4CCCCF8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0.13%</w:t>
            </w:r>
          </w:p>
        </w:tc>
        <w:tc>
          <w:tcPr>
            <w:tcW w:w="1692" w:type="dxa"/>
            <w:noWrap/>
            <w:hideMark/>
          </w:tcPr>
          <w:p w14:paraId="6843917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0.13%</w:t>
            </w:r>
          </w:p>
        </w:tc>
        <w:tc>
          <w:tcPr>
            <w:tcW w:w="1692" w:type="dxa"/>
            <w:noWrap/>
            <w:hideMark/>
          </w:tcPr>
          <w:p w14:paraId="033161D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r>
      <w:tr w:rsidR="00893BA1" w:rsidRPr="007F6332" w14:paraId="5F25B07C" w14:textId="77777777" w:rsidTr="00092FF7">
        <w:trPr>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2B3D5EFD"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Hearing Impairment</w:t>
            </w:r>
          </w:p>
        </w:tc>
        <w:tc>
          <w:tcPr>
            <w:tcW w:w="1691" w:type="dxa"/>
            <w:noWrap/>
            <w:hideMark/>
          </w:tcPr>
          <w:p w14:paraId="6C71D36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4%</w:t>
            </w:r>
          </w:p>
        </w:tc>
        <w:tc>
          <w:tcPr>
            <w:tcW w:w="1692" w:type="dxa"/>
            <w:noWrap/>
            <w:hideMark/>
          </w:tcPr>
          <w:p w14:paraId="65C8A2F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0.25%</w:t>
            </w:r>
          </w:p>
        </w:tc>
        <w:tc>
          <w:tcPr>
            <w:tcW w:w="1692" w:type="dxa"/>
            <w:noWrap/>
            <w:hideMark/>
          </w:tcPr>
          <w:p w14:paraId="5D20913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0.25%</w:t>
            </w:r>
          </w:p>
        </w:tc>
        <w:tc>
          <w:tcPr>
            <w:tcW w:w="1692" w:type="dxa"/>
            <w:noWrap/>
            <w:hideMark/>
          </w:tcPr>
          <w:p w14:paraId="456F6FE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+0.00%</w:t>
            </w:r>
          </w:p>
        </w:tc>
      </w:tr>
      <w:tr w:rsidR="00893BA1" w:rsidRPr="007F6332" w14:paraId="3D04A28A" w14:textId="77777777" w:rsidTr="00092F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43F079A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Intellectual Disability</w:t>
            </w:r>
          </w:p>
        </w:tc>
        <w:tc>
          <w:tcPr>
            <w:tcW w:w="1691" w:type="dxa"/>
            <w:noWrap/>
            <w:hideMark/>
          </w:tcPr>
          <w:p w14:paraId="7B772DF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21%</w:t>
            </w:r>
          </w:p>
        </w:tc>
        <w:tc>
          <w:tcPr>
            <w:tcW w:w="1692" w:type="dxa"/>
            <w:noWrap/>
            <w:hideMark/>
          </w:tcPr>
          <w:p w14:paraId="262B4F1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0.79%</w:t>
            </w:r>
          </w:p>
        </w:tc>
        <w:tc>
          <w:tcPr>
            <w:tcW w:w="1692" w:type="dxa"/>
            <w:noWrap/>
            <w:hideMark/>
          </w:tcPr>
          <w:p w14:paraId="6685469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0.78%</w:t>
            </w:r>
          </w:p>
        </w:tc>
        <w:tc>
          <w:tcPr>
            <w:tcW w:w="1692" w:type="dxa"/>
            <w:noWrap/>
            <w:hideMark/>
          </w:tcPr>
          <w:p w14:paraId="21F1317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r>
      <w:tr w:rsidR="00893BA1" w:rsidRPr="007F6332" w14:paraId="4332B4F7" w14:textId="77777777" w:rsidTr="00092FF7">
        <w:trPr>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75DC53F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Multiple Sclerosis</w:t>
            </w:r>
          </w:p>
        </w:tc>
        <w:tc>
          <w:tcPr>
            <w:tcW w:w="1691" w:type="dxa"/>
            <w:noWrap/>
            <w:hideMark/>
          </w:tcPr>
          <w:p w14:paraId="208DD75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w:t>
            </w:r>
          </w:p>
        </w:tc>
        <w:tc>
          <w:tcPr>
            <w:tcW w:w="1692" w:type="dxa"/>
            <w:noWrap/>
            <w:hideMark/>
          </w:tcPr>
          <w:p w14:paraId="7C89F4E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1.49%</w:t>
            </w:r>
          </w:p>
        </w:tc>
        <w:tc>
          <w:tcPr>
            <w:tcW w:w="1692" w:type="dxa"/>
            <w:noWrap/>
            <w:hideMark/>
          </w:tcPr>
          <w:p w14:paraId="5384F76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1.38%</w:t>
            </w:r>
          </w:p>
        </w:tc>
        <w:tc>
          <w:tcPr>
            <w:tcW w:w="1692" w:type="dxa"/>
            <w:noWrap/>
            <w:hideMark/>
          </w:tcPr>
          <w:p w14:paraId="2F14920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-0.11%</w:t>
            </w:r>
          </w:p>
        </w:tc>
      </w:tr>
      <w:tr w:rsidR="00893BA1" w:rsidRPr="007F6332" w14:paraId="56C4A712" w14:textId="77777777" w:rsidTr="00092F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0B5537D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Psychosocial disability</w:t>
            </w:r>
          </w:p>
        </w:tc>
        <w:tc>
          <w:tcPr>
            <w:tcW w:w="1691" w:type="dxa"/>
            <w:noWrap/>
            <w:hideMark/>
          </w:tcPr>
          <w:p w14:paraId="5F4BA08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10%</w:t>
            </w:r>
          </w:p>
        </w:tc>
        <w:tc>
          <w:tcPr>
            <w:tcW w:w="1692" w:type="dxa"/>
            <w:noWrap/>
            <w:hideMark/>
          </w:tcPr>
          <w:p w14:paraId="735A0CB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1.11%</w:t>
            </w:r>
          </w:p>
        </w:tc>
        <w:tc>
          <w:tcPr>
            <w:tcW w:w="1692" w:type="dxa"/>
            <w:noWrap/>
            <w:hideMark/>
          </w:tcPr>
          <w:p w14:paraId="60A6D91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1.32%</w:t>
            </w:r>
          </w:p>
        </w:tc>
        <w:tc>
          <w:tcPr>
            <w:tcW w:w="1692" w:type="dxa"/>
            <w:noWrap/>
            <w:hideMark/>
          </w:tcPr>
          <w:p w14:paraId="7BE3371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+0.21%</w:t>
            </w:r>
          </w:p>
        </w:tc>
      </w:tr>
      <w:tr w:rsidR="00893BA1" w:rsidRPr="007F6332" w14:paraId="647E2EDE" w14:textId="77777777" w:rsidTr="00092FF7">
        <w:trPr>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514A4F5B"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Spinal Cord Injury</w:t>
            </w:r>
          </w:p>
        </w:tc>
        <w:tc>
          <w:tcPr>
            <w:tcW w:w="1691" w:type="dxa"/>
            <w:noWrap/>
            <w:hideMark/>
          </w:tcPr>
          <w:p w14:paraId="2AD32C8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1692" w:type="dxa"/>
            <w:noWrap/>
            <w:hideMark/>
          </w:tcPr>
          <w:p w14:paraId="0260020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1.79%</w:t>
            </w:r>
          </w:p>
        </w:tc>
        <w:tc>
          <w:tcPr>
            <w:tcW w:w="1692" w:type="dxa"/>
            <w:noWrap/>
            <w:hideMark/>
          </w:tcPr>
          <w:p w14:paraId="383B596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1.89%</w:t>
            </w:r>
          </w:p>
        </w:tc>
        <w:tc>
          <w:tcPr>
            <w:tcW w:w="1692" w:type="dxa"/>
            <w:noWrap/>
            <w:hideMark/>
          </w:tcPr>
          <w:p w14:paraId="57E0C1F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+0.10%</w:t>
            </w:r>
          </w:p>
        </w:tc>
      </w:tr>
      <w:tr w:rsidR="00893BA1" w:rsidRPr="007F6332" w14:paraId="74250C50" w14:textId="77777777" w:rsidTr="00092F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57D8EA7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Stroke</w:t>
            </w:r>
          </w:p>
        </w:tc>
        <w:tc>
          <w:tcPr>
            <w:tcW w:w="1691" w:type="dxa"/>
            <w:noWrap/>
            <w:hideMark/>
          </w:tcPr>
          <w:p w14:paraId="37A6CB3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1692" w:type="dxa"/>
            <w:noWrap/>
            <w:hideMark/>
          </w:tcPr>
          <w:p w14:paraId="14CDDDF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2.75%</w:t>
            </w:r>
          </w:p>
        </w:tc>
        <w:tc>
          <w:tcPr>
            <w:tcW w:w="1692" w:type="dxa"/>
            <w:noWrap/>
            <w:hideMark/>
          </w:tcPr>
          <w:p w14:paraId="38C9D57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3.01%</w:t>
            </w:r>
          </w:p>
        </w:tc>
        <w:tc>
          <w:tcPr>
            <w:tcW w:w="1692" w:type="dxa"/>
            <w:noWrap/>
            <w:hideMark/>
          </w:tcPr>
          <w:p w14:paraId="320E92D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+0.26%</w:t>
            </w:r>
          </w:p>
        </w:tc>
      </w:tr>
      <w:tr w:rsidR="00893BA1" w:rsidRPr="007F6332" w14:paraId="2012011E" w14:textId="77777777" w:rsidTr="00092FF7">
        <w:trPr>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4C5645B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Visual Impairment</w:t>
            </w:r>
          </w:p>
        </w:tc>
        <w:tc>
          <w:tcPr>
            <w:tcW w:w="1691" w:type="dxa"/>
            <w:noWrap/>
            <w:hideMark/>
          </w:tcPr>
          <w:p w14:paraId="24BD194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w:t>
            </w:r>
          </w:p>
        </w:tc>
        <w:tc>
          <w:tcPr>
            <w:tcW w:w="1692" w:type="dxa"/>
            <w:noWrap/>
            <w:hideMark/>
          </w:tcPr>
          <w:p w14:paraId="057FA18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1.11%</w:t>
            </w:r>
          </w:p>
        </w:tc>
        <w:tc>
          <w:tcPr>
            <w:tcW w:w="1692" w:type="dxa"/>
            <w:noWrap/>
            <w:hideMark/>
          </w:tcPr>
          <w:p w14:paraId="0C6528C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1.13%</w:t>
            </w:r>
          </w:p>
        </w:tc>
        <w:tc>
          <w:tcPr>
            <w:tcW w:w="1692" w:type="dxa"/>
            <w:noWrap/>
            <w:hideMark/>
          </w:tcPr>
          <w:p w14:paraId="1FDA985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+0.02%</w:t>
            </w:r>
          </w:p>
        </w:tc>
      </w:tr>
      <w:tr w:rsidR="00893BA1" w:rsidRPr="007F6332" w14:paraId="58176096" w14:textId="77777777" w:rsidTr="00092F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6DC19D62"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Neurological</w:t>
            </w:r>
          </w:p>
        </w:tc>
        <w:tc>
          <w:tcPr>
            <w:tcW w:w="1691" w:type="dxa"/>
            <w:noWrap/>
            <w:hideMark/>
          </w:tcPr>
          <w:p w14:paraId="37BFAF5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4%</w:t>
            </w:r>
          </w:p>
        </w:tc>
        <w:tc>
          <w:tcPr>
            <w:tcW w:w="1692" w:type="dxa"/>
            <w:noWrap/>
            <w:hideMark/>
          </w:tcPr>
          <w:p w14:paraId="4FB758E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5.23%</w:t>
            </w:r>
          </w:p>
        </w:tc>
        <w:tc>
          <w:tcPr>
            <w:tcW w:w="1692" w:type="dxa"/>
            <w:noWrap/>
            <w:hideMark/>
          </w:tcPr>
          <w:p w14:paraId="47D97E4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5.17%</w:t>
            </w:r>
          </w:p>
        </w:tc>
        <w:tc>
          <w:tcPr>
            <w:tcW w:w="1692" w:type="dxa"/>
            <w:noWrap/>
            <w:hideMark/>
          </w:tcPr>
          <w:p w14:paraId="7DCDB7F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-0.06%</w:t>
            </w:r>
          </w:p>
        </w:tc>
      </w:tr>
      <w:tr w:rsidR="00893BA1" w:rsidRPr="007F6332" w14:paraId="1C6424D8" w14:textId="77777777" w:rsidTr="00092FF7">
        <w:trPr>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13E13D0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Physical</w:t>
            </w:r>
          </w:p>
        </w:tc>
        <w:tc>
          <w:tcPr>
            <w:tcW w:w="1691" w:type="dxa"/>
            <w:noWrap/>
            <w:hideMark/>
          </w:tcPr>
          <w:p w14:paraId="42EEE38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4%</w:t>
            </w:r>
          </w:p>
        </w:tc>
        <w:tc>
          <w:tcPr>
            <w:tcW w:w="1692" w:type="dxa"/>
            <w:noWrap/>
            <w:hideMark/>
          </w:tcPr>
          <w:p w14:paraId="619C5FE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3.81%</w:t>
            </w:r>
          </w:p>
        </w:tc>
        <w:tc>
          <w:tcPr>
            <w:tcW w:w="1692" w:type="dxa"/>
            <w:noWrap/>
            <w:hideMark/>
          </w:tcPr>
          <w:p w14:paraId="471900C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3.85%</w:t>
            </w:r>
          </w:p>
        </w:tc>
        <w:tc>
          <w:tcPr>
            <w:tcW w:w="1692" w:type="dxa"/>
            <w:noWrap/>
            <w:hideMark/>
          </w:tcPr>
          <w:p w14:paraId="253FD1E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+0.05%</w:t>
            </w:r>
          </w:p>
        </w:tc>
      </w:tr>
      <w:tr w:rsidR="00893BA1" w:rsidRPr="007F6332" w14:paraId="5829FB2E" w14:textId="77777777" w:rsidTr="00092F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48E6467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Sensory/Speech</w:t>
            </w:r>
          </w:p>
        </w:tc>
        <w:tc>
          <w:tcPr>
            <w:tcW w:w="1691" w:type="dxa"/>
            <w:noWrap/>
            <w:hideMark/>
          </w:tcPr>
          <w:p w14:paraId="452A0E7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1692" w:type="dxa"/>
            <w:noWrap/>
            <w:hideMark/>
          </w:tcPr>
          <w:p w14:paraId="7979866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0.05%</w:t>
            </w:r>
          </w:p>
        </w:tc>
        <w:tc>
          <w:tcPr>
            <w:tcW w:w="1692" w:type="dxa"/>
            <w:noWrap/>
            <w:hideMark/>
          </w:tcPr>
          <w:p w14:paraId="4627015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0.11%</w:t>
            </w:r>
          </w:p>
        </w:tc>
        <w:tc>
          <w:tcPr>
            <w:tcW w:w="1692" w:type="dxa"/>
            <w:noWrap/>
            <w:hideMark/>
          </w:tcPr>
          <w:p w14:paraId="616AC58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+0.06%</w:t>
            </w:r>
          </w:p>
        </w:tc>
      </w:tr>
      <w:tr w:rsidR="00893BA1" w:rsidRPr="007F6332" w14:paraId="0F33DADF" w14:textId="77777777" w:rsidTr="00092FF7">
        <w:trPr>
          <w:trHeight w:val="255"/>
        </w:trPr>
        <w:tc>
          <w:tcPr>
            <w:cnfStyle w:val="001000000000" w:firstRow="0" w:lastRow="0" w:firstColumn="1" w:lastColumn="0" w:oddVBand="0" w:evenVBand="0" w:oddHBand="0" w:evenHBand="0" w:firstRowFirstColumn="0" w:firstRowLastColumn="0" w:lastRowFirstColumn="0" w:lastRowLastColumn="0"/>
            <w:tcW w:w="2442" w:type="dxa"/>
            <w:noWrap/>
            <w:hideMark/>
          </w:tcPr>
          <w:p w14:paraId="5D95F3B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w:t>
            </w:r>
          </w:p>
        </w:tc>
        <w:tc>
          <w:tcPr>
            <w:tcW w:w="1691" w:type="dxa"/>
            <w:noWrap/>
            <w:hideMark/>
          </w:tcPr>
          <w:p w14:paraId="5CB2C14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1692" w:type="dxa"/>
            <w:noWrap/>
            <w:hideMark/>
          </w:tcPr>
          <w:p w14:paraId="50AE149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3.16%</w:t>
            </w:r>
          </w:p>
        </w:tc>
        <w:tc>
          <w:tcPr>
            <w:tcW w:w="1692" w:type="dxa"/>
            <w:noWrap/>
            <w:hideMark/>
          </w:tcPr>
          <w:p w14:paraId="4159B7F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3.97%</w:t>
            </w:r>
          </w:p>
        </w:tc>
        <w:tc>
          <w:tcPr>
            <w:tcW w:w="1692" w:type="dxa"/>
            <w:noWrap/>
            <w:hideMark/>
          </w:tcPr>
          <w:p w14:paraId="29F3F61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+0.81%</w:t>
            </w:r>
          </w:p>
        </w:tc>
      </w:tr>
      <w:tr w:rsidR="00893BA1" w:rsidRPr="007F6332" w14:paraId="60F15BBE" w14:textId="77777777" w:rsidTr="00C1755E">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dxa"/>
            <w:shd w:val="clear" w:color="auto" w:fill="B499B7"/>
            <w:noWrap/>
            <w:hideMark/>
          </w:tcPr>
          <w:p w14:paraId="536057AE"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Total</w:t>
            </w:r>
          </w:p>
        </w:tc>
        <w:tc>
          <w:tcPr>
            <w:tcW w:w="0" w:type="dxa"/>
            <w:shd w:val="clear" w:color="auto" w:fill="B499B7"/>
            <w:noWrap/>
            <w:hideMark/>
          </w:tcPr>
          <w:p w14:paraId="321090A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100%</w:t>
            </w:r>
          </w:p>
        </w:tc>
        <w:tc>
          <w:tcPr>
            <w:tcW w:w="0" w:type="dxa"/>
            <w:shd w:val="clear" w:color="auto" w:fill="B499B7"/>
            <w:noWrap/>
            <w:hideMark/>
          </w:tcPr>
          <w:p w14:paraId="408ABD8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0.94%</w:t>
            </w:r>
          </w:p>
        </w:tc>
        <w:tc>
          <w:tcPr>
            <w:tcW w:w="0" w:type="dxa"/>
            <w:shd w:val="clear" w:color="auto" w:fill="B499B7"/>
            <w:noWrap/>
            <w:hideMark/>
          </w:tcPr>
          <w:p w14:paraId="2595898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0.98%</w:t>
            </w:r>
          </w:p>
        </w:tc>
        <w:tc>
          <w:tcPr>
            <w:tcW w:w="0" w:type="dxa"/>
            <w:shd w:val="clear" w:color="auto" w:fill="B499B7"/>
            <w:noWrap/>
            <w:hideMark/>
          </w:tcPr>
          <w:p w14:paraId="74C9132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lang w:eastAsia="en-AU"/>
              </w:rPr>
            </w:pPr>
            <w:r w:rsidRPr="007F6332">
              <w:rPr>
                <w:rFonts w:eastAsia="Times New Roman" w:cs="Arial"/>
                <w:b/>
                <w:bCs/>
                <w:color w:val="000000"/>
                <w:lang w:eastAsia="en-AU"/>
              </w:rPr>
              <w:t>+0.03%</w:t>
            </w:r>
          </w:p>
        </w:tc>
      </w:tr>
    </w:tbl>
    <w:p w14:paraId="5313F305" w14:textId="010242D0" w:rsidR="00893BA1" w:rsidRPr="007F6332" w:rsidRDefault="00893BA1" w:rsidP="00B8399D">
      <w:pPr>
        <w:spacing w:before="120" w:after="120"/>
        <w:rPr>
          <w:rFonts w:cs="Arial"/>
        </w:rPr>
      </w:pPr>
      <w:r w:rsidRPr="007F6332">
        <w:rPr>
          <w:rFonts w:cs="Arial"/>
        </w:rPr>
        <w:t xml:space="preserve">Table </w:t>
      </w:r>
      <w:r w:rsidR="00516710" w:rsidRPr="007F6332">
        <w:rPr>
          <w:rFonts w:cs="Arial"/>
        </w:rPr>
        <w:t>H.11</w:t>
      </w:r>
      <w:r w:rsidR="00950565" w:rsidRPr="007F6332">
        <w:rPr>
          <w:rFonts w:cs="Arial"/>
        </w:rPr>
        <w:t xml:space="preserve"> </w:t>
      </w:r>
      <w:r w:rsidRPr="007F6332">
        <w:rPr>
          <w:rFonts w:cs="Arial"/>
        </w:rPr>
        <w:t>shows the change in mortality assumptions for the five disability groups observed to have the highest number of deaths over the five-year period. The rates for each level of function were adjusted to be more in line with the five-year experience.</w:t>
      </w:r>
    </w:p>
    <w:p w14:paraId="3E00869E" w14:textId="77777777" w:rsidR="0076644E" w:rsidRPr="007F6332" w:rsidRDefault="0076644E" w:rsidP="00B8399D">
      <w:pPr>
        <w:spacing w:before="120" w:after="120"/>
        <w:rPr>
          <w:rFonts w:cs="Arial"/>
        </w:rPr>
        <w:sectPr w:rsidR="0076644E" w:rsidRPr="007F6332" w:rsidSect="00C46DEB">
          <w:pgSz w:w="11906" w:h="16838"/>
          <w:pgMar w:top="1440" w:right="1416" w:bottom="1440" w:left="1440" w:header="708" w:footer="670" w:gutter="0"/>
          <w:cols w:space="708"/>
          <w:titlePg/>
          <w:docGrid w:linePitch="360"/>
        </w:sectPr>
      </w:pPr>
    </w:p>
    <w:p w14:paraId="3F5EDB69" w14:textId="49F07BE4" w:rsidR="00893BA1" w:rsidRPr="007F6332" w:rsidRDefault="00893BA1" w:rsidP="000A3CE4">
      <w:pPr>
        <w:pStyle w:val="FiguresandTablesHeading5"/>
        <w:rPr>
          <w:bCs/>
        </w:rPr>
      </w:pPr>
      <w:r w:rsidRPr="007F6332">
        <w:lastRenderedPageBreak/>
        <w:t xml:space="preserve">Table </w:t>
      </w:r>
      <w:r w:rsidR="00516710" w:rsidRPr="007F6332">
        <w:t>H.11</w:t>
      </w:r>
      <w:r w:rsidRPr="007F6332">
        <w:t>: Mortality rate assumptions by primary disability and level of function for the top five primary disabilities</w:t>
      </w:r>
    </w:p>
    <w:tbl>
      <w:tblPr>
        <w:tblStyle w:val="FSRtable"/>
        <w:tblW w:w="9209" w:type="dxa"/>
        <w:tblInd w:w="0" w:type="dxa"/>
        <w:tblLook w:val="04A0" w:firstRow="1" w:lastRow="0" w:firstColumn="1" w:lastColumn="0" w:noHBand="0" w:noVBand="1"/>
      </w:tblPr>
      <w:tblGrid>
        <w:gridCol w:w="3238"/>
        <w:gridCol w:w="1492"/>
        <w:gridCol w:w="1493"/>
        <w:gridCol w:w="1493"/>
        <w:gridCol w:w="1493"/>
      </w:tblGrid>
      <w:tr w:rsidR="00893BA1" w:rsidRPr="007F6332" w14:paraId="623AEDD7" w14:textId="77777777" w:rsidTr="00092FF7">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51427C2"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Disability group</w:t>
            </w:r>
          </w:p>
        </w:tc>
        <w:tc>
          <w:tcPr>
            <w:tcW w:w="1492" w:type="dxa"/>
            <w:hideMark/>
          </w:tcPr>
          <w:p w14:paraId="6146046F"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Exposure</w:t>
            </w:r>
          </w:p>
        </w:tc>
        <w:tc>
          <w:tcPr>
            <w:tcW w:w="1493" w:type="dxa"/>
            <w:hideMark/>
          </w:tcPr>
          <w:p w14:paraId="5624F0B0"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June 2022 projections</w:t>
            </w:r>
          </w:p>
        </w:tc>
        <w:tc>
          <w:tcPr>
            <w:tcW w:w="1493" w:type="dxa"/>
            <w:hideMark/>
          </w:tcPr>
          <w:p w14:paraId="62326C06"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June 2023 projections</w:t>
            </w:r>
          </w:p>
        </w:tc>
        <w:tc>
          <w:tcPr>
            <w:tcW w:w="1493" w:type="dxa"/>
            <w:hideMark/>
          </w:tcPr>
          <w:p w14:paraId="43670516"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Change</w:t>
            </w:r>
          </w:p>
        </w:tc>
      </w:tr>
      <w:tr w:rsidR="00893BA1" w:rsidRPr="007F6332" w14:paraId="73112082" w14:textId="77777777" w:rsidTr="00C1755E">
        <w:trPr>
          <w:trHeight w:val="284"/>
        </w:trPr>
        <w:tc>
          <w:tcPr>
            <w:cnfStyle w:val="001000000000" w:firstRow="0" w:lastRow="0" w:firstColumn="1" w:lastColumn="0" w:oddVBand="0" w:evenVBand="0" w:oddHBand="0" w:evenHBand="0" w:firstRowFirstColumn="0" w:firstRowLastColumn="0" w:lastRowFirstColumn="0" w:lastRowLastColumn="0"/>
            <w:tcW w:w="0" w:type="auto"/>
            <w:shd w:val="clear" w:color="auto" w:fill="B499B7"/>
            <w:noWrap/>
            <w:hideMark/>
          </w:tcPr>
          <w:p w14:paraId="09C32A9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Neurological - level 1</w:t>
            </w:r>
          </w:p>
        </w:tc>
        <w:tc>
          <w:tcPr>
            <w:tcW w:w="0" w:type="dxa"/>
            <w:shd w:val="clear" w:color="auto" w:fill="B499B7"/>
            <w:noWrap/>
            <w:hideMark/>
          </w:tcPr>
          <w:p w14:paraId="1F44F83C"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0" w:type="dxa"/>
            <w:shd w:val="clear" w:color="auto" w:fill="B499B7"/>
            <w:noWrap/>
            <w:hideMark/>
          </w:tcPr>
          <w:p w14:paraId="33F3DD6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0.96%</w:t>
            </w:r>
          </w:p>
        </w:tc>
        <w:tc>
          <w:tcPr>
            <w:tcW w:w="0" w:type="dxa"/>
            <w:shd w:val="clear" w:color="auto" w:fill="B499B7"/>
            <w:noWrap/>
            <w:hideMark/>
          </w:tcPr>
          <w:p w14:paraId="2D82915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0.97%</w:t>
            </w:r>
          </w:p>
        </w:tc>
        <w:tc>
          <w:tcPr>
            <w:tcW w:w="0" w:type="dxa"/>
            <w:shd w:val="clear" w:color="auto" w:fill="B499B7"/>
            <w:noWrap/>
            <w:hideMark/>
          </w:tcPr>
          <w:p w14:paraId="050D876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r>
      <w:tr w:rsidR="00893BA1" w:rsidRPr="007F6332" w14:paraId="2D6D6650" w14:textId="77777777" w:rsidTr="00092FF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7319191A"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Neurological - level 2</w:t>
            </w:r>
          </w:p>
        </w:tc>
        <w:tc>
          <w:tcPr>
            <w:tcW w:w="1492" w:type="dxa"/>
            <w:noWrap/>
            <w:hideMark/>
          </w:tcPr>
          <w:p w14:paraId="24E500A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1493" w:type="dxa"/>
            <w:noWrap/>
            <w:hideMark/>
          </w:tcPr>
          <w:p w14:paraId="005679B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2.37%</w:t>
            </w:r>
          </w:p>
        </w:tc>
        <w:tc>
          <w:tcPr>
            <w:tcW w:w="1493" w:type="dxa"/>
            <w:noWrap/>
            <w:hideMark/>
          </w:tcPr>
          <w:p w14:paraId="1087DE5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2.42%</w:t>
            </w:r>
          </w:p>
        </w:tc>
        <w:tc>
          <w:tcPr>
            <w:tcW w:w="1493" w:type="dxa"/>
            <w:noWrap/>
            <w:hideMark/>
          </w:tcPr>
          <w:p w14:paraId="47694AF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+0.05%</w:t>
            </w:r>
          </w:p>
        </w:tc>
      </w:tr>
      <w:tr w:rsidR="00893BA1" w:rsidRPr="007F6332" w14:paraId="3BD5C63C"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58FAD7CA"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Neurological - level 3</w:t>
            </w:r>
          </w:p>
        </w:tc>
        <w:tc>
          <w:tcPr>
            <w:tcW w:w="1492" w:type="dxa"/>
            <w:noWrap/>
            <w:hideMark/>
          </w:tcPr>
          <w:p w14:paraId="2A353A3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w:t>
            </w:r>
          </w:p>
        </w:tc>
        <w:tc>
          <w:tcPr>
            <w:tcW w:w="1493" w:type="dxa"/>
            <w:noWrap/>
            <w:hideMark/>
          </w:tcPr>
          <w:p w14:paraId="57076E6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7.76%</w:t>
            </w:r>
          </w:p>
        </w:tc>
        <w:tc>
          <w:tcPr>
            <w:tcW w:w="1493" w:type="dxa"/>
            <w:noWrap/>
            <w:hideMark/>
          </w:tcPr>
          <w:p w14:paraId="532258A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7.64%</w:t>
            </w:r>
          </w:p>
        </w:tc>
        <w:tc>
          <w:tcPr>
            <w:tcW w:w="1493" w:type="dxa"/>
            <w:noWrap/>
            <w:hideMark/>
          </w:tcPr>
          <w:p w14:paraId="67AEE6B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-0.12%</w:t>
            </w:r>
          </w:p>
        </w:tc>
      </w:tr>
      <w:tr w:rsidR="00893BA1" w:rsidRPr="007F6332" w14:paraId="03972717" w14:textId="77777777" w:rsidTr="00C1755E">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shd w:val="clear" w:color="auto" w:fill="B499B7"/>
            <w:noWrap/>
            <w:hideMark/>
          </w:tcPr>
          <w:p w14:paraId="1322B7C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Intellectual Disability - level 1</w:t>
            </w:r>
          </w:p>
        </w:tc>
        <w:tc>
          <w:tcPr>
            <w:tcW w:w="0" w:type="dxa"/>
            <w:shd w:val="clear" w:color="auto" w:fill="B499B7"/>
            <w:noWrap/>
            <w:hideMark/>
          </w:tcPr>
          <w:p w14:paraId="35F107D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4%</w:t>
            </w:r>
          </w:p>
        </w:tc>
        <w:tc>
          <w:tcPr>
            <w:tcW w:w="0" w:type="dxa"/>
            <w:shd w:val="clear" w:color="auto" w:fill="B499B7"/>
            <w:noWrap/>
            <w:hideMark/>
          </w:tcPr>
          <w:p w14:paraId="7AC58B1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0.18%</w:t>
            </w:r>
          </w:p>
        </w:tc>
        <w:tc>
          <w:tcPr>
            <w:tcW w:w="0" w:type="dxa"/>
            <w:shd w:val="clear" w:color="auto" w:fill="B499B7"/>
            <w:noWrap/>
            <w:hideMark/>
          </w:tcPr>
          <w:p w14:paraId="07757A4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0.18%</w:t>
            </w:r>
          </w:p>
        </w:tc>
        <w:tc>
          <w:tcPr>
            <w:tcW w:w="0" w:type="dxa"/>
            <w:shd w:val="clear" w:color="auto" w:fill="B499B7"/>
            <w:noWrap/>
            <w:hideMark/>
          </w:tcPr>
          <w:p w14:paraId="40E09A9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-0.00%</w:t>
            </w:r>
          </w:p>
        </w:tc>
      </w:tr>
      <w:tr w:rsidR="00893BA1" w:rsidRPr="007F6332" w14:paraId="3819F623"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58C3527A"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Intellectual Disability - level 2</w:t>
            </w:r>
          </w:p>
        </w:tc>
        <w:tc>
          <w:tcPr>
            <w:tcW w:w="1492" w:type="dxa"/>
            <w:noWrap/>
            <w:hideMark/>
          </w:tcPr>
          <w:p w14:paraId="58400A3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7%</w:t>
            </w:r>
          </w:p>
        </w:tc>
        <w:tc>
          <w:tcPr>
            <w:tcW w:w="1493" w:type="dxa"/>
            <w:noWrap/>
            <w:hideMark/>
          </w:tcPr>
          <w:p w14:paraId="2BD45EB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0.30%</w:t>
            </w:r>
          </w:p>
        </w:tc>
        <w:tc>
          <w:tcPr>
            <w:tcW w:w="1493" w:type="dxa"/>
            <w:noWrap/>
            <w:hideMark/>
          </w:tcPr>
          <w:p w14:paraId="0D421C3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0.31%</w:t>
            </w:r>
          </w:p>
        </w:tc>
        <w:tc>
          <w:tcPr>
            <w:tcW w:w="1493" w:type="dxa"/>
            <w:noWrap/>
            <w:hideMark/>
          </w:tcPr>
          <w:p w14:paraId="3C4181B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r>
      <w:tr w:rsidR="00893BA1" w:rsidRPr="007F6332" w14:paraId="2ACC7E1E" w14:textId="77777777" w:rsidTr="00092FF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5704807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Intellectual Disability - level 3</w:t>
            </w:r>
          </w:p>
        </w:tc>
        <w:tc>
          <w:tcPr>
            <w:tcW w:w="1492" w:type="dxa"/>
            <w:noWrap/>
            <w:hideMark/>
          </w:tcPr>
          <w:p w14:paraId="62C0662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5%</w:t>
            </w:r>
          </w:p>
        </w:tc>
        <w:tc>
          <w:tcPr>
            <w:tcW w:w="1493" w:type="dxa"/>
            <w:noWrap/>
            <w:hideMark/>
          </w:tcPr>
          <w:p w14:paraId="0A1D11F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0.53%</w:t>
            </w:r>
          </w:p>
        </w:tc>
        <w:tc>
          <w:tcPr>
            <w:tcW w:w="1493" w:type="dxa"/>
            <w:noWrap/>
            <w:hideMark/>
          </w:tcPr>
          <w:p w14:paraId="1845D724"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0.54%</w:t>
            </w:r>
          </w:p>
        </w:tc>
        <w:tc>
          <w:tcPr>
            <w:tcW w:w="1493" w:type="dxa"/>
            <w:noWrap/>
            <w:hideMark/>
          </w:tcPr>
          <w:p w14:paraId="4A5B475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r>
      <w:tr w:rsidR="00893BA1" w:rsidRPr="007F6332" w14:paraId="43EF8A30"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020F108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Intellectual Disability - level 4</w:t>
            </w:r>
          </w:p>
        </w:tc>
        <w:tc>
          <w:tcPr>
            <w:tcW w:w="1492" w:type="dxa"/>
            <w:noWrap/>
            <w:hideMark/>
          </w:tcPr>
          <w:p w14:paraId="16F8E2E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6%</w:t>
            </w:r>
          </w:p>
        </w:tc>
        <w:tc>
          <w:tcPr>
            <w:tcW w:w="1493" w:type="dxa"/>
            <w:noWrap/>
            <w:hideMark/>
          </w:tcPr>
          <w:p w14:paraId="6525A10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1.98%</w:t>
            </w:r>
          </w:p>
        </w:tc>
        <w:tc>
          <w:tcPr>
            <w:tcW w:w="1493" w:type="dxa"/>
            <w:noWrap/>
            <w:hideMark/>
          </w:tcPr>
          <w:p w14:paraId="6FA00DC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1.94%</w:t>
            </w:r>
          </w:p>
        </w:tc>
        <w:tc>
          <w:tcPr>
            <w:tcW w:w="1493" w:type="dxa"/>
            <w:noWrap/>
            <w:hideMark/>
          </w:tcPr>
          <w:p w14:paraId="6A3D122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-0.04%</w:t>
            </w:r>
          </w:p>
        </w:tc>
      </w:tr>
      <w:tr w:rsidR="00893BA1" w:rsidRPr="007F6332" w14:paraId="71663551" w14:textId="77777777" w:rsidTr="00C1755E">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shd w:val="clear" w:color="auto" w:fill="B499B7"/>
            <w:noWrap/>
            <w:hideMark/>
          </w:tcPr>
          <w:p w14:paraId="5795299B"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Physical - level 1</w:t>
            </w:r>
          </w:p>
        </w:tc>
        <w:tc>
          <w:tcPr>
            <w:tcW w:w="0" w:type="dxa"/>
            <w:shd w:val="clear" w:color="auto" w:fill="B499B7"/>
            <w:noWrap/>
            <w:hideMark/>
          </w:tcPr>
          <w:p w14:paraId="1069F4C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w:t>
            </w:r>
          </w:p>
        </w:tc>
        <w:tc>
          <w:tcPr>
            <w:tcW w:w="0" w:type="dxa"/>
            <w:shd w:val="clear" w:color="auto" w:fill="B499B7"/>
            <w:noWrap/>
            <w:hideMark/>
          </w:tcPr>
          <w:p w14:paraId="4BE13FF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1.31%</w:t>
            </w:r>
          </w:p>
        </w:tc>
        <w:tc>
          <w:tcPr>
            <w:tcW w:w="0" w:type="dxa"/>
            <w:shd w:val="clear" w:color="auto" w:fill="B499B7"/>
            <w:noWrap/>
            <w:hideMark/>
          </w:tcPr>
          <w:p w14:paraId="1B603C0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1.41%</w:t>
            </w:r>
          </w:p>
        </w:tc>
        <w:tc>
          <w:tcPr>
            <w:tcW w:w="0" w:type="dxa"/>
            <w:shd w:val="clear" w:color="auto" w:fill="B499B7"/>
            <w:noWrap/>
            <w:hideMark/>
          </w:tcPr>
          <w:p w14:paraId="55EC9D9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+0.10%</w:t>
            </w:r>
          </w:p>
        </w:tc>
      </w:tr>
      <w:tr w:rsidR="00893BA1" w:rsidRPr="007F6332" w14:paraId="69D3B344"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79185C9C"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Physical - level 2</w:t>
            </w:r>
          </w:p>
        </w:tc>
        <w:tc>
          <w:tcPr>
            <w:tcW w:w="1492" w:type="dxa"/>
            <w:noWrap/>
            <w:hideMark/>
          </w:tcPr>
          <w:p w14:paraId="36A5B40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1493" w:type="dxa"/>
            <w:noWrap/>
            <w:hideMark/>
          </w:tcPr>
          <w:p w14:paraId="0DF72A1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3.17%</w:t>
            </w:r>
          </w:p>
        </w:tc>
        <w:tc>
          <w:tcPr>
            <w:tcW w:w="1493" w:type="dxa"/>
            <w:noWrap/>
            <w:hideMark/>
          </w:tcPr>
          <w:p w14:paraId="5E1554E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3.52%</w:t>
            </w:r>
          </w:p>
        </w:tc>
        <w:tc>
          <w:tcPr>
            <w:tcW w:w="1493" w:type="dxa"/>
            <w:noWrap/>
            <w:hideMark/>
          </w:tcPr>
          <w:p w14:paraId="7367A28B"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+0.35%</w:t>
            </w:r>
          </w:p>
        </w:tc>
      </w:tr>
      <w:tr w:rsidR="00893BA1" w:rsidRPr="007F6332" w14:paraId="40FFB14C" w14:textId="77777777" w:rsidTr="00092FF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799132CF"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Other Physical - level 3</w:t>
            </w:r>
          </w:p>
        </w:tc>
        <w:tc>
          <w:tcPr>
            <w:tcW w:w="1492" w:type="dxa"/>
            <w:noWrap/>
            <w:hideMark/>
          </w:tcPr>
          <w:p w14:paraId="525719B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1493" w:type="dxa"/>
            <w:noWrap/>
            <w:hideMark/>
          </w:tcPr>
          <w:p w14:paraId="7283999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7.08%</w:t>
            </w:r>
          </w:p>
        </w:tc>
        <w:tc>
          <w:tcPr>
            <w:tcW w:w="1493" w:type="dxa"/>
            <w:noWrap/>
            <w:hideMark/>
          </w:tcPr>
          <w:p w14:paraId="3DA9051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6.85%</w:t>
            </w:r>
          </w:p>
        </w:tc>
        <w:tc>
          <w:tcPr>
            <w:tcW w:w="1493" w:type="dxa"/>
            <w:noWrap/>
            <w:hideMark/>
          </w:tcPr>
          <w:p w14:paraId="1834E9F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-0.22%</w:t>
            </w:r>
          </w:p>
        </w:tc>
      </w:tr>
      <w:tr w:rsidR="00893BA1" w:rsidRPr="007F6332" w14:paraId="4771B8D9" w14:textId="77777777" w:rsidTr="00C1755E">
        <w:trPr>
          <w:trHeight w:val="284"/>
        </w:trPr>
        <w:tc>
          <w:tcPr>
            <w:cnfStyle w:val="001000000000" w:firstRow="0" w:lastRow="0" w:firstColumn="1" w:lastColumn="0" w:oddVBand="0" w:evenVBand="0" w:oddHBand="0" w:evenHBand="0" w:firstRowFirstColumn="0" w:firstRowLastColumn="0" w:lastRowFirstColumn="0" w:lastRowLastColumn="0"/>
            <w:tcW w:w="0" w:type="auto"/>
            <w:shd w:val="clear" w:color="auto" w:fill="B499B7"/>
            <w:noWrap/>
            <w:hideMark/>
          </w:tcPr>
          <w:p w14:paraId="2C4175EB"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Psychosocial disability - level 1</w:t>
            </w:r>
          </w:p>
        </w:tc>
        <w:tc>
          <w:tcPr>
            <w:tcW w:w="0" w:type="dxa"/>
            <w:shd w:val="clear" w:color="auto" w:fill="B499B7"/>
            <w:noWrap/>
            <w:hideMark/>
          </w:tcPr>
          <w:p w14:paraId="665592E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w:t>
            </w:r>
          </w:p>
        </w:tc>
        <w:tc>
          <w:tcPr>
            <w:tcW w:w="0" w:type="dxa"/>
            <w:shd w:val="clear" w:color="auto" w:fill="B499B7"/>
            <w:noWrap/>
            <w:hideMark/>
          </w:tcPr>
          <w:p w14:paraId="7BF0D21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0.39%</w:t>
            </w:r>
          </w:p>
        </w:tc>
        <w:tc>
          <w:tcPr>
            <w:tcW w:w="0" w:type="dxa"/>
            <w:shd w:val="clear" w:color="auto" w:fill="B499B7"/>
            <w:noWrap/>
            <w:hideMark/>
          </w:tcPr>
          <w:p w14:paraId="60B9F049"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0.54%</w:t>
            </w:r>
          </w:p>
        </w:tc>
        <w:tc>
          <w:tcPr>
            <w:tcW w:w="0" w:type="dxa"/>
            <w:shd w:val="clear" w:color="auto" w:fill="B499B7"/>
            <w:noWrap/>
            <w:hideMark/>
          </w:tcPr>
          <w:p w14:paraId="584418A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+0.15%</w:t>
            </w:r>
          </w:p>
        </w:tc>
      </w:tr>
      <w:tr w:rsidR="00893BA1" w:rsidRPr="007F6332" w14:paraId="7082FFE2" w14:textId="77777777" w:rsidTr="00092FF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70CD26EF"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Psychosocial disability - level 2</w:t>
            </w:r>
          </w:p>
        </w:tc>
        <w:tc>
          <w:tcPr>
            <w:tcW w:w="1492" w:type="dxa"/>
            <w:noWrap/>
            <w:hideMark/>
          </w:tcPr>
          <w:p w14:paraId="095B915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w:t>
            </w:r>
          </w:p>
        </w:tc>
        <w:tc>
          <w:tcPr>
            <w:tcW w:w="1493" w:type="dxa"/>
            <w:noWrap/>
            <w:hideMark/>
          </w:tcPr>
          <w:p w14:paraId="18E298E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0.63%</w:t>
            </w:r>
          </w:p>
        </w:tc>
        <w:tc>
          <w:tcPr>
            <w:tcW w:w="1493" w:type="dxa"/>
            <w:noWrap/>
            <w:hideMark/>
          </w:tcPr>
          <w:p w14:paraId="480FE26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0.80%</w:t>
            </w:r>
          </w:p>
        </w:tc>
        <w:tc>
          <w:tcPr>
            <w:tcW w:w="1493" w:type="dxa"/>
            <w:noWrap/>
            <w:hideMark/>
          </w:tcPr>
          <w:p w14:paraId="246C79A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+0.17%</w:t>
            </w:r>
          </w:p>
        </w:tc>
      </w:tr>
      <w:tr w:rsidR="00893BA1" w:rsidRPr="007F6332" w14:paraId="1C8BB128"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6C9F7E9B"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Psychosocial disability - level 3</w:t>
            </w:r>
          </w:p>
        </w:tc>
        <w:tc>
          <w:tcPr>
            <w:tcW w:w="1492" w:type="dxa"/>
            <w:noWrap/>
            <w:hideMark/>
          </w:tcPr>
          <w:p w14:paraId="3DC8E3B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w:t>
            </w:r>
          </w:p>
        </w:tc>
        <w:tc>
          <w:tcPr>
            <w:tcW w:w="1493" w:type="dxa"/>
            <w:noWrap/>
            <w:hideMark/>
          </w:tcPr>
          <w:p w14:paraId="5ED5A4F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0.68%</w:t>
            </w:r>
          </w:p>
        </w:tc>
        <w:tc>
          <w:tcPr>
            <w:tcW w:w="1493" w:type="dxa"/>
            <w:noWrap/>
            <w:hideMark/>
          </w:tcPr>
          <w:p w14:paraId="4527B496"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0.96%</w:t>
            </w:r>
          </w:p>
        </w:tc>
        <w:tc>
          <w:tcPr>
            <w:tcW w:w="1493" w:type="dxa"/>
            <w:noWrap/>
            <w:hideMark/>
          </w:tcPr>
          <w:p w14:paraId="1F47B23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+0.27%</w:t>
            </w:r>
          </w:p>
        </w:tc>
      </w:tr>
      <w:tr w:rsidR="00893BA1" w:rsidRPr="007F6332" w14:paraId="492F23AF" w14:textId="77777777" w:rsidTr="00092FF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36181D94"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Psychosocial disability - level 4</w:t>
            </w:r>
          </w:p>
        </w:tc>
        <w:tc>
          <w:tcPr>
            <w:tcW w:w="1492" w:type="dxa"/>
            <w:noWrap/>
            <w:hideMark/>
          </w:tcPr>
          <w:p w14:paraId="56338CA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w:t>
            </w:r>
          </w:p>
        </w:tc>
        <w:tc>
          <w:tcPr>
            <w:tcW w:w="1493" w:type="dxa"/>
            <w:noWrap/>
            <w:hideMark/>
          </w:tcPr>
          <w:p w14:paraId="12A702D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0.70%</w:t>
            </w:r>
          </w:p>
        </w:tc>
        <w:tc>
          <w:tcPr>
            <w:tcW w:w="1493" w:type="dxa"/>
            <w:noWrap/>
            <w:hideMark/>
          </w:tcPr>
          <w:p w14:paraId="2C24995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1.09%</w:t>
            </w:r>
          </w:p>
        </w:tc>
        <w:tc>
          <w:tcPr>
            <w:tcW w:w="1493" w:type="dxa"/>
            <w:noWrap/>
            <w:hideMark/>
          </w:tcPr>
          <w:p w14:paraId="131C8BE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+0.39%</w:t>
            </w:r>
          </w:p>
        </w:tc>
      </w:tr>
      <w:tr w:rsidR="00893BA1" w:rsidRPr="007F6332" w14:paraId="35790DD4"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3078CE76"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Psychosocial disability - level 5</w:t>
            </w:r>
          </w:p>
        </w:tc>
        <w:tc>
          <w:tcPr>
            <w:tcW w:w="1492" w:type="dxa"/>
            <w:noWrap/>
            <w:hideMark/>
          </w:tcPr>
          <w:p w14:paraId="25954F3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w:t>
            </w:r>
          </w:p>
        </w:tc>
        <w:tc>
          <w:tcPr>
            <w:tcW w:w="1493" w:type="dxa"/>
            <w:noWrap/>
            <w:hideMark/>
          </w:tcPr>
          <w:p w14:paraId="6C0C123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2.00%</w:t>
            </w:r>
          </w:p>
        </w:tc>
        <w:tc>
          <w:tcPr>
            <w:tcW w:w="1493" w:type="dxa"/>
            <w:noWrap/>
            <w:hideMark/>
          </w:tcPr>
          <w:p w14:paraId="2622EA9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2.01%</w:t>
            </w:r>
          </w:p>
        </w:tc>
        <w:tc>
          <w:tcPr>
            <w:tcW w:w="1493" w:type="dxa"/>
            <w:noWrap/>
            <w:hideMark/>
          </w:tcPr>
          <w:p w14:paraId="248FA351"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+0.01%</w:t>
            </w:r>
          </w:p>
        </w:tc>
      </w:tr>
      <w:tr w:rsidR="00893BA1" w:rsidRPr="007F6332" w14:paraId="77EE9BBF" w14:textId="77777777" w:rsidTr="00C1755E">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shd w:val="clear" w:color="auto" w:fill="B499B7"/>
            <w:noWrap/>
            <w:hideMark/>
          </w:tcPr>
          <w:p w14:paraId="001448B9"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ABI - level 1</w:t>
            </w:r>
          </w:p>
        </w:tc>
        <w:tc>
          <w:tcPr>
            <w:tcW w:w="0" w:type="dxa"/>
            <w:shd w:val="clear" w:color="auto" w:fill="B499B7"/>
            <w:noWrap/>
            <w:hideMark/>
          </w:tcPr>
          <w:p w14:paraId="2536985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w:t>
            </w:r>
          </w:p>
        </w:tc>
        <w:tc>
          <w:tcPr>
            <w:tcW w:w="0" w:type="dxa"/>
            <w:shd w:val="clear" w:color="auto" w:fill="B499B7"/>
            <w:noWrap/>
            <w:hideMark/>
          </w:tcPr>
          <w:p w14:paraId="3A7FA8E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0.48%</w:t>
            </w:r>
          </w:p>
        </w:tc>
        <w:tc>
          <w:tcPr>
            <w:tcW w:w="0" w:type="dxa"/>
            <w:shd w:val="clear" w:color="auto" w:fill="B499B7"/>
            <w:noWrap/>
            <w:hideMark/>
          </w:tcPr>
          <w:p w14:paraId="4E7FCF8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0.51%</w:t>
            </w:r>
          </w:p>
        </w:tc>
        <w:tc>
          <w:tcPr>
            <w:tcW w:w="0" w:type="dxa"/>
            <w:shd w:val="clear" w:color="auto" w:fill="B499B7"/>
            <w:noWrap/>
            <w:hideMark/>
          </w:tcPr>
          <w:p w14:paraId="184A5D6B"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+0.03%</w:t>
            </w:r>
          </w:p>
        </w:tc>
      </w:tr>
      <w:tr w:rsidR="00893BA1" w:rsidRPr="007F6332" w14:paraId="2993835C"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17D9F257"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ABI - level 2</w:t>
            </w:r>
          </w:p>
        </w:tc>
        <w:tc>
          <w:tcPr>
            <w:tcW w:w="1492" w:type="dxa"/>
            <w:noWrap/>
            <w:hideMark/>
          </w:tcPr>
          <w:p w14:paraId="1F32A22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w:t>
            </w:r>
          </w:p>
        </w:tc>
        <w:tc>
          <w:tcPr>
            <w:tcW w:w="1493" w:type="dxa"/>
            <w:noWrap/>
            <w:hideMark/>
          </w:tcPr>
          <w:p w14:paraId="7482EAD5"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0.69%</w:t>
            </w:r>
          </w:p>
        </w:tc>
        <w:tc>
          <w:tcPr>
            <w:tcW w:w="1493" w:type="dxa"/>
            <w:noWrap/>
            <w:hideMark/>
          </w:tcPr>
          <w:p w14:paraId="5D77F09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0.81%</w:t>
            </w:r>
          </w:p>
        </w:tc>
        <w:tc>
          <w:tcPr>
            <w:tcW w:w="1493" w:type="dxa"/>
            <w:noWrap/>
            <w:hideMark/>
          </w:tcPr>
          <w:p w14:paraId="5D5539B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+0.12%</w:t>
            </w:r>
          </w:p>
        </w:tc>
      </w:tr>
      <w:tr w:rsidR="00893BA1" w:rsidRPr="007F6332" w14:paraId="244D7C0B" w14:textId="77777777" w:rsidTr="00092FF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1B233984"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ABI - level 3</w:t>
            </w:r>
          </w:p>
        </w:tc>
        <w:tc>
          <w:tcPr>
            <w:tcW w:w="1492" w:type="dxa"/>
            <w:noWrap/>
            <w:hideMark/>
          </w:tcPr>
          <w:p w14:paraId="31622F4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w:t>
            </w:r>
          </w:p>
        </w:tc>
        <w:tc>
          <w:tcPr>
            <w:tcW w:w="1493" w:type="dxa"/>
            <w:noWrap/>
            <w:hideMark/>
          </w:tcPr>
          <w:p w14:paraId="1EBD9F9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1.31%</w:t>
            </w:r>
          </w:p>
        </w:tc>
        <w:tc>
          <w:tcPr>
            <w:tcW w:w="1493" w:type="dxa"/>
            <w:noWrap/>
            <w:hideMark/>
          </w:tcPr>
          <w:p w14:paraId="6B9F94E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1.43%</w:t>
            </w:r>
          </w:p>
        </w:tc>
        <w:tc>
          <w:tcPr>
            <w:tcW w:w="1493" w:type="dxa"/>
            <w:noWrap/>
            <w:hideMark/>
          </w:tcPr>
          <w:p w14:paraId="641F6AB5"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+0.12%</w:t>
            </w:r>
          </w:p>
        </w:tc>
      </w:tr>
      <w:tr w:rsidR="00893BA1" w:rsidRPr="007F6332" w14:paraId="64441B04"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4B9C871D"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ABI - level 4</w:t>
            </w:r>
          </w:p>
        </w:tc>
        <w:tc>
          <w:tcPr>
            <w:tcW w:w="1492" w:type="dxa"/>
            <w:noWrap/>
            <w:hideMark/>
          </w:tcPr>
          <w:p w14:paraId="4EF84A9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w:t>
            </w:r>
          </w:p>
        </w:tc>
        <w:tc>
          <w:tcPr>
            <w:tcW w:w="1493" w:type="dxa"/>
            <w:noWrap/>
            <w:hideMark/>
          </w:tcPr>
          <w:p w14:paraId="265146C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1.38%</w:t>
            </w:r>
          </w:p>
        </w:tc>
        <w:tc>
          <w:tcPr>
            <w:tcW w:w="1493" w:type="dxa"/>
            <w:noWrap/>
            <w:hideMark/>
          </w:tcPr>
          <w:p w14:paraId="17156A0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1.61%</w:t>
            </w:r>
          </w:p>
        </w:tc>
        <w:tc>
          <w:tcPr>
            <w:tcW w:w="1493" w:type="dxa"/>
            <w:noWrap/>
            <w:hideMark/>
          </w:tcPr>
          <w:p w14:paraId="2B90922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+0.23%</w:t>
            </w:r>
          </w:p>
        </w:tc>
      </w:tr>
      <w:tr w:rsidR="00893BA1" w:rsidRPr="007F6332" w14:paraId="6703C84A" w14:textId="77777777" w:rsidTr="00092FF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23CD466A"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ABI - level 5</w:t>
            </w:r>
          </w:p>
        </w:tc>
        <w:tc>
          <w:tcPr>
            <w:tcW w:w="1492" w:type="dxa"/>
            <w:noWrap/>
            <w:hideMark/>
          </w:tcPr>
          <w:p w14:paraId="151321C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w:t>
            </w:r>
          </w:p>
        </w:tc>
        <w:tc>
          <w:tcPr>
            <w:tcW w:w="1493" w:type="dxa"/>
            <w:noWrap/>
            <w:hideMark/>
          </w:tcPr>
          <w:p w14:paraId="1A04B8C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1.89%</w:t>
            </w:r>
          </w:p>
        </w:tc>
        <w:tc>
          <w:tcPr>
            <w:tcW w:w="1493" w:type="dxa"/>
            <w:noWrap/>
            <w:hideMark/>
          </w:tcPr>
          <w:p w14:paraId="42305A3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1.89%</w:t>
            </w:r>
          </w:p>
        </w:tc>
        <w:tc>
          <w:tcPr>
            <w:tcW w:w="1493" w:type="dxa"/>
            <w:noWrap/>
            <w:hideMark/>
          </w:tcPr>
          <w:p w14:paraId="5401E03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-0.00%</w:t>
            </w:r>
          </w:p>
        </w:tc>
      </w:tr>
      <w:tr w:rsidR="00893BA1" w:rsidRPr="007F6332" w14:paraId="01AF6184" w14:textId="77777777" w:rsidTr="00092FF7">
        <w:trPr>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1727BA11"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ABI - level 6</w:t>
            </w:r>
          </w:p>
        </w:tc>
        <w:tc>
          <w:tcPr>
            <w:tcW w:w="1492" w:type="dxa"/>
            <w:noWrap/>
            <w:hideMark/>
          </w:tcPr>
          <w:p w14:paraId="6A19E95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2%</w:t>
            </w:r>
          </w:p>
        </w:tc>
        <w:tc>
          <w:tcPr>
            <w:tcW w:w="1493" w:type="dxa"/>
            <w:noWrap/>
            <w:hideMark/>
          </w:tcPr>
          <w:p w14:paraId="7F191C7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3.69%</w:t>
            </w:r>
          </w:p>
        </w:tc>
        <w:tc>
          <w:tcPr>
            <w:tcW w:w="1493" w:type="dxa"/>
            <w:noWrap/>
            <w:hideMark/>
          </w:tcPr>
          <w:p w14:paraId="0166297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3.68%</w:t>
            </w:r>
          </w:p>
        </w:tc>
        <w:tc>
          <w:tcPr>
            <w:tcW w:w="1493" w:type="dxa"/>
            <w:noWrap/>
            <w:hideMark/>
          </w:tcPr>
          <w:p w14:paraId="4750CC0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lang w:eastAsia="en-AU"/>
              </w:rPr>
            </w:pPr>
            <w:r w:rsidRPr="007F6332">
              <w:rPr>
                <w:rFonts w:eastAsia="Times New Roman" w:cs="Arial"/>
                <w:color w:val="6B2976"/>
                <w:lang w:eastAsia="en-AU"/>
              </w:rPr>
              <w:t>-0.01%</w:t>
            </w:r>
          </w:p>
        </w:tc>
      </w:tr>
      <w:tr w:rsidR="00893BA1" w:rsidRPr="007F6332" w14:paraId="15BDED06" w14:textId="77777777" w:rsidTr="00092FF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hideMark/>
          </w:tcPr>
          <w:p w14:paraId="403CBC66"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ABI - level 7</w:t>
            </w:r>
          </w:p>
        </w:tc>
        <w:tc>
          <w:tcPr>
            <w:tcW w:w="1492" w:type="dxa"/>
            <w:noWrap/>
            <w:hideMark/>
          </w:tcPr>
          <w:p w14:paraId="75147EC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w:t>
            </w:r>
          </w:p>
        </w:tc>
        <w:tc>
          <w:tcPr>
            <w:tcW w:w="1493" w:type="dxa"/>
            <w:noWrap/>
            <w:hideMark/>
          </w:tcPr>
          <w:p w14:paraId="2E509473"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3.26%</w:t>
            </w:r>
          </w:p>
        </w:tc>
        <w:tc>
          <w:tcPr>
            <w:tcW w:w="1493" w:type="dxa"/>
            <w:noWrap/>
            <w:hideMark/>
          </w:tcPr>
          <w:p w14:paraId="645BD8D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3.42%</w:t>
            </w:r>
          </w:p>
        </w:tc>
        <w:tc>
          <w:tcPr>
            <w:tcW w:w="1493" w:type="dxa"/>
            <w:noWrap/>
            <w:hideMark/>
          </w:tcPr>
          <w:p w14:paraId="329B955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7F6332">
              <w:rPr>
                <w:rFonts w:eastAsia="Times New Roman" w:cs="Arial"/>
                <w:color w:val="000000"/>
                <w:lang w:eastAsia="en-AU"/>
              </w:rPr>
              <w:t>+0.16%</w:t>
            </w:r>
          </w:p>
        </w:tc>
      </w:tr>
    </w:tbl>
    <w:p w14:paraId="323AC9A9" w14:textId="40FA4C70" w:rsidR="00893BA1" w:rsidRPr="007F6332" w:rsidRDefault="00893BA1" w:rsidP="00893BA1">
      <w:pPr>
        <w:keepNext/>
        <w:spacing w:before="240"/>
        <w:rPr>
          <w:rFonts w:eastAsiaTheme="minorHAnsi" w:cs="Arial"/>
          <w:kern w:val="2"/>
          <w:szCs w:val="22"/>
          <w:lang w:eastAsia="en-US"/>
          <w14:ligatures w14:val="standardContextual"/>
        </w:rPr>
      </w:pPr>
      <w:r w:rsidRPr="007F6332">
        <w:rPr>
          <w:rFonts w:cs="Arial"/>
        </w:rPr>
        <w:t xml:space="preserve">Table </w:t>
      </w:r>
      <w:r w:rsidR="00516710" w:rsidRPr="007F6332">
        <w:rPr>
          <w:rFonts w:cs="Arial"/>
        </w:rPr>
        <w:t>H.12</w:t>
      </w:r>
      <w:r w:rsidRPr="007F6332">
        <w:rPr>
          <w:rFonts w:cs="Arial"/>
        </w:rPr>
        <w:t xml:space="preserve"> and Table </w:t>
      </w:r>
      <w:r w:rsidR="00516710" w:rsidRPr="007F6332">
        <w:rPr>
          <w:rFonts w:cs="Arial"/>
        </w:rPr>
        <w:t>H.13</w:t>
      </w:r>
      <w:r w:rsidRPr="007F6332">
        <w:rPr>
          <w:rFonts w:cs="Arial"/>
        </w:rPr>
        <w:t xml:space="preserve"> show the result of changing mortality assumptions across age bands and gender.</w:t>
      </w:r>
    </w:p>
    <w:p w14:paraId="14572101" w14:textId="17C1F873" w:rsidR="00893BA1" w:rsidRPr="007F6332" w:rsidRDefault="00893BA1" w:rsidP="000A3CE4">
      <w:pPr>
        <w:pStyle w:val="FiguresandTablesHeading5"/>
      </w:pPr>
      <w:r w:rsidRPr="007F6332">
        <w:t xml:space="preserve">Table </w:t>
      </w:r>
      <w:r w:rsidR="00516710" w:rsidRPr="007F6332">
        <w:t>H.12</w:t>
      </w:r>
      <w:r w:rsidRPr="007F6332">
        <w:t>: Mortality rate assumptions by age band</w:t>
      </w:r>
    </w:p>
    <w:tbl>
      <w:tblPr>
        <w:tblStyle w:val="FSRtable"/>
        <w:tblW w:w="9072" w:type="dxa"/>
        <w:tblInd w:w="0" w:type="dxa"/>
        <w:tblLayout w:type="fixed"/>
        <w:tblLook w:val="04A0" w:firstRow="1" w:lastRow="0" w:firstColumn="1" w:lastColumn="0" w:noHBand="0" w:noVBand="1"/>
      </w:tblPr>
      <w:tblGrid>
        <w:gridCol w:w="1841"/>
        <w:gridCol w:w="1842"/>
        <w:gridCol w:w="1842"/>
        <w:gridCol w:w="1842"/>
        <w:gridCol w:w="1705"/>
      </w:tblGrid>
      <w:tr w:rsidR="00893BA1" w:rsidRPr="007F6332" w14:paraId="58FB5CC8" w14:textId="77777777" w:rsidTr="00C1755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1" w:type="dxa"/>
            <w:hideMark/>
          </w:tcPr>
          <w:p w14:paraId="6D99D736"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szCs w:val="22"/>
                <w:lang w:eastAsia="en-AU"/>
              </w:rPr>
              <w:t>Age group</w:t>
            </w:r>
          </w:p>
        </w:tc>
        <w:tc>
          <w:tcPr>
            <w:tcW w:w="1842" w:type="dxa"/>
            <w:hideMark/>
          </w:tcPr>
          <w:p w14:paraId="41E22722"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Exposure</w:t>
            </w:r>
          </w:p>
        </w:tc>
        <w:tc>
          <w:tcPr>
            <w:tcW w:w="1842" w:type="dxa"/>
            <w:hideMark/>
          </w:tcPr>
          <w:p w14:paraId="1C040837"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June 2022 projections</w:t>
            </w:r>
          </w:p>
        </w:tc>
        <w:tc>
          <w:tcPr>
            <w:tcW w:w="1842" w:type="dxa"/>
            <w:hideMark/>
          </w:tcPr>
          <w:p w14:paraId="61BBD6AF"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June 2023 projections</w:t>
            </w:r>
          </w:p>
        </w:tc>
        <w:tc>
          <w:tcPr>
            <w:tcW w:w="1705" w:type="dxa"/>
            <w:hideMark/>
          </w:tcPr>
          <w:p w14:paraId="7E27D3F5"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Change</w:t>
            </w:r>
          </w:p>
        </w:tc>
      </w:tr>
      <w:tr w:rsidR="00893BA1" w:rsidRPr="007F6332" w14:paraId="122F7261" w14:textId="77777777" w:rsidTr="00C1755E">
        <w:trPr>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3E234B62"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0 to 6</w:t>
            </w:r>
          </w:p>
        </w:tc>
        <w:tc>
          <w:tcPr>
            <w:tcW w:w="1842" w:type="dxa"/>
            <w:noWrap/>
            <w:hideMark/>
          </w:tcPr>
          <w:p w14:paraId="6B0FC99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15%</w:t>
            </w:r>
          </w:p>
        </w:tc>
        <w:tc>
          <w:tcPr>
            <w:tcW w:w="1842" w:type="dxa"/>
            <w:noWrap/>
            <w:hideMark/>
          </w:tcPr>
          <w:p w14:paraId="57B486C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0.09%</w:t>
            </w:r>
          </w:p>
        </w:tc>
        <w:tc>
          <w:tcPr>
            <w:tcW w:w="1842" w:type="dxa"/>
            <w:noWrap/>
            <w:hideMark/>
          </w:tcPr>
          <w:p w14:paraId="43A38F0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0.09%</w:t>
            </w:r>
          </w:p>
        </w:tc>
        <w:tc>
          <w:tcPr>
            <w:tcW w:w="1705" w:type="dxa"/>
            <w:noWrap/>
            <w:hideMark/>
          </w:tcPr>
          <w:p w14:paraId="74B300B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+0.00%</w:t>
            </w:r>
          </w:p>
        </w:tc>
      </w:tr>
      <w:tr w:rsidR="00893BA1" w:rsidRPr="007F6332" w14:paraId="383D23FB" w14:textId="77777777" w:rsidTr="00C1755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4143BD7E"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7 to 14</w:t>
            </w:r>
          </w:p>
        </w:tc>
        <w:tc>
          <w:tcPr>
            <w:tcW w:w="1842" w:type="dxa"/>
            <w:noWrap/>
            <w:hideMark/>
          </w:tcPr>
          <w:p w14:paraId="5EC964D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25%</w:t>
            </w:r>
          </w:p>
        </w:tc>
        <w:tc>
          <w:tcPr>
            <w:tcW w:w="1842" w:type="dxa"/>
            <w:noWrap/>
            <w:hideMark/>
          </w:tcPr>
          <w:p w14:paraId="6F2E4C5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0.07%</w:t>
            </w:r>
          </w:p>
        </w:tc>
        <w:tc>
          <w:tcPr>
            <w:tcW w:w="1842" w:type="dxa"/>
            <w:noWrap/>
            <w:hideMark/>
          </w:tcPr>
          <w:p w14:paraId="5E32B2D0"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0.08%</w:t>
            </w:r>
          </w:p>
        </w:tc>
        <w:tc>
          <w:tcPr>
            <w:tcW w:w="1705" w:type="dxa"/>
            <w:noWrap/>
            <w:hideMark/>
          </w:tcPr>
          <w:p w14:paraId="5A02CB4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+0.00%</w:t>
            </w:r>
          </w:p>
        </w:tc>
      </w:tr>
      <w:tr w:rsidR="00893BA1" w:rsidRPr="007F6332" w14:paraId="5590A140" w14:textId="77777777" w:rsidTr="00C1755E">
        <w:trPr>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C9A2F13"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15 to 18</w:t>
            </w:r>
          </w:p>
        </w:tc>
        <w:tc>
          <w:tcPr>
            <w:tcW w:w="1842" w:type="dxa"/>
            <w:noWrap/>
            <w:hideMark/>
          </w:tcPr>
          <w:p w14:paraId="620CAC0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8%</w:t>
            </w:r>
          </w:p>
        </w:tc>
        <w:tc>
          <w:tcPr>
            <w:tcW w:w="1842" w:type="dxa"/>
            <w:noWrap/>
            <w:hideMark/>
          </w:tcPr>
          <w:p w14:paraId="1B30E80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0.15%</w:t>
            </w:r>
          </w:p>
        </w:tc>
        <w:tc>
          <w:tcPr>
            <w:tcW w:w="1842" w:type="dxa"/>
            <w:noWrap/>
            <w:hideMark/>
          </w:tcPr>
          <w:p w14:paraId="3E43348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0.15%</w:t>
            </w:r>
          </w:p>
        </w:tc>
        <w:tc>
          <w:tcPr>
            <w:tcW w:w="1705" w:type="dxa"/>
            <w:noWrap/>
            <w:hideMark/>
          </w:tcPr>
          <w:p w14:paraId="334412C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6B2976"/>
                <w:szCs w:val="22"/>
                <w:lang w:eastAsia="en-AU"/>
              </w:rPr>
            </w:pPr>
            <w:r w:rsidRPr="007F6332">
              <w:rPr>
                <w:rFonts w:eastAsia="Times New Roman" w:cs="Arial"/>
                <w:color w:val="6B2976"/>
                <w:szCs w:val="22"/>
                <w:lang w:eastAsia="en-AU"/>
              </w:rPr>
              <w:t>-0.00%</w:t>
            </w:r>
          </w:p>
        </w:tc>
      </w:tr>
      <w:tr w:rsidR="00893BA1" w:rsidRPr="007F6332" w14:paraId="68977EBB" w14:textId="77777777" w:rsidTr="00C1755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2886E8FF"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19 to 24</w:t>
            </w:r>
          </w:p>
        </w:tc>
        <w:tc>
          <w:tcPr>
            <w:tcW w:w="1842" w:type="dxa"/>
            <w:noWrap/>
            <w:hideMark/>
          </w:tcPr>
          <w:p w14:paraId="5AA542D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9%</w:t>
            </w:r>
          </w:p>
        </w:tc>
        <w:tc>
          <w:tcPr>
            <w:tcW w:w="1842" w:type="dxa"/>
            <w:noWrap/>
            <w:hideMark/>
          </w:tcPr>
          <w:p w14:paraId="1101575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0.25%</w:t>
            </w:r>
          </w:p>
        </w:tc>
        <w:tc>
          <w:tcPr>
            <w:tcW w:w="1842" w:type="dxa"/>
            <w:noWrap/>
            <w:hideMark/>
          </w:tcPr>
          <w:p w14:paraId="7B818C4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0.25%</w:t>
            </w:r>
          </w:p>
        </w:tc>
        <w:tc>
          <w:tcPr>
            <w:tcW w:w="1705" w:type="dxa"/>
            <w:noWrap/>
            <w:hideMark/>
          </w:tcPr>
          <w:p w14:paraId="33EEBB62"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6B2976"/>
                <w:szCs w:val="22"/>
                <w:lang w:eastAsia="en-AU"/>
              </w:rPr>
            </w:pPr>
            <w:r w:rsidRPr="007F6332">
              <w:rPr>
                <w:rFonts w:eastAsia="Times New Roman" w:cs="Arial"/>
                <w:color w:val="6B2976"/>
                <w:szCs w:val="22"/>
                <w:lang w:eastAsia="en-AU"/>
              </w:rPr>
              <w:t>-0.00%</w:t>
            </w:r>
          </w:p>
        </w:tc>
      </w:tr>
      <w:tr w:rsidR="00893BA1" w:rsidRPr="007F6332" w14:paraId="75FDA841" w14:textId="77777777" w:rsidTr="00C1755E">
        <w:trPr>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6E5CDDD"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25 to 34</w:t>
            </w:r>
          </w:p>
        </w:tc>
        <w:tc>
          <w:tcPr>
            <w:tcW w:w="1842" w:type="dxa"/>
            <w:noWrap/>
            <w:hideMark/>
          </w:tcPr>
          <w:p w14:paraId="0917496A"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9%</w:t>
            </w:r>
          </w:p>
        </w:tc>
        <w:tc>
          <w:tcPr>
            <w:tcW w:w="1842" w:type="dxa"/>
            <w:noWrap/>
            <w:hideMark/>
          </w:tcPr>
          <w:p w14:paraId="5D682ED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0.45%</w:t>
            </w:r>
          </w:p>
        </w:tc>
        <w:tc>
          <w:tcPr>
            <w:tcW w:w="1842" w:type="dxa"/>
            <w:noWrap/>
            <w:hideMark/>
          </w:tcPr>
          <w:p w14:paraId="00D9C4F4"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0.46%</w:t>
            </w:r>
          </w:p>
        </w:tc>
        <w:tc>
          <w:tcPr>
            <w:tcW w:w="1705" w:type="dxa"/>
            <w:noWrap/>
            <w:hideMark/>
          </w:tcPr>
          <w:p w14:paraId="3D6565C2"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+0.01%</w:t>
            </w:r>
          </w:p>
        </w:tc>
      </w:tr>
      <w:tr w:rsidR="00893BA1" w:rsidRPr="007F6332" w14:paraId="06129FC4" w14:textId="77777777" w:rsidTr="00C1755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F2CB6AF"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35 to 44</w:t>
            </w:r>
          </w:p>
        </w:tc>
        <w:tc>
          <w:tcPr>
            <w:tcW w:w="1842" w:type="dxa"/>
            <w:noWrap/>
            <w:hideMark/>
          </w:tcPr>
          <w:p w14:paraId="11690EC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8%</w:t>
            </w:r>
          </w:p>
        </w:tc>
        <w:tc>
          <w:tcPr>
            <w:tcW w:w="1842" w:type="dxa"/>
            <w:noWrap/>
            <w:hideMark/>
          </w:tcPr>
          <w:p w14:paraId="06697CE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0.88%</w:t>
            </w:r>
          </w:p>
        </w:tc>
        <w:tc>
          <w:tcPr>
            <w:tcW w:w="1842" w:type="dxa"/>
            <w:noWrap/>
            <w:hideMark/>
          </w:tcPr>
          <w:p w14:paraId="17EA819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0.94%</w:t>
            </w:r>
          </w:p>
        </w:tc>
        <w:tc>
          <w:tcPr>
            <w:tcW w:w="1705" w:type="dxa"/>
            <w:noWrap/>
            <w:hideMark/>
          </w:tcPr>
          <w:p w14:paraId="1A7B44F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+0.06%</w:t>
            </w:r>
          </w:p>
        </w:tc>
      </w:tr>
      <w:tr w:rsidR="00893BA1" w:rsidRPr="007F6332" w14:paraId="38F86C59" w14:textId="77777777" w:rsidTr="00C1755E">
        <w:trPr>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387CD5D"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45 to 54</w:t>
            </w:r>
          </w:p>
        </w:tc>
        <w:tc>
          <w:tcPr>
            <w:tcW w:w="1842" w:type="dxa"/>
            <w:noWrap/>
            <w:hideMark/>
          </w:tcPr>
          <w:p w14:paraId="5BDE343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10%</w:t>
            </w:r>
          </w:p>
        </w:tc>
        <w:tc>
          <w:tcPr>
            <w:tcW w:w="1842" w:type="dxa"/>
            <w:noWrap/>
            <w:hideMark/>
          </w:tcPr>
          <w:p w14:paraId="7686DEA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1.81%</w:t>
            </w:r>
          </w:p>
        </w:tc>
        <w:tc>
          <w:tcPr>
            <w:tcW w:w="1842" w:type="dxa"/>
            <w:noWrap/>
            <w:hideMark/>
          </w:tcPr>
          <w:p w14:paraId="2F17917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1.88%</w:t>
            </w:r>
          </w:p>
        </w:tc>
        <w:tc>
          <w:tcPr>
            <w:tcW w:w="1705" w:type="dxa"/>
            <w:noWrap/>
            <w:hideMark/>
          </w:tcPr>
          <w:p w14:paraId="363561DF"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+0.07%</w:t>
            </w:r>
          </w:p>
        </w:tc>
      </w:tr>
      <w:tr w:rsidR="00893BA1" w:rsidRPr="007F6332" w14:paraId="57976A34" w14:textId="77777777" w:rsidTr="00C1755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2D615EFC"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55 to 64</w:t>
            </w:r>
          </w:p>
        </w:tc>
        <w:tc>
          <w:tcPr>
            <w:tcW w:w="1842" w:type="dxa"/>
            <w:noWrap/>
            <w:hideMark/>
          </w:tcPr>
          <w:p w14:paraId="0B85BC6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12%</w:t>
            </w:r>
          </w:p>
        </w:tc>
        <w:tc>
          <w:tcPr>
            <w:tcW w:w="1842" w:type="dxa"/>
            <w:noWrap/>
            <w:hideMark/>
          </w:tcPr>
          <w:p w14:paraId="249A2AAA"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3.49%</w:t>
            </w:r>
          </w:p>
        </w:tc>
        <w:tc>
          <w:tcPr>
            <w:tcW w:w="1842" w:type="dxa"/>
            <w:noWrap/>
            <w:hideMark/>
          </w:tcPr>
          <w:p w14:paraId="496394C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3.59%</w:t>
            </w:r>
          </w:p>
        </w:tc>
        <w:tc>
          <w:tcPr>
            <w:tcW w:w="1705" w:type="dxa"/>
            <w:noWrap/>
            <w:hideMark/>
          </w:tcPr>
          <w:p w14:paraId="0C4F41AE"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+0.11%</w:t>
            </w:r>
          </w:p>
        </w:tc>
      </w:tr>
      <w:tr w:rsidR="00893BA1" w:rsidRPr="007F6332" w14:paraId="191811E0" w14:textId="77777777" w:rsidTr="00C1755E">
        <w:trPr>
          <w:trHeight w:val="227"/>
        </w:trPr>
        <w:tc>
          <w:tcPr>
            <w:cnfStyle w:val="001000000000" w:firstRow="0" w:lastRow="0" w:firstColumn="1" w:lastColumn="0" w:oddVBand="0" w:evenVBand="0" w:oddHBand="0" w:evenHBand="0" w:firstRowFirstColumn="0" w:firstRowLastColumn="0" w:lastRowFirstColumn="0" w:lastRowLastColumn="0"/>
            <w:tcW w:w="1841" w:type="dxa"/>
            <w:noWrap/>
            <w:hideMark/>
          </w:tcPr>
          <w:p w14:paraId="66D23D5B"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65+</w:t>
            </w:r>
          </w:p>
        </w:tc>
        <w:tc>
          <w:tcPr>
            <w:tcW w:w="1842" w:type="dxa"/>
            <w:noWrap/>
            <w:hideMark/>
          </w:tcPr>
          <w:p w14:paraId="2A88BE8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w:t>
            </w:r>
          </w:p>
        </w:tc>
        <w:tc>
          <w:tcPr>
            <w:tcW w:w="1842" w:type="dxa"/>
            <w:noWrap/>
            <w:hideMark/>
          </w:tcPr>
          <w:p w14:paraId="5B02EFAD"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4.86%</w:t>
            </w:r>
          </w:p>
        </w:tc>
        <w:tc>
          <w:tcPr>
            <w:tcW w:w="1842" w:type="dxa"/>
            <w:noWrap/>
            <w:hideMark/>
          </w:tcPr>
          <w:p w14:paraId="1AB1B27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5.02%</w:t>
            </w:r>
          </w:p>
        </w:tc>
        <w:tc>
          <w:tcPr>
            <w:tcW w:w="1705" w:type="dxa"/>
            <w:noWrap/>
            <w:hideMark/>
          </w:tcPr>
          <w:p w14:paraId="2E193BC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+0.16%</w:t>
            </w:r>
          </w:p>
        </w:tc>
      </w:tr>
      <w:tr w:rsidR="00893BA1" w:rsidRPr="007F6332" w14:paraId="51DDF25D" w14:textId="77777777" w:rsidTr="00C1755E">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841" w:type="dxa"/>
            <w:shd w:val="clear" w:color="auto" w:fill="B499B7"/>
            <w:noWrap/>
            <w:hideMark/>
          </w:tcPr>
          <w:p w14:paraId="4B726F27" w14:textId="77777777" w:rsidR="00893BA1" w:rsidRPr="007F6332" w:rsidRDefault="00893BA1">
            <w:pPr>
              <w:spacing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1842" w:type="dxa"/>
            <w:shd w:val="clear" w:color="auto" w:fill="B499B7"/>
            <w:noWrap/>
            <w:hideMark/>
          </w:tcPr>
          <w:p w14:paraId="001F0E87"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100%</w:t>
            </w:r>
          </w:p>
        </w:tc>
        <w:tc>
          <w:tcPr>
            <w:tcW w:w="1842" w:type="dxa"/>
            <w:shd w:val="clear" w:color="auto" w:fill="B499B7"/>
            <w:noWrap/>
            <w:hideMark/>
          </w:tcPr>
          <w:p w14:paraId="427CFEF9"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0.94%</w:t>
            </w:r>
          </w:p>
        </w:tc>
        <w:tc>
          <w:tcPr>
            <w:tcW w:w="1842" w:type="dxa"/>
            <w:shd w:val="clear" w:color="auto" w:fill="B499B7"/>
            <w:noWrap/>
            <w:hideMark/>
          </w:tcPr>
          <w:p w14:paraId="504E7D8F"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0.98%</w:t>
            </w:r>
          </w:p>
        </w:tc>
        <w:tc>
          <w:tcPr>
            <w:tcW w:w="1705" w:type="dxa"/>
            <w:shd w:val="clear" w:color="auto" w:fill="B499B7"/>
            <w:noWrap/>
            <w:hideMark/>
          </w:tcPr>
          <w:p w14:paraId="6E33BCC6"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Cs w:val="22"/>
                <w:lang w:eastAsia="en-AU"/>
              </w:rPr>
            </w:pPr>
            <w:r w:rsidRPr="007F6332">
              <w:rPr>
                <w:rFonts w:eastAsia="Times New Roman" w:cs="Arial"/>
                <w:b/>
                <w:bCs/>
                <w:color w:val="000000"/>
                <w:szCs w:val="22"/>
                <w:lang w:eastAsia="en-AU"/>
              </w:rPr>
              <w:t>+0.03%</w:t>
            </w:r>
          </w:p>
        </w:tc>
      </w:tr>
    </w:tbl>
    <w:p w14:paraId="7C65CEF1" w14:textId="77777777" w:rsidR="0076644E" w:rsidRPr="007F6332" w:rsidRDefault="0076644E" w:rsidP="00923654">
      <w:pPr>
        <w:pStyle w:val="Heading7"/>
        <w:rPr>
          <w:rFonts w:cs="Arial"/>
        </w:rPr>
        <w:sectPr w:rsidR="0076644E" w:rsidRPr="007F6332" w:rsidSect="00C46DEB">
          <w:pgSz w:w="11906" w:h="16838"/>
          <w:pgMar w:top="1440" w:right="1416" w:bottom="1440" w:left="1440" w:header="708" w:footer="670" w:gutter="0"/>
          <w:cols w:space="708"/>
          <w:titlePg/>
          <w:docGrid w:linePitch="360"/>
        </w:sectPr>
      </w:pPr>
    </w:p>
    <w:p w14:paraId="1D835FBB" w14:textId="35394174" w:rsidR="00893BA1" w:rsidRPr="007F6332" w:rsidRDefault="00893BA1" w:rsidP="000A3CE4">
      <w:pPr>
        <w:pStyle w:val="FiguresandTablesHeading5"/>
      </w:pPr>
      <w:r w:rsidRPr="007F6332">
        <w:lastRenderedPageBreak/>
        <w:t xml:space="preserve">Table </w:t>
      </w:r>
      <w:r w:rsidR="00516710" w:rsidRPr="007F6332">
        <w:t>H.13</w:t>
      </w:r>
      <w:r w:rsidRPr="007F6332">
        <w:t>: Mortality rate assumptions by gender</w:t>
      </w:r>
    </w:p>
    <w:tbl>
      <w:tblPr>
        <w:tblStyle w:val="FSRtable"/>
        <w:tblW w:w="9067" w:type="dxa"/>
        <w:tblInd w:w="0" w:type="dxa"/>
        <w:tblLayout w:type="fixed"/>
        <w:tblLook w:val="04A0" w:firstRow="1" w:lastRow="0" w:firstColumn="1" w:lastColumn="0" w:noHBand="0" w:noVBand="1"/>
      </w:tblPr>
      <w:tblGrid>
        <w:gridCol w:w="1814"/>
        <w:gridCol w:w="1814"/>
        <w:gridCol w:w="1813"/>
        <w:gridCol w:w="1813"/>
        <w:gridCol w:w="1813"/>
      </w:tblGrid>
      <w:tr w:rsidR="00893BA1" w:rsidRPr="007F6332" w14:paraId="5800BD38" w14:textId="77777777" w:rsidTr="00092FF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hideMark/>
          </w:tcPr>
          <w:p w14:paraId="53FC586E"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lang w:eastAsia="en-AU"/>
              </w:rPr>
              <w:t>Gender</w:t>
            </w:r>
          </w:p>
        </w:tc>
        <w:tc>
          <w:tcPr>
            <w:tcW w:w="0" w:type="dxa"/>
            <w:hideMark/>
          </w:tcPr>
          <w:p w14:paraId="12D96974"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Exposure</w:t>
            </w:r>
          </w:p>
        </w:tc>
        <w:tc>
          <w:tcPr>
            <w:tcW w:w="0" w:type="dxa"/>
            <w:hideMark/>
          </w:tcPr>
          <w:p w14:paraId="39AF336D"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June 2022 projections</w:t>
            </w:r>
          </w:p>
        </w:tc>
        <w:tc>
          <w:tcPr>
            <w:tcW w:w="0" w:type="dxa"/>
            <w:hideMark/>
          </w:tcPr>
          <w:p w14:paraId="11549D7D"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June 2023 projections</w:t>
            </w:r>
          </w:p>
        </w:tc>
        <w:tc>
          <w:tcPr>
            <w:tcW w:w="0" w:type="dxa"/>
            <w:hideMark/>
          </w:tcPr>
          <w:p w14:paraId="762A836C" w14:textId="77777777" w:rsidR="00893BA1" w:rsidRPr="007F6332" w:rsidRDefault="00893B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lang w:eastAsia="en-AU"/>
              </w:rPr>
            </w:pPr>
            <w:r w:rsidRPr="007F6332">
              <w:rPr>
                <w:rFonts w:eastAsia="Times New Roman"/>
                <w:bCs/>
                <w:color w:val="FFFFFF"/>
                <w:lang w:eastAsia="en-AU"/>
              </w:rPr>
              <w:t>Change</w:t>
            </w:r>
          </w:p>
        </w:tc>
      </w:tr>
      <w:tr w:rsidR="00893BA1" w:rsidRPr="007F6332" w14:paraId="1A591630" w14:textId="77777777" w:rsidTr="00092FF7">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F67F845"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Female </w:t>
            </w:r>
          </w:p>
        </w:tc>
        <w:tc>
          <w:tcPr>
            <w:tcW w:w="0" w:type="dxa"/>
            <w:noWrap/>
            <w:hideMark/>
          </w:tcPr>
          <w:p w14:paraId="42AC2A4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38%</w:t>
            </w:r>
          </w:p>
        </w:tc>
        <w:tc>
          <w:tcPr>
            <w:tcW w:w="0" w:type="dxa"/>
            <w:noWrap/>
            <w:hideMark/>
          </w:tcPr>
          <w:p w14:paraId="61DE12D8"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1.04%</w:t>
            </w:r>
          </w:p>
        </w:tc>
        <w:tc>
          <w:tcPr>
            <w:tcW w:w="0" w:type="dxa"/>
            <w:noWrap/>
            <w:hideMark/>
          </w:tcPr>
          <w:p w14:paraId="1F85E5C0"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1.07%</w:t>
            </w:r>
          </w:p>
        </w:tc>
        <w:tc>
          <w:tcPr>
            <w:tcW w:w="0" w:type="dxa"/>
            <w:noWrap/>
            <w:hideMark/>
          </w:tcPr>
          <w:p w14:paraId="6ECBC533"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7F6332">
              <w:rPr>
                <w:rFonts w:eastAsia="Times New Roman" w:cs="Arial"/>
                <w:lang w:eastAsia="en-AU"/>
              </w:rPr>
              <w:t>+0.03%</w:t>
            </w:r>
          </w:p>
        </w:tc>
      </w:tr>
      <w:tr w:rsidR="00893BA1" w:rsidRPr="007F6332" w14:paraId="5004BC4B" w14:textId="77777777" w:rsidTr="00092FF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6B4EF33" w14:textId="77777777" w:rsidR="00893BA1" w:rsidRPr="007F6332" w:rsidRDefault="00893BA1">
            <w:pPr>
              <w:spacing w:line="240" w:lineRule="auto"/>
              <w:rPr>
                <w:rFonts w:eastAsia="Times New Roman" w:cs="Arial"/>
                <w:color w:val="000000"/>
                <w:lang w:eastAsia="en-AU"/>
              </w:rPr>
            </w:pPr>
            <w:r w:rsidRPr="007F6332">
              <w:rPr>
                <w:rFonts w:eastAsia="Times New Roman" w:cs="Arial"/>
                <w:color w:val="000000"/>
                <w:lang w:eastAsia="en-AU"/>
              </w:rPr>
              <w:t xml:space="preserve"> Male </w:t>
            </w:r>
          </w:p>
        </w:tc>
        <w:tc>
          <w:tcPr>
            <w:tcW w:w="0" w:type="dxa"/>
            <w:noWrap/>
            <w:hideMark/>
          </w:tcPr>
          <w:p w14:paraId="46496778"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62%</w:t>
            </w:r>
          </w:p>
        </w:tc>
        <w:tc>
          <w:tcPr>
            <w:tcW w:w="0" w:type="dxa"/>
            <w:noWrap/>
            <w:hideMark/>
          </w:tcPr>
          <w:p w14:paraId="09134EAC"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0.89%</w:t>
            </w:r>
          </w:p>
        </w:tc>
        <w:tc>
          <w:tcPr>
            <w:tcW w:w="0" w:type="dxa"/>
            <w:noWrap/>
            <w:hideMark/>
          </w:tcPr>
          <w:p w14:paraId="44BDDB6D"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0.92%</w:t>
            </w:r>
          </w:p>
        </w:tc>
        <w:tc>
          <w:tcPr>
            <w:tcW w:w="0" w:type="dxa"/>
            <w:noWrap/>
            <w:hideMark/>
          </w:tcPr>
          <w:p w14:paraId="4297AE41" w14:textId="77777777" w:rsidR="00893BA1" w:rsidRPr="007F6332" w:rsidRDefault="00893BA1">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n-AU"/>
              </w:rPr>
            </w:pPr>
            <w:r w:rsidRPr="007F6332">
              <w:rPr>
                <w:rFonts w:eastAsia="Times New Roman" w:cs="Arial"/>
                <w:lang w:eastAsia="en-AU"/>
              </w:rPr>
              <w:t>+0.04%</w:t>
            </w:r>
          </w:p>
        </w:tc>
      </w:tr>
      <w:tr w:rsidR="00893BA1" w:rsidRPr="007F6332" w14:paraId="76F334F1" w14:textId="77777777" w:rsidTr="00C1755E">
        <w:trPr>
          <w:trHeight w:val="436"/>
        </w:trPr>
        <w:tc>
          <w:tcPr>
            <w:cnfStyle w:val="001000000000" w:firstRow="0" w:lastRow="0" w:firstColumn="1" w:lastColumn="0" w:oddVBand="0" w:evenVBand="0" w:oddHBand="0" w:evenHBand="0" w:firstRowFirstColumn="0" w:firstRowLastColumn="0" w:lastRowFirstColumn="0" w:lastRowLastColumn="0"/>
            <w:tcW w:w="0" w:type="dxa"/>
            <w:shd w:val="clear" w:color="auto" w:fill="B499B7"/>
            <w:noWrap/>
            <w:hideMark/>
          </w:tcPr>
          <w:p w14:paraId="60B86A6D" w14:textId="77777777" w:rsidR="00893BA1" w:rsidRPr="007F6332" w:rsidRDefault="00893BA1">
            <w:pPr>
              <w:spacing w:line="240" w:lineRule="auto"/>
              <w:rPr>
                <w:rFonts w:eastAsia="Times New Roman" w:cs="Arial"/>
                <w:b/>
                <w:bCs/>
                <w:color w:val="000000"/>
                <w:lang w:eastAsia="en-AU"/>
              </w:rPr>
            </w:pPr>
            <w:r w:rsidRPr="007F6332">
              <w:rPr>
                <w:rFonts w:eastAsia="Times New Roman" w:cs="Arial"/>
                <w:b/>
                <w:bCs/>
                <w:color w:val="000000"/>
                <w:lang w:eastAsia="en-AU"/>
              </w:rPr>
              <w:t xml:space="preserve"> Total </w:t>
            </w:r>
          </w:p>
        </w:tc>
        <w:tc>
          <w:tcPr>
            <w:tcW w:w="0" w:type="dxa"/>
            <w:shd w:val="clear" w:color="auto" w:fill="B499B7"/>
            <w:noWrap/>
            <w:hideMark/>
          </w:tcPr>
          <w:p w14:paraId="1DD7C7F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100%</w:t>
            </w:r>
          </w:p>
        </w:tc>
        <w:tc>
          <w:tcPr>
            <w:tcW w:w="0" w:type="dxa"/>
            <w:shd w:val="clear" w:color="auto" w:fill="B499B7"/>
            <w:noWrap/>
            <w:hideMark/>
          </w:tcPr>
          <w:p w14:paraId="7A20206E"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0.94%</w:t>
            </w:r>
          </w:p>
        </w:tc>
        <w:tc>
          <w:tcPr>
            <w:tcW w:w="0" w:type="dxa"/>
            <w:shd w:val="clear" w:color="auto" w:fill="B499B7"/>
            <w:noWrap/>
            <w:hideMark/>
          </w:tcPr>
          <w:p w14:paraId="3D890EE7" w14:textId="77777777" w:rsidR="00893BA1" w:rsidRPr="007F6332" w:rsidRDefault="00893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0.98%</w:t>
            </w:r>
          </w:p>
        </w:tc>
        <w:tc>
          <w:tcPr>
            <w:tcW w:w="0" w:type="dxa"/>
            <w:shd w:val="clear" w:color="auto" w:fill="B499B7"/>
            <w:noWrap/>
            <w:hideMark/>
          </w:tcPr>
          <w:p w14:paraId="4E0D7FF8" w14:textId="5529EC22" w:rsidR="00893BA1" w:rsidRPr="007F6332" w:rsidRDefault="00E904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lang w:eastAsia="en-AU"/>
              </w:rPr>
            </w:pPr>
            <w:r w:rsidRPr="007F6332">
              <w:rPr>
                <w:rFonts w:eastAsia="Times New Roman" w:cs="Arial"/>
                <w:b/>
                <w:bCs/>
                <w:lang w:eastAsia="en-AU"/>
              </w:rPr>
              <w:t>+</w:t>
            </w:r>
            <w:r w:rsidR="00893BA1" w:rsidRPr="007F6332">
              <w:rPr>
                <w:rFonts w:eastAsia="Times New Roman" w:cs="Arial"/>
                <w:b/>
                <w:bCs/>
                <w:lang w:eastAsia="en-AU"/>
              </w:rPr>
              <w:t>0.03%</w:t>
            </w:r>
          </w:p>
        </w:tc>
      </w:tr>
    </w:tbl>
    <w:p w14:paraId="6B42F84F" w14:textId="77777777" w:rsidR="00893BA1" w:rsidRPr="007F6332" w:rsidRDefault="00893BA1" w:rsidP="008B34A8">
      <w:pPr>
        <w:pStyle w:val="H5Header"/>
        <w:rPr>
          <w:rFonts w:eastAsiaTheme="minorHAnsi"/>
          <w:kern w:val="2"/>
          <w:szCs w:val="22"/>
          <w:lang w:eastAsia="en-US"/>
          <w14:ligatures w14:val="standardContextual"/>
        </w:rPr>
      </w:pPr>
      <w:r w:rsidRPr="007F6332">
        <w:t>Supported Independent Living</w:t>
      </w:r>
    </w:p>
    <w:p w14:paraId="033CEB29" w14:textId="77777777" w:rsidR="00893BA1" w:rsidRPr="007F6332" w:rsidRDefault="00893BA1" w:rsidP="00893BA1">
      <w:pPr>
        <w:rPr>
          <w:rFonts w:cs="Arial"/>
        </w:rPr>
      </w:pPr>
      <w:r w:rsidRPr="007F6332">
        <w:rPr>
          <w:rFonts w:cs="Arial"/>
        </w:rPr>
        <w:t>Mortality experience for participants with SIL were also considered to determine whether separate mortality assumptions based on SIL status would be appropriate. Ultimately, separate loadings based on SIL status were not applied because:</w:t>
      </w:r>
    </w:p>
    <w:p w14:paraId="53162C21" w14:textId="77777777" w:rsidR="00893BA1" w:rsidRPr="007F6332" w:rsidRDefault="00893BA1" w:rsidP="00F26AC5">
      <w:pPr>
        <w:pStyle w:val="FSRlist"/>
        <w:rPr>
          <w:rFonts w:cs="Arial"/>
        </w:rPr>
      </w:pPr>
      <w:r w:rsidRPr="007F6332">
        <w:rPr>
          <w:rFonts w:cs="Arial"/>
        </w:rPr>
        <w:t>The overall mortality experience for participants with and without SIL were not significantly different and adjusting the mortality assumptions to allow for SIL status would not make a material difference to the projected participant numbers and associated Scheme expenses.</w:t>
      </w:r>
    </w:p>
    <w:p w14:paraId="14A7DC96" w14:textId="77777777" w:rsidR="00893BA1" w:rsidRPr="007F6332" w:rsidRDefault="00893BA1" w:rsidP="00F26AC5">
      <w:pPr>
        <w:pStyle w:val="FSRlist"/>
        <w:rPr>
          <w:rFonts w:cs="Arial"/>
        </w:rPr>
      </w:pPr>
      <w:r w:rsidRPr="007F6332">
        <w:rPr>
          <w:rFonts w:cs="Arial"/>
        </w:rPr>
        <w:t>The comparison of actual and expected mortality experience varied according to disability, suggesting that SIL status is not necessarily a determinant of mortality experience.</w:t>
      </w:r>
    </w:p>
    <w:p w14:paraId="06C634DF" w14:textId="77777777" w:rsidR="00893BA1" w:rsidRPr="007F6332" w:rsidRDefault="00893BA1" w:rsidP="00B445CE">
      <w:pPr>
        <w:pStyle w:val="FSRHeading4"/>
        <w:spacing w:after="0"/>
        <w:rPr>
          <w:rFonts w:cs="Arial"/>
        </w:rPr>
      </w:pPr>
      <w:r w:rsidRPr="007F6332">
        <w:rPr>
          <w:rFonts w:cs="Arial"/>
        </w:rPr>
        <w:t>Impact of changes to assumptions</w:t>
      </w:r>
    </w:p>
    <w:p w14:paraId="7CE70256" w14:textId="75DBE3DA" w:rsidR="00893BA1" w:rsidRPr="007F6332" w:rsidRDefault="00893BA1" w:rsidP="00B445CE">
      <w:pPr>
        <w:pStyle w:val="FSRnormal"/>
        <w:spacing w:before="120"/>
        <w:rPr>
          <w:rFonts w:cs="Arial"/>
        </w:rPr>
      </w:pPr>
      <w:r w:rsidRPr="007F6332">
        <w:rPr>
          <w:rFonts w:cs="Arial"/>
        </w:rPr>
        <w:t xml:space="preserve">Table </w:t>
      </w:r>
      <w:r w:rsidR="00516710" w:rsidRPr="007F6332">
        <w:rPr>
          <w:rFonts w:cs="Arial"/>
        </w:rPr>
        <w:t>H.14</w:t>
      </w:r>
      <w:r w:rsidRPr="007F6332">
        <w:rPr>
          <w:rFonts w:cs="Arial"/>
        </w:rPr>
        <w:t xml:space="preserve"> and Table </w:t>
      </w:r>
      <w:r w:rsidR="00516710" w:rsidRPr="007F6332">
        <w:rPr>
          <w:rFonts w:cs="Arial"/>
        </w:rPr>
        <w:t>H.15</w:t>
      </w:r>
      <w:r w:rsidRPr="007F6332">
        <w:rPr>
          <w:rFonts w:cs="Arial"/>
        </w:rPr>
        <w:t xml:space="preserve"> set out the impact of changing the mortality rate assumptions on Scheme projections. The slightly higher mortality rate assumptions result in 2,411 (0.23%) fewer participants projected by 30 June 2033 and $0.23 billion lower payments in 2032-33. Over the four-year period to 30 June 2027, 692 fewer participants are projected by 30 June 2027 using the revised assumptions and payments are $0.32 billion (0.02%) lower.</w:t>
      </w:r>
    </w:p>
    <w:p w14:paraId="45518757" w14:textId="2A0D7F07" w:rsidR="00893BA1" w:rsidRPr="007F6332" w:rsidRDefault="00893BA1" w:rsidP="008B34A8">
      <w:pPr>
        <w:pStyle w:val="FiguresandTablesHeading5"/>
      </w:pPr>
      <w:r w:rsidRPr="007F6332">
        <w:t xml:space="preserve">Table </w:t>
      </w:r>
      <w:r w:rsidR="00516710" w:rsidRPr="007F6332">
        <w:t>H.14</w:t>
      </w:r>
      <w:r w:rsidRPr="007F6332">
        <w:t>: Impact on projected participant numbers of updating mortality assumptions</w:t>
      </w:r>
      <w:r w:rsidR="00717446" w:rsidRPr="007F6332">
        <w:t xml:space="preserve"> 30 June </w:t>
      </w:r>
    </w:p>
    <w:tbl>
      <w:tblPr>
        <w:tblStyle w:val="FSRtable"/>
        <w:tblW w:w="9438" w:type="dxa"/>
        <w:tblInd w:w="0" w:type="dxa"/>
        <w:tblLayout w:type="fixed"/>
        <w:tblLook w:val="04A0" w:firstRow="1" w:lastRow="0" w:firstColumn="1" w:lastColumn="0" w:noHBand="0" w:noVBand="1"/>
      </w:tblPr>
      <w:tblGrid>
        <w:gridCol w:w="2694"/>
        <w:gridCol w:w="1348"/>
        <w:gridCol w:w="1349"/>
        <w:gridCol w:w="1349"/>
        <w:gridCol w:w="1349"/>
        <w:gridCol w:w="1349"/>
      </w:tblGrid>
      <w:tr w:rsidR="00C30E55" w:rsidRPr="007F6332" w14:paraId="35281871" w14:textId="77777777" w:rsidTr="00C1755E">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3C1F63C"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szCs w:val="22"/>
                <w:lang w:eastAsia="en-AU"/>
              </w:rPr>
              <w:t>Participant numbers</w:t>
            </w:r>
          </w:p>
        </w:tc>
        <w:tc>
          <w:tcPr>
            <w:tcW w:w="1348" w:type="dxa"/>
            <w:hideMark/>
          </w:tcPr>
          <w:p w14:paraId="23104FA3" w14:textId="6E195CE1"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2024</w:t>
            </w:r>
          </w:p>
        </w:tc>
        <w:tc>
          <w:tcPr>
            <w:tcW w:w="1349" w:type="dxa"/>
            <w:hideMark/>
          </w:tcPr>
          <w:p w14:paraId="43CBF303" w14:textId="5E0D109C"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2025</w:t>
            </w:r>
          </w:p>
        </w:tc>
        <w:tc>
          <w:tcPr>
            <w:tcW w:w="1349" w:type="dxa"/>
            <w:hideMark/>
          </w:tcPr>
          <w:p w14:paraId="023688EB" w14:textId="364307AA"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2026</w:t>
            </w:r>
          </w:p>
        </w:tc>
        <w:tc>
          <w:tcPr>
            <w:tcW w:w="1349" w:type="dxa"/>
            <w:tcBorders>
              <w:right w:val="dashed" w:sz="4" w:space="0" w:color="auto"/>
            </w:tcBorders>
            <w:hideMark/>
          </w:tcPr>
          <w:p w14:paraId="012F5626" w14:textId="4489DA2D"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2027</w:t>
            </w:r>
          </w:p>
        </w:tc>
        <w:tc>
          <w:tcPr>
            <w:tcW w:w="1349" w:type="dxa"/>
            <w:tcBorders>
              <w:top w:val="single" w:sz="4" w:space="0" w:color="auto"/>
              <w:left w:val="dashed" w:sz="4" w:space="0" w:color="auto"/>
              <w:bottom w:val="nil"/>
            </w:tcBorders>
            <w:hideMark/>
          </w:tcPr>
          <w:p w14:paraId="10089AD2" w14:textId="7783CCE2"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2033</w:t>
            </w:r>
          </w:p>
        </w:tc>
      </w:tr>
      <w:tr w:rsidR="00C30E55" w:rsidRPr="007F6332" w14:paraId="7C39CF29" w14:textId="77777777" w:rsidTr="00C1755E">
        <w:trPr>
          <w:trHeight w:val="280"/>
        </w:trPr>
        <w:tc>
          <w:tcPr>
            <w:cnfStyle w:val="001000000000" w:firstRow="0" w:lastRow="0" w:firstColumn="1" w:lastColumn="0" w:oddVBand="0" w:evenVBand="0" w:oddHBand="0" w:evenHBand="0" w:firstRowFirstColumn="0" w:firstRowLastColumn="0" w:lastRowFirstColumn="0" w:lastRowLastColumn="0"/>
            <w:tcW w:w="2694" w:type="dxa"/>
            <w:hideMark/>
          </w:tcPr>
          <w:p w14:paraId="5E3E6991"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June 2022 projection</w:t>
            </w:r>
          </w:p>
        </w:tc>
        <w:tc>
          <w:tcPr>
            <w:tcW w:w="1348" w:type="dxa"/>
            <w:hideMark/>
          </w:tcPr>
          <w:p w14:paraId="1B64CCC6"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646,012</w:t>
            </w:r>
          </w:p>
        </w:tc>
        <w:tc>
          <w:tcPr>
            <w:tcW w:w="1349" w:type="dxa"/>
            <w:hideMark/>
          </w:tcPr>
          <w:p w14:paraId="05108D64"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693,889</w:t>
            </w:r>
          </w:p>
        </w:tc>
        <w:tc>
          <w:tcPr>
            <w:tcW w:w="1349" w:type="dxa"/>
            <w:hideMark/>
          </w:tcPr>
          <w:p w14:paraId="670CF76A"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741,077</w:t>
            </w:r>
          </w:p>
        </w:tc>
        <w:tc>
          <w:tcPr>
            <w:tcW w:w="1349" w:type="dxa"/>
            <w:tcBorders>
              <w:right w:val="dashed" w:sz="4" w:space="0" w:color="auto"/>
            </w:tcBorders>
            <w:hideMark/>
          </w:tcPr>
          <w:p w14:paraId="777C7F49"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787,820</w:t>
            </w:r>
          </w:p>
        </w:tc>
        <w:tc>
          <w:tcPr>
            <w:tcW w:w="1349" w:type="dxa"/>
            <w:tcBorders>
              <w:top w:val="nil"/>
              <w:left w:val="dashed" w:sz="4" w:space="0" w:color="auto"/>
              <w:bottom w:val="nil"/>
            </w:tcBorders>
            <w:hideMark/>
          </w:tcPr>
          <w:p w14:paraId="7E2C154B"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2"/>
                <w:lang w:eastAsia="en-AU"/>
              </w:rPr>
            </w:pPr>
            <w:r w:rsidRPr="007F6332">
              <w:rPr>
                <w:rFonts w:eastAsia="Times New Roman" w:cs="Arial"/>
                <w:szCs w:val="22"/>
                <w:lang w:eastAsia="en-AU"/>
              </w:rPr>
              <w:t>1,062,787</w:t>
            </w:r>
          </w:p>
        </w:tc>
      </w:tr>
      <w:tr w:rsidR="00C30E55" w:rsidRPr="007F6332" w14:paraId="046AC0FF" w14:textId="77777777" w:rsidTr="00C1755E">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94" w:type="dxa"/>
            <w:hideMark/>
          </w:tcPr>
          <w:p w14:paraId="50CD4DE8"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Impact of revised mortality assumptions</w:t>
            </w:r>
          </w:p>
        </w:tc>
        <w:tc>
          <w:tcPr>
            <w:tcW w:w="1348" w:type="dxa"/>
            <w:hideMark/>
          </w:tcPr>
          <w:p w14:paraId="6F329A6A" w14:textId="77777777"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-168</w:t>
            </w:r>
          </w:p>
        </w:tc>
        <w:tc>
          <w:tcPr>
            <w:tcW w:w="1349" w:type="dxa"/>
            <w:hideMark/>
          </w:tcPr>
          <w:p w14:paraId="035ACC3F" w14:textId="77777777"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-312</w:t>
            </w:r>
          </w:p>
        </w:tc>
        <w:tc>
          <w:tcPr>
            <w:tcW w:w="1349" w:type="dxa"/>
            <w:hideMark/>
          </w:tcPr>
          <w:p w14:paraId="4D5A4A8D" w14:textId="77777777"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-487</w:t>
            </w:r>
          </w:p>
        </w:tc>
        <w:tc>
          <w:tcPr>
            <w:tcW w:w="1349" w:type="dxa"/>
            <w:tcBorders>
              <w:right w:val="dashed" w:sz="4" w:space="0" w:color="auto"/>
            </w:tcBorders>
            <w:hideMark/>
          </w:tcPr>
          <w:p w14:paraId="1BEAEFDF" w14:textId="77777777"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-692</w:t>
            </w:r>
          </w:p>
        </w:tc>
        <w:tc>
          <w:tcPr>
            <w:tcW w:w="1349" w:type="dxa"/>
            <w:tcBorders>
              <w:top w:val="nil"/>
              <w:left w:val="dashed" w:sz="4" w:space="0" w:color="auto"/>
              <w:bottom w:val="nil"/>
            </w:tcBorders>
            <w:hideMark/>
          </w:tcPr>
          <w:p w14:paraId="1F010007" w14:textId="77777777"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22"/>
                <w:lang w:eastAsia="en-AU"/>
              </w:rPr>
            </w:pPr>
            <w:r w:rsidRPr="007F6332">
              <w:rPr>
                <w:rFonts w:eastAsia="Times New Roman" w:cs="Arial"/>
                <w:szCs w:val="22"/>
                <w:lang w:eastAsia="en-AU"/>
              </w:rPr>
              <w:t>-2,411</w:t>
            </w:r>
          </w:p>
        </w:tc>
      </w:tr>
      <w:tr w:rsidR="00C30E55" w:rsidRPr="007F6332" w14:paraId="473F4E74" w14:textId="77777777" w:rsidTr="00C30E55">
        <w:trPr>
          <w:trHeight w:val="290"/>
        </w:trPr>
        <w:tc>
          <w:tcPr>
            <w:cnfStyle w:val="001000000000" w:firstRow="0" w:lastRow="0" w:firstColumn="1" w:lastColumn="0" w:oddVBand="0" w:evenVBand="0" w:oddHBand="0" w:evenHBand="0" w:firstRowFirstColumn="0" w:firstRowLastColumn="0" w:lastRowFirstColumn="0" w:lastRowLastColumn="0"/>
            <w:tcW w:w="2694" w:type="dxa"/>
            <w:shd w:val="clear" w:color="auto" w:fill="B799B4"/>
            <w:noWrap/>
            <w:hideMark/>
          </w:tcPr>
          <w:p w14:paraId="0E7AAFCF"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 impact on participant numbers</w:t>
            </w:r>
          </w:p>
        </w:tc>
        <w:tc>
          <w:tcPr>
            <w:tcW w:w="1348" w:type="dxa"/>
            <w:shd w:val="clear" w:color="auto" w:fill="B799B4"/>
            <w:hideMark/>
          </w:tcPr>
          <w:p w14:paraId="13B76262"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-0.03%</w:t>
            </w:r>
          </w:p>
        </w:tc>
        <w:tc>
          <w:tcPr>
            <w:tcW w:w="1349" w:type="dxa"/>
            <w:shd w:val="clear" w:color="auto" w:fill="B799B4"/>
            <w:hideMark/>
          </w:tcPr>
          <w:p w14:paraId="7D45F655"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-0.04%</w:t>
            </w:r>
          </w:p>
        </w:tc>
        <w:tc>
          <w:tcPr>
            <w:tcW w:w="1349" w:type="dxa"/>
            <w:shd w:val="clear" w:color="auto" w:fill="B799B4"/>
            <w:hideMark/>
          </w:tcPr>
          <w:p w14:paraId="00080595"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-0.07%</w:t>
            </w:r>
          </w:p>
        </w:tc>
        <w:tc>
          <w:tcPr>
            <w:tcW w:w="1349" w:type="dxa"/>
            <w:tcBorders>
              <w:right w:val="dashed" w:sz="4" w:space="0" w:color="auto"/>
            </w:tcBorders>
            <w:shd w:val="clear" w:color="auto" w:fill="B799B4"/>
            <w:hideMark/>
          </w:tcPr>
          <w:p w14:paraId="4ECACB6B"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-0.09%</w:t>
            </w:r>
          </w:p>
        </w:tc>
        <w:tc>
          <w:tcPr>
            <w:tcW w:w="1349" w:type="dxa"/>
            <w:tcBorders>
              <w:top w:val="nil"/>
              <w:left w:val="dashed" w:sz="4" w:space="0" w:color="auto"/>
              <w:bottom w:val="single" w:sz="4" w:space="0" w:color="auto"/>
            </w:tcBorders>
            <w:shd w:val="clear" w:color="auto" w:fill="B799B4"/>
            <w:hideMark/>
          </w:tcPr>
          <w:p w14:paraId="54EA9ABE"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-0.23%</w:t>
            </w:r>
          </w:p>
        </w:tc>
      </w:tr>
    </w:tbl>
    <w:p w14:paraId="62B19367" w14:textId="7779D63D" w:rsidR="00893BA1" w:rsidRPr="007F6332" w:rsidRDefault="00893BA1" w:rsidP="008B34A8">
      <w:pPr>
        <w:pStyle w:val="FiguresandTablesHeading5"/>
      </w:pPr>
      <w:r w:rsidRPr="007F6332">
        <w:t xml:space="preserve">Table </w:t>
      </w:r>
      <w:r w:rsidR="00516710" w:rsidRPr="007F6332">
        <w:t>H.15</w:t>
      </w:r>
      <w:r w:rsidRPr="007F6332">
        <w:t>: Impact on projected Scheme Expenses (accrual basis) of updating mortality assumptions</w:t>
      </w:r>
    </w:p>
    <w:tbl>
      <w:tblPr>
        <w:tblStyle w:val="FSRtable"/>
        <w:tblW w:w="9501" w:type="dxa"/>
        <w:tblInd w:w="0" w:type="dxa"/>
        <w:tblLayout w:type="fixed"/>
        <w:tblLook w:val="04A0" w:firstRow="1" w:lastRow="0" w:firstColumn="1" w:lastColumn="0" w:noHBand="0" w:noVBand="1"/>
      </w:tblPr>
      <w:tblGrid>
        <w:gridCol w:w="2637"/>
        <w:gridCol w:w="1134"/>
        <w:gridCol w:w="1118"/>
        <w:gridCol w:w="1127"/>
        <w:gridCol w:w="1169"/>
        <w:gridCol w:w="1119"/>
        <w:gridCol w:w="1197"/>
      </w:tblGrid>
      <w:tr w:rsidR="009757CB" w:rsidRPr="007F6332" w14:paraId="4DAF20AE" w14:textId="77777777" w:rsidTr="008A7ABE">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654" w:type="dxa"/>
            <w:noWrap/>
            <w:hideMark/>
          </w:tcPr>
          <w:p w14:paraId="5170B966" w14:textId="77777777" w:rsidR="00893BA1" w:rsidRPr="007F6332" w:rsidRDefault="00893BA1">
            <w:pPr>
              <w:spacing w:line="240" w:lineRule="auto"/>
              <w:rPr>
                <w:rFonts w:eastAsia="Times New Roman"/>
                <w:b w:val="0"/>
                <w:bCs/>
                <w:color w:val="FFFFFF"/>
                <w:szCs w:val="22"/>
                <w:lang w:eastAsia="en-AU"/>
              </w:rPr>
            </w:pPr>
            <w:r w:rsidRPr="007F6332">
              <w:rPr>
                <w:rFonts w:eastAsia="Times New Roman"/>
                <w:bCs/>
                <w:color w:val="FFFFFF"/>
                <w:szCs w:val="22"/>
                <w:lang w:eastAsia="en-AU"/>
              </w:rPr>
              <w:t>Scheme expense ($m)</w:t>
            </w:r>
          </w:p>
        </w:tc>
        <w:tc>
          <w:tcPr>
            <w:tcW w:w="1141" w:type="dxa"/>
            <w:hideMark/>
          </w:tcPr>
          <w:p w14:paraId="6C8555DE" w14:textId="77777777"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2023-24</w:t>
            </w:r>
          </w:p>
        </w:tc>
        <w:tc>
          <w:tcPr>
            <w:tcW w:w="1125" w:type="dxa"/>
            <w:hideMark/>
          </w:tcPr>
          <w:p w14:paraId="523C215B" w14:textId="77777777"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2024-25</w:t>
            </w:r>
          </w:p>
        </w:tc>
        <w:tc>
          <w:tcPr>
            <w:tcW w:w="1134" w:type="dxa"/>
            <w:hideMark/>
          </w:tcPr>
          <w:p w14:paraId="67D875B3" w14:textId="77777777"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2025-26</w:t>
            </w:r>
          </w:p>
        </w:tc>
        <w:tc>
          <w:tcPr>
            <w:tcW w:w="1176" w:type="dxa"/>
            <w:tcBorders>
              <w:right w:val="dashed" w:sz="4" w:space="0" w:color="000000" w:themeColor="text1"/>
            </w:tcBorders>
            <w:hideMark/>
          </w:tcPr>
          <w:p w14:paraId="76284577" w14:textId="77777777"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2026-27</w:t>
            </w:r>
          </w:p>
        </w:tc>
        <w:tc>
          <w:tcPr>
            <w:tcW w:w="1126" w:type="dxa"/>
            <w:tcBorders>
              <w:top w:val="single" w:sz="4" w:space="0" w:color="auto"/>
              <w:left w:val="dashed" w:sz="4" w:space="0" w:color="000000" w:themeColor="text1"/>
              <w:bottom w:val="nil"/>
              <w:right w:val="single" w:sz="4" w:space="0" w:color="000000" w:themeColor="text1"/>
            </w:tcBorders>
            <w:hideMark/>
          </w:tcPr>
          <w:p w14:paraId="01FDE696" w14:textId="77777777"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2032-33</w:t>
            </w:r>
          </w:p>
        </w:tc>
        <w:tc>
          <w:tcPr>
            <w:tcW w:w="1127" w:type="dxa"/>
            <w:tcBorders>
              <w:left w:val="single" w:sz="4" w:space="0" w:color="000000" w:themeColor="text1"/>
            </w:tcBorders>
            <w:hideMark/>
          </w:tcPr>
          <w:p w14:paraId="0483C1D1" w14:textId="77777777" w:rsidR="00893BA1" w:rsidRPr="007F6332" w:rsidRDefault="00893BA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Total 2023-27</w:t>
            </w:r>
          </w:p>
        </w:tc>
      </w:tr>
      <w:tr w:rsidR="009757CB" w:rsidRPr="007F6332" w14:paraId="68EF4B92" w14:textId="77777777" w:rsidTr="008A7ABE">
        <w:trPr>
          <w:trHeight w:val="280"/>
        </w:trPr>
        <w:tc>
          <w:tcPr>
            <w:cnfStyle w:val="001000000000" w:firstRow="0" w:lastRow="0" w:firstColumn="1" w:lastColumn="0" w:oddVBand="0" w:evenVBand="0" w:oddHBand="0" w:evenHBand="0" w:firstRowFirstColumn="0" w:firstRowLastColumn="0" w:lastRowFirstColumn="0" w:lastRowLastColumn="0"/>
            <w:tcW w:w="2654" w:type="dxa"/>
            <w:hideMark/>
          </w:tcPr>
          <w:p w14:paraId="5285950F" w14:textId="77777777" w:rsidR="00971D01" w:rsidRPr="007F6332" w:rsidRDefault="00971D01" w:rsidP="00971D01">
            <w:pPr>
              <w:spacing w:line="240" w:lineRule="auto"/>
              <w:rPr>
                <w:rFonts w:eastAsia="Times New Roman" w:cs="Arial"/>
                <w:color w:val="000000"/>
                <w:szCs w:val="22"/>
                <w:lang w:eastAsia="en-AU"/>
              </w:rPr>
            </w:pPr>
            <w:r w:rsidRPr="007F6332">
              <w:rPr>
                <w:rFonts w:eastAsia="Times New Roman" w:cs="Arial"/>
                <w:color w:val="000000"/>
                <w:szCs w:val="22"/>
                <w:lang w:eastAsia="en-AU"/>
              </w:rPr>
              <w:t>June 2022 projection</w:t>
            </w:r>
          </w:p>
        </w:tc>
        <w:tc>
          <w:tcPr>
            <w:tcW w:w="1141" w:type="dxa"/>
            <w:vAlign w:val="top"/>
            <w:hideMark/>
          </w:tcPr>
          <w:p w14:paraId="69B4338B" w14:textId="2A01F051" w:rsidR="00971D01" w:rsidRPr="007F6332" w:rsidRDefault="00971D01" w:rsidP="00971D0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rPr>
              <w:t>38,133</w:t>
            </w:r>
          </w:p>
        </w:tc>
        <w:tc>
          <w:tcPr>
            <w:tcW w:w="1125" w:type="dxa"/>
            <w:vAlign w:val="top"/>
            <w:hideMark/>
          </w:tcPr>
          <w:p w14:paraId="412A4632" w14:textId="276D1118" w:rsidR="00971D01" w:rsidRPr="007F6332" w:rsidRDefault="00971D01" w:rsidP="00971D0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rPr>
              <w:t>44,116</w:t>
            </w:r>
          </w:p>
        </w:tc>
        <w:tc>
          <w:tcPr>
            <w:tcW w:w="1134" w:type="dxa"/>
            <w:vAlign w:val="top"/>
            <w:hideMark/>
          </w:tcPr>
          <w:p w14:paraId="0DD3B8D2" w14:textId="1E358C01" w:rsidR="00971D01" w:rsidRPr="007F6332" w:rsidRDefault="00971D01" w:rsidP="00971D0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rPr>
              <w:t>50,344</w:t>
            </w:r>
          </w:p>
        </w:tc>
        <w:tc>
          <w:tcPr>
            <w:tcW w:w="1117" w:type="dxa"/>
            <w:tcBorders>
              <w:right w:val="dashed" w:sz="4" w:space="0" w:color="000000" w:themeColor="text1"/>
            </w:tcBorders>
            <w:vAlign w:val="top"/>
            <w:hideMark/>
          </w:tcPr>
          <w:p w14:paraId="0E65FCCD" w14:textId="0748C461" w:rsidR="00971D01" w:rsidRPr="007F6332" w:rsidRDefault="00971D01" w:rsidP="00971D0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rPr>
              <w:t>55,510</w:t>
            </w:r>
          </w:p>
        </w:tc>
        <w:tc>
          <w:tcPr>
            <w:tcW w:w="1126" w:type="dxa"/>
            <w:tcBorders>
              <w:top w:val="nil"/>
              <w:left w:val="dashed" w:sz="4" w:space="0" w:color="000000" w:themeColor="text1"/>
              <w:bottom w:val="nil"/>
              <w:right w:val="single" w:sz="4" w:space="0" w:color="000000" w:themeColor="text1"/>
            </w:tcBorders>
            <w:vAlign w:val="top"/>
            <w:hideMark/>
          </w:tcPr>
          <w:p w14:paraId="799FF3E6" w14:textId="0DA271B1" w:rsidR="00971D01" w:rsidRPr="007F6332" w:rsidRDefault="00971D01" w:rsidP="00971D0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22"/>
                <w:lang w:eastAsia="en-AU"/>
              </w:rPr>
            </w:pPr>
            <w:r w:rsidRPr="007F6332">
              <w:rPr>
                <w:rFonts w:cs="Arial"/>
              </w:rPr>
              <w:t>96,966</w:t>
            </w:r>
          </w:p>
        </w:tc>
        <w:tc>
          <w:tcPr>
            <w:tcW w:w="1204" w:type="dxa"/>
            <w:tcBorders>
              <w:left w:val="single" w:sz="4" w:space="0" w:color="000000" w:themeColor="text1"/>
            </w:tcBorders>
            <w:vAlign w:val="top"/>
            <w:hideMark/>
          </w:tcPr>
          <w:p w14:paraId="085CBDF0" w14:textId="2BF04C79" w:rsidR="00971D01" w:rsidRPr="007F6332" w:rsidRDefault="00971D01" w:rsidP="00971D0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rPr>
              <w:t>188,103</w:t>
            </w:r>
          </w:p>
        </w:tc>
      </w:tr>
      <w:tr w:rsidR="009757CB" w:rsidRPr="007F6332" w14:paraId="400EE02C" w14:textId="77777777" w:rsidTr="008A7ABE">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54" w:type="dxa"/>
            <w:hideMark/>
          </w:tcPr>
          <w:p w14:paraId="3F330066"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Impact of revised mortality assumptions</w:t>
            </w:r>
          </w:p>
        </w:tc>
        <w:tc>
          <w:tcPr>
            <w:tcW w:w="1141" w:type="dxa"/>
            <w:hideMark/>
          </w:tcPr>
          <w:p w14:paraId="22A31329" w14:textId="3CB28823" w:rsidR="00893BA1" w:rsidRPr="007F6332" w:rsidRDefault="00BB347E">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w:t>
            </w:r>
          </w:p>
        </w:tc>
        <w:tc>
          <w:tcPr>
            <w:tcW w:w="1125" w:type="dxa"/>
            <w:hideMark/>
          </w:tcPr>
          <w:p w14:paraId="6522D805" w14:textId="281D79D0"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w:t>
            </w:r>
            <w:r w:rsidR="00BB347E" w:rsidRPr="007F6332">
              <w:rPr>
                <w:rFonts w:eastAsia="Times New Roman" w:cs="Arial"/>
                <w:color w:val="000000"/>
                <w:szCs w:val="22"/>
                <w:lang w:eastAsia="en-AU"/>
              </w:rPr>
              <w:t>1</w:t>
            </w:r>
          </w:p>
        </w:tc>
        <w:tc>
          <w:tcPr>
            <w:tcW w:w="1134" w:type="dxa"/>
            <w:hideMark/>
          </w:tcPr>
          <w:p w14:paraId="04C626A4" w14:textId="0DD6E4E7"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w:t>
            </w:r>
            <w:r w:rsidR="00BB347E" w:rsidRPr="007F6332">
              <w:rPr>
                <w:rFonts w:eastAsia="Times New Roman" w:cs="Arial"/>
                <w:color w:val="000000"/>
                <w:szCs w:val="22"/>
                <w:lang w:eastAsia="en-AU"/>
              </w:rPr>
              <w:t>10</w:t>
            </w:r>
          </w:p>
        </w:tc>
        <w:tc>
          <w:tcPr>
            <w:tcW w:w="1117" w:type="dxa"/>
            <w:tcBorders>
              <w:right w:val="dashed" w:sz="4" w:space="0" w:color="000000" w:themeColor="text1"/>
            </w:tcBorders>
            <w:hideMark/>
          </w:tcPr>
          <w:p w14:paraId="40C5077E" w14:textId="08181836"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-25</w:t>
            </w:r>
          </w:p>
        </w:tc>
        <w:tc>
          <w:tcPr>
            <w:tcW w:w="1126" w:type="dxa"/>
            <w:tcBorders>
              <w:top w:val="nil"/>
              <w:left w:val="dashed" w:sz="4" w:space="0" w:color="000000" w:themeColor="text1"/>
              <w:bottom w:val="nil"/>
              <w:right w:val="single" w:sz="4" w:space="0" w:color="000000" w:themeColor="text1"/>
            </w:tcBorders>
            <w:hideMark/>
          </w:tcPr>
          <w:p w14:paraId="61BD432A" w14:textId="77777777"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FF0000"/>
                <w:szCs w:val="22"/>
                <w:lang w:eastAsia="en-AU"/>
              </w:rPr>
            </w:pPr>
            <w:r w:rsidRPr="007F6332">
              <w:rPr>
                <w:rFonts w:cs="Arial"/>
                <w:szCs w:val="22"/>
              </w:rPr>
              <w:t>-242</w:t>
            </w:r>
          </w:p>
        </w:tc>
        <w:tc>
          <w:tcPr>
            <w:tcW w:w="1204" w:type="dxa"/>
            <w:tcBorders>
              <w:left w:val="single" w:sz="4" w:space="0" w:color="000000" w:themeColor="text1"/>
            </w:tcBorders>
            <w:hideMark/>
          </w:tcPr>
          <w:p w14:paraId="34C68CA8" w14:textId="1F657C20" w:rsidR="00893BA1" w:rsidRPr="007F6332" w:rsidRDefault="00893BA1">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w:t>
            </w:r>
            <w:r w:rsidR="00002942" w:rsidRPr="007F6332">
              <w:rPr>
                <w:rFonts w:eastAsia="Times New Roman" w:cs="Arial"/>
                <w:color w:val="000000"/>
                <w:szCs w:val="22"/>
                <w:lang w:eastAsia="en-AU"/>
              </w:rPr>
              <w:t>3</w:t>
            </w:r>
          </w:p>
        </w:tc>
      </w:tr>
      <w:tr w:rsidR="009757CB" w:rsidRPr="007F6332" w14:paraId="3A4A49F3" w14:textId="77777777" w:rsidTr="008A7ABE">
        <w:trPr>
          <w:trHeight w:val="280"/>
        </w:trPr>
        <w:tc>
          <w:tcPr>
            <w:cnfStyle w:val="001000000000" w:firstRow="0" w:lastRow="0" w:firstColumn="1" w:lastColumn="0" w:oddVBand="0" w:evenVBand="0" w:oddHBand="0" w:evenHBand="0" w:firstRowFirstColumn="0" w:firstRowLastColumn="0" w:lastRowFirstColumn="0" w:lastRowLastColumn="0"/>
            <w:tcW w:w="2654" w:type="dxa"/>
            <w:shd w:val="clear" w:color="auto" w:fill="B799B4"/>
            <w:noWrap/>
            <w:hideMark/>
          </w:tcPr>
          <w:p w14:paraId="15BADB58" w14:textId="77777777" w:rsidR="00893BA1" w:rsidRPr="007F6332" w:rsidRDefault="00893BA1">
            <w:pPr>
              <w:spacing w:line="240" w:lineRule="auto"/>
              <w:rPr>
                <w:rFonts w:eastAsia="Times New Roman" w:cs="Arial"/>
                <w:color w:val="000000"/>
                <w:szCs w:val="22"/>
                <w:lang w:eastAsia="en-AU"/>
              </w:rPr>
            </w:pPr>
            <w:r w:rsidRPr="007F6332">
              <w:rPr>
                <w:rFonts w:eastAsia="Times New Roman" w:cs="Arial"/>
                <w:color w:val="000000"/>
                <w:szCs w:val="22"/>
                <w:lang w:eastAsia="en-AU"/>
              </w:rPr>
              <w:t>% impact on Scheme expense</w:t>
            </w:r>
          </w:p>
        </w:tc>
        <w:tc>
          <w:tcPr>
            <w:tcW w:w="1141" w:type="dxa"/>
            <w:shd w:val="clear" w:color="auto" w:fill="B799B4"/>
            <w:hideMark/>
          </w:tcPr>
          <w:p w14:paraId="3C7D6CE6"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0.01%</w:t>
            </w:r>
          </w:p>
        </w:tc>
        <w:tc>
          <w:tcPr>
            <w:tcW w:w="1125" w:type="dxa"/>
            <w:shd w:val="clear" w:color="auto" w:fill="B799B4"/>
            <w:hideMark/>
          </w:tcPr>
          <w:p w14:paraId="32C79AA8"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0.00%</w:t>
            </w:r>
          </w:p>
        </w:tc>
        <w:tc>
          <w:tcPr>
            <w:tcW w:w="1134" w:type="dxa"/>
            <w:shd w:val="clear" w:color="auto" w:fill="B799B4"/>
            <w:hideMark/>
          </w:tcPr>
          <w:p w14:paraId="2E84F679"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-0.02%</w:t>
            </w:r>
          </w:p>
        </w:tc>
        <w:tc>
          <w:tcPr>
            <w:tcW w:w="1117" w:type="dxa"/>
            <w:tcBorders>
              <w:right w:val="dashed" w:sz="4" w:space="0" w:color="000000" w:themeColor="text1"/>
            </w:tcBorders>
            <w:shd w:val="clear" w:color="auto" w:fill="B799B4"/>
            <w:hideMark/>
          </w:tcPr>
          <w:p w14:paraId="3DF058D3"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-0.04%</w:t>
            </w:r>
          </w:p>
        </w:tc>
        <w:tc>
          <w:tcPr>
            <w:tcW w:w="1126" w:type="dxa"/>
            <w:tcBorders>
              <w:top w:val="nil"/>
              <w:left w:val="dashed" w:sz="4" w:space="0" w:color="000000" w:themeColor="text1"/>
              <w:bottom w:val="single" w:sz="4" w:space="0" w:color="auto"/>
              <w:right w:val="single" w:sz="4" w:space="0" w:color="000000" w:themeColor="text1"/>
            </w:tcBorders>
            <w:shd w:val="clear" w:color="auto" w:fill="B799B4"/>
            <w:hideMark/>
          </w:tcPr>
          <w:p w14:paraId="488C5A76"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cs="Arial"/>
                <w:color w:val="000000"/>
                <w:szCs w:val="22"/>
              </w:rPr>
              <w:t>-0.25%</w:t>
            </w:r>
          </w:p>
        </w:tc>
        <w:tc>
          <w:tcPr>
            <w:tcW w:w="1204" w:type="dxa"/>
            <w:tcBorders>
              <w:left w:val="single" w:sz="4" w:space="0" w:color="000000" w:themeColor="text1"/>
            </w:tcBorders>
            <w:shd w:val="clear" w:color="auto" w:fill="B799B4"/>
            <w:hideMark/>
          </w:tcPr>
          <w:p w14:paraId="4B774977" w14:textId="77777777" w:rsidR="00893BA1" w:rsidRPr="007F6332" w:rsidRDefault="00893BA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-0.02%</w:t>
            </w:r>
          </w:p>
        </w:tc>
      </w:tr>
    </w:tbl>
    <w:p w14:paraId="6538C18F" w14:textId="77777777" w:rsidR="00AD33D4" w:rsidRPr="007F6332" w:rsidRDefault="00AD33D4" w:rsidP="00AD33D4">
      <w:pPr>
        <w:rPr>
          <w:rFonts w:cs="Arial"/>
        </w:rPr>
        <w:sectPr w:rsidR="00AD33D4" w:rsidRPr="007F6332" w:rsidSect="00CE7E91">
          <w:pgSz w:w="11906" w:h="16838"/>
          <w:pgMar w:top="1440" w:right="1416" w:bottom="1440" w:left="1440" w:header="708" w:footer="850" w:gutter="0"/>
          <w:cols w:space="708"/>
          <w:titlePg/>
          <w:docGrid w:linePitch="360"/>
        </w:sectPr>
      </w:pPr>
    </w:p>
    <w:p w14:paraId="4D667A5E" w14:textId="175DCBD6" w:rsidR="00AD33D4" w:rsidRPr="007F6332" w:rsidRDefault="00AD33D4" w:rsidP="008B34A8">
      <w:pPr>
        <w:pStyle w:val="FSRHeading3"/>
      </w:pPr>
      <w:bookmarkStart w:id="314" w:name="_Toc152615026"/>
      <w:r w:rsidRPr="007F6332">
        <w:lastRenderedPageBreak/>
        <w:t xml:space="preserve">Appendix </w:t>
      </w:r>
      <w:r w:rsidR="007A7CBF" w:rsidRPr="007F6332">
        <w:t>I</w:t>
      </w:r>
      <w:r w:rsidR="00165BFB" w:rsidRPr="007F6332">
        <w:tab/>
      </w:r>
      <w:r w:rsidR="00165BFB" w:rsidRPr="007F6332">
        <w:tab/>
        <w:t>Participants with SIL supports</w:t>
      </w:r>
      <w:bookmarkEnd w:id="314"/>
    </w:p>
    <w:p w14:paraId="08F10D23" w14:textId="77777777" w:rsidR="00C112E5" w:rsidRPr="007F6332" w:rsidRDefault="00C112E5" w:rsidP="008B34A8">
      <w:pPr>
        <w:pStyle w:val="FSRHeading4"/>
      </w:pPr>
      <w:r w:rsidRPr="007F6332">
        <w:t>Background</w:t>
      </w:r>
    </w:p>
    <w:p w14:paraId="3B31ECDD" w14:textId="77777777" w:rsidR="008634C3" w:rsidRPr="007F6332" w:rsidRDefault="008634C3" w:rsidP="008634C3">
      <w:pPr>
        <w:rPr>
          <w:rFonts w:cs="Arial"/>
        </w:rPr>
      </w:pPr>
      <w:r w:rsidRPr="007F6332">
        <w:rPr>
          <w:rFonts w:cs="Arial"/>
        </w:rPr>
        <w:t xml:space="preserve">For the June 2022 projections and prior projections, participants with SIL have been projected based on an assumed proportion (percentage) of participants with SIL in the Scheme by primary disability. Given the relative immaturity of the Scheme at the time, with the number of participants with SIL accounting for about 5% of total participants, this approach provided a reasonable estimate of participants with SIL supports. </w:t>
      </w:r>
    </w:p>
    <w:p w14:paraId="0558AA17" w14:textId="18A9907A" w:rsidR="008634C3" w:rsidRPr="007F6332" w:rsidRDefault="008634C3" w:rsidP="008634C3">
      <w:pPr>
        <w:rPr>
          <w:rFonts w:cs="Arial"/>
        </w:rPr>
      </w:pPr>
      <w:r w:rsidRPr="007F6332">
        <w:rPr>
          <w:rFonts w:cs="Arial"/>
        </w:rPr>
        <w:t xml:space="preserve">However, payments for participants with SIL represent around </w:t>
      </w:r>
      <w:r w:rsidR="004134BC" w:rsidRPr="007F6332">
        <w:rPr>
          <w:rFonts w:cs="Arial"/>
        </w:rPr>
        <w:t>33</w:t>
      </w:r>
      <w:r w:rsidRPr="007F6332">
        <w:rPr>
          <w:rFonts w:cs="Arial"/>
        </w:rPr>
        <w:t xml:space="preserve">% of total Scheme expenses. As the Scheme continues to evolve and, in particular, as the number of participants with SIL has increased significantly over the most recent 12 months, it is necessary to more accurately project participants with SIL supports to better understand the drivers of the future costs of the Scheme.  </w:t>
      </w:r>
    </w:p>
    <w:p w14:paraId="2A360A90" w14:textId="77777777" w:rsidR="00C112E5" w:rsidRPr="007F6332" w:rsidRDefault="00C112E5" w:rsidP="008B34A8">
      <w:pPr>
        <w:pStyle w:val="FSRHeading4"/>
      </w:pPr>
      <w:r w:rsidRPr="007F6332">
        <w:t>New approach on modelling partici</w:t>
      </w:r>
      <w:r w:rsidRPr="008B34A8">
        <w:t>p</w:t>
      </w:r>
      <w:r w:rsidRPr="007F6332">
        <w:t xml:space="preserve">ants with SIL </w:t>
      </w:r>
    </w:p>
    <w:p w14:paraId="4A436759" w14:textId="3E594F86" w:rsidR="008634C3" w:rsidRPr="007F6332" w:rsidRDefault="008634C3" w:rsidP="008634C3">
      <w:pPr>
        <w:rPr>
          <w:rFonts w:cs="Arial"/>
        </w:rPr>
      </w:pPr>
      <w:bookmarkStart w:id="315" w:name="_Hlk147324676"/>
      <w:r w:rsidRPr="007F6332">
        <w:rPr>
          <w:rFonts w:cs="Arial"/>
        </w:rPr>
        <w:t xml:space="preserve">Prior to the June 2023 projections, the number of participants with SIL supports were projected based on an assumed proportion of total participants (inclusive of participants with and without SIL supports). Consequently, it was not possible to capture the projected numbers of participants transitioning into SIL arrangements, or other movements, using this approach. </w:t>
      </w:r>
      <w:bookmarkEnd w:id="315"/>
      <w:r w:rsidRPr="007F6332">
        <w:rPr>
          <w:rFonts w:cs="Arial"/>
        </w:rPr>
        <w:t>To address this limitation, in the June 2023 projections, future numbers of participants with SIL were projected based on an assumed rates of participants transitioning to SIL.</w:t>
      </w:r>
    </w:p>
    <w:p w14:paraId="11CCC473" w14:textId="6E1EE6C4" w:rsidR="00C112E5" w:rsidRPr="007F6332" w:rsidRDefault="00C112E5" w:rsidP="00C112E5">
      <w:pPr>
        <w:rPr>
          <w:rFonts w:cs="Arial"/>
        </w:rPr>
      </w:pPr>
      <w:r w:rsidRPr="007F6332">
        <w:rPr>
          <w:rFonts w:cs="Arial"/>
        </w:rPr>
        <w:t xml:space="preserve">The overall SIL transition rates </w:t>
      </w:r>
      <w:r w:rsidR="008634C3" w:rsidRPr="007F6332">
        <w:rPr>
          <w:rFonts w:cs="Arial"/>
        </w:rPr>
        <w:t>were</w:t>
      </w:r>
      <w:r w:rsidRPr="007F6332">
        <w:rPr>
          <w:rFonts w:cs="Arial"/>
        </w:rPr>
        <w:t xml:space="preserve"> set with two main considerations: </w:t>
      </w:r>
    </w:p>
    <w:p w14:paraId="77991B75" w14:textId="0CA99C75" w:rsidR="00C112E5" w:rsidRPr="007F6332" w:rsidRDefault="00B86180" w:rsidP="00CE7E91">
      <w:pPr>
        <w:pStyle w:val="ListParagraph"/>
        <w:numPr>
          <w:ilvl w:val="0"/>
          <w:numId w:val="45"/>
        </w:numPr>
        <w:spacing w:after="120"/>
        <w:ind w:left="357" w:hanging="357"/>
        <w:contextualSpacing w:val="0"/>
        <w:rPr>
          <w:rFonts w:cs="Arial"/>
        </w:rPr>
      </w:pPr>
      <w:r w:rsidRPr="007F6332">
        <w:rPr>
          <w:rFonts w:cs="Arial"/>
          <w:b/>
          <w:bCs/>
        </w:rPr>
        <w:t>The p</w:t>
      </w:r>
      <w:r w:rsidR="00C112E5" w:rsidRPr="007F6332">
        <w:rPr>
          <w:rFonts w:cs="Arial"/>
          <w:b/>
          <w:bCs/>
        </w:rPr>
        <w:t>rofile of participants transitioning into SIL for the first time</w:t>
      </w:r>
      <w:r w:rsidRPr="007F6332">
        <w:rPr>
          <w:rFonts w:cs="Arial"/>
          <w:b/>
          <w:bCs/>
        </w:rPr>
        <w:t>.</w:t>
      </w:r>
      <w:r w:rsidR="00C112E5" w:rsidRPr="007F6332">
        <w:rPr>
          <w:rFonts w:cs="Arial"/>
        </w:rPr>
        <w:t xml:space="preserve"> </w:t>
      </w:r>
      <w:r w:rsidRPr="007F6332">
        <w:rPr>
          <w:rFonts w:cs="Arial"/>
        </w:rPr>
        <w:t>T</w:t>
      </w:r>
      <w:r w:rsidR="00C112E5" w:rsidRPr="007F6332">
        <w:rPr>
          <w:rFonts w:cs="Arial"/>
        </w:rPr>
        <w:t>he SIL transition rates are calculated based on the exposure of participants without SIL reflecting the recent experience by</w:t>
      </w:r>
      <w:r w:rsidRPr="007F6332">
        <w:rPr>
          <w:rFonts w:cs="Arial"/>
        </w:rPr>
        <w:t>:</w:t>
      </w:r>
    </w:p>
    <w:p w14:paraId="47BF53BC" w14:textId="30AD654E" w:rsidR="00C112E5" w:rsidRPr="007F6332" w:rsidRDefault="00B421BE" w:rsidP="00CE7E91">
      <w:pPr>
        <w:pStyle w:val="ListParagraph"/>
        <w:numPr>
          <w:ilvl w:val="1"/>
          <w:numId w:val="48"/>
        </w:numPr>
        <w:spacing w:after="120"/>
        <w:ind w:left="709"/>
        <w:contextualSpacing w:val="0"/>
        <w:rPr>
          <w:rFonts w:cs="Arial"/>
        </w:rPr>
      </w:pPr>
      <w:r w:rsidRPr="007F6332">
        <w:rPr>
          <w:rFonts w:cs="Arial"/>
          <w:b/>
          <w:bCs/>
        </w:rPr>
        <w:t>P</w:t>
      </w:r>
      <w:r w:rsidR="00C112E5" w:rsidRPr="007F6332">
        <w:rPr>
          <w:rFonts w:cs="Arial"/>
          <w:b/>
          <w:bCs/>
        </w:rPr>
        <w:t>rimary disability group</w:t>
      </w:r>
      <w:r w:rsidR="00C112E5" w:rsidRPr="007F6332">
        <w:rPr>
          <w:rFonts w:cs="Arial"/>
        </w:rPr>
        <w:t xml:space="preserve"> – participants with different primary disability have vastly different experience on transition into SIL and is the main differentiator of likelihood of requiring SIL.</w:t>
      </w:r>
    </w:p>
    <w:p w14:paraId="11FC336F" w14:textId="2A46AC07" w:rsidR="00C112E5" w:rsidRPr="007F6332" w:rsidRDefault="00B421BE" w:rsidP="00CE7E91">
      <w:pPr>
        <w:pStyle w:val="ListParagraph"/>
        <w:numPr>
          <w:ilvl w:val="1"/>
          <w:numId w:val="48"/>
        </w:numPr>
        <w:spacing w:after="120"/>
        <w:ind w:left="709"/>
        <w:contextualSpacing w:val="0"/>
        <w:rPr>
          <w:rFonts w:cs="Arial"/>
        </w:rPr>
      </w:pPr>
      <w:r w:rsidRPr="007F6332">
        <w:rPr>
          <w:rFonts w:cs="Arial"/>
          <w:b/>
          <w:bCs/>
        </w:rPr>
        <w:t>L</w:t>
      </w:r>
      <w:r w:rsidR="00C112E5" w:rsidRPr="007F6332">
        <w:rPr>
          <w:rFonts w:cs="Arial"/>
          <w:b/>
          <w:bCs/>
        </w:rPr>
        <w:t>evel of function</w:t>
      </w:r>
      <w:r w:rsidR="00C112E5" w:rsidRPr="007F6332">
        <w:rPr>
          <w:rFonts w:cs="Arial"/>
        </w:rPr>
        <w:t xml:space="preserve"> – participants with a lower functioning capacity require greater support and more likely to access SIL compared to their higher functioning counterparts.</w:t>
      </w:r>
    </w:p>
    <w:p w14:paraId="134DDE87" w14:textId="2E2784EB" w:rsidR="00C112E5" w:rsidRPr="007F6332" w:rsidRDefault="00B421BE" w:rsidP="00CE7E91">
      <w:pPr>
        <w:pStyle w:val="ListParagraph"/>
        <w:numPr>
          <w:ilvl w:val="1"/>
          <w:numId w:val="48"/>
        </w:numPr>
        <w:spacing w:after="120"/>
        <w:ind w:left="709"/>
        <w:contextualSpacing w:val="0"/>
        <w:rPr>
          <w:rFonts w:cs="Arial"/>
        </w:rPr>
      </w:pPr>
      <w:r w:rsidRPr="007F6332">
        <w:rPr>
          <w:rFonts w:cs="Arial"/>
          <w:b/>
          <w:bCs/>
        </w:rPr>
        <w:t>A</w:t>
      </w:r>
      <w:r w:rsidR="00C112E5" w:rsidRPr="007F6332">
        <w:rPr>
          <w:rFonts w:cs="Arial"/>
          <w:b/>
          <w:bCs/>
        </w:rPr>
        <w:t>ge group</w:t>
      </w:r>
      <w:r w:rsidR="00C112E5" w:rsidRPr="007F6332">
        <w:rPr>
          <w:rFonts w:cs="Arial"/>
        </w:rPr>
        <w:t xml:space="preserve"> – rates of transition into SIL increase with age up to age 65 reflecting different key life stages. For example, late teen (ages 15-18) transitioning into adulthood and living independently, late adulthood (ages 45-64) when parents/ guardians/ carers may no longer be able to provide informal supports, and age 65 and above where the option of Residential Age Care becomes available.</w:t>
      </w:r>
    </w:p>
    <w:p w14:paraId="2D5E932C" w14:textId="446CD1F3" w:rsidR="00C112E5" w:rsidRPr="007F6332" w:rsidRDefault="00B86180" w:rsidP="00CE7E91">
      <w:pPr>
        <w:pStyle w:val="ListParagraph"/>
        <w:numPr>
          <w:ilvl w:val="0"/>
          <w:numId w:val="45"/>
        </w:numPr>
        <w:spacing w:after="120"/>
        <w:ind w:left="357" w:hanging="357"/>
        <w:contextualSpacing w:val="0"/>
        <w:rPr>
          <w:rFonts w:cs="Arial"/>
        </w:rPr>
      </w:pPr>
      <w:r w:rsidRPr="007F6332">
        <w:rPr>
          <w:rFonts w:cs="Arial"/>
          <w:b/>
          <w:bCs/>
        </w:rPr>
        <w:t>The o</w:t>
      </w:r>
      <w:r w:rsidR="00C112E5" w:rsidRPr="007F6332">
        <w:rPr>
          <w:rFonts w:cs="Arial"/>
          <w:b/>
          <w:bCs/>
        </w:rPr>
        <w:t xml:space="preserve">verall projected number of participants </w:t>
      </w:r>
      <w:r w:rsidRPr="007F6332">
        <w:rPr>
          <w:rFonts w:cs="Arial"/>
          <w:b/>
          <w:bCs/>
        </w:rPr>
        <w:t xml:space="preserve">expected to </w:t>
      </w:r>
      <w:r w:rsidR="00C112E5" w:rsidRPr="007F6332">
        <w:rPr>
          <w:rFonts w:cs="Arial"/>
          <w:b/>
          <w:bCs/>
        </w:rPr>
        <w:t xml:space="preserve">access SIL </w:t>
      </w:r>
      <w:r w:rsidRPr="007F6332">
        <w:rPr>
          <w:rFonts w:cs="Arial"/>
          <w:b/>
          <w:bCs/>
        </w:rPr>
        <w:t xml:space="preserve">in </w:t>
      </w:r>
      <w:r w:rsidR="00C112E5" w:rsidRPr="007F6332">
        <w:rPr>
          <w:rFonts w:cs="Arial"/>
          <w:b/>
          <w:bCs/>
        </w:rPr>
        <w:t>a given year</w:t>
      </w:r>
      <w:r w:rsidRPr="007F6332">
        <w:rPr>
          <w:rFonts w:cs="Arial"/>
          <w:b/>
          <w:bCs/>
        </w:rPr>
        <w:t>.</w:t>
      </w:r>
      <w:r w:rsidR="00C112E5" w:rsidRPr="007F6332">
        <w:rPr>
          <w:rFonts w:cs="Arial"/>
        </w:rPr>
        <w:t xml:space="preserve"> This takes into consideration recent Scheme experience, Home and Living </w:t>
      </w:r>
      <w:r w:rsidR="00C112E5" w:rsidRPr="007F6332">
        <w:rPr>
          <w:rFonts w:cs="Arial"/>
        </w:rPr>
        <w:lastRenderedPageBreak/>
        <w:t>eligibility decisions for SIL, operational changes</w:t>
      </w:r>
      <w:r w:rsidRPr="007F6332">
        <w:rPr>
          <w:rFonts w:cs="Arial"/>
        </w:rPr>
        <w:t>,</w:t>
      </w:r>
      <w:r w:rsidR="00C112E5" w:rsidRPr="007F6332">
        <w:rPr>
          <w:rFonts w:cs="Arial"/>
        </w:rPr>
        <w:t xml:space="preserve"> </w:t>
      </w:r>
      <w:r w:rsidR="002D6881" w:rsidRPr="007F6332">
        <w:rPr>
          <w:rFonts w:cs="Arial"/>
        </w:rPr>
        <w:t>Budget initiatives</w:t>
      </w:r>
      <w:r w:rsidR="00C112E5" w:rsidRPr="007F6332">
        <w:rPr>
          <w:rFonts w:cs="Arial"/>
        </w:rPr>
        <w:t xml:space="preserve"> related to accessing SIL supports</w:t>
      </w:r>
      <w:r w:rsidRPr="007F6332">
        <w:rPr>
          <w:rFonts w:cs="Arial"/>
        </w:rPr>
        <w:t xml:space="preserve">, </w:t>
      </w:r>
      <w:r w:rsidR="00C112E5" w:rsidRPr="007F6332">
        <w:rPr>
          <w:rFonts w:cs="Arial"/>
        </w:rPr>
        <w:t xml:space="preserve">and </w:t>
      </w:r>
      <w:r w:rsidRPr="007F6332">
        <w:rPr>
          <w:rFonts w:cs="Arial"/>
        </w:rPr>
        <w:t xml:space="preserve">consultation </w:t>
      </w:r>
      <w:r w:rsidR="00C112E5" w:rsidRPr="007F6332">
        <w:rPr>
          <w:rFonts w:cs="Arial"/>
        </w:rPr>
        <w:t xml:space="preserve">with </w:t>
      </w:r>
      <w:r w:rsidRPr="007F6332">
        <w:rPr>
          <w:rFonts w:cs="Arial"/>
        </w:rPr>
        <w:t xml:space="preserve">the </w:t>
      </w:r>
      <w:r w:rsidR="00C112E5" w:rsidRPr="007F6332">
        <w:rPr>
          <w:rFonts w:cs="Arial"/>
        </w:rPr>
        <w:t xml:space="preserve">Home and Living specialists </w:t>
      </w:r>
      <w:r w:rsidRPr="007F6332">
        <w:rPr>
          <w:rFonts w:cs="Arial"/>
        </w:rPr>
        <w:t>with</w:t>
      </w:r>
      <w:r w:rsidR="00C112E5" w:rsidRPr="007F6332">
        <w:rPr>
          <w:rFonts w:cs="Arial"/>
        </w:rPr>
        <w:t xml:space="preserve">in the Agency. </w:t>
      </w:r>
    </w:p>
    <w:p w14:paraId="2040C652" w14:textId="476A0C94" w:rsidR="00C112E5" w:rsidRPr="007F6332" w:rsidRDefault="00C112E5" w:rsidP="00C112E5">
      <w:pPr>
        <w:rPr>
          <w:rFonts w:cs="Arial"/>
        </w:rPr>
      </w:pPr>
      <w:r w:rsidRPr="007F6332">
        <w:rPr>
          <w:rFonts w:cs="Arial"/>
        </w:rPr>
        <w:t>The new modelling approach assume</w:t>
      </w:r>
      <w:r w:rsidR="00B86180" w:rsidRPr="007F6332">
        <w:rPr>
          <w:rFonts w:cs="Arial"/>
        </w:rPr>
        <w:t>s that</w:t>
      </w:r>
      <w:r w:rsidRPr="007F6332">
        <w:rPr>
          <w:rFonts w:cs="Arial"/>
        </w:rPr>
        <w:t xml:space="preserve"> once participants begin accessing SIL, they continue to access SIL </w:t>
      </w:r>
      <w:r w:rsidR="00B86180" w:rsidRPr="007F6332">
        <w:rPr>
          <w:rFonts w:cs="Arial"/>
        </w:rPr>
        <w:t xml:space="preserve">until they pass away </w:t>
      </w:r>
      <w:r w:rsidRPr="007F6332">
        <w:rPr>
          <w:rFonts w:cs="Arial"/>
        </w:rPr>
        <w:t>or transition into age</w:t>
      </w:r>
      <w:r w:rsidR="00B86180" w:rsidRPr="007F6332">
        <w:rPr>
          <w:rFonts w:cs="Arial"/>
        </w:rPr>
        <w:t>d</w:t>
      </w:r>
      <w:r w:rsidRPr="007F6332">
        <w:rPr>
          <w:rFonts w:cs="Arial"/>
        </w:rPr>
        <w:t xml:space="preserve"> care at age 65 or above. While experience has shown some participants appear to cease accessing SIL, </w:t>
      </w:r>
      <w:r w:rsidR="00B86180" w:rsidRPr="007F6332">
        <w:rPr>
          <w:rFonts w:cs="Arial"/>
        </w:rPr>
        <w:t xml:space="preserve">in </w:t>
      </w:r>
      <w:r w:rsidR="00F27331" w:rsidRPr="007F6332">
        <w:rPr>
          <w:rFonts w:cs="Arial"/>
        </w:rPr>
        <w:t>most</w:t>
      </w:r>
      <w:r w:rsidR="00B86180" w:rsidRPr="007F6332">
        <w:rPr>
          <w:rFonts w:cs="Arial"/>
        </w:rPr>
        <w:t xml:space="preserve"> cases, the </w:t>
      </w:r>
      <w:r w:rsidRPr="007F6332">
        <w:rPr>
          <w:rFonts w:cs="Arial"/>
        </w:rPr>
        <w:t xml:space="preserve">participants </w:t>
      </w:r>
      <w:r w:rsidR="00B86180" w:rsidRPr="007F6332">
        <w:rPr>
          <w:rFonts w:cs="Arial"/>
        </w:rPr>
        <w:t xml:space="preserve">are observed to </w:t>
      </w:r>
      <w:r w:rsidRPr="007F6332">
        <w:rPr>
          <w:rFonts w:cs="Arial"/>
        </w:rPr>
        <w:t xml:space="preserve">re-enter SIL and their annual plan budget remains higher than average participants without SIL. </w:t>
      </w:r>
      <w:r w:rsidR="00B86180" w:rsidRPr="007F6332">
        <w:rPr>
          <w:rFonts w:cs="Arial"/>
        </w:rPr>
        <w:t>T</w:t>
      </w:r>
      <w:r w:rsidRPr="007F6332">
        <w:rPr>
          <w:rFonts w:cs="Arial"/>
        </w:rPr>
        <w:t xml:space="preserve">he reliability of identifying participants with SIL remains uncertain. This is further discussed as a data limitation in </w:t>
      </w:r>
      <w:r w:rsidR="00B421BE" w:rsidRPr="007F6332">
        <w:rPr>
          <w:rFonts w:cs="Arial"/>
        </w:rPr>
        <w:t xml:space="preserve">Section </w:t>
      </w:r>
      <w:r w:rsidRPr="007F6332">
        <w:rPr>
          <w:rFonts w:cs="Arial"/>
        </w:rPr>
        <w:t>2.1 of the 2022-23 AFSR. Incorporating modelling of participants transition</w:t>
      </w:r>
      <w:r w:rsidR="00B86180" w:rsidRPr="007F6332">
        <w:rPr>
          <w:rFonts w:cs="Arial"/>
        </w:rPr>
        <w:t>ing</w:t>
      </w:r>
      <w:r w:rsidRPr="007F6332">
        <w:rPr>
          <w:rFonts w:cs="Arial"/>
        </w:rPr>
        <w:t xml:space="preserve"> out of SIL support</w:t>
      </w:r>
      <w:r w:rsidR="00B86180" w:rsidRPr="007F6332">
        <w:rPr>
          <w:rFonts w:cs="Arial"/>
        </w:rPr>
        <w:t>s</w:t>
      </w:r>
      <w:r w:rsidRPr="007F6332">
        <w:rPr>
          <w:rFonts w:cs="Arial"/>
        </w:rPr>
        <w:t xml:space="preserve"> could understate the overall Scheme expenditure. </w:t>
      </w:r>
    </w:p>
    <w:p w14:paraId="0C1DEDCB" w14:textId="77777777" w:rsidR="00C112E5" w:rsidRPr="007F6332" w:rsidRDefault="00C112E5" w:rsidP="008B34A8">
      <w:pPr>
        <w:pStyle w:val="FSRHeading4"/>
      </w:pPr>
      <w:r w:rsidRPr="007F6332">
        <w:t>Transition of participants accessing SIL for the first time</w:t>
      </w:r>
    </w:p>
    <w:p w14:paraId="73382B8E" w14:textId="0A0D1F79" w:rsidR="00C112E5" w:rsidRPr="007F6332" w:rsidRDefault="00B421BE" w:rsidP="00C112E5">
      <w:pPr>
        <w:rPr>
          <w:rFonts w:cs="Arial"/>
        </w:rPr>
      </w:pPr>
      <w:r w:rsidRPr="007F6332">
        <w:rPr>
          <w:rFonts w:cs="Arial"/>
        </w:rPr>
        <w:t xml:space="preserve">Figure </w:t>
      </w:r>
      <w:r w:rsidR="009028ED" w:rsidRPr="007F6332">
        <w:rPr>
          <w:rFonts w:cs="Arial"/>
        </w:rPr>
        <w:t>I.</w:t>
      </w:r>
      <w:r w:rsidRPr="007F6332">
        <w:rPr>
          <w:rFonts w:cs="Arial"/>
        </w:rPr>
        <w:t>1</w:t>
      </w:r>
      <w:r w:rsidR="00C112E5" w:rsidRPr="007F6332">
        <w:rPr>
          <w:rFonts w:cs="Arial"/>
        </w:rPr>
        <w:t xml:space="preserve">, </w:t>
      </w:r>
      <w:r w:rsidRPr="007F6332">
        <w:rPr>
          <w:rFonts w:cs="Arial"/>
        </w:rPr>
        <w:t xml:space="preserve">Figure </w:t>
      </w:r>
      <w:r w:rsidR="009028ED" w:rsidRPr="007F6332">
        <w:rPr>
          <w:rFonts w:cs="Arial"/>
        </w:rPr>
        <w:t>I.</w:t>
      </w:r>
      <w:r w:rsidRPr="007F6332">
        <w:rPr>
          <w:rFonts w:cs="Arial"/>
        </w:rPr>
        <w:t xml:space="preserve">2, Figure </w:t>
      </w:r>
      <w:r w:rsidR="009028ED" w:rsidRPr="007F6332">
        <w:rPr>
          <w:rFonts w:cs="Arial"/>
        </w:rPr>
        <w:t>I.</w:t>
      </w:r>
      <w:r w:rsidRPr="007F6332">
        <w:rPr>
          <w:rFonts w:cs="Arial"/>
        </w:rPr>
        <w:t xml:space="preserve">3 and Figure </w:t>
      </w:r>
      <w:r w:rsidR="009028ED" w:rsidRPr="007F6332">
        <w:rPr>
          <w:rFonts w:cs="Arial"/>
        </w:rPr>
        <w:t>I.</w:t>
      </w:r>
      <w:r w:rsidRPr="007F6332">
        <w:rPr>
          <w:rFonts w:cs="Arial"/>
        </w:rPr>
        <w:t xml:space="preserve">4 </w:t>
      </w:r>
      <w:r w:rsidR="00C112E5" w:rsidRPr="007F6332">
        <w:rPr>
          <w:rFonts w:cs="Arial"/>
        </w:rPr>
        <w:t xml:space="preserve">show the number and proportion of participants accessing SIL for the first time over the past 2 years by primary disability group </w:t>
      </w:r>
      <w:r w:rsidR="00B86180" w:rsidRPr="007F6332">
        <w:rPr>
          <w:rFonts w:cs="Arial"/>
        </w:rPr>
        <w:t>and</w:t>
      </w:r>
      <w:r w:rsidR="00C112E5" w:rsidRPr="007F6332">
        <w:rPr>
          <w:rFonts w:cs="Arial"/>
        </w:rPr>
        <w:t xml:space="preserve"> age group.</w:t>
      </w:r>
    </w:p>
    <w:p w14:paraId="3BD13DB3" w14:textId="42AC620D" w:rsidR="00AD33D4" w:rsidRPr="007F6332" w:rsidRDefault="00C112E5" w:rsidP="00C112E5">
      <w:pPr>
        <w:rPr>
          <w:rFonts w:cs="Arial"/>
        </w:rPr>
      </w:pPr>
      <w:r w:rsidRPr="007F6332">
        <w:rPr>
          <w:rFonts w:cs="Arial"/>
        </w:rPr>
        <w:t>Participants accessing SIL supports for the first time has been trending upwards for the months up to January 2023, more than doubling over the average 6 months to June 2022. This peaked at around 800 new participants per month in November 2022 and January 2023 and have been reducing over the 5 months to Jun</w:t>
      </w:r>
      <w:r w:rsidR="000D3A25" w:rsidRPr="007F6332">
        <w:rPr>
          <w:rFonts w:cs="Arial"/>
        </w:rPr>
        <w:t>e 20</w:t>
      </w:r>
      <w:r w:rsidRPr="007F6332">
        <w:rPr>
          <w:rFonts w:cs="Arial"/>
        </w:rPr>
        <w:t xml:space="preserve">23. This was mainly driven by the </w:t>
      </w:r>
      <w:r w:rsidR="00C947F6" w:rsidRPr="007F6332">
        <w:rPr>
          <w:rFonts w:cs="Arial"/>
        </w:rPr>
        <w:t>changes in the Home and Living application process</w:t>
      </w:r>
      <w:r w:rsidRPr="007F6332">
        <w:rPr>
          <w:rFonts w:cs="Arial"/>
        </w:rPr>
        <w:t>. While the number of participants varie</w:t>
      </w:r>
      <w:r w:rsidR="00B86180" w:rsidRPr="007F6332">
        <w:rPr>
          <w:rFonts w:cs="Arial"/>
        </w:rPr>
        <w:t>d</w:t>
      </w:r>
      <w:r w:rsidRPr="007F6332">
        <w:rPr>
          <w:rFonts w:cs="Arial"/>
        </w:rPr>
        <w:t xml:space="preserve"> from month to month, the profile of participants transition</w:t>
      </w:r>
      <w:r w:rsidR="00B86180" w:rsidRPr="007F6332">
        <w:rPr>
          <w:rFonts w:cs="Arial"/>
        </w:rPr>
        <w:t>ing</w:t>
      </w:r>
      <w:r w:rsidRPr="007F6332">
        <w:rPr>
          <w:rFonts w:cs="Arial"/>
        </w:rPr>
        <w:t xml:space="preserve"> into SIL by primarily disability has been largely unchanged.</w:t>
      </w:r>
    </w:p>
    <w:p w14:paraId="3A0A283A" w14:textId="6857216B" w:rsidR="00553B31" w:rsidRPr="007F6332" w:rsidRDefault="00553B31" w:rsidP="008B34A8">
      <w:pPr>
        <w:pStyle w:val="FiguresandTablesHeading5"/>
      </w:pPr>
      <w:bookmarkStart w:id="316" w:name="_Hlk152280614"/>
      <w:r w:rsidRPr="007F6332">
        <w:t>Figure</w:t>
      </w:r>
      <w:r w:rsidR="009028ED" w:rsidRPr="007F6332">
        <w:t xml:space="preserve"> I.1: </w:t>
      </w:r>
      <w:r w:rsidRPr="007F6332">
        <w:t>Monthly participants age</w:t>
      </w:r>
      <w:r w:rsidR="00F27331" w:rsidRPr="007F6332">
        <w:t>d</w:t>
      </w:r>
      <w:r w:rsidRPr="007F6332">
        <w:t xml:space="preserve"> 15 and above that are new to SIL supports by primary disability group</w:t>
      </w:r>
    </w:p>
    <w:p w14:paraId="4A7E62A8" w14:textId="4109B26A" w:rsidR="007916C5" w:rsidRPr="007F6332" w:rsidRDefault="0017415A" w:rsidP="00C112E5">
      <w:pPr>
        <w:rPr>
          <w:rFonts w:cs="Arial"/>
        </w:rPr>
      </w:pPr>
      <w:r w:rsidRPr="007F6332">
        <w:rPr>
          <w:rFonts w:cs="Arial"/>
          <w:noProof/>
        </w:rPr>
        <w:drawing>
          <wp:inline distT="0" distB="0" distL="0" distR="0" wp14:anchorId="5F4B1592" wp14:editId="16713E9D">
            <wp:extent cx="6099041" cy="3456878"/>
            <wp:effectExtent l="0" t="0" r="0" b="0"/>
            <wp:docPr id="1335959915" name="Picture 2" descr="The bar chart shows the number of monthly participants age 15 and above that are new to SIL supports have increased from 241 in July 2021 to 842 in November 2022. &#10;Since November 2022 there has been a decreasing trend, from 838 in January 2023 to 299 in June 2023. The chart shows a split by disability group with the largest disability group being participants with intellectual disability (including Down Syndrom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59915" name="Picture 2" descr="The bar chart shows the number of monthly participants age 15 and above that are new to SIL supports have increased from 241 in July 2021 to 842 in November 2022. &#10;Since November 2022 there has been a decreasing trend, from 838 in January 2023 to 299 in June 2023. The chart shows a split by disability group with the largest disability group being participants with intellectual disability (including Down Syndrome). &#10;&#1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102547" cy="3458865"/>
                    </a:xfrm>
                    <a:prstGeom prst="rect">
                      <a:avLst/>
                    </a:prstGeom>
                    <a:noFill/>
                  </pic:spPr>
                </pic:pic>
              </a:graphicData>
            </a:graphic>
          </wp:inline>
        </w:drawing>
      </w:r>
    </w:p>
    <w:p w14:paraId="05F835CA" w14:textId="0004EB0F" w:rsidR="00CC5AFE" w:rsidRPr="007F6332" w:rsidRDefault="00CC5AFE" w:rsidP="008B34A8">
      <w:pPr>
        <w:pStyle w:val="FiguresandTablesHeading5"/>
      </w:pPr>
      <w:bookmarkStart w:id="317" w:name="_Ref146030371"/>
      <w:bookmarkStart w:id="318" w:name="_Hlk152331691"/>
      <w:r w:rsidRPr="007F6332">
        <w:lastRenderedPageBreak/>
        <w:t xml:space="preserve">Figure </w:t>
      </w:r>
      <w:bookmarkEnd w:id="317"/>
      <w:r w:rsidR="009028ED" w:rsidRPr="007F6332">
        <w:t xml:space="preserve">I.2: </w:t>
      </w:r>
      <w:r w:rsidRPr="007F6332">
        <w:t>Monthly proportion of participants that are new to SIL supports by primary disability group</w:t>
      </w:r>
    </w:p>
    <w:bookmarkEnd w:id="318"/>
    <w:p w14:paraId="691FD9ED" w14:textId="4D5B7519" w:rsidR="00CC5AFE" w:rsidRPr="007F6332" w:rsidRDefault="00E80285" w:rsidP="007916C5">
      <w:pPr>
        <w:pStyle w:val="FSRHeading6"/>
        <w:rPr>
          <w:rFonts w:cs="Arial"/>
        </w:rPr>
      </w:pPr>
      <w:r w:rsidRPr="007F6332">
        <w:rPr>
          <w:rFonts w:cs="Arial"/>
          <w:noProof/>
        </w:rPr>
        <w:drawing>
          <wp:inline distT="0" distB="0" distL="0" distR="0" wp14:anchorId="0D8713E6" wp14:editId="554CFF79">
            <wp:extent cx="5815965" cy="3335020"/>
            <wp:effectExtent l="0" t="0" r="0" b="0"/>
            <wp:docPr id="1951524276" name="Picture 11" descr="The stacked bar chart shows the proportion of monthly participants age 15 and above that are new to SIL supports by disability group. &#10;The proportions by each disability group have remained broadly constant from July 2021 to June 2023. The average proportion for each disability group are: Autism 11%, Intellectual Disability (Including Down Syndrome) 27%, Other Neurological 13%, Psychosocial disability 17%, Other 32%.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24276" name="Picture 11" descr="The stacked bar chart shows the proportion of monthly participants age 15 and above that are new to SIL supports by disability group. &#10;The proportions by each disability group have remained broadly constant from July 2021 to June 2023. The average proportion for each disability group are: Autism 11%, Intellectual Disability (Including Down Syndrome) 27%, Other Neurological 13%, Psychosocial disability 17%, Other 32%. &#10;&#1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15965" cy="3335020"/>
                    </a:xfrm>
                    <a:prstGeom prst="rect">
                      <a:avLst/>
                    </a:prstGeom>
                    <a:noFill/>
                  </pic:spPr>
                </pic:pic>
              </a:graphicData>
            </a:graphic>
          </wp:inline>
        </w:drawing>
      </w:r>
    </w:p>
    <w:p w14:paraId="3693712D" w14:textId="26B77D85" w:rsidR="00587F91" w:rsidRPr="007F6332" w:rsidRDefault="00587F91" w:rsidP="008B34A8">
      <w:pPr>
        <w:pStyle w:val="FiguresandTablesHeading5"/>
      </w:pPr>
      <w:bookmarkStart w:id="319" w:name="_Ref146030372"/>
      <w:r w:rsidRPr="007F6332">
        <w:t xml:space="preserve">Figure </w:t>
      </w:r>
      <w:bookmarkEnd w:id="319"/>
      <w:r w:rsidR="009028ED" w:rsidRPr="007F6332">
        <w:t xml:space="preserve">I.3: </w:t>
      </w:r>
      <w:r w:rsidRPr="007F6332">
        <w:t xml:space="preserve">Monthly participants </w:t>
      </w:r>
      <w:r w:rsidR="00F27331" w:rsidRPr="007F6332">
        <w:t>aged</w:t>
      </w:r>
      <w:r w:rsidRPr="007F6332">
        <w:t xml:space="preserve"> 15 and above that are new to SIL supports by age group</w:t>
      </w:r>
      <w:r w:rsidR="00657DAD" w:rsidRPr="007F6332">
        <w:rPr>
          <w:noProof/>
        </w:rPr>
        <w:drawing>
          <wp:inline distT="0" distB="0" distL="0" distR="0" wp14:anchorId="14E2A8C9" wp14:editId="6C3C0E02">
            <wp:extent cx="5746750" cy="3383551"/>
            <wp:effectExtent l="0" t="0" r="6350" b="7620"/>
            <wp:docPr id="1579998749" name="Picture 12" descr="The bar chart shows the number of monthly participants age 15 and above that are new to SIL supports have increased from 241 in July 2021 to 842 in November 2022. Since November 2022 there has been a decreasing trend, from 838 in January 2023 to 299 in June 2023.  The chart shows a split by age band with the largest age band being participants aged 55 to 6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98749" name="Picture 12" descr="The bar chart shows the number of monthly participants age 15 and above that are new to SIL supports have increased from 241 in July 2021 to 842 in November 2022. Since November 2022 there has been a decreasing trend, from 838 in January 2023 to 299 in June 2023.  The chart shows a split by age band with the largest age band being participants aged 55 to 64. &#1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46750" cy="3383551"/>
                    </a:xfrm>
                    <a:prstGeom prst="rect">
                      <a:avLst/>
                    </a:prstGeom>
                    <a:noFill/>
                  </pic:spPr>
                </pic:pic>
              </a:graphicData>
            </a:graphic>
          </wp:inline>
        </w:drawing>
      </w:r>
    </w:p>
    <w:p w14:paraId="78E94D51" w14:textId="508BB01A" w:rsidR="00E41D7D" w:rsidRPr="007F6332" w:rsidRDefault="00E41D7D" w:rsidP="00E41D7D">
      <w:pPr>
        <w:rPr>
          <w:rFonts w:cs="Arial"/>
        </w:rPr>
      </w:pPr>
    </w:p>
    <w:p w14:paraId="4792F684" w14:textId="0A051C05" w:rsidR="00084395" w:rsidRPr="007F6332" w:rsidRDefault="00084395" w:rsidP="007916C5">
      <w:pPr>
        <w:pStyle w:val="FSRHeading6"/>
        <w:rPr>
          <w:rFonts w:cs="Arial"/>
        </w:rPr>
      </w:pPr>
    </w:p>
    <w:p w14:paraId="730211FB" w14:textId="77777777" w:rsidR="00B421BE" w:rsidRPr="007F6332" w:rsidRDefault="00B421BE" w:rsidP="007916C5">
      <w:pPr>
        <w:pStyle w:val="FSRHeading6"/>
        <w:rPr>
          <w:rFonts w:cs="Arial"/>
        </w:rPr>
        <w:sectPr w:rsidR="00B421BE" w:rsidRPr="007F6332" w:rsidSect="00CE7E91">
          <w:pgSz w:w="11906" w:h="16838"/>
          <w:pgMar w:top="1440" w:right="1416" w:bottom="1440" w:left="1440" w:header="708" w:footer="850" w:gutter="0"/>
          <w:cols w:space="708"/>
          <w:titlePg/>
          <w:docGrid w:linePitch="360"/>
        </w:sectPr>
      </w:pPr>
    </w:p>
    <w:p w14:paraId="67FDC7E4" w14:textId="7AEA797A" w:rsidR="009C4D5C" w:rsidRPr="007F6332" w:rsidRDefault="009C4D5C" w:rsidP="008B34A8">
      <w:pPr>
        <w:pStyle w:val="FiguresandTablesHeading5"/>
        <w:rPr>
          <w:noProof/>
        </w:rPr>
      </w:pPr>
      <w:bookmarkStart w:id="320" w:name="_Ref146030374"/>
      <w:r w:rsidRPr="007F6332">
        <w:lastRenderedPageBreak/>
        <w:t>Figure I.4: Monthly proportion of participants that are new to SIL supports by age group</w:t>
      </w:r>
    </w:p>
    <w:p w14:paraId="68F3D19F" w14:textId="6B3CCDA4" w:rsidR="007916C5" w:rsidRPr="007F6332" w:rsidRDefault="0017415A" w:rsidP="00CD33D0">
      <w:pPr>
        <w:pStyle w:val="FSRHeading4"/>
        <w:rPr>
          <w:rFonts w:cs="Arial"/>
          <w:szCs w:val="25"/>
        </w:rPr>
      </w:pPr>
      <w:r w:rsidRPr="007F6332">
        <w:rPr>
          <w:rFonts w:cs="Arial"/>
          <w:b w:val="0"/>
          <w:noProof/>
        </w:rPr>
        <w:drawing>
          <wp:inline distT="0" distB="0" distL="0" distR="0" wp14:anchorId="11E0DABA" wp14:editId="2493452F">
            <wp:extent cx="5645723" cy="3360284"/>
            <wp:effectExtent l="0" t="0" r="0" b="0"/>
            <wp:docPr id="564704242" name="Picture 4" descr="The stacked bar chart shows the proportion of monthly participants age 15 and above that are new to SIL supports by age band have remained broadly constant from July 2021 to June 2023. &#10;The average proportion for each age band are:  15 to 18: 7%, 19 to 24: 12%, 25 to 34: 14%, 35 to 44: 14%, 45 to 54: 18%, 55 to 64: 29%, 65+: 6%.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04242" name="Picture 4" descr="The stacked bar chart shows the proportion of monthly participants age 15 and above that are new to SIL supports by age band have remained broadly constant from July 2021 to June 2023. &#10;The average proportion for each age band are:  15 to 18: 7%, 19 to 24: 12%, 25 to 34: 14%, 35 to 44: 14%, 45 to 54: 18%, 55 to 64: 29%, 65+: 6%. &#1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645723" cy="3360284"/>
                    </a:xfrm>
                    <a:prstGeom prst="rect">
                      <a:avLst/>
                    </a:prstGeom>
                    <a:noFill/>
                  </pic:spPr>
                </pic:pic>
              </a:graphicData>
            </a:graphic>
          </wp:inline>
        </w:drawing>
      </w:r>
      <w:bookmarkEnd w:id="320"/>
      <w:r w:rsidR="007916C5" w:rsidRPr="007F6332">
        <w:rPr>
          <w:rFonts w:cs="Arial"/>
          <w:szCs w:val="25"/>
        </w:rPr>
        <w:t xml:space="preserve">Home and Living </w:t>
      </w:r>
      <w:r w:rsidR="00AD15AD" w:rsidRPr="007F6332">
        <w:rPr>
          <w:rFonts w:cs="Arial"/>
          <w:szCs w:val="25"/>
        </w:rPr>
        <w:t>d</w:t>
      </w:r>
      <w:r w:rsidR="007916C5" w:rsidRPr="007F6332">
        <w:rPr>
          <w:rFonts w:cs="Arial"/>
          <w:szCs w:val="25"/>
        </w:rPr>
        <w:t>ecision</w:t>
      </w:r>
      <w:r w:rsidR="00B86180" w:rsidRPr="007F6332">
        <w:rPr>
          <w:rFonts w:cs="Arial"/>
          <w:szCs w:val="25"/>
        </w:rPr>
        <w:t>s</w:t>
      </w:r>
      <w:r w:rsidR="007916C5" w:rsidRPr="007F6332">
        <w:rPr>
          <w:rFonts w:cs="Arial"/>
          <w:szCs w:val="25"/>
        </w:rPr>
        <w:t xml:space="preserve"> and </w:t>
      </w:r>
      <w:r w:rsidR="008C33E3" w:rsidRPr="007F6332">
        <w:rPr>
          <w:rFonts w:cs="Arial"/>
          <w:szCs w:val="25"/>
        </w:rPr>
        <w:t>participants transitioning to SIL</w:t>
      </w:r>
    </w:p>
    <w:p w14:paraId="6CBDA46A" w14:textId="2D724E40" w:rsidR="007916C5" w:rsidRPr="007F6332" w:rsidRDefault="007916C5" w:rsidP="007916C5">
      <w:pPr>
        <w:rPr>
          <w:rFonts w:cs="Arial"/>
        </w:rPr>
      </w:pPr>
      <w:bookmarkStart w:id="321" w:name="_Hlk150706228"/>
      <w:r w:rsidRPr="007F6332">
        <w:rPr>
          <w:rFonts w:cs="Arial"/>
        </w:rPr>
        <w:t>Home and Living decisions on SIL eligibility</w:t>
      </w:r>
      <w:r w:rsidRPr="007F6332">
        <w:rPr>
          <w:rStyle w:val="FootnoteReference"/>
          <w:rFonts w:cs="Arial"/>
        </w:rPr>
        <w:footnoteReference w:id="180"/>
      </w:r>
      <w:r w:rsidRPr="007F6332">
        <w:rPr>
          <w:rFonts w:cs="Arial"/>
        </w:rPr>
        <w:t xml:space="preserve"> are a leading indicator of the number of potential participants transition</w:t>
      </w:r>
      <w:r w:rsidR="00B86180" w:rsidRPr="007F6332">
        <w:rPr>
          <w:rFonts w:cs="Arial"/>
        </w:rPr>
        <w:t>ing</w:t>
      </w:r>
      <w:r w:rsidRPr="007F6332">
        <w:rPr>
          <w:rFonts w:cs="Arial"/>
        </w:rPr>
        <w:t xml:space="preserve"> into SIL in the short term. </w:t>
      </w:r>
      <w:r w:rsidR="00DE0623" w:rsidRPr="007F6332">
        <w:rPr>
          <w:rFonts w:cs="Arial"/>
        </w:rPr>
        <w:t>In recent experience, there has been</w:t>
      </w:r>
      <w:r w:rsidRPr="007F6332">
        <w:rPr>
          <w:rFonts w:cs="Arial"/>
        </w:rPr>
        <w:t xml:space="preserve"> a 6-month lag </w:t>
      </w:r>
      <w:r w:rsidR="00B86180" w:rsidRPr="007F6332">
        <w:rPr>
          <w:rFonts w:cs="Arial"/>
        </w:rPr>
        <w:t xml:space="preserve">from </w:t>
      </w:r>
      <w:r w:rsidRPr="007F6332">
        <w:rPr>
          <w:rFonts w:cs="Arial"/>
        </w:rPr>
        <w:t>when a participant become</w:t>
      </w:r>
      <w:r w:rsidR="00B86180" w:rsidRPr="007F6332">
        <w:rPr>
          <w:rFonts w:cs="Arial"/>
        </w:rPr>
        <w:t>s</w:t>
      </w:r>
      <w:r w:rsidRPr="007F6332">
        <w:rPr>
          <w:rFonts w:cs="Arial"/>
        </w:rPr>
        <w:t xml:space="preserve"> eligible to access SIL </w:t>
      </w:r>
      <w:r w:rsidR="00B86180" w:rsidRPr="007F6332">
        <w:rPr>
          <w:rFonts w:cs="Arial"/>
        </w:rPr>
        <w:t xml:space="preserve">supports </w:t>
      </w:r>
      <w:r w:rsidRPr="007F6332">
        <w:rPr>
          <w:rFonts w:cs="Arial"/>
        </w:rPr>
        <w:t xml:space="preserve">and when participants are identified as accessing SIL. This </w:t>
      </w:r>
      <w:r w:rsidR="007C6B80" w:rsidRPr="007F6332">
        <w:rPr>
          <w:rFonts w:cs="Arial"/>
        </w:rPr>
        <w:t xml:space="preserve">reflects </w:t>
      </w:r>
      <w:r w:rsidRPr="007F6332">
        <w:rPr>
          <w:rFonts w:cs="Arial"/>
        </w:rPr>
        <w:t xml:space="preserve">the time taken to </w:t>
      </w:r>
      <w:r w:rsidR="005E502D" w:rsidRPr="007F6332">
        <w:rPr>
          <w:rFonts w:cs="Arial"/>
        </w:rPr>
        <w:t>make appropriate adjustments to the participant’s plan, finding an appropriate SIL provider, delays in SIL providers lodging claims, and the payment made to providers for SIL supports being processed.</w:t>
      </w:r>
      <w:bookmarkEnd w:id="321"/>
    </w:p>
    <w:p w14:paraId="425966AD" w14:textId="4DD223C7" w:rsidR="007916C5" w:rsidRPr="007F6332" w:rsidRDefault="009028ED" w:rsidP="007916C5">
      <w:pPr>
        <w:rPr>
          <w:rFonts w:cs="Arial"/>
        </w:rPr>
      </w:pPr>
      <w:r w:rsidRPr="007F6332">
        <w:rPr>
          <w:rFonts w:cs="Arial"/>
        </w:rPr>
        <w:t>Figure I.5</w:t>
      </w:r>
      <w:r w:rsidR="007916C5" w:rsidRPr="007F6332">
        <w:rPr>
          <w:rFonts w:cs="Arial"/>
        </w:rPr>
        <w:t xml:space="preserve">, </w:t>
      </w:r>
      <w:r w:rsidRPr="007F6332">
        <w:rPr>
          <w:rFonts w:cs="Arial"/>
        </w:rPr>
        <w:t>Figure I.6</w:t>
      </w:r>
      <w:r w:rsidR="007916C5" w:rsidRPr="007F6332">
        <w:rPr>
          <w:rFonts w:cs="Arial"/>
        </w:rPr>
        <w:t xml:space="preserve">, </w:t>
      </w:r>
      <w:r w:rsidRPr="007F6332">
        <w:rPr>
          <w:rFonts w:cs="Arial"/>
        </w:rPr>
        <w:t>Figure I.7</w:t>
      </w:r>
      <w:r w:rsidR="007916C5" w:rsidRPr="007F6332">
        <w:rPr>
          <w:rFonts w:cs="Arial"/>
        </w:rPr>
        <w:t xml:space="preserve"> and </w:t>
      </w:r>
      <w:r w:rsidRPr="007F6332">
        <w:rPr>
          <w:rFonts w:cs="Arial"/>
        </w:rPr>
        <w:t>Figure I.8</w:t>
      </w:r>
      <w:r w:rsidR="007916C5" w:rsidRPr="007F6332">
        <w:rPr>
          <w:rFonts w:cs="Arial"/>
        </w:rPr>
        <w:t xml:space="preserve"> show</w:t>
      </w:r>
      <w:r w:rsidR="00B86180" w:rsidRPr="007F6332">
        <w:rPr>
          <w:rFonts w:cs="Arial"/>
        </w:rPr>
        <w:t xml:space="preserve"> the</w:t>
      </w:r>
      <w:r w:rsidR="007916C5" w:rsidRPr="007F6332">
        <w:rPr>
          <w:rFonts w:cs="Arial"/>
        </w:rPr>
        <w:t xml:space="preserve"> number and proportion of Home and Living decisions on SIL eligibility for participants accessing SIL for the first time by disability group and age group.</w:t>
      </w:r>
    </w:p>
    <w:p w14:paraId="24E713F5" w14:textId="77777777" w:rsidR="00F24792" w:rsidRPr="007F6332" w:rsidRDefault="00862954" w:rsidP="00862954">
      <w:pPr>
        <w:rPr>
          <w:rFonts w:cs="Arial"/>
        </w:rPr>
      </w:pPr>
      <w:r w:rsidRPr="007F6332">
        <w:rPr>
          <w:rFonts w:cs="Arial"/>
        </w:rPr>
        <w:t>The trend of Home and Living decision</w:t>
      </w:r>
      <w:r w:rsidR="004B1B41" w:rsidRPr="007F6332">
        <w:rPr>
          <w:rFonts w:cs="Arial"/>
        </w:rPr>
        <w:t>s</w:t>
      </w:r>
      <w:r w:rsidRPr="007F6332">
        <w:rPr>
          <w:rFonts w:cs="Arial"/>
        </w:rPr>
        <w:t xml:space="preserve"> on SIL eligibility shows a similar trend to participants accessing SIL for the first time with an approximately 6</w:t>
      </w:r>
      <w:r w:rsidR="004B1B41" w:rsidRPr="007F6332">
        <w:rPr>
          <w:rFonts w:cs="Arial"/>
        </w:rPr>
        <w:t>-</w:t>
      </w:r>
      <w:r w:rsidRPr="007F6332">
        <w:rPr>
          <w:rFonts w:cs="Arial"/>
        </w:rPr>
        <w:t>month delay.</w:t>
      </w:r>
    </w:p>
    <w:p w14:paraId="3F6CEB92" w14:textId="56EFA635" w:rsidR="00F24792" w:rsidRPr="007F6332" w:rsidRDefault="00F24792" w:rsidP="00F24792">
      <w:pPr>
        <w:spacing w:before="120"/>
        <w:rPr>
          <w:rFonts w:cs="Arial"/>
        </w:rPr>
      </w:pPr>
      <w:r w:rsidRPr="007F6332">
        <w:rPr>
          <w:rFonts w:cs="Arial"/>
        </w:rPr>
        <w:t xml:space="preserve">Prior to July 2022 a Home &amp; Living (H&amp;L) model was implemented that meant any participant could apply for a </w:t>
      </w:r>
      <w:r w:rsidR="007C6B80" w:rsidRPr="007F6332">
        <w:rPr>
          <w:rFonts w:cs="Arial"/>
        </w:rPr>
        <w:t>H&amp;L</w:t>
      </w:r>
      <w:r w:rsidRPr="007F6332">
        <w:rPr>
          <w:rFonts w:cs="Arial"/>
        </w:rPr>
        <w:t xml:space="preserve"> decision at any time (not just at plan reassessment). This increased the number of applications from participants seeking SIL supports for the first time significantly. However, due to operational processes, there was often a delay of several </w:t>
      </w:r>
      <w:r w:rsidRPr="007F6332">
        <w:rPr>
          <w:rFonts w:cs="Arial"/>
        </w:rPr>
        <w:lastRenderedPageBreak/>
        <w:t>months between approval of the H&amp;L decision and implementation of a new participant plan which included SIL arrangements.</w:t>
      </w:r>
    </w:p>
    <w:p w14:paraId="4DC82F7B" w14:textId="50960A24" w:rsidR="00F24792" w:rsidRPr="007F6332" w:rsidRDefault="00F24792" w:rsidP="00F24792">
      <w:pPr>
        <w:rPr>
          <w:rFonts w:cs="Arial"/>
        </w:rPr>
      </w:pPr>
      <w:r w:rsidRPr="007F6332">
        <w:rPr>
          <w:rFonts w:cs="Arial"/>
        </w:rPr>
        <w:t>After July 2022, the SIL process was changed to require that H&amp;L assessments be linked to a plan reassessment. Improvements to operational process were also introduced with more rigour being applied to H&amp;L decision making. This impacted decision rates and outcomes.</w:t>
      </w:r>
      <w:r w:rsidR="00862954" w:rsidRPr="007F6332">
        <w:rPr>
          <w:rFonts w:cs="Arial"/>
        </w:rPr>
        <w:t xml:space="preserve"> </w:t>
      </w:r>
    </w:p>
    <w:p w14:paraId="40222A3D" w14:textId="42C8157F" w:rsidR="00862954" w:rsidRPr="007F6332" w:rsidRDefault="00862954" w:rsidP="00862954">
      <w:pPr>
        <w:rPr>
          <w:rFonts w:cs="Arial"/>
        </w:rPr>
      </w:pPr>
      <w:r w:rsidRPr="007F6332">
        <w:rPr>
          <w:rFonts w:cs="Arial"/>
        </w:rPr>
        <w:t xml:space="preserve">Furthermore, the distribution of </w:t>
      </w:r>
      <w:r w:rsidR="00B30F27" w:rsidRPr="007F6332">
        <w:rPr>
          <w:rFonts w:cs="Arial"/>
        </w:rPr>
        <w:t>H&amp;L</w:t>
      </w:r>
      <w:r w:rsidRPr="007F6332">
        <w:rPr>
          <w:rFonts w:cs="Arial"/>
        </w:rPr>
        <w:t xml:space="preserve"> decisions on SIL eligibility for participants by primary disability and age group has remained relatively stable despite the change in number of decisions, indicating that the profile of participants entering SIL are likely to have a similar profile as the recent experience.</w:t>
      </w:r>
    </w:p>
    <w:p w14:paraId="3E89BF10" w14:textId="61A73DDE" w:rsidR="00472687" w:rsidRPr="007F6332" w:rsidRDefault="009028ED" w:rsidP="008B34A8">
      <w:pPr>
        <w:pStyle w:val="FiguresandTablesHeading5"/>
      </w:pPr>
      <w:r w:rsidRPr="007F6332">
        <w:t>Figure I.5:</w:t>
      </w:r>
      <w:r w:rsidR="00472687" w:rsidRPr="007F6332">
        <w:t xml:space="preserve"> Monthly Home and Living decisions for SIL eligibility that are new to SIL supports by primary disability group</w:t>
      </w:r>
    </w:p>
    <w:p w14:paraId="77EBAE98" w14:textId="56C1F292" w:rsidR="00862954" w:rsidRPr="007F6332" w:rsidRDefault="00855FE7" w:rsidP="007916C5">
      <w:pPr>
        <w:rPr>
          <w:rFonts w:cs="Arial"/>
        </w:rPr>
      </w:pPr>
      <w:bookmarkStart w:id="322" w:name="_Ref146030328"/>
      <w:r w:rsidRPr="007F6332">
        <w:rPr>
          <w:rFonts w:cs="Arial"/>
          <w:noProof/>
        </w:rPr>
        <w:drawing>
          <wp:inline distT="0" distB="0" distL="0" distR="0" wp14:anchorId="1CE3D311" wp14:editId="125DBE64">
            <wp:extent cx="5844074" cy="3144644"/>
            <wp:effectExtent l="0" t="0" r="4445" b="0"/>
            <wp:docPr id="971065619" name="Picture 5" descr="The bar chart shows the number of monthly Home and Living decisions for SIL eligibility that are new to SIL supports  have increased from 218 in July 2021 to 823 in July 2022. &#10;Since July 2022 there has been a decreasing trend from 718 in August 2022 to 334 in June 2023. The chart shows a split by disability group with the largest disability group being participants with intellectual disability (including Down Syndrom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65619" name="Picture 5" descr="The bar chart shows the number of monthly Home and Living decisions for SIL eligibility that are new to SIL supports  have increased from 218 in July 2021 to 823 in July 2022. &#10;Since July 2022 there has been a decreasing trend from 718 in August 2022 to 334 in June 2023. The chart shows a split by disability group with the largest disability group being participants with intellectual disability (including Down Syndrome). &#10;"/>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b="5064"/>
                    <a:stretch/>
                  </pic:blipFill>
                  <pic:spPr bwMode="auto">
                    <a:xfrm>
                      <a:off x="0" y="0"/>
                      <a:ext cx="5844927" cy="3145103"/>
                    </a:xfrm>
                    <a:prstGeom prst="rect">
                      <a:avLst/>
                    </a:prstGeom>
                    <a:noFill/>
                    <a:ln>
                      <a:noFill/>
                    </a:ln>
                    <a:extLst>
                      <a:ext uri="{53640926-AAD7-44D8-BBD7-CCE9431645EC}">
                        <a14:shadowObscured xmlns:a14="http://schemas.microsoft.com/office/drawing/2010/main"/>
                      </a:ext>
                    </a:extLst>
                  </pic:spPr>
                </pic:pic>
              </a:graphicData>
            </a:graphic>
          </wp:inline>
        </w:drawing>
      </w:r>
    </w:p>
    <w:p w14:paraId="0B8F6B5D" w14:textId="77777777" w:rsidR="005D7594" w:rsidRPr="007F6332" w:rsidRDefault="005D7594" w:rsidP="00855FE7">
      <w:pPr>
        <w:pStyle w:val="Heading7"/>
        <w:rPr>
          <w:rFonts w:cs="Arial"/>
        </w:rPr>
        <w:sectPr w:rsidR="005D7594" w:rsidRPr="007F6332" w:rsidSect="00CE7E91">
          <w:pgSz w:w="11906" w:h="16838"/>
          <w:pgMar w:top="1440" w:right="1416" w:bottom="1440" w:left="1440" w:header="708" w:footer="850" w:gutter="0"/>
          <w:cols w:space="708"/>
          <w:titlePg/>
          <w:docGrid w:linePitch="360"/>
        </w:sectPr>
      </w:pPr>
    </w:p>
    <w:p w14:paraId="33B8D7B4" w14:textId="57AC0BC5" w:rsidR="00855FE7" w:rsidRPr="007F6332" w:rsidRDefault="00855FE7" w:rsidP="008B34A8">
      <w:pPr>
        <w:pStyle w:val="FiguresandTablesHeading5"/>
      </w:pPr>
      <w:r w:rsidRPr="007F6332">
        <w:lastRenderedPageBreak/>
        <w:t>Figure I.6: Monthly proportion of Home and Living decision for SIL eligibility that are new to SIL supports by primary disability group</w:t>
      </w:r>
    </w:p>
    <w:p w14:paraId="6829E857" w14:textId="2388A92C" w:rsidR="00855FE7" w:rsidRPr="007F6332" w:rsidRDefault="00855FE7" w:rsidP="00855FE7">
      <w:pPr>
        <w:rPr>
          <w:rFonts w:cs="Arial"/>
        </w:rPr>
      </w:pPr>
      <w:r w:rsidRPr="007F6332">
        <w:rPr>
          <w:rFonts w:cs="Arial"/>
          <w:noProof/>
        </w:rPr>
        <w:drawing>
          <wp:inline distT="0" distB="0" distL="0" distR="0" wp14:anchorId="4CCED074" wp14:editId="328A18D9">
            <wp:extent cx="5746512" cy="3092605"/>
            <wp:effectExtent l="0" t="0" r="6985" b="0"/>
            <wp:docPr id="314599740" name="Picture 8" descr="The stacked bar chart shows the proportion of monthly Home and Living decisions for SIL eligibility that are new to SIL supports by disability group have remained broadly constant from July 2021 to June 2023. &#10;The average proportion for each disability group are: Autism: 11%, Intellectual Disability (Including Down Syndrome): 25%, Other Neurological: 15%, Psychosocial disability: 16%, Other: 3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99740" name="Picture 8" descr="The stacked bar chart shows the proportion of monthly Home and Living decisions for SIL eligibility that are new to SIL supports by disability group have remained broadly constant from July 2021 to June 2023. &#10;The average proportion for each disability group are: Autism: 11%, Intellectual Disability (Including Down Syndrome): 25%, Other Neurological: 15%, Psychosocial disability: 16%, Other: 34%. &#10;"/>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l="903" r="430" b="12092"/>
                    <a:stretch/>
                  </pic:blipFill>
                  <pic:spPr bwMode="auto">
                    <a:xfrm>
                      <a:off x="0" y="0"/>
                      <a:ext cx="5746512" cy="3092605"/>
                    </a:xfrm>
                    <a:prstGeom prst="rect">
                      <a:avLst/>
                    </a:prstGeom>
                    <a:noFill/>
                    <a:ln>
                      <a:noFill/>
                    </a:ln>
                    <a:extLst>
                      <a:ext uri="{53640926-AAD7-44D8-BBD7-CCE9431645EC}">
                        <a14:shadowObscured xmlns:a14="http://schemas.microsoft.com/office/drawing/2010/main"/>
                      </a:ext>
                    </a:extLst>
                  </pic:spPr>
                </pic:pic>
              </a:graphicData>
            </a:graphic>
          </wp:inline>
        </w:drawing>
      </w:r>
    </w:p>
    <w:p w14:paraId="3F2DD6A5" w14:textId="7FEE8A92" w:rsidR="00C44C1D" w:rsidRPr="007F6332" w:rsidRDefault="00C44C1D" w:rsidP="00EF6B24">
      <w:pPr>
        <w:pStyle w:val="FiguresandTablesHeading5"/>
      </w:pPr>
      <w:bookmarkStart w:id="323" w:name="_Ref146030330"/>
      <w:bookmarkEnd w:id="322"/>
      <w:r w:rsidRPr="007F6332">
        <w:t>Figure</w:t>
      </w:r>
      <w:bookmarkEnd w:id="323"/>
      <w:r w:rsidR="009028ED" w:rsidRPr="007F6332">
        <w:t xml:space="preserve"> I.7:</w:t>
      </w:r>
      <w:r w:rsidRPr="007F6332">
        <w:t xml:space="preserve"> Monthly Home and Living decision for SIL eligibility that are new to SIL supports by age group</w:t>
      </w:r>
    </w:p>
    <w:p w14:paraId="65E34F0F" w14:textId="7432AA24" w:rsidR="0029356B" w:rsidRPr="007F6332" w:rsidRDefault="00855FE7" w:rsidP="00654778">
      <w:pPr>
        <w:pStyle w:val="FSRHeading6"/>
        <w:rPr>
          <w:rFonts w:cs="Arial"/>
        </w:rPr>
      </w:pPr>
      <w:r w:rsidRPr="007F6332">
        <w:rPr>
          <w:rFonts w:cs="Arial"/>
          <w:noProof/>
        </w:rPr>
        <w:drawing>
          <wp:inline distT="0" distB="0" distL="0" distR="0" wp14:anchorId="079A4539" wp14:editId="77E2A50A">
            <wp:extent cx="5736005" cy="3377224"/>
            <wp:effectExtent l="0" t="0" r="0" b="0"/>
            <wp:docPr id="1377231649" name="Picture 9" descr="The bar chart shows the number of monthly Home and Living decisions for SIL eligibility that are new to SIL supports  have increased from 218 in July 2021 to 823 in July 2022. Since July 2022 there has been a decreasing trend, from 718 in August 2022 to 334 in June 2023. The chart shows a split by age band with the largest age band being participants aged 55 to 6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31649" name="Picture 9" descr="The bar chart shows the number of monthly Home and Living decisions for SIL eligibility that are new to SIL supports  have increased from 218 in July 2021 to 823 in July 2022. Since July 2022 there has been a decreasing trend, from 718 in August 2022 to 334 in June 2023. The chart shows a split by age band with the largest age band being participants aged 55 to 64. &#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49152" cy="3384965"/>
                    </a:xfrm>
                    <a:prstGeom prst="rect">
                      <a:avLst/>
                    </a:prstGeom>
                    <a:noFill/>
                  </pic:spPr>
                </pic:pic>
              </a:graphicData>
            </a:graphic>
          </wp:inline>
        </w:drawing>
      </w:r>
    </w:p>
    <w:p w14:paraId="6B2B8E62" w14:textId="77777777" w:rsidR="00950565" w:rsidRPr="007F6332" w:rsidRDefault="00950565" w:rsidP="00B421BE">
      <w:pPr>
        <w:pStyle w:val="Heading7"/>
        <w:rPr>
          <w:rFonts w:cs="Arial"/>
        </w:rPr>
        <w:sectPr w:rsidR="00950565" w:rsidRPr="007F6332" w:rsidSect="00CE7E91">
          <w:pgSz w:w="11906" w:h="16838"/>
          <w:pgMar w:top="1440" w:right="1416" w:bottom="1440" w:left="1440" w:header="708" w:footer="850" w:gutter="0"/>
          <w:cols w:space="708"/>
          <w:titlePg/>
          <w:docGrid w:linePitch="360"/>
        </w:sectPr>
      </w:pPr>
      <w:bookmarkStart w:id="324" w:name="_Ref146030331"/>
    </w:p>
    <w:p w14:paraId="3B007DCF" w14:textId="3909CA4B" w:rsidR="00DF44BD" w:rsidRPr="007F6332" w:rsidRDefault="00DF44BD" w:rsidP="00EF6B24">
      <w:pPr>
        <w:pStyle w:val="FiguresandTablesHeading5"/>
      </w:pPr>
      <w:r w:rsidRPr="007F6332">
        <w:lastRenderedPageBreak/>
        <w:t>Figure</w:t>
      </w:r>
      <w:bookmarkEnd w:id="324"/>
      <w:r w:rsidR="009028ED" w:rsidRPr="007F6332">
        <w:t xml:space="preserve"> I.8:</w:t>
      </w:r>
      <w:r w:rsidRPr="007F6332">
        <w:t xml:space="preserve"> Monthly proportion Home and Living decision that are new to SIL supports by age group</w:t>
      </w:r>
    </w:p>
    <w:p w14:paraId="0BDB4675" w14:textId="0C0B24DB" w:rsidR="001555B4" w:rsidRPr="007F6332" w:rsidRDefault="00081093" w:rsidP="00654778">
      <w:pPr>
        <w:pStyle w:val="FSRHeading6"/>
        <w:rPr>
          <w:rFonts w:cs="Arial"/>
        </w:rPr>
      </w:pPr>
      <w:r w:rsidRPr="007F6332">
        <w:rPr>
          <w:rFonts w:cs="Arial"/>
          <w:noProof/>
        </w:rPr>
        <w:drawing>
          <wp:inline distT="0" distB="0" distL="0" distR="0" wp14:anchorId="0E16BFBC" wp14:editId="584F895D">
            <wp:extent cx="5815965" cy="3426460"/>
            <wp:effectExtent l="0" t="0" r="0" b="2540"/>
            <wp:docPr id="380183596" name="Picture 4" descr="The stacked bar chart shows the proportion of monthly Home and Living decisions for SIL eligibility that are new to SIL supports by age band have remained broadly constant from July 2021 to June 2023. The average proportion for each age band are: 15 to 18: 7%, 19 to 24: 11%, 25 to 34: 14%, 35 to 44: 13%, 45 to 54: 17%, 55 to 64: 32%, 65+: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83596" name="Picture 4" descr="The stacked bar chart shows the proportion of monthly Home and Living decisions for SIL eligibility that are new to SIL supports by age band have remained broadly constant from July 2021 to June 2023. The average proportion for each age band are: 15 to 18: 7%, 19 to 24: 11%, 25 to 34: 14%, 35 to 44: 13%, 45 to 54: 17%, 55 to 64: 32%, 65+: 5%.&#1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815965" cy="3426460"/>
                    </a:xfrm>
                    <a:prstGeom prst="rect">
                      <a:avLst/>
                    </a:prstGeom>
                    <a:noFill/>
                  </pic:spPr>
                </pic:pic>
              </a:graphicData>
            </a:graphic>
          </wp:inline>
        </w:drawing>
      </w:r>
    </w:p>
    <w:bookmarkEnd w:id="316"/>
    <w:p w14:paraId="4A44AC41" w14:textId="50CAB6FF" w:rsidR="00654778" w:rsidRPr="007F6332" w:rsidRDefault="00654778" w:rsidP="00EF6B24">
      <w:pPr>
        <w:pStyle w:val="FSRHeading4"/>
      </w:pPr>
      <w:r w:rsidRPr="007F6332">
        <w:t xml:space="preserve">Selected Assumptions </w:t>
      </w:r>
    </w:p>
    <w:p w14:paraId="3AA90A64" w14:textId="36BC36F2" w:rsidR="00166A4A" w:rsidRPr="007F6332" w:rsidRDefault="009028ED" w:rsidP="003A24C6">
      <w:pPr>
        <w:rPr>
          <w:rFonts w:cs="Arial"/>
        </w:rPr>
      </w:pPr>
      <w:r w:rsidRPr="007F6332">
        <w:rPr>
          <w:rFonts w:cs="Arial"/>
        </w:rPr>
        <w:t>Table I.1</w:t>
      </w:r>
      <w:r w:rsidR="00654778" w:rsidRPr="007F6332">
        <w:rPr>
          <w:rFonts w:cs="Arial"/>
        </w:rPr>
        <w:t xml:space="preserve"> shows the actual </w:t>
      </w:r>
      <w:r w:rsidR="00586A19" w:rsidRPr="007F6332">
        <w:rPr>
          <w:rFonts w:cs="Arial"/>
        </w:rPr>
        <w:t xml:space="preserve">SIL </w:t>
      </w:r>
      <w:r w:rsidR="00654778" w:rsidRPr="007F6332">
        <w:rPr>
          <w:rFonts w:cs="Arial"/>
        </w:rPr>
        <w:t>transition rates in 2022-23 as well as the assumed SIL transition rates after initiatives by disability group and age group for aged 15 and above. There is no allowance given to participants aged 14 and below</w:t>
      </w:r>
      <w:bookmarkStart w:id="325" w:name="_Ref146029809"/>
      <w:r w:rsidR="00081093" w:rsidRPr="007F6332">
        <w:rPr>
          <w:rFonts w:cs="Arial"/>
        </w:rPr>
        <w:t>.</w:t>
      </w:r>
    </w:p>
    <w:p w14:paraId="6C008418" w14:textId="77777777" w:rsidR="0076644E" w:rsidRPr="007F6332" w:rsidRDefault="0076644E" w:rsidP="003A24C6">
      <w:pPr>
        <w:rPr>
          <w:rFonts w:cs="Arial"/>
          <w:b/>
          <w:bCs/>
        </w:rPr>
        <w:sectPr w:rsidR="0076644E" w:rsidRPr="007F6332" w:rsidSect="00CE7E91">
          <w:pgSz w:w="11906" w:h="16838"/>
          <w:pgMar w:top="1440" w:right="1416" w:bottom="1440" w:left="1440" w:header="708" w:footer="850" w:gutter="0"/>
          <w:cols w:space="708"/>
          <w:titlePg/>
          <w:docGrid w:linePitch="360"/>
        </w:sectPr>
      </w:pPr>
    </w:p>
    <w:p w14:paraId="2475F160" w14:textId="08F22650" w:rsidR="00654778" w:rsidRPr="007F6332" w:rsidRDefault="00654778" w:rsidP="00EF6B24">
      <w:pPr>
        <w:pStyle w:val="FiguresandTablesHeading5"/>
      </w:pPr>
      <w:r w:rsidRPr="007F6332">
        <w:lastRenderedPageBreak/>
        <w:t>Table</w:t>
      </w:r>
      <w:bookmarkEnd w:id="325"/>
      <w:r w:rsidR="009028ED" w:rsidRPr="007F6332">
        <w:t xml:space="preserve"> I.1</w:t>
      </w:r>
      <w:r w:rsidRPr="007F6332">
        <w:t>: Actual and assumed SIL transition rates for participants aged 15 and above by primary disability group</w:t>
      </w:r>
    </w:p>
    <w:tbl>
      <w:tblPr>
        <w:tblW w:w="9634" w:type="dxa"/>
        <w:tblLayout w:type="fixed"/>
        <w:tblLook w:val="04A0" w:firstRow="1" w:lastRow="0" w:firstColumn="1" w:lastColumn="0" w:noHBand="0" w:noVBand="1"/>
      </w:tblPr>
      <w:tblGrid>
        <w:gridCol w:w="2380"/>
        <w:gridCol w:w="1209"/>
        <w:gridCol w:w="1209"/>
        <w:gridCol w:w="1209"/>
        <w:gridCol w:w="1209"/>
        <w:gridCol w:w="1209"/>
        <w:gridCol w:w="1209"/>
      </w:tblGrid>
      <w:tr w:rsidR="00654778" w:rsidRPr="007F6332" w14:paraId="1AB7D6CE" w14:textId="77777777" w:rsidTr="00C1755E">
        <w:trPr>
          <w:trHeight w:val="432"/>
        </w:trPr>
        <w:tc>
          <w:tcPr>
            <w:tcW w:w="2380" w:type="dxa"/>
            <w:tcBorders>
              <w:bottom w:val="single" w:sz="4" w:space="0" w:color="auto"/>
            </w:tcBorders>
            <w:shd w:val="clear" w:color="000000" w:fill="6B2976"/>
            <w:noWrap/>
            <w:vAlign w:val="center"/>
            <w:hideMark/>
          </w:tcPr>
          <w:p w14:paraId="5BB9A8F8" w14:textId="77777777" w:rsidR="00654778" w:rsidRPr="007F6332" w:rsidRDefault="00654778" w:rsidP="000766DF">
            <w:pPr>
              <w:keepNext/>
              <w:keepLines/>
              <w:spacing w:after="0" w:line="240" w:lineRule="auto"/>
              <w:rPr>
                <w:rFonts w:eastAsia="Times New Roman" w:cs="Arial"/>
                <w:b/>
                <w:bCs/>
                <w:color w:val="FFFFFF"/>
                <w:lang w:eastAsia="en-AU"/>
              </w:rPr>
            </w:pPr>
            <w:r w:rsidRPr="007F6332">
              <w:rPr>
                <w:rFonts w:eastAsia="Times New Roman" w:cs="Arial"/>
                <w:b/>
                <w:bCs/>
                <w:color w:val="FFFFFF"/>
                <w:lang w:eastAsia="en-AU"/>
              </w:rPr>
              <w:t>Disability Group</w:t>
            </w:r>
          </w:p>
        </w:tc>
        <w:tc>
          <w:tcPr>
            <w:tcW w:w="1209" w:type="dxa"/>
            <w:tcBorders>
              <w:bottom w:val="single" w:sz="4" w:space="0" w:color="auto"/>
            </w:tcBorders>
            <w:shd w:val="clear" w:color="000000" w:fill="6B2976"/>
            <w:noWrap/>
            <w:vAlign w:val="center"/>
            <w:hideMark/>
          </w:tcPr>
          <w:p w14:paraId="7C941BAA"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2022-23</w:t>
            </w:r>
          </w:p>
        </w:tc>
        <w:tc>
          <w:tcPr>
            <w:tcW w:w="1209" w:type="dxa"/>
            <w:tcBorders>
              <w:bottom w:val="single" w:sz="4" w:space="0" w:color="auto"/>
            </w:tcBorders>
            <w:shd w:val="clear" w:color="000000" w:fill="6B2976"/>
            <w:noWrap/>
            <w:vAlign w:val="center"/>
            <w:hideMark/>
          </w:tcPr>
          <w:p w14:paraId="58F64656"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2023-24</w:t>
            </w:r>
          </w:p>
        </w:tc>
        <w:tc>
          <w:tcPr>
            <w:tcW w:w="1209" w:type="dxa"/>
            <w:tcBorders>
              <w:bottom w:val="single" w:sz="4" w:space="0" w:color="auto"/>
            </w:tcBorders>
            <w:shd w:val="clear" w:color="000000" w:fill="6B2976"/>
            <w:noWrap/>
            <w:vAlign w:val="center"/>
            <w:hideMark/>
          </w:tcPr>
          <w:p w14:paraId="7AF53B90"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2024-25</w:t>
            </w:r>
          </w:p>
        </w:tc>
        <w:tc>
          <w:tcPr>
            <w:tcW w:w="1209" w:type="dxa"/>
            <w:tcBorders>
              <w:bottom w:val="single" w:sz="4" w:space="0" w:color="auto"/>
            </w:tcBorders>
            <w:shd w:val="clear" w:color="000000" w:fill="6B2976"/>
            <w:noWrap/>
            <w:vAlign w:val="center"/>
            <w:hideMark/>
          </w:tcPr>
          <w:p w14:paraId="2CFAF9DA"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2025-26</w:t>
            </w:r>
          </w:p>
        </w:tc>
        <w:tc>
          <w:tcPr>
            <w:tcW w:w="1209" w:type="dxa"/>
            <w:tcBorders>
              <w:bottom w:val="single" w:sz="4" w:space="0" w:color="auto"/>
              <w:right w:val="nil"/>
            </w:tcBorders>
            <w:shd w:val="clear" w:color="000000" w:fill="6B2976"/>
            <w:noWrap/>
            <w:vAlign w:val="center"/>
            <w:hideMark/>
          </w:tcPr>
          <w:p w14:paraId="334FE175"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2026-27</w:t>
            </w:r>
          </w:p>
        </w:tc>
        <w:tc>
          <w:tcPr>
            <w:tcW w:w="1209" w:type="dxa"/>
            <w:tcBorders>
              <w:left w:val="single" w:sz="4" w:space="0" w:color="auto"/>
              <w:bottom w:val="single" w:sz="4" w:space="0" w:color="auto"/>
            </w:tcBorders>
            <w:shd w:val="clear" w:color="000000" w:fill="6B2976"/>
            <w:noWrap/>
            <w:vAlign w:val="center"/>
            <w:hideMark/>
          </w:tcPr>
          <w:p w14:paraId="1A89275D"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2032-33</w:t>
            </w:r>
          </w:p>
        </w:tc>
      </w:tr>
      <w:tr w:rsidR="00654778" w:rsidRPr="007F6332" w14:paraId="7D5559A9" w14:textId="77777777" w:rsidTr="00C1755E">
        <w:trPr>
          <w:trHeight w:val="300"/>
        </w:trPr>
        <w:tc>
          <w:tcPr>
            <w:tcW w:w="2380" w:type="dxa"/>
            <w:tcBorders>
              <w:top w:val="nil"/>
              <w:bottom w:val="nil"/>
            </w:tcBorders>
            <w:shd w:val="clear" w:color="auto" w:fill="auto"/>
            <w:noWrap/>
            <w:vAlign w:val="center"/>
            <w:hideMark/>
          </w:tcPr>
          <w:p w14:paraId="19B86345"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ABI</w:t>
            </w:r>
          </w:p>
        </w:tc>
        <w:tc>
          <w:tcPr>
            <w:tcW w:w="1209" w:type="dxa"/>
            <w:tcBorders>
              <w:top w:val="nil"/>
              <w:bottom w:val="nil"/>
            </w:tcBorders>
            <w:shd w:val="clear" w:color="auto" w:fill="auto"/>
            <w:noWrap/>
            <w:vAlign w:val="center"/>
            <w:hideMark/>
          </w:tcPr>
          <w:p w14:paraId="51C51E0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4.8%</w:t>
            </w:r>
          </w:p>
        </w:tc>
        <w:tc>
          <w:tcPr>
            <w:tcW w:w="1209" w:type="dxa"/>
            <w:tcBorders>
              <w:top w:val="nil"/>
              <w:bottom w:val="nil"/>
            </w:tcBorders>
            <w:shd w:val="clear" w:color="auto" w:fill="auto"/>
            <w:noWrap/>
            <w:vAlign w:val="center"/>
            <w:hideMark/>
          </w:tcPr>
          <w:p w14:paraId="121D520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3.0%</w:t>
            </w:r>
          </w:p>
        </w:tc>
        <w:tc>
          <w:tcPr>
            <w:tcW w:w="1209" w:type="dxa"/>
            <w:tcBorders>
              <w:top w:val="nil"/>
              <w:bottom w:val="nil"/>
            </w:tcBorders>
            <w:shd w:val="clear" w:color="auto" w:fill="auto"/>
            <w:noWrap/>
            <w:vAlign w:val="center"/>
            <w:hideMark/>
          </w:tcPr>
          <w:p w14:paraId="09E0907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2.0%</w:t>
            </w:r>
          </w:p>
        </w:tc>
        <w:tc>
          <w:tcPr>
            <w:tcW w:w="1209" w:type="dxa"/>
            <w:tcBorders>
              <w:top w:val="nil"/>
              <w:bottom w:val="nil"/>
            </w:tcBorders>
            <w:shd w:val="clear" w:color="auto" w:fill="auto"/>
            <w:noWrap/>
            <w:vAlign w:val="center"/>
            <w:hideMark/>
          </w:tcPr>
          <w:p w14:paraId="0712E85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c>
          <w:tcPr>
            <w:tcW w:w="1209" w:type="dxa"/>
            <w:tcBorders>
              <w:top w:val="nil"/>
              <w:bottom w:val="nil"/>
              <w:right w:val="nil"/>
            </w:tcBorders>
            <w:shd w:val="clear" w:color="auto" w:fill="auto"/>
            <w:noWrap/>
            <w:vAlign w:val="center"/>
            <w:hideMark/>
          </w:tcPr>
          <w:p w14:paraId="7B692E6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w:t>
            </w:r>
          </w:p>
        </w:tc>
        <w:tc>
          <w:tcPr>
            <w:tcW w:w="1209" w:type="dxa"/>
            <w:tcBorders>
              <w:top w:val="nil"/>
              <w:left w:val="single" w:sz="4" w:space="0" w:color="auto"/>
              <w:bottom w:val="nil"/>
            </w:tcBorders>
            <w:shd w:val="clear" w:color="auto" w:fill="auto"/>
            <w:noWrap/>
            <w:vAlign w:val="center"/>
            <w:hideMark/>
          </w:tcPr>
          <w:p w14:paraId="0D25C72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1.2%</w:t>
            </w:r>
          </w:p>
        </w:tc>
      </w:tr>
      <w:tr w:rsidR="00654778" w:rsidRPr="007F6332" w14:paraId="76B62BBB" w14:textId="77777777" w:rsidTr="00C1755E">
        <w:trPr>
          <w:trHeight w:val="300"/>
        </w:trPr>
        <w:tc>
          <w:tcPr>
            <w:tcW w:w="2380" w:type="dxa"/>
            <w:tcBorders>
              <w:top w:val="nil"/>
              <w:bottom w:val="nil"/>
            </w:tcBorders>
            <w:shd w:val="clear" w:color="auto" w:fill="BFBFBF" w:themeFill="background1" w:themeFillShade="BF"/>
            <w:noWrap/>
            <w:vAlign w:val="center"/>
            <w:hideMark/>
          </w:tcPr>
          <w:p w14:paraId="4E5DA154"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Autism</w:t>
            </w:r>
          </w:p>
        </w:tc>
        <w:tc>
          <w:tcPr>
            <w:tcW w:w="1209" w:type="dxa"/>
            <w:tcBorders>
              <w:top w:val="nil"/>
              <w:bottom w:val="nil"/>
            </w:tcBorders>
            <w:shd w:val="clear" w:color="auto" w:fill="BFBFBF" w:themeFill="background1" w:themeFillShade="BF"/>
            <w:noWrap/>
            <w:vAlign w:val="center"/>
            <w:hideMark/>
          </w:tcPr>
          <w:p w14:paraId="7902F3F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209" w:type="dxa"/>
            <w:tcBorders>
              <w:top w:val="nil"/>
              <w:bottom w:val="nil"/>
            </w:tcBorders>
            <w:shd w:val="clear" w:color="auto" w:fill="BFBFBF" w:themeFill="background1" w:themeFillShade="BF"/>
            <w:noWrap/>
            <w:vAlign w:val="center"/>
            <w:hideMark/>
          </w:tcPr>
          <w:p w14:paraId="0155825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209" w:type="dxa"/>
            <w:tcBorders>
              <w:top w:val="nil"/>
              <w:bottom w:val="nil"/>
            </w:tcBorders>
            <w:shd w:val="clear" w:color="auto" w:fill="BFBFBF" w:themeFill="background1" w:themeFillShade="BF"/>
            <w:noWrap/>
            <w:vAlign w:val="center"/>
            <w:hideMark/>
          </w:tcPr>
          <w:p w14:paraId="48767ED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0.5%</w:t>
            </w:r>
          </w:p>
        </w:tc>
        <w:tc>
          <w:tcPr>
            <w:tcW w:w="1209" w:type="dxa"/>
            <w:tcBorders>
              <w:top w:val="nil"/>
              <w:bottom w:val="nil"/>
            </w:tcBorders>
            <w:shd w:val="clear" w:color="auto" w:fill="BFBFBF" w:themeFill="background1" w:themeFillShade="BF"/>
            <w:noWrap/>
            <w:vAlign w:val="center"/>
            <w:hideMark/>
          </w:tcPr>
          <w:p w14:paraId="04ED47F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0.4%</w:t>
            </w:r>
          </w:p>
        </w:tc>
        <w:tc>
          <w:tcPr>
            <w:tcW w:w="1209" w:type="dxa"/>
            <w:tcBorders>
              <w:top w:val="nil"/>
              <w:bottom w:val="nil"/>
              <w:right w:val="nil"/>
            </w:tcBorders>
            <w:shd w:val="clear" w:color="auto" w:fill="BFBFBF" w:themeFill="background1" w:themeFillShade="BF"/>
            <w:noWrap/>
            <w:vAlign w:val="center"/>
            <w:hideMark/>
          </w:tcPr>
          <w:p w14:paraId="1DEE9AB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0.4%</w:t>
            </w:r>
          </w:p>
        </w:tc>
        <w:tc>
          <w:tcPr>
            <w:tcW w:w="1209" w:type="dxa"/>
            <w:tcBorders>
              <w:top w:val="nil"/>
              <w:left w:val="single" w:sz="4" w:space="0" w:color="auto"/>
              <w:bottom w:val="nil"/>
            </w:tcBorders>
            <w:shd w:val="clear" w:color="auto" w:fill="BFBFBF" w:themeFill="background1" w:themeFillShade="BF"/>
            <w:noWrap/>
            <w:vAlign w:val="center"/>
            <w:hideMark/>
          </w:tcPr>
          <w:p w14:paraId="65B1F2A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0.3%</w:t>
            </w:r>
          </w:p>
        </w:tc>
      </w:tr>
      <w:tr w:rsidR="00654778" w:rsidRPr="007F6332" w14:paraId="493272BD" w14:textId="77777777" w:rsidTr="00C1755E">
        <w:trPr>
          <w:trHeight w:val="300"/>
        </w:trPr>
        <w:tc>
          <w:tcPr>
            <w:tcW w:w="2380" w:type="dxa"/>
            <w:tcBorders>
              <w:top w:val="nil"/>
              <w:bottom w:val="nil"/>
            </w:tcBorders>
            <w:shd w:val="clear" w:color="auto" w:fill="auto"/>
            <w:noWrap/>
            <w:vAlign w:val="center"/>
            <w:hideMark/>
          </w:tcPr>
          <w:p w14:paraId="45B8A0F1"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Cerebral Palsy</w:t>
            </w:r>
          </w:p>
        </w:tc>
        <w:tc>
          <w:tcPr>
            <w:tcW w:w="1209" w:type="dxa"/>
            <w:tcBorders>
              <w:top w:val="nil"/>
              <w:bottom w:val="nil"/>
            </w:tcBorders>
            <w:shd w:val="clear" w:color="auto" w:fill="auto"/>
            <w:noWrap/>
            <w:vAlign w:val="center"/>
            <w:hideMark/>
          </w:tcPr>
          <w:p w14:paraId="570308B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3.4%</w:t>
            </w:r>
          </w:p>
        </w:tc>
        <w:tc>
          <w:tcPr>
            <w:tcW w:w="1209" w:type="dxa"/>
            <w:tcBorders>
              <w:top w:val="nil"/>
              <w:bottom w:val="nil"/>
            </w:tcBorders>
            <w:shd w:val="clear" w:color="auto" w:fill="auto"/>
            <w:noWrap/>
            <w:vAlign w:val="center"/>
            <w:hideMark/>
          </w:tcPr>
          <w:p w14:paraId="2A71C25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2.4%</w:t>
            </w:r>
          </w:p>
        </w:tc>
        <w:tc>
          <w:tcPr>
            <w:tcW w:w="1209" w:type="dxa"/>
            <w:tcBorders>
              <w:top w:val="nil"/>
              <w:bottom w:val="nil"/>
            </w:tcBorders>
            <w:shd w:val="clear" w:color="auto" w:fill="auto"/>
            <w:noWrap/>
            <w:vAlign w:val="center"/>
            <w:hideMark/>
          </w:tcPr>
          <w:p w14:paraId="6939ABD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1.6%</w:t>
            </w:r>
          </w:p>
        </w:tc>
        <w:tc>
          <w:tcPr>
            <w:tcW w:w="1209" w:type="dxa"/>
            <w:tcBorders>
              <w:top w:val="nil"/>
              <w:bottom w:val="nil"/>
            </w:tcBorders>
            <w:shd w:val="clear" w:color="auto" w:fill="auto"/>
            <w:noWrap/>
            <w:vAlign w:val="center"/>
            <w:hideMark/>
          </w:tcPr>
          <w:p w14:paraId="648168C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1.4%</w:t>
            </w:r>
          </w:p>
        </w:tc>
        <w:tc>
          <w:tcPr>
            <w:tcW w:w="1209" w:type="dxa"/>
            <w:tcBorders>
              <w:top w:val="nil"/>
              <w:bottom w:val="nil"/>
              <w:right w:val="nil"/>
            </w:tcBorders>
            <w:shd w:val="clear" w:color="auto" w:fill="auto"/>
            <w:noWrap/>
            <w:vAlign w:val="center"/>
            <w:hideMark/>
          </w:tcPr>
          <w:p w14:paraId="539EBF0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209" w:type="dxa"/>
            <w:tcBorders>
              <w:top w:val="nil"/>
              <w:left w:val="single" w:sz="4" w:space="0" w:color="auto"/>
              <w:bottom w:val="nil"/>
            </w:tcBorders>
            <w:shd w:val="clear" w:color="auto" w:fill="auto"/>
            <w:noWrap/>
            <w:vAlign w:val="center"/>
            <w:hideMark/>
          </w:tcPr>
          <w:p w14:paraId="0C12D2E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0.9%</w:t>
            </w:r>
          </w:p>
        </w:tc>
      </w:tr>
      <w:tr w:rsidR="00654778" w:rsidRPr="007F6332" w14:paraId="15638DE8" w14:textId="77777777" w:rsidTr="00C1755E">
        <w:trPr>
          <w:trHeight w:val="300"/>
        </w:trPr>
        <w:tc>
          <w:tcPr>
            <w:tcW w:w="2380" w:type="dxa"/>
            <w:tcBorders>
              <w:top w:val="nil"/>
              <w:bottom w:val="nil"/>
            </w:tcBorders>
            <w:shd w:val="clear" w:color="auto" w:fill="BFBFBF" w:themeFill="background1" w:themeFillShade="BF"/>
            <w:noWrap/>
            <w:vAlign w:val="center"/>
            <w:hideMark/>
          </w:tcPr>
          <w:p w14:paraId="2F688FAF"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Hearing Impairment</w:t>
            </w:r>
          </w:p>
        </w:tc>
        <w:tc>
          <w:tcPr>
            <w:tcW w:w="1209" w:type="dxa"/>
            <w:tcBorders>
              <w:top w:val="nil"/>
              <w:bottom w:val="nil"/>
            </w:tcBorders>
            <w:shd w:val="clear" w:color="auto" w:fill="BFBFBF" w:themeFill="background1" w:themeFillShade="BF"/>
            <w:noWrap/>
            <w:vAlign w:val="center"/>
            <w:hideMark/>
          </w:tcPr>
          <w:p w14:paraId="595CE9F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tcBorders>
            <w:shd w:val="clear" w:color="auto" w:fill="BFBFBF" w:themeFill="background1" w:themeFillShade="BF"/>
            <w:noWrap/>
            <w:vAlign w:val="center"/>
            <w:hideMark/>
          </w:tcPr>
          <w:p w14:paraId="5C87935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tcBorders>
            <w:shd w:val="clear" w:color="auto" w:fill="BFBFBF" w:themeFill="background1" w:themeFillShade="BF"/>
            <w:noWrap/>
            <w:vAlign w:val="center"/>
            <w:hideMark/>
          </w:tcPr>
          <w:p w14:paraId="582BA9A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tcBorders>
            <w:shd w:val="clear" w:color="auto" w:fill="BFBFBF" w:themeFill="background1" w:themeFillShade="BF"/>
            <w:noWrap/>
            <w:vAlign w:val="center"/>
            <w:hideMark/>
          </w:tcPr>
          <w:p w14:paraId="1E181E9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right w:val="nil"/>
            </w:tcBorders>
            <w:shd w:val="clear" w:color="auto" w:fill="BFBFBF" w:themeFill="background1" w:themeFillShade="BF"/>
            <w:noWrap/>
            <w:vAlign w:val="center"/>
            <w:hideMark/>
          </w:tcPr>
          <w:p w14:paraId="1E5B810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left w:val="single" w:sz="4" w:space="0" w:color="auto"/>
              <w:bottom w:val="nil"/>
            </w:tcBorders>
            <w:shd w:val="clear" w:color="auto" w:fill="BFBFBF" w:themeFill="background1" w:themeFillShade="BF"/>
            <w:noWrap/>
            <w:vAlign w:val="center"/>
            <w:hideMark/>
          </w:tcPr>
          <w:p w14:paraId="37716CB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r>
      <w:tr w:rsidR="00654778" w:rsidRPr="007F6332" w14:paraId="3B70C5E9" w14:textId="77777777" w:rsidTr="00C1755E">
        <w:trPr>
          <w:trHeight w:val="300"/>
        </w:trPr>
        <w:tc>
          <w:tcPr>
            <w:tcW w:w="2380" w:type="dxa"/>
            <w:tcBorders>
              <w:top w:val="nil"/>
              <w:bottom w:val="nil"/>
            </w:tcBorders>
            <w:shd w:val="clear" w:color="auto" w:fill="auto"/>
            <w:noWrap/>
            <w:vAlign w:val="center"/>
            <w:hideMark/>
          </w:tcPr>
          <w:p w14:paraId="2747BB53"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Intellectual Disability</w:t>
            </w:r>
          </w:p>
        </w:tc>
        <w:tc>
          <w:tcPr>
            <w:tcW w:w="1209" w:type="dxa"/>
            <w:tcBorders>
              <w:top w:val="nil"/>
              <w:bottom w:val="nil"/>
            </w:tcBorders>
            <w:shd w:val="clear" w:color="auto" w:fill="auto"/>
            <w:noWrap/>
            <w:vAlign w:val="center"/>
            <w:hideMark/>
          </w:tcPr>
          <w:p w14:paraId="05EA21E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2.6%</w:t>
            </w:r>
          </w:p>
        </w:tc>
        <w:tc>
          <w:tcPr>
            <w:tcW w:w="1209" w:type="dxa"/>
            <w:tcBorders>
              <w:top w:val="nil"/>
              <w:bottom w:val="nil"/>
            </w:tcBorders>
            <w:shd w:val="clear" w:color="auto" w:fill="auto"/>
            <w:noWrap/>
            <w:vAlign w:val="center"/>
            <w:hideMark/>
          </w:tcPr>
          <w:p w14:paraId="0223E1C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1.8%</w:t>
            </w:r>
          </w:p>
        </w:tc>
        <w:tc>
          <w:tcPr>
            <w:tcW w:w="1209" w:type="dxa"/>
            <w:tcBorders>
              <w:top w:val="nil"/>
              <w:bottom w:val="nil"/>
            </w:tcBorders>
            <w:shd w:val="clear" w:color="auto" w:fill="auto"/>
            <w:noWrap/>
            <w:vAlign w:val="center"/>
            <w:hideMark/>
          </w:tcPr>
          <w:p w14:paraId="35996BF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1.2%</w:t>
            </w:r>
          </w:p>
        </w:tc>
        <w:tc>
          <w:tcPr>
            <w:tcW w:w="1209" w:type="dxa"/>
            <w:tcBorders>
              <w:top w:val="nil"/>
              <w:bottom w:val="nil"/>
            </w:tcBorders>
            <w:shd w:val="clear" w:color="auto" w:fill="auto"/>
            <w:noWrap/>
            <w:vAlign w:val="center"/>
            <w:hideMark/>
          </w:tcPr>
          <w:p w14:paraId="59D04A1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w:t>
            </w:r>
          </w:p>
        </w:tc>
        <w:tc>
          <w:tcPr>
            <w:tcW w:w="1209" w:type="dxa"/>
            <w:tcBorders>
              <w:top w:val="nil"/>
              <w:bottom w:val="nil"/>
              <w:right w:val="nil"/>
            </w:tcBorders>
            <w:shd w:val="clear" w:color="auto" w:fill="auto"/>
            <w:noWrap/>
            <w:vAlign w:val="center"/>
            <w:hideMark/>
          </w:tcPr>
          <w:p w14:paraId="26B8016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209" w:type="dxa"/>
            <w:tcBorders>
              <w:top w:val="nil"/>
              <w:left w:val="single" w:sz="4" w:space="0" w:color="auto"/>
              <w:bottom w:val="nil"/>
            </w:tcBorders>
            <w:shd w:val="clear" w:color="auto" w:fill="auto"/>
            <w:noWrap/>
            <w:vAlign w:val="center"/>
            <w:hideMark/>
          </w:tcPr>
          <w:p w14:paraId="7C1B394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r>
      <w:tr w:rsidR="00654778" w:rsidRPr="007F6332" w14:paraId="68B6009E" w14:textId="77777777" w:rsidTr="00C1755E">
        <w:trPr>
          <w:trHeight w:val="300"/>
        </w:trPr>
        <w:tc>
          <w:tcPr>
            <w:tcW w:w="2380" w:type="dxa"/>
            <w:tcBorders>
              <w:top w:val="nil"/>
              <w:bottom w:val="nil"/>
            </w:tcBorders>
            <w:shd w:val="clear" w:color="auto" w:fill="BFBFBF" w:themeFill="background1" w:themeFillShade="BF"/>
            <w:noWrap/>
            <w:vAlign w:val="center"/>
            <w:hideMark/>
          </w:tcPr>
          <w:p w14:paraId="70655E2C"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Multiple Sclerosis</w:t>
            </w:r>
          </w:p>
        </w:tc>
        <w:tc>
          <w:tcPr>
            <w:tcW w:w="1209" w:type="dxa"/>
            <w:tcBorders>
              <w:top w:val="nil"/>
              <w:bottom w:val="nil"/>
            </w:tcBorders>
            <w:shd w:val="clear" w:color="auto" w:fill="BFBFBF" w:themeFill="background1" w:themeFillShade="BF"/>
            <w:noWrap/>
            <w:vAlign w:val="center"/>
            <w:hideMark/>
          </w:tcPr>
          <w:p w14:paraId="7BDAB8B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1.8%</w:t>
            </w:r>
          </w:p>
        </w:tc>
        <w:tc>
          <w:tcPr>
            <w:tcW w:w="1209" w:type="dxa"/>
            <w:tcBorders>
              <w:top w:val="nil"/>
              <w:bottom w:val="nil"/>
            </w:tcBorders>
            <w:shd w:val="clear" w:color="auto" w:fill="BFBFBF" w:themeFill="background1" w:themeFillShade="BF"/>
            <w:noWrap/>
            <w:vAlign w:val="center"/>
            <w:hideMark/>
          </w:tcPr>
          <w:p w14:paraId="10ED32B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1.2%</w:t>
            </w:r>
          </w:p>
        </w:tc>
        <w:tc>
          <w:tcPr>
            <w:tcW w:w="1209" w:type="dxa"/>
            <w:tcBorders>
              <w:top w:val="nil"/>
              <w:bottom w:val="nil"/>
            </w:tcBorders>
            <w:shd w:val="clear" w:color="auto" w:fill="BFBFBF" w:themeFill="background1" w:themeFillShade="BF"/>
            <w:noWrap/>
            <w:vAlign w:val="center"/>
            <w:hideMark/>
          </w:tcPr>
          <w:p w14:paraId="76BEDE5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209" w:type="dxa"/>
            <w:tcBorders>
              <w:top w:val="nil"/>
              <w:bottom w:val="nil"/>
            </w:tcBorders>
            <w:shd w:val="clear" w:color="auto" w:fill="BFBFBF" w:themeFill="background1" w:themeFillShade="BF"/>
            <w:noWrap/>
            <w:vAlign w:val="center"/>
            <w:hideMark/>
          </w:tcPr>
          <w:p w14:paraId="1365476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0.6%</w:t>
            </w:r>
          </w:p>
        </w:tc>
        <w:tc>
          <w:tcPr>
            <w:tcW w:w="1209" w:type="dxa"/>
            <w:tcBorders>
              <w:top w:val="nil"/>
              <w:bottom w:val="nil"/>
              <w:right w:val="nil"/>
            </w:tcBorders>
            <w:shd w:val="clear" w:color="auto" w:fill="BFBFBF" w:themeFill="background1" w:themeFillShade="BF"/>
            <w:noWrap/>
            <w:vAlign w:val="center"/>
            <w:hideMark/>
          </w:tcPr>
          <w:p w14:paraId="2F70846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0.5%</w:t>
            </w:r>
          </w:p>
        </w:tc>
        <w:tc>
          <w:tcPr>
            <w:tcW w:w="1209" w:type="dxa"/>
            <w:tcBorders>
              <w:top w:val="nil"/>
              <w:left w:val="single" w:sz="4" w:space="0" w:color="auto"/>
              <w:bottom w:val="nil"/>
            </w:tcBorders>
            <w:shd w:val="clear" w:color="auto" w:fill="BFBFBF" w:themeFill="background1" w:themeFillShade="BF"/>
            <w:noWrap/>
            <w:vAlign w:val="center"/>
            <w:hideMark/>
          </w:tcPr>
          <w:p w14:paraId="0A93F1F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0.4%</w:t>
            </w:r>
          </w:p>
        </w:tc>
      </w:tr>
      <w:tr w:rsidR="00654778" w:rsidRPr="007F6332" w14:paraId="699562DA" w14:textId="77777777" w:rsidTr="00C1755E">
        <w:trPr>
          <w:trHeight w:val="300"/>
        </w:trPr>
        <w:tc>
          <w:tcPr>
            <w:tcW w:w="2380" w:type="dxa"/>
            <w:tcBorders>
              <w:top w:val="nil"/>
              <w:bottom w:val="nil"/>
            </w:tcBorders>
            <w:shd w:val="clear" w:color="auto" w:fill="auto"/>
            <w:noWrap/>
            <w:vAlign w:val="center"/>
            <w:hideMark/>
          </w:tcPr>
          <w:p w14:paraId="2942AB94"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Developmental delay</w:t>
            </w:r>
          </w:p>
        </w:tc>
        <w:tc>
          <w:tcPr>
            <w:tcW w:w="1209" w:type="dxa"/>
            <w:tcBorders>
              <w:top w:val="nil"/>
              <w:bottom w:val="nil"/>
            </w:tcBorders>
            <w:shd w:val="clear" w:color="auto" w:fill="auto"/>
            <w:noWrap/>
            <w:vAlign w:val="center"/>
            <w:hideMark/>
          </w:tcPr>
          <w:p w14:paraId="7DBD221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tcBorders>
            <w:shd w:val="clear" w:color="auto" w:fill="auto"/>
            <w:noWrap/>
            <w:vAlign w:val="center"/>
            <w:hideMark/>
          </w:tcPr>
          <w:p w14:paraId="5BD261B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tcBorders>
            <w:shd w:val="clear" w:color="auto" w:fill="auto"/>
            <w:noWrap/>
            <w:vAlign w:val="center"/>
            <w:hideMark/>
          </w:tcPr>
          <w:p w14:paraId="30FC7A4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tcBorders>
            <w:shd w:val="clear" w:color="auto" w:fill="auto"/>
            <w:noWrap/>
            <w:vAlign w:val="center"/>
            <w:hideMark/>
          </w:tcPr>
          <w:p w14:paraId="60EC083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right w:val="nil"/>
            </w:tcBorders>
            <w:shd w:val="clear" w:color="auto" w:fill="auto"/>
            <w:noWrap/>
            <w:vAlign w:val="center"/>
            <w:hideMark/>
          </w:tcPr>
          <w:p w14:paraId="5A0389E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left w:val="single" w:sz="4" w:space="0" w:color="auto"/>
              <w:bottom w:val="nil"/>
            </w:tcBorders>
            <w:shd w:val="clear" w:color="auto" w:fill="auto"/>
            <w:noWrap/>
            <w:vAlign w:val="center"/>
            <w:hideMark/>
          </w:tcPr>
          <w:p w14:paraId="54CD788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r>
      <w:tr w:rsidR="00654778" w:rsidRPr="007F6332" w14:paraId="111659D8" w14:textId="77777777" w:rsidTr="00C1755E">
        <w:trPr>
          <w:trHeight w:val="300"/>
        </w:trPr>
        <w:tc>
          <w:tcPr>
            <w:tcW w:w="2380" w:type="dxa"/>
            <w:tcBorders>
              <w:top w:val="nil"/>
              <w:bottom w:val="nil"/>
            </w:tcBorders>
            <w:shd w:val="clear" w:color="auto" w:fill="BFBFBF" w:themeFill="background1" w:themeFillShade="BF"/>
            <w:noWrap/>
            <w:vAlign w:val="center"/>
            <w:hideMark/>
          </w:tcPr>
          <w:p w14:paraId="22FE2B8D"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Other</w:t>
            </w:r>
          </w:p>
        </w:tc>
        <w:tc>
          <w:tcPr>
            <w:tcW w:w="1209" w:type="dxa"/>
            <w:tcBorders>
              <w:top w:val="nil"/>
              <w:bottom w:val="nil"/>
            </w:tcBorders>
            <w:shd w:val="clear" w:color="auto" w:fill="BFBFBF" w:themeFill="background1" w:themeFillShade="BF"/>
            <w:noWrap/>
            <w:vAlign w:val="center"/>
            <w:hideMark/>
          </w:tcPr>
          <w:p w14:paraId="0BD9785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5.2%</w:t>
            </w:r>
          </w:p>
        </w:tc>
        <w:tc>
          <w:tcPr>
            <w:tcW w:w="1209" w:type="dxa"/>
            <w:tcBorders>
              <w:top w:val="nil"/>
              <w:bottom w:val="nil"/>
            </w:tcBorders>
            <w:shd w:val="clear" w:color="auto" w:fill="BFBFBF" w:themeFill="background1" w:themeFillShade="BF"/>
            <w:noWrap/>
            <w:vAlign w:val="center"/>
            <w:hideMark/>
          </w:tcPr>
          <w:p w14:paraId="30EAA3A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3.4%</w:t>
            </w:r>
          </w:p>
        </w:tc>
        <w:tc>
          <w:tcPr>
            <w:tcW w:w="1209" w:type="dxa"/>
            <w:tcBorders>
              <w:top w:val="nil"/>
              <w:bottom w:val="nil"/>
            </w:tcBorders>
            <w:shd w:val="clear" w:color="auto" w:fill="BFBFBF" w:themeFill="background1" w:themeFillShade="BF"/>
            <w:noWrap/>
            <w:vAlign w:val="center"/>
            <w:hideMark/>
          </w:tcPr>
          <w:p w14:paraId="349630A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2.3%</w:t>
            </w:r>
          </w:p>
        </w:tc>
        <w:tc>
          <w:tcPr>
            <w:tcW w:w="1209" w:type="dxa"/>
            <w:tcBorders>
              <w:top w:val="nil"/>
              <w:bottom w:val="nil"/>
            </w:tcBorders>
            <w:shd w:val="clear" w:color="auto" w:fill="BFBFBF" w:themeFill="background1" w:themeFillShade="BF"/>
            <w:noWrap/>
            <w:vAlign w:val="center"/>
            <w:hideMark/>
          </w:tcPr>
          <w:p w14:paraId="00D4C2A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2.1%</w:t>
            </w:r>
          </w:p>
        </w:tc>
        <w:tc>
          <w:tcPr>
            <w:tcW w:w="1209" w:type="dxa"/>
            <w:tcBorders>
              <w:top w:val="nil"/>
              <w:bottom w:val="nil"/>
              <w:right w:val="nil"/>
            </w:tcBorders>
            <w:shd w:val="clear" w:color="auto" w:fill="BFBFBF" w:themeFill="background1" w:themeFillShade="BF"/>
            <w:noWrap/>
            <w:vAlign w:val="center"/>
            <w:hideMark/>
          </w:tcPr>
          <w:p w14:paraId="7D3CF1B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c>
          <w:tcPr>
            <w:tcW w:w="1209" w:type="dxa"/>
            <w:tcBorders>
              <w:top w:val="nil"/>
              <w:left w:val="single" w:sz="4" w:space="0" w:color="auto"/>
              <w:bottom w:val="nil"/>
            </w:tcBorders>
            <w:shd w:val="clear" w:color="auto" w:fill="BFBFBF" w:themeFill="background1" w:themeFillShade="BF"/>
            <w:noWrap/>
            <w:vAlign w:val="center"/>
            <w:hideMark/>
          </w:tcPr>
          <w:p w14:paraId="2611B9E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r>
      <w:tr w:rsidR="00654778" w:rsidRPr="007F6332" w14:paraId="67655A27" w14:textId="77777777" w:rsidTr="00C1755E">
        <w:trPr>
          <w:trHeight w:val="300"/>
        </w:trPr>
        <w:tc>
          <w:tcPr>
            <w:tcW w:w="2380" w:type="dxa"/>
            <w:tcBorders>
              <w:top w:val="nil"/>
              <w:bottom w:val="nil"/>
            </w:tcBorders>
            <w:shd w:val="clear" w:color="auto" w:fill="auto"/>
            <w:noWrap/>
            <w:vAlign w:val="center"/>
            <w:hideMark/>
          </w:tcPr>
          <w:p w14:paraId="21817568"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Other Neurological</w:t>
            </w:r>
          </w:p>
        </w:tc>
        <w:tc>
          <w:tcPr>
            <w:tcW w:w="1209" w:type="dxa"/>
            <w:tcBorders>
              <w:top w:val="nil"/>
              <w:bottom w:val="nil"/>
            </w:tcBorders>
            <w:shd w:val="clear" w:color="auto" w:fill="auto"/>
            <w:noWrap/>
            <w:vAlign w:val="center"/>
            <w:hideMark/>
          </w:tcPr>
          <w:p w14:paraId="7E81EA9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5.2%</w:t>
            </w:r>
          </w:p>
        </w:tc>
        <w:tc>
          <w:tcPr>
            <w:tcW w:w="1209" w:type="dxa"/>
            <w:tcBorders>
              <w:top w:val="nil"/>
              <w:bottom w:val="nil"/>
            </w:tcBorders>
            <w:shd w:val="clear" w:color="auto" w:fill="auto"/>
            <w:noWrap/>
            <w:vAlign w:val="center"/>
            <w:hideMark/>
          </w:tcPr>
          <w:p w14:paraId="5912DFC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3.0%</w:t>
            </w:r>
          </w:p>
        </w:tc>
        <w:tc>
          <w:tcPr>
            <w:tcW w:w="1209" w:type="dxa"/>
            <w:tcBorders>
              <w:top w:val="nil"/>
              <w:bottom w:val="nil"/>
            </w:tcBorders>
            <w:shd w:val="clear" w:color="auto" w:fill="auto"/>
            <w:noWrap/>
            <w:vAlign w:val="center"/>
            <w:hideMark/>
          </w:tcPr>
          <w:p w14:paraId="441FC59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2.0%</w:t>
            </w:r>
          </w:p>
        </w:tc>
        <w:tc>
          <w:tcPr>
            <w:tcW w:w="1209" w:type="dxa"/>
            <w:tcBorders>
              <w:top w:val="nil"/>
              <w:bottom w:val="nil"/>
            </w:tcBorders>
            <w:shd w:val="clear" w:color="auto" w:fill="auto"/>
            <w:noWrap/>
            <w:vAlign w:val="center"/>
            <w:hideMark/>
          </w:tcPr>
          <w:p w14:paraId="11ECD63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c>
          <w:tcPr>
            <w:tcW w:w="1209" w:type="dxa"/>
            <w:tcBorders>
              <w:top w:val="nil"/>
              <w:bottom w:val="nil"/>
              <w:right w:val="nil"/>
            </w:tcBorders>
            <w:shd w:val="clear" w:color="auto" w:fill="auto"/>
            <w:noWrap/>
            <w:vAlign w:val="center"/>
            <w:hideMark/>
          </w:tcPr>
          <w:p w14:paraId="45E33FC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w:t>
            </w:r>
          </w:p>
        </w:tc>
        <w:tc>
          <w:tcPr>
            <w:tcW w:w="1209" w:type="dxa"/>
            <w:tcBorders>
              <w:top w:val="nil"/>
              <w:left w:val="single" w:sz="4" w:space="0" w:color="auto"/>
              <w:bottom w:val="nil"/>
            </w:tcBorders>
            <w:shd w:val="clear" w:color="auto" w:fill="auto"/>
            <w:noWrap/>
            <w:vAlign w:val="center"/>
            <w:hideMark/>
          </w:tcPr>
          <w:p w14:paraId="3A12341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w:t>
            </w:r>
          </w:p>
        </w:tc>
      </w:tr>
      <w:tr w:rsidR="00654778" w:rsidRPr="007F6332" w14:paraId="6FF0F2A7" w14:textId="77777777" w:rsidTr="00C1755E">
        <w:trPr>
          <w:trHeight w:val="300"/>
        </w:trPr>
        <w:tc>
          <w:tcPr>
            <w:tcW w:w="2380" w:type="dxa"/>
            <w:tcBorders>
              <w:top w:val="nil"/>
              <w:bottom w:val="nil"/>
            </w:tcBorders>
            <w:shd w:val="clear" w:color="auto" w:fill="BFBFBF" w:themeFill="background1" w:themeFillShade="BF"/>
            <w:noWrap/>
            <w:vAlign w:val="center"/>
            <w:hideMark/>
          </w:tcPr>
          <w:p w14:paraId="3640776A"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Other Physical</w:t>
            </w:r>
          </w:p>
        </w:tc>
        <w:tc>
          <w:tcPr>
            <w:tcW w:w="1209" w:type="dxa"/>
            <w:tcBorders>
              <w:top w:val="nil"/>
              <w:bottom w:val="nil"/>
            </w:tcBorders>
            <w:shd w:val="clear" w:color="auto" w:fill="BFBFBF" w:themeFill="background1" w:themeFillShade="BF"/>
            <w:noWrap/>
            <w:vAlign w:val="center"/>
            <w:hideMark/>
          </w:tcPr>
          <w:p w14:paraId="6231F0E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0.9%</w:t>
            </w:r>
          </w:p>
        </w:tc>
        <w:tc>
          <w:tcPr>
            <w:tcW w:w="1209" w:type="dxa"/>
            <w:tcBorders>
              <w:top w:val="nil"/>
              <w:bottom w:val="nil"/>
            </w:tcBorders>
            <w:shd w:val="clear" w:color="auto" w:fill="BFBFBF" w:themeFill="background1" w:themeFillShade="BF"/>
            <w:noWrap/>
            <w:vAlign w:val="center"/>
            <w:hideMark/>
          </w:tcPr>
          <w:p w14:paraId="30F3AE2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0.6%</w:t>
            </w:r>
          </w:p>
        </w:tc>
        <w:tc>
          <w:tcPr>
            <w:tcW w:w="1209" w:type="dxa"/>
            <w:tcBorders>
              <w:top w:val="nil"/>
              <w:bottom w:val="nil"/>
            </w:tcBorders>
            <w:shd w:val="clear" w:color="auto" w:fill="BFBFBF" w:themeFill="background1" w:themeFillShade="BF"/>
            <w:noWrap/>
            <w:vAlign w:val="center"/>
            <w:hideMark/>
          </w:tcPr>
          <w:p w14:paraId="0F6BE42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0.4%</w:t>
            </w:r>
          </w:p>
        </w:tc>
        <w:tc>
          <w:tcPr>
            <w:tcW w:w="1209" w:type="dxa"/>
            <w:tcBorders>
              <w:top w:val="nil"/>
              <w:bottom w:val="nil"/>
            </w:tcBorders>
            <w:shd w:val="clear" w:color="auto" w:fill="BFBFBF" w:themeFill="background1" w:themeFillShade="BF"/>
            <w:noWrap/>
            <w:vAlign w:val="center"/>
            <w:hideMark/>
          </w:tcPr>
          <w:p w14:paraId="391CA6E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0.4%</w:t>
            </w:r>
          </w:p>
        </w:tc>
        <w:tc>
          <w:tcPr>
            <w:tcW w:w="1209" w:type="dxa"/>
            <w:tcBorders>
              <w:top w:val="nil"/>
              <w:bottom w:val="nil"/>
              <w:right w:val="nil"/>
            </w:tcBorders>
            <w:shd w:val="clear" w:color="auto" w:fill="BFBFBF" w:themeFill="background1" w:themeFillShade="BF"/>
            <w:noWrap/>
            <w:vAlign w:val="center"/>
            <w:hideMark/>
          </w:tcPr>
          <w:p w14:paraId="1B3BB3A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0.3%</w:t>
            </w:r>
          </w:p>
        </w:tc>
        <w:tc>
          <w:tcPr>
            <w:tcW w:w="1209" w:type="dxa"/>
            <w:tcBorders>
              <w:top w:val="nil"/>
              <w:left w:val="single" w:sz="4" w:space="0" w:color="auto"/>
              <w:bottom w:val="nil"/>
            </w:tcBorders>
            <w:shd w:val="clear" w:color="auto" w:fill="BFBFBF" w:themeFill="background1" w:themeFillShade="BF"/>
            <w:noWrap/>
            <w:vAlign w:val="center"/>
            <w:hideMark/>
          </w:tcPr>
          <w:p w14:paraId="5C66D47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0.3%</w:t>
            </w:r>
          </w:p>
        </w:tc>
      </w:tr>
      <w:tr w:rsidR="00654778" w:rsidRPr="007F6332" w14:paraId="52EF98F7" w14:textId="77777777" w:rsidTr="00C1755E">
        <w:trPr>
          <w:trHeight w:val="300"/>
        </w:trPr>
        <w:tc>
          <w:tcPr>
            <w:tcW w:w="2380" w:type="dxa"/>
            <w:tcBorders>
              <w:top w:val="nil"/>
              <w:bottom w:val="nil"/>
            </w:tcBorders>
            <w:shd w:val="clear" w:color="auto" w:fill="auto"/>
            <w:noWrap/>
            <w:vAlign w:val="center"/>
            <w:hideMark/>
          </w:tcPr>
          <w:p w14:paraId="0999D753"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Other Sensory/Speech</w:t>
            </w:r>
          </w:p>
        </w:tc>
        <w:tc>
          <w:tcPr>
            <w:tcW w:w="1209" w:type="dxa"/>
            <w:tcBorders>
              <w:top w:val="nil"/>
              <w:bottom w:val="nil"/>
            </w:tcBorders>
            <w:shd w:val="clear" w:color="auto" w:fill="auto"/>
            <w:noWrap/>
            <w:vAlign w:val="center"/>
            <w:hideMark/>
          </w:tcPr>
          <w:p w14:paraId="6DE638E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209" w:type="dxa"/>
            <w:tcBorders>
              <w:top w:val="nil"/>
              <w:bottom w:val="nil"/>
            </w:tcBorders>
            <w:shd w:val="clear" w:color="auto" w:fill="auto"/>
            <w:noWrap/>
            <w:vAlign w:val="center"/>
            <w:hideMark/>
          </w:tcPr>
          <w:p w14:paraId="342301F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0.1%</w:t>
            </w:r>
          </w:p>
        </w:tc>
        <w:tc>
          <w:tcPr>
            <w:tcW w:w="1209" w:type="dxa"/>
            <w:tcBorders>
              <w:top w:val="nil"/>
              <w:bottom w:val="nil"/>
            </w:tcBorders>
            <w:shd w:val="clear" w:color="auto" w:fill="auto"/>
            <w:noWrap/>
            <w:vAlign w:val="center"/>
            <w:hideMark/>
          </w:tcPr>
          <w:p w14:paraId="3E1026B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0.1%</w:t>
            </w:r>
          </w:p>
        </w:tc>
        <w:tc>
          <w:tcPr>
            <w:tcW w:w="1209" w:type="dxa"/>
            <w:tcBorders>
              <w:top w:val="nil"/>
              <w:bottom w:val="nil"/>
            </w:tcBorders>
            <w:shd w:val="clear" w:color="auto" w:fill="auto"/>
            <w:noWrap/>
            <w:vAlign w:val="center"/>
            <w:hideMark/>
          </w:tcPr>
          <w:p w14:paraId="0CAB2D1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0.1%</w:t>
            </w:r>
          </w:p>
        </w:tc>
        <w:tc>
          <w:tcPr>
            <w:tcW w:w="1209" w:type="dxa"/>
            <w:tcBorders>
              <w:top w:val="nil"/>
              <w:bottom w:val="nil"/>
              <w:right w:val="nil"/>
            </w:tcBorders>
            <w:shd w:val="clear" w:color="auto" w:fill="auto"/>
            <w:noWrap/>
            <w:vAlign w:val="center"/>
            <w:hideMark/>
          </w:tcPr>
          <w:p w14:paraId="1DED1AE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0.1%</w:t>
            </w:r>
          </w:p>
        </w:tc>
        <w:tc>
          <w:tcPr>
            <w:tcW w:w="1209" w:type="dxa"/>
            <w:tcBorders>
              <w:top w:val="nil"/>
              <w:left w:val="single" w:sz="4" w:space="0" w:color="auto"/>
              <w:bottom w:val="nil"/>
            </w:tcBorders>
            <w:shd w:val="clear" w:color="auto" w:fill="auto"/>
            <w:noWrap/>
            <w:vAlign w:val="center"/>
            <w:hideMark/>
          </w:tcPr>
          <w:p w14:paraId="2C2CEF9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0.1%</w:t>
            </w:r>
          </w:p>
        </w:tc>
      </w:tr>
      <w:tr w:rsidR="00654778" w:rsidRPr="007F6332" w14:paraId="1328FBE3" w14:textId="77777777" w:rsidTr="00C1755E">
        <w:trPr>
          <w:trHeight w:val="300"/>
        </w:trPr>
        <w:tc>
          <w:tcPr>
            <w:tcW w:w="2380" w:type="dxa"/>
            <w:tcBorders>
              <w:top w:val="nil"/>
              <w:bottom w:val="nil"/>
            </w:tcBorders>
            <w:shd w:val="clear" w:color="auto" w:fill="BFBFBF" w:themeFill="background1" w:themeFillShade="BF"/>
            <w:noWrap/>
            <w:vAlign w:val="center"/>
            <w:hideMark/>
          </w:tcPr>
          <w:p w14:paraId="4CCC2F45"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Psychosocial disability</w:t>
            </w:r>
          </w:p>
        </w:tc>
        <w:tc>
          <w:tcPr>
            <w:tcW w:w="1209" w:type="dxa"/>
            <w:tcBorders>
              <w:top w:val="nil"/>
              <w:bottom w:val="nil"/>
            </w:tcBorders>
            <w:shd w:val="clear" w:color="auto" w:fill="BFBFBF" w:themeFill="background1" w:themeFillShade="BF"/>
            <w:noWrap/>
            <w:vAlign w:val="center"/>
            <w:hideMark/>
          </w:tcPr>
          <w:p w14:paraId="503E475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w:t>
            </w:r>
          </w:p>
        </w:tc>
        <w:tc>
          <w:tcPr>
            <w:tcW w:w="1209" w:type="dxa"/>
            <w:tcBorders>
              <w:top w:val="nil"/>
              <w:bottom w:val="nil"/>
            </w:tcBorders>
            <w:shd w:val="clear" w:color="auto" w:fill="BFBFBF" w:themeFill="background1" w:themeFillShade="BF"/>
            <w:noWrap/>
            <w:vAlign w:val="center"/>
            <w:hideMark/>
          </w:tcPr>
          <w:p w14:paraId="0044270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1.2%</w:t>
            </w:r>
          </w:p>
        </w:tc>
        <w:tc>
          <w:tcPr>
            <w:tcW w:w="1209" w:type="dxa"/>
            <w:tcBorders>
              <w:top w:val="nil"/>
              <w:bottom w:val="nil"/>
            </w:tcBorders>
            <w:shd w:val="clear" w:color="auto" w:fill="BFBFBF" w:themeFill="background1" w:themeFillShade="BF"/>
            <w:noWrap/>
            <w:vAlign w:val="center"/>
            <w:hideMark/>
          </w:tcPr>
          <w:p w14:paraId="51992D0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209" w:type="dxa"/>
            <w:tcBorders>
              <w:top w:val="nil"/>
              <w:bottom w:val="nil"/>
            </w:tcBorders>
            <w:shd w:val="clear" w:color="auto" w:fill="BFBFBF" w:themeFill="background1" w:themeFillShade="BF"/>
            <w:noWrap/>
            <w:vAlign w:val="center"/>
            <w:hideMark/>
          </w:tcPr>
          <w:p w14:paraId="7C60387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0.7%</w:t>
            </w:r>
          </w:p>
        </w:tc>
        <w:tc>
          <w:tcPr>
            <w:tcW w:w="1209" w:type="dxa"/>
            <w:tcBorders>
              <w:top w:val="nil"/>
              <w:bottom w:val="nil"/>
              <w:right w:val="nil"/>
            </w:tcBorders>
            <w:shd w:val="clear" w:color="auto" w:fill="BFBFBF" w:themeFill="background1" w:themeFillShade="BF"/>
            <w:noWrap/>
            <w:vAlign w:val="center"/>
            <w:hideMark/>
          </w:tcPr>
          <w:p w14:paraId="1262D87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0.6%</w:t>
            </w:r>
          </w:p>
        </w:tc>
        <w:tc>
          <w:tcPr>
            <w:tcW w:w="1209" w:type="dxa"/>
            <w:tcBorders>
              <w:top w:val="nil"/>
              <w:left w:val="single" w:sz="4" w:space="0" w:color="auto"/>
              <w:bottom w:val="nil"/>
            </w:tcBorders>
            <w:shd w:val="clear" w:color="auto" w:fill="BFBFBF" w:themeFill="background1" w:themeFillShade="BF"/>
            <w:noWrap/>
            <w:vAlign w:val="center"/>
            <w:hideMark/>
          </w:tcPr>
          <w:p w14:paraId="75171FB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0.5%</w:t>
            </w:r>
          </w:p>
        </w:tc>
      </w:tr>
      <w:tr w:rsidR="00654778" w:rsidRPr="007F6332" w14:paraId="6364891D" w14:textId="77777777" w:rsidTr="00C1755E">
        <w:trPr>
          <w:trHeight w:val="300"/>
        </w:trPr>
        <w:tc>
          <w:tcPr>
            <w:tcW w:w="2380" w:type="dxa"/>
            <w:tcBorders>
              <w:top w:val="nil"/>
              <w:bottom w:val="nil"/>
            </w:tcBorders>
            <w:shd w:val="clear" w:color="auto" w:fill="auto"/>
            <w:noWrap/>
            <w:vAlign w:val="center"/>
            <w:hideMark/>
          </w:tcPr>
          <w:p w14:paraId="2653FAB9"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Spinal Cord Injury</w:t>
            </w:r>
          </w:p>
        </w:tc>
        <w:tc>
          <w:tcPr>
            <w:tcW w:w="1209" w:type="dxa"/>
            <w:tcBorders>
              <w:top w:val="nil"/>
              <w:bottom w:val="nil"/>
            </w:tcBorders>
            <w:shd w:val="clear" w:color="auto" w:fill="auto"/>
            <w:noWrap/>
            <w:vAlign w:val="center"/>
            <w:hideMark/>
          </w:tcPr>
          <w:p w14:paraId="7EC65B1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2.6%</w:t>
            </w:r>
          </w:p>
        </w:tc>
        <w:tc>
          <w:tcPr>
            <w:tcW w:w="1209" w:type="dxa"/>
            <w:tcBorders>
              <w:top w:val="nil"/>
              <w:bottom w:val="nil"/>
            </w:tcBorders>
            <w:shd w:val="clear" w:color="auto" w:fill="auto"/>
            <w:noWrap/>
            <w:vAlign w:val="center"/>
            <w:hideMark/>
          </w:tcPr>
          <w:p w14:paraId="1AA1003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1.6%</w:t>
            </w:r>
          </w:p>
        </w:tc>
        <w:tc>
          <w:tcPr>
            <w:tcW w:w="1209" w:type="dxa"/>
            <w:tcBorders>
              <w:top w:val="nil"/>
              <w:bottom w:val="nil"/>
            </w:tcBorders>
            <w:shd w:val="clear" w:color="auto" w:fill="auto"/>
            <w:noWrap/>
            <w:vAlign w:val="center"/>
            <w:hideMark/>
          </w:tcPr>
          <w:p w14:paraId="2D92BBE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209" w:type="dxa"/>
            <w:tcBorders>
              <w:top w:val="nil"/>
              <w:bottom w:val="nil"/>
            </w:tcBorders>
            <w:shd w:val="clear" w:color="auto" w:fill="auto"/>
            <w:noWrap/>
            <w:vAlign w:val="center"/>
            <w:hideMark/>
          </w:tcPr>
          <w:p w14:paraId="713FC9B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w:t>
            </w:r>
          </w:p>
        </w:tc>
        <w:tc>
          <w:tcPr>
            <w:tcW w:w="1209" w:type="dxa"/>
            <w:tcBorders>
              <w:top w:val="nil"/>
              <w:bottom w:val="nil"/>
              <w:right w:val="nil"/>
            </w:tcBorders>
            <w:shd w:val="clear" w:color="auto" w:fill="auto"/>
            <w:noWrap/>
            <w:vAlign w:val="center"/>
            <w:hideMark/>
          </w:tcPr>
          <w:p w14:paraId="372B274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209" w:type="dxa"/>
            <w:tcBorders>
              <w:top w:val="nil"/>
              <w:left w:val="single" w:sz="4" w:space="0" w:color="auto"/>
              <w:bottom w:val="nil"/>
            </w:tcBorders>
            <w:shd w:val="clear" w:color="auto" w:fill="auto"/>
            <w:noWrap/>
            <w:vAlign w:val="center"/>
            <w:hideMark/>
          </w:tcPr>
          <w:p w14:paraId="0D8FDED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0.7%</w:t>
            </w:r>
          </w:p>
        </w:tc>
      </w:tr>
      <w:tr w:rsidR="00654778" w:rsidRPr="007F6332" w14:paraId="388C7359" w14:textId="77777777" w:rsidTr="00C1755E">
        <w:trPr>
          <w:trHeight w:val="300"/>
        </w:trPr>
        <w:tc>
          <w:tcPr>
            <w:tcW w:w="2380" w:type="dxa"/>
            <w:tcBorders>
              <w:top w:val="nil"/>
              <w:bottom w:val="nil"/>
            </w:tcBorders>
            <w:shd w:val="clear" w:color="auto" w:fill="BFBFBF" w:themeFill="background1" w:themeFillShade="BF"/>
            <w:noWrap/>
            <w:vAlign w:val="center"/>
            <w:hideMark/>
          </w:tcPr>
          <w:p w14:paraId="22ED016B"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Stroke</w:t>
            </w:r>
          </w:p>
        </w:tc>
        <w:tc>
          <w:tcPr>
            <w:tcW w:w="1209" w:type="dxa"/>
            <w:tcBorders>
              <w:top w:val="nil"/>
              <w:bottom w:val="nil"/>
            </w:tcBorders>
            <w:shd w:val="clear" w:color="auto" w:fill="BFBFBF" w:themeFill="background1" w:themeFillShade="BF"/>
            <w:noWrap/>
            <w:vAlign w:val="center"/>
            <w:hideMark/>
          </w:tcPr>
          <w:p w14:paraId="795C1E3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5.2%</w:t>
            </w:r>
          </w:p>
        </w:tc>
        <w:tc>
          <w:tcPr>
            <w:tcW w:w="1209" w:type="dxa"/>
            <w:tcBorders>
              <w:top w:val="nil"/>
              <w:bottom w:val="nil"/>
            </w:tcBorders>
            <w:shd w:val="clear" w:color="auto" w:fill="BFBFBF" w:themeFill="background1" w:themeFillShade="BF"/>
            <w:noWrap/>
            <w:vAlign w:val="center"/>
            <w:hideMark/>
          </w:tcPr>
          <w:p w14:paraId="5E00149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3.2%</w:t>
            </w:r>
          </w:p>
        </w:tc>
        <w:tc>
          <w:tcPr>
            <w:tcW w:w="1209" w:type="dxa"/>
            <w:tcBorders>
              <w:top w:val="nil"/>
              <w:bottom w:val="nil"/>
            </w:tcBorders>
            <w:shd w:val="clear" w:color="auto" w:fill="BFBFBF" w:themeFill="background1" w:themeFillShade="BF"/>
            <w:noWrap/>
            <w:vAlign w:val="center"/>
            <w:hideMark/>
          </w:tcPr>
          <w:p w14:paraId="44230BB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2.2%</w:t>
            </w:r>
          </w:p>
        </w:tc>
        <w:tc>
          <w:tcPr>
            <w:tcW w:w="1209" w:type="dxa"/>
            <w:tcBorders>
              <w:top w:val="nil"/>
              <w:bottom w:val="nil"/>
            </w:tcBorders>
            <w:shd w:val="clear" w:color="auto" w:fill="BFBFBF" w:themeFill="background1" w:themeFillShade="BF"/>
            <w:noWrap/>
            <w:vAlign w:val="center"/>
            <w:hideMark/>
          </w:tcPr>
          <w:p w14:paraId="0F857F6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w:t>
            </w:r>
          </w:p>
        </w:tc>
        <w:tc>
          <w:tcPr>
            <w:tcW w:w="1209" w:type="dxa"/>
            <w:tcBorders>
              <w:top w:val="nil"/>
              <w:bottom w:val="nil"/>
              <w:right w:val="nil"/>
            </w:tcBorders>
            <w:shd w:val="clear" w:color="auto" w:fill="BFBFBF" w:themeFill="background1" w:themeFillShade="BF"/>
            <w:noWrap/>
            <w:vAlign w:val="center"/>
            <w:hideMark/>
          </w:tcPr>
          <w:p w14:paraId="0F74E83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w:t>
            </w:r>
          </w:p>
        </w:tc>
        <w:tc>
          <w:tcPr>
            <w:tcW w:w="1209" w:type="dxa"/>
            <w:tcBorders>
              <w:top w:val="nil"/>
              <w:left w:val="single" w:sz="4" w:space="0" w:color="auto"/>
              <w:bottom w:val="nil"/>
            </w:tcBorders>
            <w:shd w:val="clear" w:color="auto" w:fill="BFBFBF" w:themeFill="background1" w:themeFillShade="BF"/>
            <w:noWrap/>
            <w:vAlign w:val="center"/>
            <w:hideMark/>
          </w:tcPr>
          <w:p w14:paraId="12FE158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1.4%</w:t>
            </w:r>
          </w:p>
        </w:tc>
      </w:tr>
      <w:tr w:rsidR="00654778" w:rsidRPr="007F6332" w14:paraId="17BAFDFF" w14:textId="77777777" w:rsidTr="00C1755E">
        <w:trPr>
          <w:trHeight w:val="300"/>
        </w:trPr>
        <w:tc>
          <w:tcPr>
            <w:tcW w:w="2380" w:type="dxa"/>
            <w:tcBorders>
              <w:top w:val="nil"/>
            </w:tcBorders>
            <w:shd w:val="clear" w:color="auto" w:fill="auto"/>
            <w:noWrap/>
            <w:vAlign w:val="center"/>
            <w:hideMark/>
          </w:tcPr>
          <w:p w14:paraId="7F31E39C"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Visual Impairment</w:t>
            </w:r>
          </w:p>
        </w:tc>
        <w:tc>
          <w:tcPr>
            <w:tcW w:w="1209" w:type="dxa"/>
            <w:tcBorders>
              <w:top w:val="nil"/>
            </w:tcBorders>
            <w:shd w:val="clear" w:color="auto" w:fill="auto"/>
            <w:noWrap/>
            <w:vAlign w:val="center"/>
            <w:hideMark/>
          </w:tcPr>
          <w:p w14:paraId="37F5E66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0.3%</w:t>
            </w:r>
          </w:p>
        </w:tc>
        <w:tc>
          <w:tcPr>
            <w:tcW w:w="1209" w:type="dxa"/>
            <w:tcBorders>
              <w:top w:val="nil"/>
            </w:tcBorders>
            <w:shd w:val="clear" w:color="auto" w:fill="auto"/>
            <w:noWrap/>
            <w:vAlign w:val="center"/>
            <w:hideMark/>
          </w:tcPr>
          <w:p w14:paraId="6F95250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0.2%</w:t>
            </w:r>
          </w:p>
        </w:tc>
        <w:tc>
          <w:tcPr>
            <w:tcW w:w="1209" w:type="dxa"/>
            <w:tcBorders>
              <w:top w:val="nil"/>
            </w:tcBorders>
            <w:shd w:val="clear" w:color="auto" w:fill="auto"/>
            <w:noWrap/>
            <w:vAlign w:val="center"/>
            <w:hideMark/>
          </w:tcPr>
          <w:p w14:paraId="47BA8A6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0.2%</w:t>
            </w:r>
          </w:p>
        </w:tc>
        <w:tc>
          <w:tcPr>
            <w:tcW w:w="1209" w:type="dxa"/>
            <w:tcBorders>
              <w:top w:val="nil"/>
            </w:tcBorders>
            <w:shd w:val="clear" w:color="auto" w:fill="auto"/>
            <w:noWrap/>
            <w:vAlign w:val="center"/>
            <w:hideMark/>
          </w:tcPr>
          <w:p w14:paraId="5A5CA43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0.1%</w:t>
            </w:r>
          </w:p>
        </w:tc>
        <w:tc>
          <w:tcPr>
            <w:tcW w:w="1209" w:type="dxa"/>
            <w:tcBorders>
              <w:top w:val="nil"/>
              <w:right w:val="nil"/>
            </w:tcBorders>
            <w:shd w:val="clear" w:color="auto" w:fill="auto"/>
            <w:noWrap/>
            <w:vAlign w:val="center"/>
            <w:hideMark/>
          </w:tcPr>
          <w:p w14:paraId="2F14325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0.1%</w:t>
            </w:r>
          </w:p>
        </w:tc>
        <w:tc>
          <w:tcPr>
            <w:tcW w:w="1209" w:type="dxa"/>
            <w:tcBorders>
              <w:top w:val="nil"/>
              <w:left w:val="single" w:sz="4" w:space="0" w:color="auto"/>
            </w:tcBorders>
            <w:shd w:val="clear" w:color="auto" w:fill="auto"/>
            <w:noWrap/>
            <w:vAlign w:val="center"/>
            <w:hideMark/>
          </w:tcPr>
          <w:p w14:paraId="34DCDA9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0.1%</w:t>
            </w:r>
          </w:p>
        </w:tc>
      </w:tr>
      <w:tr w:rsidR="00654778" w:rsidRPr="007F6332" w14:paraId="6715BAB3" w14:textId="77777777" w:rsidTr="00C1755E">
        <w:trPr>
          <w:trHeight w:val="300"/>
        </w:trPr>
        <w:tc>
          <w:tcPr>
            <w:tcW w:w="2380" w:type="dxa"/>
            <w:tcBorders>
              <w:bottom w:val="single" w:sz="4" w:space="0" w:color="auto"/>
            </w:tcBorders>
            <w:shd w:val="clear" w:color="auto" w:fill="B499B7"/>
            <w:noWrap/>
            <w:vAlign w:val="center"/>
            <w:hideMark/>
          </w:tcPr>
          <w:p w14:paraId="7BAECE04"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 xml:space="preserve">Overall </w:t>
            </w:r>
          </w:p>
          <w:p w14:paraId="7C2259FF"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(age 15+ only)</w:t>
            </w:r>
          </w:p>
        </w:tc>
        <w:tc>
          <w:tcPr>
            <w:tcW w:w="1209" w:type="dxa"/>
            <w:tcBorders>
              <w:bottom w:val="single" w:sz="4" w:space="0" w:color="auto"/>
            </w:tcBorders>
            <w:shd w:val="clear" w:color="auto" w:fill="B499B7"/>
            <w:noWrap/>
            <w:vAlign w:val="center"/>
            <w:hideMark/>
          </w:tcPr>
          <w:p w14:paraId="4CE3973A"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w:t>
            </w:r>
          </w:p>
        </w:tc>
        <w:tc>
          <w:tcPr>
            <w:tcW w:w="1209" w:type="dxa"/>
            <w:tcBorders>
              <w:bottom w:val="single" w:sz="4" w:space="0" w:color="auto"/>
            </w:tcBorders>
            <w:shd w:val="clear" w:color="auto" w:fill="B499B7"/>
            <w:noWrap/>
            <w:vAlign w:val="center"/>
            <w:hideMark/>
          </w:tcPr>
          <w:p w14:paraId="522D753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1.4%</w:t>
            </w:r>
          </w:p>
        </w:tc>
        <w:tc>
          <w:tcPr>
            <w:tcW w:w="1209" w:type="dxa"/>
            <w:tcBorders>
              <w:bottom w:val="single" w:sz="4" w:space="0" w:color="auto"/>
            </w:tcBorders>
            <w:shd w:val="clear" w:color="auto" w:fill="B499B7"/>
            <w:noWrap/>
            <w:vAlign w:val="center"/>
            <w:hideMark/>
          </w:tcPr>
          <w:p w14:paraId="34F5D2EF"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0.9%</w:t>
            </w:r>
          </w:p>
        </w:tc>
        <w:tc>
          <w:tcPr>
            <w:tcW w:w="1209" w:type="dxa"/>
            <w:tcBorders>
              <w:bottom w:val="single" w:sz="4" w:space="0" w:color="auto"/>
            </w:tcBorders>
            <w:shd w:val="clear" w:color="auto" w:fill="B499B7"/>
            <w:noWrap/>
            <w:vAlign w:val="center"/>
            <w:hideMark/>
          </w:tcPr>
          <w:p w14:paraId="55A9F78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0.8%</w:t>
            </w:r>
          </w:p>
        </w:tc>
        <w:tc>
          <w:tcPr>
            <w:tcW w:w="1209" w:type="dxa"/>
            <w:tcBorders>
              <w:bottom w:val="single" w:sz="4" w:space="0" w:color="auto"/>
              <w:right w:val="nil"/>
            </w:tcBorders>
            <w:shd w:val="clear" w:color="auto" w:fill="B499B7"/>
            <w:noWrap/>
            <w:vAlign w:val="center"/>
            <w:hideMark/>
          </w:tcPr>
          <w:p w14:paraId="74892A83"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0.6%</w:t>
            </w:r>
          </w:p>
        </w:tc>
        <w:tc>
          <w:tcPr>
            <w:tcW w:w="1209" w:type="dxa"/>
            <w:tcBorders>
              <w:left w:val="single" w:sz="4" w:space="0" w:color="auto"/>
              <w:bottom w:val="single" w:sz="4" w:space="0" w:color="auto"/>
            </w:tcBorders>
            <w:shd w:val="clear" w:color="auto" w:fill="B499B7"/>
            <w:noWrap/>
            <w:vAlign w:val="center"/>
            <w:hideMark/>
          </w:tcPr>
          <w:p w14:paraId="4D30E03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0.5%</w:t>
            </w:r>
          </w:p>
        </w:tc>
      </w:tr>
    </w:tbl>
    <w:p w14:paraId="1E60A6BA" w14:textId="7A938B1C" w:rsidR="00654778" w:rsidRPr="007F6332" w:rsidRDefault="00654778" w:rsidP="00B421BE">
      <w:pPr>
        <w:spacing w:before="240"/>
        <w:rPr>
          <w:rFonts w:cs="Arial"/>
        </w:rPr>
      </w:pPr>
      <w:r w:rsidRPr="007F6332">
        <w:rPr>
          <w:rFonts w:cs="Arial"/>
        </w:rPr>
        <w:t>The actual SIL transition rate</w:t>
      </w:r>
      <w:r w:rsidR="004E4FF4" w:rsidRPr="007F6332">
        <w:rPr>
          <w:rFonts w:cs="Arial"/>
        </w:rPr>
        <w:t>s</w:t>
      </w:r>
      <w:r w:rsidRPr="007F6332">
        <w:rPr>
          <w:rFonts w:cs="Arial"/>
        </w:rPr>
        <w:t xml:space="preserve"> in 2022-23 are vastly different across disability groups. Participants with </w:t>
      </w:r>
      <w:r w:rsidR="004E4FF4" w:rsidRPr="007F6332">
        <w:rPr>
          <w:rFonts w:cs="Arial"/>
        </w:rPr>
        <w:t>s</w:t>
      </w:r>
      <w:r w:rsidRPr="007F6332">
        <w:rPr>
          <w:rFonts w:cs="Arial"/>
        </w:rPr>
        <w:t xml:space="preserve">troke, </w:t>
      </w:r>
      <w:r w:rsidR="004E4FF4" w:rsidRPr="007F6332">
        <w:rPr>
          <w:rFonts w:cs="Arial"/>
        </w:rPr>
        <w:t>o</w:t>
      </w:r>
      <w:r w:rsidRPr="007F6332">
        <w:rPr>
          <w:rFonts w:cs="Arial"/>
        </w:rPr>
        <w:t xml:space="preserve">ther </w:t>
      </w:r>
      <w:r w:rsidR="004E4FF4" w:rsidRPr="007F6332">
        <w:rPr>
          <w:rFonts w:cs="Arial"/>
        </w:rPr>
        <w:t>n</w:t>
      </w:r>
      <w:r w:rsidRPr="007F6332">
        <w:rPr>
          <w:rFonts w:cs="Arial"/>
        </w:rPr>
        <w:t xml:space="preserve">eurological and </w:t>
      </w:r>
      <w:r w:rsidR="004E4FF4" w:rsidRPr="007F6332">
        <w:rPr>
          <w:rFonts w:cs="Arial"/>
        </w:rPr>
        <w:t>a</w:t>
      </w:r>
      <w:r w:rsidRPr="007F6332">
        <w:rPr>
          <w:rFonts w:cs="Arial"/>
        </w:rPr>
        <w:t xml:space="preserve">cquired </w:t>
      </w:r>
      <w:r w:rsidR="004E4FF4" w:rsidRPr="007F6332">
        <w:rPr>
          <w:rFonts w:cs="Arial"/>
        </w:rPr>
        <w:t>b</w:t>
      </w:r>
      <w:r w:rsidRPr="007F6332">
        <w:rPr>
          <w:rFonts w:cs="Arial"/>
        </w:rPr>
        <w:t xml:space="preserve">rain </w:t>
      </w:r>
      <w:r w:rsidR="004E4FF4" w:rsidRPr="007F6332">
        <w:rPr>
          <w:rFonts w:cs="Arial"/>
        </w:rPr>
        <w:t>i</w:t>
      </w:r>
      <w:r w:rsidRPr="007F6332">
        <w:rPr>
          <w:rFonts w:cs="Arial"/>
        </w:rPr>
        <w:t>njury have the higher transition rates (5.2%, 5.2%, 4.8% respectively), while participants with autism have a significantly lower SIL transition rate (1.1%).</w:t>
      </w:r>
    </w:p>
    <w:p w14:paraId="7CE8E2EA" w14:textId="01120FD5" w:rsidR="00654778" w:rsidRPr="007F6332" w:rsidRDefault="009028ED" w:rsidP="00EF6B24">
      <w:pPr>
        <w:pStyle w:val="FiguresandTablesHeading5"/>
      </w:pPr>
      <w:r w:rsidRPr="007F6332">
        <w:t>Table I.2:</w:t>
      </w:r>
      <w:r w:rsidR="00654778" w:rsidRPr="007F6332">
        <w:t xml:space="preserve"> Actual and assumed SIL transition rates for participants aged 15 and above by age group</w:t>
      </w:r>
    </w:p>
    <w:tbl>
      <w:tblPr>
        <w:tblW w:w="8931" w:type="dxa"/>
        <w:tblLayout w:type="fixed"/>
        <w:tblLook w:val="04A0" w:firstRow="1" w:lastRow="0" w:firstColumn="1" w:lastColumn="0" w:noHBand="0" w:noVBand="1"/>
      </w:tblPr>
      <w:tblGrid>
        <w:gridCol w:w="1838"/>
        <w:gridCol w:w="1182"/>
        <w:gridCol w:w="1182"/>
        <w:gridCol w:w="1182"/>
        <w:gridCol w:w="1182"/>
        <w:gridCol w:w="1182"/>
        <w:gridCol w:w="1183"/>
      </w:tblGrid>
      <w:tr w:rsidR="00654778" w:rsidRPr="007F6332" w14:paraId="07B59E13" w14:textId="77777777" w:rsidTr="00C1755E">
        <w:trPr>
          <w:trHeight w:val="379"/>
        </w:trPr>
        <w:tc>
          <w:tcPr>
            <w:tcW w:w="1838" w:type="dxa"/>
            <w:tcBorders>
              <w:bottom w:val="single" w:sz="4" w:space="0" w:color="auto"/>
            </w:tcBorders>
            <w:shd w:val="clear" w:color="000000" w:fill="6B2976"/>
            <w:noWrap/>
            <w:vAlign w:val="center"/>
            <w:hideMark/>
          </w:tcPr>
          <w:p w14:paraId="0D5637CD" w14:textId="77777777" w:rsidR="00654778" w:rsidRPr="007F6332" w:rsidRDefault="00654778" w:rsidP="000766DF">
            <w:pPr>
              <w:keepNext/>
              <w:keepLines/>
              <w:spacing w:after="0" w:line="240" w:lineRule="auto"/>
              <w:rPr>
                <w:rFonts w:eastAsia="Times New Roman" w:cs="Arial"/>
                <w:b/>
                <w:bCs/>
                <w:color w:val="FFFFFF"/>
                <w:lang w:eastAsia="en-AU"/>
              </w:rPr>
            </w:pPr>
            <w:r w:rsidRPr="007F6332">
              <w:rPr>
                <w:rFonts w:eastAsia="Times New Roman" w:cs="Arial"/>
                <w:b/>
                <w:bCs/>
                <w:color w:val="FFFFFF"/>
                <w:lang w:eastAsia="en-AU"/>
              </w:rPr>
              <w:t>Age group</w:t>
            </w:r>
          </w:p>
        </w:tc>
        <w:tc>
          <w:tcPr>
            <w:tcW w:w="1182" w:type="dxa"/>
            <w:tcBorders>
              <w:bottom w:val="single" w:sz="4" w:space="0" w:color="auto"/>
            </w:tcBorders>
            <w:shd w:val="clear" w:color="000000" w:fill="6B2976"/>
            <w:noWrap/>
            <w:vAlign w:val="center"/>
            <w:hideMark/>
          </w:tcPr>
          <w:p w14:paraId="3FA772A3"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2022-23</w:t>
            </w:r>
          </w:p>
        </w:tc>
        <w:tc>
          <w:tcPr>
            <w:tcW w:w="1182" w:type="dxa"/>
            <w:tcBorders>
              <w:bottom w:val="single" w:sz="4" w:space="0" w:color="auto"/>
              <w:right w:val="nil"/>
            </w:tcBorders>
            <w:shd w:val="clear" w:color="000000" w:fill="6B2976"/>
            <w:noWrap/>
            <w:vAlign w:val="center"/>
            <w:hideMark/>
          </w:tcPr>
          <w:p w14:paraId="15E5B5C7"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2023-24</w:t>
            </w:r>
          </w:p>
        </w:tc>
        <w:tc>
          <w:tcPr>
            <w:tcW w:w="1182" w:type="dxa"/>
            <w:tcBorders>
              <w:left w:val="nil"/>
              <w:bottom w:val="single" w:sz="4" w:space="0" w:color="auto"/>
              <w:right w:val="nil"/>
            </w:tcBorders>
            <w:shd w:val="clear" w:color="000000" w:fill="6B2976"/>
            <w:noWrap/>
            <w:vAlign w:val="center"/>
            <w:hideMark/>
          </w:tcPr>
          <w:p w14:paraId="287B4F9D"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2024-25</w:t>
            </w:r>
          </w:p>
        </w:tc>
        <w:tc>
          <w:tcPr>
            <w:tcW w:w="1182" w:type="dxa"/>
            <w:tcBorders>
              <w:left w:val="nil"/>
              <w:bottom w:val="single" w:sz="4" w:space="0" w:color="auto"/>
              <w:right w:val="nil"/>
            </w:tcBorders>
            <w:shd w:val="clear" w:color="000000" w:fill="6B2976"/>
            <w:noWrap/>
            <w:vAlign w:val="center"/>
            <w:hideMark/>
          </w:tcPr>
          <w:p w14:paraId="1DA9F5FB"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2025-26</w:t>
            </w:r>
          </w:p>
        </w:tc>
        <w:tc>
          <w:tcPr>
            <w:tcW w:w="1182" w:type="dxa"/>
            <w:tcBorders>
              <w:left w:val="nil"/>
              <w:bottom w:val="single" w:sz="4" w:space="0" w:color="auto"/>
              <w:right w:val="nil"/>
            </w:tcBorders>
            <w:shd w:val="clear" w:color="000000" w:fill="6B2976"/>
            <w:noWrap/>
            <w:vAlign w:val="center"/>
            <w:hideMark/>
          </w:tcPr>
          <w:p w14:paraId="1C4E5DA6"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2026-27</w:t>
            </w:r>
          </w:p>
        </w:tc>
        <w:tc>
          <w:tcPr>
            <w:tcW w:w="1183" w:type="dxa"/>
            <w:tcBorders>
              <w:left w:val="single" w:sz="4" w:space="0" w:color="auto"/>
              <w:bottom w:val="single" w:sz="4" w:space="0" w:color="auto"/>
            </w:tcBorders>
            <w:shd w:val="clear" w:color="000000" w:fill="6B2976"/>
            <w:noWrap/>
            <w:vAlign w:val="center"/>
            <w:hideMark/>
          </w:tcPr>
          <w:p w14:paraId="056B7D61" w14:textId="7777777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2032-33</w:t>
            </w:r>
          </w:p>
        </w:tc>
      </w:tr>
      <w:tr w:rsidR="00654778" w:rsidRPr="007F6332" w14:paraId="1BB5D523" w14:textId="77777777" w:rsidTr="00C1755E">
        <w:trPr>
          <w:trHeight w:val="300"/>
        </w:trPr>
        <w:tc>
          <w:tcPr>
            <w:tcW w:w="1838" w:type="dxa"/>
            <w:tcBorders>
              <w:top w:val="single" w:sz="4" w:space="0" w:color="auto"/>
              <w:bottom w:val="nil"/>
            </w:tcBorders>
            <w:shd w:val="clear" w:color="auto" w:fill="auto"/>
            <w:noWrap/>
            <w:vAlign w:val="center"/>
            <w:hideMark/>
          </w:tcPr>
          <w:p w14:paraId="5D7DFC58"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0 to 14</w:t>
            </w:r>
          </w:p>
        </w:tc>
        <w:tc>
          <w:tcPr>
            <w:tcW w:w="1182" w:type="dxa"/>
            <w:tcBorders>
              <w:top w:val="nil"/>
              <w:bottom w:val="nil"/>
            </w:tcBorders>
            <w:shd w:val="clear" w:color="auto" w:fill="auto"/>
            <w:noWrap/>
            <w:vAlign w:val="center"/>
            <w:hideMark/>
          </w:tcPr>
          <w:p w14:paraId="454693B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182" w:type="dxa"/>
            <w:tcBorders>
              <w:top w:val="nil"/>
              <w:bottom w:val="nil"/>
              <w:right w:val="nil"/>
            </w:tcBorders>
            <w:shd w:val="clear" w:color="auto" w:fill="auto"/>
            <w:noWrap/>
            <w:vAlign w:val="center"/>
            <w:hideMark/>
          </w:tcPr>
          <w:p w14:paraId="3F9D7B7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182" w:type="dxa"/>
            <w:tcBorders>
              <w:top w:val="nil"/>
              <w:left w:val="nil"/>
              <w:bottom w:val="nil"/>
              <w:right w:val="nil"/>
            </w:tcBorders>
            <w:shd w:val="clear" w:color="auto" w:fill="auto"/>
            <w:noWrap/>
            <w:vAlign w:val="center"/>
            <w:hideMark/>
          </w:tcPr>
          <w:p w14:paraId="17976A7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182" w:type="dxa"/>
            <w:tcBorders>
              <w:top w:val="nil"/>
              <w:left w:val="nil"/>
              <w:bottom w:val="nil"/>
              <w:right w:val="nil"/>
            </w:tcBorders>
            <w:shd w:val="clear" w:color="auto" w:fill="auto"/>
            <w:noWrap/>
            <w:vAlign w:val="center"/>
            <w:hideMark/>
          </w:tcPr>
          <w:p w14:paraId="26DC1AF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182" w:type="dxa"/>
            <w:tcBorders>
              <w:top w:val="nil"/>
              <w:left w:val="nil"/>
              <w:bottom w:val="nil"/>
              <w:right w:val="nil"/>
            </w:tcBorders>
            <w:shd w:val="clear" w:color="auto" w:fill="auto"/>
            <w:noWrap/>
            <w:vAlign w:val="center"/>
            <w:hideMark/>
          </w:tcPr>
          <w:p w14:paraId="6503575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c>
          <w:tcPr>
            <w:tcW w:w="1183" w:type="dxa"/>
            <w:tcBorders>
              <w:top w:val="nil"/>
              <w:left w:val="single" w:sz="4" w:space="0" w:color="auto"/>
              <w:bottom w:val="nil"/>
            </w:tcBorders>
            <w:shd w:val="clear" w:color="auto" w:fill="auto"/>
            <w:noWrap/>
            <w:vAlign w:val="center"/>
            <w:hideMark/>
          </w:tcPr>
          <w:p w14:paraId="4C3B584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0.0%</w:t>
            </w:r>
          </w:p>
        </w:tc>
      </w:tr>
      <w:tr w:rsidR="00654778" w:rsidRPr="007F6332" w14:paraId="7912AC81" w14:textId="77777777" w:rsidTr="00C1755E">
        <w:trPr>
          <w:trHeight w:val="300"/>
        </w:trPr>
        <w:tc>
          <w:tcPr>
            <w:tcW w:w="1838" w:type="dxa"/>
            <w:tcBorders>
              <w:top w:val="nil"/>
              <w:bottom w:val="nil"/>
            </w:tcBorders>
            <w:shd w:val="clear" w:color="auto" w:fill="BFBFBF" w:themeFill="background1" w:themeFillShade="BF"/>
            <w:noWrap/>
            <w:vAlign w:val="center"/>
            <w:hideMark/>
          </w:tcPr>
          <w:p w14:paraId="29BE6E8B" w14:textId="77777777" w:rsidR="00654778" w:rsidRPr="007F6332" w:rsidRDefault="00654778" w:rsidP="000766DF">
            <w:pPr>
              <w:keepNext/>
              <w:keepLines/>
              <w:spacing w:after="0" w:line="240" w:lineRule="auto"/>
              <w:rPr>
                <w:rFonts w:eastAsia="Times New Roman" w:cs="Arial"/>
                <w:lang w:eastAsia="en-AU"/>
              </w:rPr>
            </w:pPr>
            <w:r w:rsidRPr="007F6332">
              <w:rPr>
                <w:rFonts w:eastAsia="Times New Roman" w:cs="Arial"/>
                <w:lang w:eastAsia="en-AU"/>
              </w:rPr>
              <w:t>15 to 18</w:t>
            </w:r>
          </w:p>
        </w:tc>
        <w:tc>
          <w:tcPr>
            <w:tcW w:w="1182" w:type="dxa"/>
            <w:tcBorders>
              <w:top w:val="nil"/>
              <w:bottom w:val="nil"/>
            </w:tcBorders>
            <w:shd w:val="clear" w:color="auto" w:fill="BFBFBF" w:themeFill="background1" w:themeFillShade="BF"/>
            <w:noWrap/>
            <w:vAlign w:val="center"/>
            <w:hideMark/>
          </w:tcPr>
          <w:p w14:paraId="09A38146" w14:textId="77777777" w:rsidR="00654778" w:rsidRPr="007F6332" w:rsidRDefault="00654778" w:rsidP="000766DF">
            <w:pPr>
              <w:keepNext/>
              <w:keepLines/>
              <w:spacing w:after="0" w:line="240" w:lineRule="auto"/>
              <w:jc w:val="right"/>
              <w:rPr>
                <w:rFonts w:eastAsia="Times New Roman" w:cs="Arial"/>
                <w:lang w:eastAsia="en-AU"/>
              </w:rPr>
            </w:pPr>
            <w:r w:rsidRPr="007F6332">
              <w:rPr>
                <w:rFonts w:eastAsia="Times New Roman" w:cs="Arial"/>
                <w:lang w:eastAsia="en-AU"/>
              </w:rPr>
              <w:t>1.0%</w:t>
            </w:r>
          </w:p>
        </w:tc>
        <w:tc>
          <w:tcPr>
            <w:tcW w:w="1182" w:type="dxa"/>
            <w:tcBorders>
              <w:top w:val="nil"/>
              <w:bottom w:val="nil"/>
              <w:right w:val="nil"/>
            </w:tcBorders>
            <w:shd w:val="clear" w:color="auto" w:fill="BFBFBF" w:themeFill="background1" w:themeFillShade="BF"/>
            <w:noWrap/>
            <w:vAlign w:val="center"/>
            <w:hideMark/>
          </w:tcPr>
          <w:p w14:paraId="60A30570" w14:textId="77777777" w:rsidR="00654778" w:rsidRPr="007F6332" w:rsidRDefault="00654778" w:rsidP="000766DF">
            <w:pPr>
              <w:keepNext/>
              <w:keepLines/>
              <w:spacing w:after="0" w:line="240" w:lineRule="auto"/>
              <w:jc w:val="right"/>
              <w:rPr>
                <w:rFonts w:eastAsia="Times New Roman" w:cs="Arial"/>
                <w:lang w:eastAsia="en-AU"/>
              </w:rPr>
            </w:pPr>
            <w:r w:rsidRPr="007F6332">
              <w:rPr>
                <w:rFonts w:eastAsia="Times New Roman" w:cs="Arial"/>
                <w:lang w:eastAsia="en-AU"/>
              </w:rPr>
              <w:t>0.7%</w:t>
            </w:r>
          </w:p>
        </w:tc>
        <w:tc>
          <w:tcPr>
            <w:tcW w:w="1182" w:type="dxa"/>
            <w:tcBorders>
              <w:top w:val="nil"/>
              <w:left w:val="nil"/>
              <w:bottom w:val="nil"/>
              <w:right w:val="nil"/>
            </w:tcBorders>
            <w:shd w:val="clear" w:color="auto" w:fill="BFBFBF" w:themeFill="background1" w:themeFillShade="BF"/>
            <w:noWrap/>
            <w:vAlign w:val="center"/>
            <w:hideMark/>
          </w:tcPr>
          <w:p w14:paraId="69147D91" w14:textId="77777777" w:rsidR="00654778" w:rsidRPr="007F6332" w:rsidRDefault="00654778" w:rsidP="000766DF">
            <w:pPr>
              <w:keepNext/>
              <w:keepLines/>
              <w:spacing w:after="0" w:line="240" w:lineRule="auto"/>
              <w:jc w:val="right"/>
              <w:rPr>
                <w:rFonts w:eastAsia="Times New Roman" w:cs="Arial"/>
                <w:lang w:eastAsia="en-AU"/>
              </w:rPr>
            </w:pPr>
            <w:r w:rsidRPr="007F6332">
              <w:rPr>
                <w:rFonts w:eastAsia="Times New Roman" w:cs="Arial"/>
                <w:lang w:eastAsia="en-AU"/>
              </w:rPr>
              <w:t>0.4%</w:t>
            </w:r>
          </w:p>
        </w:tc>
        <w:tc>
          <w:tcPr>
            <w:tcW w:w="1182" w:type="dxa"/>
            <w:tcBorders>
              <w:top w:val="nil"/>
              <w:left w:val="nil"/>
              <w:bottom w:val="nil"/>
              <w:right w:val="nil"/>
            </w:tcBorders>
            <w:shd w:val="clear" w:color="auto" w:fill="BFBFBF" w:themeFill="background1" w:themeFillShade="BF"/>
            <w:noWrap/>
            <w:vAlign w:val="center"/>
            <w:hideMark/>
          </w:tcPr>
          <w:p w14:paraId="52220262" w14:textId="77777777" w:rsidR="00654778" w:rsidRPr="007F6332" w:rsidRDefault="00654778" w:rsidP="000766DF">
            <w:pPr>
              <w:keepNext/>
              <w:keepLines/>
              <w:spacing w:after="0" w:line="240" w:lineRule="auto"/>
              <w:jc w:val="right"/>
              <w:rPr>
                <w:rFonts w:eastAsia="Times New Roman" w:cs="Arial"/>
                <w:lang w:eastAsia="en-AU"/>
              </w:rPr>
            </w:pPr>
            <w:r w:rsidRPr="007F6332">
              <w:rPr>
                <w:rFonts w:eastAsia="Times New Roman" w:cs="Arial"/>
                <w:lang w:eastAsia="en-AU"/>
              </w:rPr>
              <w:t>0.4%</w:t>
            </w:r>
          </w:p>
        </w:tc>
        <w:tc>
          <w:tcPr>
            <w:tcW w:w="1182" w:type="dxa"/>
            <w:tcBorders>
              <w:top w:val="nil"/>
              <w:left w:val="nil"/>
              <w:bottom w:val="nil"/>
              <w:right w:val="nil"/>
            </w:tcBorders>
            <w:shd w:val="clear" w:color="auto" w:fill="BFBFBF" w:themeFill="background1" w:themeFillShade="BF"/>
            <w:noWrap/>
            <w:vAlign w:val="center"/>
            <w:hideMark/>
          </w:tcPr>
          <w:p w14:paraId="7DC25A37" w14:textId="77777777" w:rsidR="00654778" w:rsidRPr="007F6332" w:rsidRDefault="00654778" w:rsidP="000766DF">
            <w:pPr>
              <w:keepNext/>
              <w:keepLines/>
              <w:spacing w:after="0" w:line="240" w:lineRule="auto"/>
              <w:jc w:val="right"/>
              <w:rPr>
                <w:rFonts w:eastAsia="Times New Roman" w:cs="Arial"/>
                <w:lang w:eastAsia="en-AU"/>
              </w:rPr>
            </w:pPr>
            <w:r w:rsidRPr="007F6332">
              <w:rPr>
                <w:rFonts w:eastAsia="Times New Roman" w:cs="Arial"/>
                <w:lang w:eastAsia="en-AU"/>
              </w:rPr>
              <w:t>0.3%</w:t>
            </w:r>
          </w:p>
        </w:tc>
        <w:tc>
          <w:tcPr>
            <w:tcW w:w="1183" w:type="dxa"/>
            <w:tcBorders>
              <w:top w:val="nil"/>
              <w:left w:val="single" w:sz="4" w:space="0" w:color="auto"/>
              <w:bottom w:val="nil"/>
            </w:tcBorders>
            <w:shd w:val="clear" w:color="auto" w:fill="BFBFBF" w:themeFill="background1" w:themeFillShade="BF"/>
            <w:noWrap/>
            <w:vAlign w:val="center"/>
            <w:hideMark/>
          </w:tcPr>
          <w:p w14:paraId="240BF069" w14:textId="77777777" w:rsidR="00654778" w:rsidRPr="007F6332" w:rsidRDefault="00654778" w:rsidP="000766DF">
            <w:pPr>
              <w:keepNext/>
              <w:keepLines/>
              <w:spacing w:after="0" w:line="240" w:lineRule="auto"/>
              <w:jc w:val="right"/>
              <w:rPr>
                <w:rFonts w:eastAsia="Times New Roman" w:cs="Arial"/>
                <w:lang w:eastAsia="en-AU"/>
              </w:rPr>
            </w:pPr>
            <w:r w:rsidRPr="007F6332">
              <w:rPr>
                <w:rFonts w:eastAsia="Times New Roman" w:cs="Arial"/>
                <w:lang w:eastAsia="en-AU"/>
              </w:rPr>
              <w:t>0.3%</w:t>
            </w:r>
          </w:p>
        </w:tc>
      </w:tr>
      <w:tr w:rsidR="00654778" w:rsidRPr="007F6332" w14:paraId="5C1E9DC9" w14:textId="77777777" w:rsidTr="00C1755E">
        <w:trPr>
          <w:trHeight w:val="300"/>
        </w:trPr>
        <w:tc>
          <w:tcPr>
            <w:tcW w:w="1838" w:type="dxa"/>
            <w:tcBorders>
              <w:top w:val="nil"/>
              <w:bottom w:val="nil"/>
            </w:tcBorders>
            <w:shd w:val="clear" w:color="auto" w:fill="auto"/>
            <w:noWrap/>
            <w:vAlign w:val="center"/>
            <w:hideMark/>
          </w:tcPr>
          <w:p w14:paraId="5C70D230"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19 to 24</w:t>
            </w:r>
          </w:p>
        </w:tc>
        <w:tc>
          <w:tcPr>
            <w:tcW w:w="1182" w:type="dxa"/>
            <w:tcBorders>
              <w:top w:val="nil"/>
              <w:bottom w:val="nil"/>
            </w:tcBorders>
            <w:shd w:val="clear" w:color="auto" w:fill="auto"/>
            <w:noWrap/>
            <w:vAlign w:val="center"/>
            <w:hideMark/>
          </w:tcPr>
          <w:p w14:paraId="6F3C690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c>
          <w:tcPr>
            <w:tcW w:w="1182" w:type="dxa"/>
            <w:tcBorders>
              <w:top w:val="nil"/>
              <w:bottom w:val="nil"/>
              <w:right w:val="nil"/>
            </w:tcBorders>
            <w:shd w:val="clear" w:color="auto" w:fill="auto"/>
            <w:noWrap/>
            <w:vAlign w:val="center"/>
            <w:hideMark/>
          </w:tcPr>
          <w:p w14:paraId="7B97345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182" w:type="dxa"/>
            <w:tcBorders>
              <w:top w:val="nil"/>
              <w:left w:val="nil"/>
              <w:bottom w:val="nil"/>
              <w:right w:val="nil"/>
            </w:tcBorders>
            <w:shd w:val="clear" w:color="auto" w:fill="auto"/>
            <w:noWrap/>
            <w:vAlign w:val="center"/>
            <w:hideMark/>
          </w:tcPr>
          <w:p w14:paraId="72BF1FE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0.7%</w:t>
            </w:r>
          </w:p>
        </w:tc>
        <w:tc>
          <w:tcPr>
            <w:tcW w:w="1182" w:type="dxa"/>
            <w:tcBorders>
              <w:top w:val="nil"/>
              <w:left w:val="nil"/>
              <w:bottom w:val="nil"/>
              <w:right w:val="nil"/>
            </w:tcBorders>
            <w:shd w:val="clear" w:color="auto" w:fill="auto"/>
            <w:noWrap/>
            <w:vAlign w:val="center"/>
            <w:hideMark/>
          </w:tcPr>
          <w:p w14:paraId="2937D35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0.6%</w:t>
            </w:r>
          </w:p>
        </w:tc>
        <w:tc>
          <w:tcPr>
            <w:tcW w:w="1182" w:type="dxa"/>
            <w:tcBorders>
              <w:top w:val="nil"/>
              <w:left w:val="nil"/>
              <w:bottom w:val="nil"/>
              <w:right w:val="nil"/>
            </w:tcBorders>
            <w:shd w:val="clear" w:color="auto" w:fill="auto"/>
            <w:noWrap/>
            <w:vAlign w:val="center"/>
            <w:hideMark/>
          </w:tcPr>
          <w:p w14:paraId="5DB34BC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0.5%</w:t>
            </w:r>
          </w:p>
        </w:tc>
        <w:tc>
          <w:tcPr>
            <w:tcW w:w="1183" w:type="dxa"/>
            <w:tcBorders>
              <w:top w:val="nil"/>
              <w:left w:val="single" w:sz="4" w:space="0" w:color="auto"/>
              <w:bottom w:val="nil"/>
            </w:tcBorders>
            <w:shd w:val="clear" w:color="auto" w:fill="auto"/>
            <w:noWrap/>
            <w:vAlign w:val="center"/>
            <w:hideMark/>
          </w:tcPr>
          <w:p w14:paraId="426FF53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0.4%</w:t>
            </w:r>
          </w:p>
        </w:tc>
      </w:tr>
      <w:tr w:rsidR="00654778" w:rsidRPr="007F6332" w14:paraId="72F44F32" w14:textId="77777777" w:rsidTr="00C1755E">
        <w:trPr>
          <w:trHeight w:val="300"/>
        </w:trPr>
        <w:tc>
          <w:tcPr>
            <w:tcW w:w="1838" w:type="dxa"/>
            <w:tcBorders>
              <w:top w:val="nil"/>
              <w:bottom w:val="nil"/>
            </w:tcBorders>
            <w:shd w:val="clear" w:color="auto" w:fill="BFBFBF" w:themeFill="background1" w:themeFillShade="BF"/>
            <w:noWrap/>
            <w:vAlign w:val="center"/>
            <w:hideMark/>
          </w:tcPr>
          <w:p w14:paraId="1D981651"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25 to 34</w:t>
            </w:r>
          </w:p>
        </w:tc>
        <w:tc>
          <w:tcPr>
            <w:tcW w:w="1182" w:type="dxa"/>
            <w:tcBorders>
              <w:top w:val="nil"/>
              <w:bottom w:val="nil"/>
            </w:tcBorders>
            <w:shd w:val="clear" w:color="auto" w:fill="BFBFBF" w:themeFill="background1" w:themeFillShade="BF"/>
            <w:noWrap/>
            <w:vAlign w:val="center"/>
            <w:hideMark/>
          </w:tcPr>
          <w:p w14:paraId="6E9CE34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2.2%</w:t>
            </w:r>
          </w:p>
        </w:tc>
        <w:tc>
          <w:tcPr>
            <w:tcW w:w="1182" w:type="dxa"/>
            <w:tcBorders>
              <w:top w:val="nil"/>
              <w:bottom w:val="nil"/>
              <w:right w:val="nil"/>
            </w:tcBorders>
            <w:shd w:val="clear" w:color="auto" w:fill="BFBFBF" w:themeFill="background1" w:themeFillShade="BF"/>
            <w:noWrap/>
            <w:vAlign w:val="center"/>
            <w:hideMark/>
          </w:tcPr>
          <w:p w14:paraId="13C85AC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w:t>
            </w:r>
          </w:p>
        </w:tc>
        <w:tc>
          <w:tcPr>
            <w:tcW w:w="1182" w:type="dxa"/>
            <w:tcBorders>
              <w:top w:val="nil"/>
              <w:left w:val="nil"/>
              <w:bottom w:val="nil"/>
              <w:right w:val="nil"/>
            </w:tcBorders>
            <w:shd w:val="clear" w:color="auto" w:fill="BFBFBF" w:themeFill="background1" w:themeFillShade="BF"/>
            <w:noWrap/>
            <w:vAlign w:val="center"/>
            <w:hideMark/>
          </w:tcPr>
          <w:p w14:paraId="084EAC6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w:t>
            </w:r>
          </w:p>
        </w:tc>
        <w:tc>
          <w:tcPr>
            <w:tcW w:w="1182" w:type="dxa"/>
            <w:tcBorders>
              <w:top w:val="nil"/>
              <w:left w:val="nil"/>
              <w:bottom w:val="nil"/>
              <w:right w:val="nil"/>
            </w:tcBorders>
            <w:shd w:val="clear" w:color="auto" w:fill="BFBFBF" w:themeFill="background1" w:themeFillShade="BF"/>
            <w:noWrap/>
            <w:vAlign w:val="center"/>
            <w:hideMark/>
          </w:tcPr>
          <w:p w14:paraId="4D38C2C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182" w:type="dxa"/>
            <w:tcBorders>
              <w:top w:val="nil"/>
              <w:left w:val="nil"/>
              <w:bottom w:val="nil"/>
              <w:right w:val="nil"/>
            </w:tcBorders>
            <w:shd w:val="clear" w:color="auto" w:fill="BFBFBF" w:themeFill="background1" w:themeFillShade="BF"/>
            <w:noWrap/>
            <w:vAlign w:val="center"/>
            <w:hideMark/>
          </w:tcPr>
          <w:p w14:paraId="15956AE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0.7%</w:t>
            </w:r>
          </w:p>
        </w:tc>
        <w:tc>
          <w:tcPr>
            <w:tcW w:w="1183" w:type="dxa"/>
            <w:tcBorders>
              <w:top w:val="nil"/>
              <w:left w:val="single" w:sz="4" w:space="0" w:color="auto"/>
              <w:bottom w:val="nil"/>
            </w:tcBorders>
            <w:shd w:val="clear" w:color="auto" w:fill="BFBFBF" w:themeFill="background1" w:themeFillShade="BF"/>
            <w:noWrap/>
            <w:vAlign w:val="center"/>
            <w:hideMark/>
          </w:tcPr>
          <w:p w14:paraId="2033814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0.6%</w:t>
            </w:r>
          </w:p>
        </w:tc>
      </w:tr>
      <w:tr w:rsidR="00654778" w:rsidRPr="007F6332" w14:paraId="447CE0BB" w14:textId="77777777" w:rsidTr="00C1755E">
        <w:trPr>
          <w:trHeight w:val="300"/>
        </w:trPr>
        <w:tc>
          <w:tcPr>
            <w:tcW w:w="1838" w:type="dxa"/>
            <w:tcBorders>
              <w:top w:val="nil"/>
              <w:bottom w:val="nil"/>
            </w:tcBorders>
            <w:shd w:val="clear" w:color="auto" w:fill="auto"/>
            <w:noWrap/>
            <w:vAlign w:val="center"/>
            <w:hideMark/>
          </w:tcPr>
          <w:p w14:paraId="218F2468"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35 to 44</w:t>
            </w:r>
          </w:p>
        </w:tc>
        <w:tc>
          <w:tcPr>
            <w:tcW w:w="1182" w:type="dxa"/>
            <w:tcBorders>
              <w:top w:val="nil"/>
              <w:bottom w:val="nil"/>
            </w:tcBorders>
            <w:shd w:val="clear" w:color="auto" w:fill="auto"/>
            <w:noWrap/>
            <w:vAlign w:val="center"/>
            <w:hideMark/>
          </w:tcPr>
          <w:p w14:paraId="0B746B5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2.3%</w:t>
            </w:r>
          </w:p>
        </w:tc>
        <w:tc>
          <w:tcPr>
            <w:tcW w:w="1182" w:type="dxa"/>
            <w:tcBorders>
              <w:top w:val="nil"/>
              <w:bottom w:val="nil"/>
              <w:right w:val="nil"/>
            </w:tcBorders>
            <w:shd w:val="clear" w:color="auto" w:fill="auto"/>
            <w:noWrap/>
            <w:vAlign w:val="center"/>
            <w:hideMark/>
          </w:tcPr>
          <w:p w14:paraId="0C46E65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w:t>
            </w:r>
          </w:p>
        </w:tc>
        <w:tc>
          <w:tcPr>
            <w:tcW w:w="1182" w:type="dxa"/>
            <w:tcBorders>
              <w:top w:val="nil"/>
              <w:left w:val="nil"/>
              <w:bottom w:val="nil"/>
              <w:right w:val="nil"/>
            </w:tcBorders>
            <w:shd w:val="clear" w:color="auto" w:fill="auto"/>
            <w:noWrap/>
            <w:vAlign w:val="center"/>
            <w:hideMark/>
          </w:tcPr>
          <w:p w14:paraId="16FF432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w:t>
            </w:r>
          </w:p>
        </w:tc>
        <w:tc>
          <w:tcPr>
            <w:tcW w:w="1182" w:type="dxa"/>
            <w:tcBorders>
              <w:top w:val="nil"/>
              <w:left w:val="nil"/>
              <w:bottom w:val="nil"/>
              <w:right w:val="nil"/>
            </w:tcBorders>
            <w:shd w:val="clear" w:color="auto" w:fill="auto"/>
            <w:noWrap/>
            <w:vAlign w:val="center"/>
            <w:hideMark/>
          </w:tcPr>
          <w:p w14:paraId="59BF840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0.9%</w:t>
            </w:r>
          </w:p>
        </w:tc>
        <w:tc>
          <w:tcPr>
            <w:tcW w:w="1182" w:type="dxa"/>
            <w:tcBorders>
              <w:top w:val="nil"/>
              <w:left w:val="nil"/>
              <w:bottom w:val="nil"/>
              <w:right w:val="nil"/>
            </w:tcBorders>
            <w:shd w:val="clear" w:color="auto" w:fill="auto"/>
            <w:noWrap/>
            <w:vAlign w:val="center"/>
            <w:hideMark/>
          </w:tcPr>
          <w:p w14:paraId="233828F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0.7%</w:t>
            </w:r>
          </w:p>
        </w:tc>
        <w:tc>
          <w:tcPr>
            <w:tcW w:w="1183" w:type="dxa"/>
            <w:tcBorders>
              <w:top w:val="nil"/>
              <w:left w:val="single" w:sz="4" w:space="0" w:color="auto"/>
              <w:bottom w:val="nil"/>
            </w:tcBorders>
            <w:shd w:val="clear" w:color="auto" w:fill="auto"/>
            <w:noWrap/>
            <w:vAlign w:val="center"/>
            <w:hideMark/>
          </w:tcPr>
          <w:p w14:paraId="3C87E58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0.7%</w:t>
            </w:r>
          </w:p>
        </w:tc>
      </w:tr>
      <w:tr w:rsidR="00654778" w:rsidRPr="007F6332" w14:paraId="637894A3" w14:textId="77777777" w:rsidTr="00C1755E">
        <w:trPr>
          <w:trHeight w:val="300"/>
        </w:trPr>
        <w:tc>
          <w:tcPr>
            <w:tcW w:w="1838" w:type="dxa"/>
            <w:tcBorders>
              <w:top w:val="nil"/>
              <w:bottom w:val="nil"/>
            </w:tcBorders>
            <w:shd w:val="clear" w:color="auto" w:fill="BFBFBF" w:themeFill="background1" w:themeFillShade="BF"/>
            <w:noWrap/>
            <w:vAlign w:val="center"/>
            <w:hideMark/>
          </w:tcPr>
          <w:p w14:paraId="05C62F5E"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45 to 54</w:t>
            </w:r>
          </w:p>
        </w:tc>
        <w:tc>
          <w:tcPr>
            <w:tcW w:w="1182" w:type="dxa"/>
            <w:tcBorders>
              <w:top w:val="nil"/>
              <w:bottom w:val="nil"/>
            </w:tcBorders>
            <w:shd w:val="clear" w:color="auto" w:fill="BFBFBF" w:themeFill="background1" w:themeFillShade="BF"/>
            <w:noWrap/>
            <w:vAlign w:val="center"/>
            <w:hideMark/>
          </w:tcPr>
          <w:p w14:paraId="1F13DCE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2.3%</w:t>
            </w:r>
          </w:p>
        </w:tc>
        <w:tc>
          <w:tcPr>
            <w:tcW w:w="1182" w:type="dxa"/>
            <w:tcBorders>
              <w:top w:val="nil"/>
              <w:bottom w:val="nil"/>
              <w:right w:val="nil"/>
            </w:tcBorders>
            <w:shd w:val="clear" w:color="auto" w:fill="BFBFBF" w:themeFill="background1" w:themeFillShade="BF"/>
            <w:noWrap/>
            <w:vAlign w:val="center"/>
            <w:hideMark/>
          </w:tcPr>
          <w:p w14:paraId="580F374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c>
          <w:tcPr>
            <w:tcW w:w="1182" w:type="dxa"/>
            <w:tcBorders>
              <w:top w:val="nil"/>
              <w:left w:val="nil"/>
              <w:bottom w:val="nil"/>
              <w:right w:val="nil"/>
            </w:tcBorders>
            <w:shd w:val="clear" w:color="auto" w:fill="BFBFBF" w:themeFill="background1" w:themeFillShade="BF"/>
            <w:noWrap/>
            <w:vAlign w:val="center"/>
            <w:hideMark/>
          </w:tcPr>
          <w:p w14:paraId="5AC88E0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182" w:type="dxa"/>
            <w:tcBorders>
              <w:top w:val="nil"/>
              <w:left w:val="nil"/>
              <w:bottom w:val="nil"/>
              <w:right w:val="nil"/>
            </w:tcBorders>
            <w:shd w:val="clear" w:color="auto" w:fill="BFBFBF" w:themeFill="background1" w:themeFillShade="BF"/>
            <w:noWrap/>
            <w:vAlign w:val="center"/>
            <w:hideMark/>
          </w:tcPr>
          <w:p w14:paraId="5AFECB8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w:t>
            </w:r>
          </w:p>
        </w:tc>
        <w:tc>
          <w:tcPr>
            <w:tcW w:w="1182" w:type="dxa"/>
            <w:tcBorders>
              <w:top w:val="nil"/>
              <w:left w:val="nil"/>
              <w:bottom w:val="nil"/>
              <w:right w:val="nil"/>
            </w:tcBorders>
            <w:shd w:val="clear" w:color="auto" w:fill="BFBFBF" w:themeFill="background1" w:themeFillShade="BF"/>
            <w:noWrap/>
            <w:vAlign w:val="center"/>
            <w:hideMark/>
          </w:tcPr>
          <w:p w14:paraId="7BD32AC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183" w:type="dxa"/>
            <w:tcBorders>
              <w:top w:val="nil"/>
              <w:left w:val="single" w:sz="4" w:space="0" w:color="auto"/>
              <w:bottom w:val="nil"/>
            </w:tcBorders>
            <w:shd w:val="clear" w:color="auto" w:fill="BFBFBF" w:themeFill="background1" w:themeFillShade="BF"/>
            <w:noWrap/>
            <w:vAlign w:val="center"/>
            <w:hideMark/>
          </w:tcPr>
          <w:p w14:paraId="6F1DC0C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0.7%</w:t>
            </w:r>
          </w:p>
        </w:tc>
      </w:tr>
      <w:tr w:rsidR="00654778" w:rsidRPr="007F6332" w14:paraId="4155D858" w14:textId="77777777" w:rsidTr="00C1755E">
        <w:trPr>
          <w:trHeight w:val="300"/>
        </w:trPr>
        <w:tc>
          <w:tcPr>
            <w:tcW w:w="1838" w:type="dxa"/>
            <w:tcBorders>
              <w:top w:val="nil"/>
            </w:tcBorders>
            <w:shd w:val="clear" w:color="auto" w:fill="auto"/>
            <w:noWrap/>
            <w:vAlign w:val="center"/>
            <w:hideMark/>
          </w:tcPr>
          <w:p w14:paraId="23EB1A0B"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55 to 64</w:t>
            </w:r>
          </w:p>
        </w:tc>
        <w:tc>
          <w:tcPr>
            <w:tcW w:w="1182" w:type="dxa"/>
            <w:tcBorders>
              <w:top w:val="nil"/>
            </w:tcBorders>
            <w:shd w:val="clear" w:color="auto" w:fill="auto"/>
            <w:noWrap/>
            <w:vAlign w:val="center"/>
            <w:hideMark/>
          </w:tcPr>
          <w:p w14:paraId="0D52CFE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3.0%</w:t>
            </w:r>
          </w:p>
        </w:tc>
        <w:tc>
          <w:tcPr>
            <w:tcW w:w="1182" w:type="dxa"/>
            <w:tcBorders>
              <w:top w:val="nil"/>
              <w:right w:val="nil"/>
            </w:tcBorders>
            <w:shd w:val="clear" w:color="auto" w:fill="auto"/>
            <w:noWrap/>
            <w:vAlign w:val="center"/>
            <w:hideMark/>
          </w:tcPr>
          <w:p w14:paraId="3CFE4B0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w:t>
            </w:r>
          </w:p>
        </w:tc>
        <w:tc>
          <w:tcPr>
            <w:tcW w:w="1182" w:type="dxa"/>
            <w:tcBorders>
              <w:top w:val="nil"/>
              <w:left w:val="nil"/>
              <w:right w:val="nil"/>
            </w:tcBorders>
            <w:shd w:val="clear" w:color="auto" w:fill="auto"/>
            <w:noWrap/>
            <w:vAlign w:val="center"/>
            <w:hideMark/>
          </w:tcPr>
          <w:p w14:paraId="02900B6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w:t>
            </w:r>
          </w:p>
        </w:tc>
        <w:tc>
          <w:tcPr>
            <w:tcW w:w="1182" w:type="dxa"/>
            <w:tcBorders>
              <w:top w:val="nil"/>
              <w:left w:val="nil"/>
              <w:right w:val="nil"/>
            </w:tcBorders>
            <w:shd w:val="clear" w:color="auto" w:fill="auto"/>
            <w:noWrap/>
            <w:vAlign w:val="center"/>
            <w:hideMark/>
          </w:tcPr>
          <w:p w14:paraId="6B1338E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182" w:type="dxa"/>
            <w:tcBorders>
              <w:top w:val="nil"/>
              <w:left w:val="nil"/>
              <w:right w:val="nil"/>
            </w:tcBorders>
            <w:shd w:val="clear" w:color="auto" w:fill="auto"/>
            <w:noWrap/>
            <w:vAlign w:val="center"/>
            <w:hideMark/>
          </w:tcPr>
          <w:p w14:paraId="5B7BBE4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0.9%</w:t>
            </w:r>
          </w:p>
        </w:tc>
        <w:tc>
          <w:tcPr>
            <w:tcW w:w="1183" w:type="dxa"/>
            <w:tcBorders>
              <w:top w:val="nil"/>
              <w:left w:val="single" w:sz="4" w:space="0" w:color="auto"/>
            </w:tcBorders>
            <w:shd w:val="clear" w:color="auto" w:fill="auto"/>
            <w:noWrap/>
            <w:vAlign w:val="center"/>
            <w:hideMark/>
          </w:tcPr>
          <w:p w14:paraId="353EB29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r>
      <w:tr w:rsidR="00654778" w:rsidRPr="007F6332" w14:paraId="0A495463" w14:textId="77777777" w:rsidTr="00C1755E">
        <w:trPr>
          <w:trHeight w:val="300"/>
        </w:trPr>
        <w:tc>
          <w:tcPr>
            <w:tcW w:w="1838" w:type="dxa"/>
            <w:tcBorders>
              <w:top w:val="nil"/>
            </w:tcBorders>
            <w:shd w:val="clear" w:color="auto" w:fill="BFBFBF" w:themeFill="background1" w:themeFillShade="BF"/>
            <w:noWrap/>
            <w:vAlign w:val="center"/>
            <w:hideMark/>
          </w:tcPr>
          <w:p w14:paraId="1559761F"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65+</w:t>
            </w:r>
          </w:p>
        </w:tc>
        <w:tc>
          <w:tcPr>
            <w:tcW w:w="1182" w:type="dxa"/>
            <w:tcBorders>
              <w:top w:val="nil"/>
            </w:tcBorders>
            <w:shd w:val="clear" w:color="auto" w:fill="BFBFBF" w:themeFill="background1" w:themeFillShade="BF"/>
            <w:noWrap/>
            <w:vAlign w:val="center"/>
            <w:hideMark/>
          </w:tcPr>
          <w:p w14:paraId="2415480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1.8%</w:t>
            </w:r>
          </w:p>
        </w:tc>
        <w:tc>
          <w:tcPr>
            <w:tcW w:w="1182" w:type="dxa"/>
            <w:tcBorders>
              <w:top w:val="nil"/>
              <w:bottom w:val="nil"/>
            </w:tcBorders>
            <w:shd w:val="clear" w:color="auto" w:fill="BFBFBF" w:themeFill="background1" w:themeFillShade="BF"/>
            <w:noWrap/>
            <w:vAlign w:val="center"/>
            <w:hideMark/>
          </w:tcPr>
          <w:p w14:paraId="5F79C47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1.6%</w:t>
            </w:r>
          </w:p>
        </w:tc>
        <w:tc>
          <w:tcPr>
            <w:tcW w:w="1182" w:type="dxa"/>
            <w:tcBorders>
              <w:top w:val="nil"/>
              <w:bottom w:val="nil"/>
            </w:tcBorders>
            <w:shd w:val="clear" w:color="auto" w:fill="BFBFBF" w:themeFill="background1" w:themeFillShade="BF"/>
            <w:noWrap/>
            <w:vAlign w:val="center"/>
            <w:hideMark/>
          </w:tcPr>
          <w:p w14:paraId="5D729D0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182" w:type="dxa"/>
            <w:tcBorders>
              <w:top w:val="nil"/>
              <w:bottom w:val="nil"/>
            </w:tcBorders>
            <w:shd w:val="clear" w:color="auto" w:fill="BFBFBF" w:themeFill="background1" w:themeFillShade="BF"/>
            <w:noWrap/>
            <w:vAlign w:val="center"/>
            <w:hideMark/>
          </w:tcPr>
          <w:p w14:paraId="10FE542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0.9%</w:t>
            </w:r>
          </w:p>
        </w:tc>
        <w:tc>
          <w:tcPr>
            <w:tcW w:w="1182" w:type="dxa"/>
            <w:tcBorders>
              <w:top w:val="nil"/>
              <w:bottom w:val="nil"/>
              <w:right w:val="single" w:sz="4" w:space="0" w:color="auto"/>
            </w:tcBorders>
            <w:shd w:val="clear" w:color="auto" w:fill="BFBFBF" w:themeFill="background1" w:themeFillShade="BF"/>
            <w:noWrap/>
            <w:vAlign w:val="center"/>
            <w:hideMark/>
          </w:tcPr>
          <w:p w14:paraId="07EE603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0.7%</w:t>
            </w:r>
          </w:p>
        </w:tc>
        <w:tc>
          <w:tcPr>
            <w:tcW w:w="1183" w:type="dxa"/>
            <w:tcBorders>
              <w:top w:val="nil"/>
              <w:left w:val="single" w:sz="4" w:space="0" w:color="auto"/>
            </w:tcBorders>
            <w:shd w:val="clear" w:color="auto" w:fill="BFBFBF" w:themeFill="background1" w:themeFillShade="BF"/>
            <w:noWrap/>
            <w:vAlign w:val="center"/>
            <w:hideMark/>
          </w:tcPr>
          <w:p w14:paraId="5EEECD5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0.6%</w:t>
            </w:r>
          </w:p>
        </w:tc>
      </w:tr>
      <w:tr w:rsidR="00654778" w:rsidRPr="007F6332" w14:paraId="54964081" w14:textId="77777777" w:rsidTr="00C1755E">
        <w:trPr>
          <w:trHeight w:val="300"/>
        </w:trPr>
        <w:tc>
          <w:tcPr>
            <w:tcW w:w="1838" w:type="dxa"/>
            <w:shd w:val="clear" w:color="auto" w:fill="auto"/>
            <w:noWrap/>
            <w:vAlign w:val="center"/>
            <w:hideMark/>
          </w:tcPr>
          <w:p w14:paraId="3A370726"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Overall</w:t>
            </w:r>
          </w:p>
        </w:tc>
        <w:tc>
          <w:tcPr>
            <w:tcW w:w="1182" w:type="dxa"/>
            <w:shd w:val="clear" w:color="auto" w:fill="auto"/>
            <w:noWrap/>
            <w:vAlign w:val="center"/>
            <w:hideMark/>
          </w:tcPr>
          <w:p w14:paraId="6C1A049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1.2%</w:t>
            </w:r>
          </w:p>
        </w:tc>
        <w:tc>
          <w:tcPr>
            <w:tcW w:w="1182" w:type="dxa"/>
            <w:shd w:val="clear" w:color="auto" w:fill="auto"/>
            <w:noWrap/>
            <w:vAlign w:val="center"/>
            <w:hideMark/>
          </w:tcPr>
          <w:p w14:paraId="3D2EC8C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0.8%</w:t>
            </w:r>
          </w:p>
        </w:tc>
        <w:tc>
          <w:tcPr>
            <w:tcW w:w="1182" w:type="dxa"/>
            <w:shd w:val="clear" w:color="auto" w:fill="auto"/>
            <w:noWrap/>
            <w:vAlign w:val="center"/>
            <w:hideMark/>
          </w:tcPr>
          <w:p w14:paraId="46D975D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0.5%</w:t>
            </w:r>
          </w:p>
        </w:tc>
        <w:tc>
          <w:tcPr>
            <w:tcW w:w="1182" w:type="dxa"/>
            <w:shd w:val="clear" w:color="auto" w:fill="auto"/>
            <w:noWrap/>
            <w:vAlign w:val="center"/>
            <w:hideMark/>
          </w:tcPr>
          <w:p w14:paraId="1F8AF3D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0.4%</w:t>
            </w:r>
          </w:p>
        </w:tc>
        <w:tc>
          <w:tcPr>
            <w:tcW w:w="1182" w:type="dxa"/>
            <w:tcBorders>
              <w:right w:val="single" w:sz="4" w:space="0" w:color="auto"/>
            </w:tcBorders>
            <w:shd w:val="clear" w:color="auto" w:fill="auto"/>
            <w:noWrap/>
            <w:vAlign w:val="center"/>
            <w:hideMark/>
          </w:tcPr>
          <w:p w14:paraId="30B8D85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0.4%</w:t>
            </w:r>
          </w:p>
        </w:tc>
        <w:tc>
          <w:tcPr>
            <w:tcW w:w="1183" w:type="dxa"/>
            <w:tcBorders>
              <w:left w:val="single" w:sz="4" w:space="0" w:color="auto"/>
            </w:tcBorders>
            <w:shd w:val="clear" w:color="auto" w:fill="auto"/>
            <w:noWrap/>
            <w:vAlign w:val="center"/>
            <w:hideMark/>
          </w:tcPr>
          <w:p w14:paraId="3E516B8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0.3%</w:t>
            </w:r>
          </w:p>
        </w:tc>
      </w:tr>
      <w:tr w:rsidR="00AE2A33" w:rsidRPr="007F6332" w14:paraId="7D616FE4" w14:textId="77777777" w:rsidTr="00C1755E">
        <w:trPr>
          <w:trHeight w:val="300"/>
        </w:trPr>
        <w:tc>
          <w:tcPr>
            <w:tcW w:w="1838" w:type="dxa"/>
            <w:tcBorders>
              <w:bottom w:val="single" w:sz="4" w:space="0" w:color="auto"/>
            </w:tcBorders>
            <w:shd w:val="clear" w:color="auto" w:fill="B499B7"/>
            <w:noWrap/>
            <w:vAlign w:val="center"/>
            <w:hideMark/>
          </w:tcPr>
          <w:p w14:paraId="23356C62"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 xml:space="preserve">Overall </w:t>
            </w:r>
          </w:p>
          <w:p w14:paraId="538BA512"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(age 15+ only)</w:t>
            </w:r>
          </w:p>
        </w:tc>
        <w:tc>
          <w:tcPr>
            <w:tcW w:w="1182" w:type="dxa"/>
            <w:tcBorders>
              <w:bottom w:val="single" w:sz="4" w:space="0" w:color="auto"/>
            </w:tcBorders>
            <w:shd w:val="clear" w:color="auto" w:fill="B499B7"/>
            <w:noWrap/>
            <w:vAlign w:val="center"/>
            <w:hideMark/>
          </w:tcPr>
          <w:p w14:paraId="2F488998"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w:t>
            </w:r>
          </w:p>
        </w:tc>
        <w:tc>
          <w:tcPr>
            <w:tcW w:w="1182" w:type="dxa"/>
            <w:tcBorders>
              <w:bottom w:val="single" w:sz="4" w:space="0" w:color="auto"/>
            </w:tcBorders>
            <w:shd w:val="clear" w:color="auto" w:fill="B499B7"/>
            <w:noWrap/>
            <w:vAlign w:val="center"/>
            <w:hideMark/>
          </w:tcPr>
          <w:p w14:paraId="0CD34ED5"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1.4%</w:t>
            </w:r>
          </w:p>
        </w:tc>
        <w:tc>
          <w:tcPr>
            <w:tcW w:w="1182" w:type="dxa"/>
            <w:tcBorders>
              <w:bottom w:val="single" w:sz="4" w:space="0" w:color="auto"/>
            </w:tcBorders>
            <w:shd w:val="clear" w:color="auto" w:fill="B499B7"/>
            <w:noWrap/>
            <w:vAlign w:val="center"/>
            <w:hideMark/>
          </w:tcPr>
          <w:p w14:paraId="21840737"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0.9%</w:t>
            </w:r>
          </w:p>
        </w:tc>
        <w:tc>
          <w:tcPr>
            <w:tcW w:w="1182" w:type="dxa"/>
            <w:tcBorders>
              <w:bottom w:val="single" w:sz="4" w:space="0" w:color="auto"/>
            </w:tcBorders>
            <w:shd w:val="clear" w:color="auto" w:fill="B499B7"/>
            <w:noWrap/>
            <w:vAlign w:val="center"/>
            <w:hideMark/>
          </w:tcPr>
          <w:p w14:paraId="6115878B"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0.8%</w:t>
            </w:r>
          </w:p>
        </w:tc>
        <w:tc>
          <w:tcPr>
            <w:tcW w:w="1182" w:type="dxa"/>
            <w:tcBorders>
              <w:bottom w:val="single" w:sz="4" w:space="0" w:color="auto"/>
              <w:right w:val="single" w:sz="4" w:space="0" w:color="auto"/>
            </w:tcBorders>
            <w:shd w:val="clear" w:color="auto" w:fill="B499B7"/>
            <w:noWrap/>
            <w:vAlign w:val="center"/>
            <w:hideMark/>
          </w:tcPr>
          <w:p w14:paraId="11FDD30A"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0.6%</w:t>
            </w:r>
          </w:p>
        </w:tc>
        <w:tc>
          <w:tcPr>
            <w:tcW w:w="1183" w:type="dxa"/>
            <w:tcBorders>
              <w:left w:val="single" w:sz="4" w:space="0" w:color="auto"/>
              <w:bottom w:val="single" w:sz="4" w:space="0" w:color="auto"/>
            </w:tcBorders>
            <w:shd w:val="clear" w:color="auto" w:fill="B499B7"/>
            <w:noWrap/>
            <w:vAlign w:val="center"/>
            <w:hideMark/>
          </w:tcPr>
          <w:p w14:paraId="5195DD8E"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0.5%</w:t>
            </w:r>
          </w:p>
        </w:tc>
      </w:tr>
    </w:tbl>
    <w:p w14:paraId="2D4AC78D" w14:textId="69278889" w:rsidR="00654778" w:rsidRPr="007F6332" w:rsidRDefault="00654778" w:rsidP="00B421BE">
      <w:pPr>
        <w:spacing w:before="240"/>
        <w:rPr>
          <w:rFonts w:cs="Arial"/>
        </w:rPr>
      </w:pPr>
      <w:r w:rsidRPr="007F6332">
        <w:rPr>
          <w:rFonts w:cs="Arial"/>
        </w:rPr>
        <w:t>SIL transition rate</w:t>
      </w:r>
      <w:r w:rsidR="004E4FF4" w:rsidRPr="007F6332">
        <w:rPr>
          <w:rFonts w:cs="Arial"/>
        </w:rPr>
        <w:t>s</w:t>
      </w:r>
      <w:r w:rsidRPr="007F6332">
        <w:rPr>
          <w:rFonts w:cs="Arial"/>
        </w:rPr>
        <w:t xml:space="preserve"> progressively increase with age starting from age group 15 to 18 up to 55 to 64. Whilst experience shows there are some young</w:t>
      </w:r>
      <w:r w:rsidR="004E4FF4" w:rsidRPr="007F6332">
        <w:rPr>
          <w:rFonts w:cs="Arial"/>
        </w:rPr>
        <w:t>er</w:t>
      </w:r>
      <w:r w:rsidRPr="007F6332">
        <w:rPr>
          <w:rFonts w:cs="Arial"/>
        </w:rPr>
        <w:t xml:space="preserve"> participants (age 0 to 14) accessing SIL, these are regarded as anomalies or data errors and no transitions are assumed for these age group</w:t>
      </w:r>
      <w:r w:rsidR="004E4FF4" w:rsidRPr="007F6332">
        <w:rPr>
          <w:rFonts w:cs="Arial"/>
        </w:rPr>
        <w:t>s</w:t>
      </w:r>
      <w:r w:rsidRPr="007F6332">
        <w:rPr>
          <w:rFonts w:cs="Arial"/>
        </w:rPr>
        <w:t xml:space="preserve">. For age group 15 to 18, participants could </w:t>
      </w:r>
      <w:r w:rsidR="004E4FF4" w:rsidRPr="007F6332">
        <w:rPr>
          <w:rFonts w:cs="Arial"/>
        </w:rPr>
        <w:t xml:space="preserve">be </w:t>
      </w:r>
      <w:r w:rsidRPr="007F6332">
        <w:rPr>
          <w:rFonts w:cs="Arial"/>
        </w:rPr>
        <w:t>seek</w:t>
      </w:r>
      <w:r w:rsidR="004E4FF4" w:rsidRPr="007F6332">
        <w:rPr>
          <w:rFonts w:cs="Arial"/>
        </w:rPr>
        <w:t>ing</w:t>
      </w:r>
      <w:r w:rsidRPr="007F6332">
        <w:rPr>
          <w:rFonts w:cs="Arial"/>
        </w:rPr>
        <w:t xml:space="preserve"> independen</w:t>
      </w:r>
      <w:r w:rsidR="004E4FF4" w:rsidRPr="007F6332">
        <w:rPr>
          <w:rFonts w:cs="Arial"/>
        </w:rPr>
        <w:t>ce</w:t>
      </w:r>
      <w:r w:rsidRPr="007F6332">
        <w:rPr>
          <w:rFonts w:cs="Arial"/>
        </w:rPr>
        <w:t xml:space="preserve"> as </w:t>
      </w:r>
      <w:r w:rsidRPr="007F6332">
        <w:rPr>
          <w:rFonts w:cs="Arial"/>
        </w:rPr>
        <w:lastRenderedPageBreak/>
        <w:t>they enter adulthood and, hence, transition into SIL. The transition rates progressively increase at higher age group as informal supports are no longer available. For example, guardian</w:t>
      </w:r>
      <w:r w:rsidR="004E4FF4" w:rsidRPr="007F6332">
        <w:rPr>
          <w:rFonts w:cs="Arial"/>
        </w:rPr>
        <w:t>s</w:t>
      </w:r>
      <w:r w:rsidRPr="007F6332">
        <w:rPr>
          <w:rFonts w:cs="Arial"/>
        </w:rPr>
        <w:t xml:space="preserve"> or family member</w:t>
      </w:r>
      <w:r w:rsidR="004E4FF4" w:rsidRPr="007F6332">
        <w:rPr>
          <w:rFonts w:cs="Arial"/>
        </w:rPr>
        <w:t>s</w:t>
      </w:r>
      <w:r w:rsidRPr="007F6332">
        <w:rPr>
          <w:rFonts w:cs="Arial"/>
        </w:rPr>
        <w:t xml:space="preserve"> becomes unable to provide the relevant supports or a change in participants’ condition requir</w:t>
      </w:r>
      <w:r w:rsidR="004E4FF4" w:rsidRPr="007F6332">
        <w:rPr>
          <w:rFonts w:cs="Arial"/>
        </w:rPr>
        <w:t>es</w:t>
      </w:r>
      <w:r w:rsidRPr="007F6332">
        <w:rPr>
          <w:rFonts w:cs="Arial"/>
        </w:rPr>
        <w:t xml:space="preserve"> additional supports. At age 65 and over, participants have the option to move into Residential Aged Care (thereby leaving the Scheme) and, hence, </w:t>
      </w:r>
      <w:r w:rsidR="00BF2408" w:rsidRPr="007F6332">
        <w:rPr>
          <w:rFonts w:cs="Arial"/>
        </w:rPr>
        <w:t xml:space="preserve">have </w:t>
      </w:r>
      <w:r w:rsidRPr="007F6332">
        <w:rPr>
          <w:rFonts w:cs="Arial"/>
        </w:rPr>
        <w:t xml:space="preserve">a lower SIL transition rate. </w:t>
      </w:r>
    </w:p>
    <w:p w14:paraId="3CF1E084" w14:textId="77777777" w:rsidR="00654778" w:rsidRPr="007F6332" w:rsidRDefault="00654778" w:rsidP="00EF6B24">
      <w:pPr>
        <w:pStyle w:val="FSRHeading4"/>
      </w:pPr>
      <w:r w:rsidRPr="007F6332">
        <w:t>Results</w:t>
      </w:r>
    </w:p>
    <w:p w14:paraId="263EEC4A" w14:textId="166C08B5" w:rsidR="00654778" w:rsidRPr="007F6332" w:rsidRDefault="009028ED" w:rsidP="00654778">
      <w:pPr>
        <w:keepNext/>
        <w:keepLines/>
        <w:rPr>
          <w:rFonts w:cs="Arial"/>
        </w:rPr>
      </w:pPr>
      <w:r w:rsidRPr="007F6332">
        <w:rPr>
          <w:rFonts w:cs="Arial"/>
        </w:rPr>
        <w:t>Table I.3</w:t>
      </w:r>
      <w:r w:rsidR="00654778" w:rsidRPr="007F6332">
        <w:rPr>
          <w:rFonts w:cs="Arial"/>
        </w:rPr>
        <w:t xml:space="preserve"> shows the overall comparison of participant</w:t>
      </w:r>
      <w:r w:rsidR="004E4FF4" w:rsidRPr="007F6332">
        <w:rPr>
          <w:rFonts w:cs="Arial"/>
        </w:rPr>
        <w:t xml:space="preserve"> </w:t>
      </w:r>
      <w:r w:rsidR="00654778" w:rsidRPr="007F6332">
        <w:rPr>
          <w:rFonts w:cs="Arial"/>
        </w:rPr>
        <w:t>number</w:t>
      </w:r>
      <w:r w:rsidR="004E4FF4" w:rsidRPr="007F6332">
        <w:rPr>
          <w:rFonts w:cs="Arial"/>
        </w:rPr>
        <w:t>s</w:t>
      </w:r>
      <w:r w:rsidR="00654778" w:rsidRPr="007F6332">
        <w:rPr>
          <w:rFonts w:cs="Arial"/>
        </w:rPr>
        <w:t xml:space="preserve"> with SIL in </w:t>
      </w:r>
      <w:r w:rsidR="004E4FF4" w:rsidRPr="007F6332">
        <w:rPr>
          <w:rFonts w:cs="Arial"/>
        </w:rPr>
        <w:t xml:space="preserve">the June 2022 projections </w:t>
      </w:r>
      <w:r w:rsidR="00654778" w:rsidRPr="007F6332">
        <w:rPr>
          <w:rFonts w:cs="Arial"/>
        </w:rPr>
        <w:t>and Jun</w:t>
      </w:r>
      <w:r w:rsidR="004E4FF4" w:rsidRPr="007F6332">
        <w:rPr>
          <w:rFonts w:cs="Arial"/>
        </w:rPr>
        <w:t>e 20</w:t>
      </w:r>
      <w:r w:rsidR="00654778" w:rsidRPr="007F6332">
        <w:rPr>
          <w:rFonts w:cs="Arial"/>
        </w:rPr>
        <w:t xml:space="preserve">23 </w:t>
      </w:r>
      <w:r w:rsidR="004E4FF4" w:rsidRPr="007F6332">
        <w:rPr>
          <w:rFonts w:cs="Arial"/>
        </w:rPr>
        <w:t>projections</w:t>
      </w:r>
      <w:r w:rsidR="00654778" w:rsidRPr="007F6332">
        <w:rPr>
          <w:rFonts w:cs="Arial"/>
        </w:rPr>
        <w:t xml:space="preserve">. </w:t>
      </w:r>
    </w:p>
    <w:p w14:paraId="56FB9F89" w14:textId="09A803CF" w:rsidR="00654778" w:rsidRPr="007F6332" w:rsidRDefault="009028ED" w:rsidP="00EF6B24">
      <w:pPr>
        <w:pStyle w:val="FiguresandTablesHeading5"/>
      </w:pPr>
      <w:r w:rsidRPr="007F6332">
        <w:t>Table I.3</w:t>
      </w:r>
      <w:r w:rsidR="00654778" w:rsidRPr="007F6332">
        <w:t>: Change in projected number of participants with SIL</w:t>
      </w:r>
      <w:r w:rsidR="00717446" w:rsidRPr="007F6332">
        <w:t xml:space="preserve"> 30 June </w:t>
      </w:r>
      <w:r w:rsidR="00654778" w:rsidRPr="007F6332">
        <w:t xml:space="preserve"> </w:t>
      </w:r>
    </w:p>
    <w:tbl>
      <w:tblPr>
        <w:tblW w:w="8926" w:type="dxa"/>
        <w:tblLayout w:type="fixed"/>
        <w:tblLook w:val="04A0" w:firstRow="1" w:lastRow="0" w:firstColumn="1" w:lastColumn="0" w:noHBand="0" w:noVBand="1"/>
      </w:tblPr>
      <w:tblGrid>
        <w:gridCol w:w="1696"/>
        <w:gridCol w:w="1205"/>
        <w:gridCol w:w="1205"/>
        <w:gridCol w:w="1205"/>
        <w:gridCol w:w="1205"/>
        <w:gridCol w:w="1205"/>
        <w:gridCol w:w="1205"/>
      </w:tblGrid>
      <w:tr w:rsidR="00654778" w:rsidRPr="007F6332" w14:paraId="32CDD08F" w14:textId="77777777" w:rsidTr="00C1755E">
        <w:trPr>
          <w:trHeight w:val="285"/>
        </w:trPr>
        <w:tc>
          <w:tcPr>
            <w:tcW w:w="1696" w:type="dxa"/>
            <w:shd w:val="clear" w:color="000000" w:fill="6B2976"/>
            <w:noWrap/>
            <w:vAlign w:val="bottom"/>
            <w:hideMark/>
          </w:tcPr>
          <w:p w14:paraId="0E241DA5" w14:textId="77777777" w:rsidR="00654778" w:rsidRPr="007F6332" w:rsidRDefault="00654778" w:rsidP="000766DF">
            <w:pPr>
              <w:keepNext/>
              <w:keepLines/>
              <w:spacing w:after="0" w:line="240" w:lineRule="auto"/>
              <w:rPr>
                <w:rFonts w:eastAsia="Times New Roman" w:cs="Arial"/>
                <w:b/>
                <w:bCs/>
                <w:color w:val="FFFFFF"/>
                <w:lang w:eastAsia="en-AU"/>
              </w:rPr>
            </w:pPr>
            <w:r w:rsidRPr="007F6332">
              <w:rPr>
                <w:rFonts w:eastAsia="Times New Roman" w:cs="Arial"/>
                <w:b/>
                <w:bCs/>
                <w:color w:val="FFFFFF"/>
                <w:lang w:eastAsia="en-AU"/>
              </w:rPr>
              <w:t>Participants with SIL</w:t>
            </w:r>
          </w:p>
        </w:tc>
        <w:tc>
          <w:tcPr>
            <w:tcW w:w="1205" w:type="dxa"/>
            <w:shd w:val="clear" w:color="000000" w:fill="6B2976"/>
            <w:noWrap/>
            <w:vAlign w:val="center"/>
            <w:hideMark/>
          </w:tcPr>
          <w:p w14:paraId="1A91F260" w14:textId="444AA0C6" w:rsidR="00654778" w:rsidRPr="007F6332" w:rsidRDefault="00654778" w:rsidP="00717446">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2023</w:t>
            </w:r>
          </w:p>
        </w:tc>
        <w:tc>
          <w:tcPr>
            <w:tcW w:w="1205" w:type="dxa"/>
            <w:shd w:val="clear" w:color="000000" w:fill="6B2976"/>
            <w:noWrap/>
            <w:vAlign w:val="center"/>
            <w:hideMark/>
          </w:tcPr>
          <w:p w14:paraId="6C0BFF86" w14:textId="7E06B593" w:rsidR="00654778" w:rsidRPr="007F6332" w:rsidRDefault="00654778" w:rsidP="00717446">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2024</w:t>
            </w:r>
          </w:p>
        </w:tc>
        <w:tc>
          <w:tcPr>
            <w:tcW w:w="1205" w:type="dxa"/>
            <w:shd w:val="clear" w:color="000000" w:fill="6B2976"/>
            <w:noWrap/>
            <w:vAlign w:val="center"/>
            <w:hideMark/>
          </w:tcPr>
          <w:p w14:paraId="2356AFCB" w14:textId="1C736C8F" w:rsidR="00654778" w:rsidRPr="007F6332" w:rsidRDefault="00654778" w:rsidP="00717446">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w:t>
            </w:r>
          </w:p>
        </w:tc>
        <w:tc>
          <w:tcPr>
            <w:tcW w:w="1205" w:type="dxa"/>
            <w:shd w:val="clear" w:color="000000" w:fill="6B2976"/>
            <w:noWrap/>
            <w:vAlign w:val="center"/>
            <w:hideMark/>
          </w:tcPr>
          <w:p w14:paraId="4FA2B8D1" w14:textId="4BBB8DD8" w:rsidR="00654778" w:rsidRPr="007F6332" w:rsidRDefault="00654778" w:rsidP="00717446">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w:t>
            </w:r>
          </w:p>
        </w:tc>
        <w:tc>
          <w:tcPr>
            <w:tcW w:w="1205" w:type="dxa"/>
            <w:tcBorders>
              <w:right w:val="single" w:sz="4" w:space="0" w:color="auto"/>
            </w:tcBorders>
            <w:shd w:val="clear" w:color="000000" w:fill="6B2976"/>
            <w:noWrap/>
            <w:vAlign w:val="center"/>
            <w:hideMark/>
          </w:tcPr>
          <w:p w14:paraId="3098FB00" w14:textId="753D8071" w:rsidR="00654778" w:rsidRPr="007F6332" w:rsidRDefault="00654778" w:rsidP="00717446">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2027</w:t>
            </w:r>
          </w:p>
        </w:tc>
        <w:tc>
          <w:tcPr>
            <w:tcW w:w="1205" w:type="dxa"/>
            <w:tcBorders>
              <w:left w:val="single" w:sz="4" w:space="0" w:color="auto"/>
            </w:tcBorders>
            <w:shd w:val="clear" w:color="000000" w:fill="6B2976"/>
            <w:noWrap/>
            <w:vAlign w:val="center"/>
            <w:hideMark/>
          </w:tcPr>
          <w:p w14:paraId="77E1F701" w14:textId="53755B3F" w:rsidR="00654778" w:rsidRPr="007F6332" w:rsidRDefault="00654778" w:rsidP="00280794">
            <w:pPr>
              <w:keepNext/>
              <w:keepLines/>
              <w:spacing w:after="0" w:line="240" w:lineRule="auto"/>
              <w:jc w:val="center"/>
              <w:rPr>
                <w:rFonts w:eastAsia="Times New Roman" w:cs="Arial"/>
                <w:b/>
                <w:bCs/>
                <w:color w:val="FFFFFF"/>
                <w:lang w:eastAsia="en-AU"/>
              </w:rPr>
            </w:pPr>
            <w:r w:rsidRPr="007F6332">
              <w:rPr>
                <w:rFonts w:eastAsia="Times New Roman" w:cs="Arial"/>
                <w:b/>
                <w:bCs/>
                <w:color w:val="FFFFFF"/>
                <w:lang w:eastAsia="en-AU"/>
              </w:rPr>
              <w:t>2033</w:t>
            </w:r>
          </w:p>
        </w:tc>
      </w:tr>
      <w:tr w:rsidR="00654778" w:rsidRPr="007F6332" w14:paraId="77E13482" w14:textId="77777777" w:rsidTr="00C1755E">
        <w:trPr>
          <w:trHeight w:val="285"/>
        </w:trPr>
        <w:tc>
          <w:tcPr>
            <w:tcW w:w="1696" w:type="dxa"/>
            <w:shd w:val="clear" w:color="auto" w:fill="auto"/>
            <w:noWrap/>
            <w:vAlign w:val="bottom"/>
            <w:hideMark/>
          </w:tcPr>
          <w:p w14:paraId="1CC6C6B5" w14:textId="42A6A470"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Jun</w:t>
            </w:r>
            <w:r w:rsidR="004E4FF4" w:rsidRPr="007F6332">
              <w:rPr>
                <w:rFonts w:eastAsia="Times New Roman" w:cs="Arial"/>
                <w:color w:val="000000"/>
                <w:lang w:eastAsia="en-AU"/>
              </w:rPr>
              <w:t>e 20</w:t>
            </w:r>
            <w:r w:rsidRPr="007F6332">
              <w:rPr>
                <w:rFonts w:eastAsia="Times New Roman" w:cs="Arial"/>
                <w:color w:val="000000"/>
                <w:lang w:eastAsia="en-AU"/>
              </w:rPr>
              <w:t xml:space="preserve">23 </w:t>
            </w:r>
            <w:r w:rsidR="004E4FF4" w:rsidRPr="007F6332">
              <w:rPr>
                <w:rFonts w:eastAsia="Times New Roman" w:cs="Arial"/>
                <w:color w:val="000000"/>
                <w:lang w:eastAsia="en-AU"/>
              </w:rPr>
              <w:t>projections</w:t>
            </w:r>
          </w:p>
        </w:tc>
        <w:tc>
          <w:tcPr>
            <w:tcW w:w="1205" w:type="dxa"/>
            <w:shd w:val="clear" w:color="auto" w:fill="auto"/>
            <w:noWrap/>
            <w:vAlign w:val="center"/>
            <w:hideMark/>
          </w:tcPr>
          <w:p w14:paraId="10C1CF8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31,818</w:t>
            </w:r>
          </w:p>
        </w:tc>
        <w:tc>
          <w:tcPr>
            <w:tcW w:w="1205" w:type="dxa"/>
            <w:shd w:val="clear" w:color="auto" w:fill="auto"/>
            <w:noWrap/>
            <w:vAlign w:val="center"/>
            <w:hideMark/>
          </w:tcPr>
          <w:p w14:paraId="7643CD6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35,468</w:t>
            </w:r>
          </w:p>
        </w:tc>
        <w:tc>
          <w:tcPr>
            <w:tcW w:w="1205" w:type="dxa"/>
            <w:shd w:val="clear" w:color="auto" w:fill="auto"/>
            <w:noWrap/>
            <w:vAlign w:val="center"/>
            <w:hideMark/>
          </w:tcPr>
          <w:p w14:paraId="222BD45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37,731</w:t>
            </w:r>
          </w:p>
        </w:tc>
        <w:tc>
          <w:tcPr>
            <w:tcW w:w="1205" w:type="dxa"/>
            <w:shd w:val="clear" w:color="auto" w:fill="auto"/>
            <w:noWrap/>
            <w:vAlign w:val="center"/>
            <w:hideMark/>
          </w:tcPr>
          <w:p w14:paraId="067CF07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39,649</w:t>
            </w:r>
          </w:p>
        </w:tc>
        <w:tc>
          <w:tcPr>
            <w:tcW w:w="1205" w:type="dxa"/>
            <w:tcBorders>
              <w:right w:val="single" w:sz="4" w:space="0" w:color="auto"/>
            </w:tcBorders>
            <w:shd w:val="clear" w:color="auto" w:fill="auto"/>
            <w:noWrap/>
            <w:vAlign w:val="center"/>
            <w:hideMark/>
          </w:tcPr>
          <w:p w14:paraId="02227C5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41,037</w:t>
            </w:r>
          </w:p>
        </w:tc>
        <w:tc>
          <w:tcPr>
            <w:tcW w:w="1205" w:type="dxa"/>
            <w:tcBorders>
              <w:left w:val="single" w:sz="4" w:space="0" w:color="auto"/>
            </w:tcBorders>
            <w:shd w:val="clear" w:color="auto" w:fill="auto"/>
            <w:noWrap/>
            <w:vAlign w:val="center"/>
            <w:hideMark/>
          </w:tcPr>
          <w:p w14:paraId="000917C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50,266</w:t>
            </w:r>
          </w:p>
        </w:tc>
      </w:tr>
      <w:tr w:rsidR="00654778" w:rsidRPr="007F6332" w14:paraId="5D34C340" w14:textId="77777777" w:rsidTr="00C1755E">
        <w:trPr>
          <w:trHeight w:val="285"/>
        </w:trPr>
        <w:tc>
          <w:tcPr>
            <w:tcW w:w="1696" w:type="dxa"/>
            <w:shd w:val="clear" w:color="auto" w:fill="BFBFBF" w:themeFill="background1" w:themeFillShade="BF"/>
            <w:noWrap/>
            <w:vAlign w:val="bottom"/>
            <w:hideMark/>
          </w:tcPr>
          <w:p w14:paraId="15A8578F" w14:textId="3A5063C5"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Jun</w:t>
            </w:r>
            <w:r w:rsidR="004E4FF4" w:rsidRPr="007F6332">
              <w:rPr>
                <w:rFonts w:eastAsia="Times New Roman" w:cs="Arial"/>
                <w:color w:val="000000"/>
                <w:lang w:eastAsia="en-AU"/>
              </w:rPr>
              <w:t>e 20</w:t>
            </w:r>
            <w:r w:rsidRPr="007F6332">
              <w:rPr>
                <w:rFonts w:eastAsia="Times New Roman" w:cs="Arial"/>
                <w:color w:val="000000"/>
                <w:lang w:eastAsia="en-AU"/>
              </w:rPr>
              <w:t xml:space="preserve">22 </w:t>
            </w:r>
            <w:r w:rsidR="004E4FF4" w:rsidRPr="007F6332">
              <w:rPr>
                <w:rFonts w:eastAsia="Times New Roman" w:cs="Arial"/>
                <w:color w:val="000000"/>
                <w:lang w:eastAsia="en-AU"/>
              </w:rPr>
              <w:t>projections</w:t>
            </w:r>
          </w:p>
        </w:tc>
        <w:tc>
          <w:tcPr>
            <w:tcW w:w="1205" w:type="dxa"/>
            <w:shd w:val="clear" w:color="auto" w:fill="BFBFBF" w:themeFill="background1" w:themeFillShade="BF"/>
            <w:noWrap/>
            <w:vAlign w:val="center"/>
            <w:hideMark/>
          </w:tcPr>
          <w:p w14:paraId="7633C6E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28,311</w:t>
            </w:r>
          </w:p>
        </w:tc>
        <w:tc>
          <w:tcPr>
            <w:tcW w:w="1205" w:type="dxa"/>
            <w:shd w:val="clear" w:color="auto" w:fill="BFBFBF" w:themeFill="background1" w:themeFillShade="BF"/>
            <w:noWrap/>
            <w:vAlign w:val="center"/>
            <w:hideMark/>
          </w:tcPr>
          <w:p w14:paraId="3B62E12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29,745</w:t>
            </w:r>
          </w:p>
        </w:tc>
        <w:tc>
          <w:tcPr>
            <w:tcW w:w="1205" w:type="dxa"/>
            <w:shd w:val="clear" w:color="auto" w:fill="BFBFBF" w:themeFill="background1" w:themeFillShade="BF"/>
            <w:noWrap/>
            <w:vAlign w:val="center"/>
            <w:hideMark/>
          </w:tcPr>
          <w:p w14:paraId="5B64E04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31,034</w:t>
            </w:r>
          </w:p>
        </w:tc>
        <w:tc>
          <w:tcPr>
            <w:tcW w:w="1205" w:type="dxa"/>
            <w:shd w:val="clear" w:color="auto" w:fill="BFBFBF" w:themeFill="background1" w:themeFillShade="BF"/>
            <w:noWrap/>
            <w:vAlign w:val="center"/>
            <w:hideMark/>
          </w:tcPr>
          <w:p w14:paraId="47FDADD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32,381</w:t>
            </w:r>
          </w:p>
        </w:tc>
        <w:tc>
          <w:tcPr>
            <w:tcW w:w="1205" w:type="dxa"/>
            <w:tcBorders>
              <w:right w:val="single" w:sz="4" w:space="0" w:color="auto"/>
            </w:tcBorders>
            <w:shd w:val="clear" w:color="auto" w:fill="BFBFBF" w:themeFill="background1" w:themeFillShade="BF"/>
            <w:noWrap/>
            <w:vAlign w:val="center"/>
            <w:hideMark/>
          </w:tcPr>
          <w:p w14:paraId="6A039A2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33,778</w:t>
            </w:r>
          </w:p>
        </w:tc>
        <w:tc>
          <w:tcPr>
            <w:tcW w:w="1205" w:type="dxa"/>
            <w:tcBorders>
              <w:left w:val="single" w:sz="4" w:space="0" w:color="auto"/>
            </w:tcBorders>
            <w:shd w:val="clear" w:color="auto" w:fill="BFBFBF" w:themeFill="background1" w:themeFillShade="BF"/>
            <w:noWrap/>
            <w:vAlign w:val="center"/>
            <w:hideMark/>
          </w:tcPr>
          <w:p w14:paraId="273CA93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43,673</w:t>
            </w:r>
          </w:p>
        </w:tc>
      </w:tr>
      <w:tr w:rsidR="00654778" w:rsidRPr="007F6332" w14:paraId="20C88EA9" w14:textId="77777777" w:rsidTr="00C1755E">
        <w:trPr>
          <w:trHeight w:val="285"/>
        </w:trPr>
        <w:tc>
          <w:tcPr>
            <w:tcW w:w="1696" w:type="dxa"/>
            <w:shd w:val="clear" w:color="auto" w:fill="auto"/>
            <w:noWrap/>
            <w:vAlign w:val="bottom"/>
            <w:hideMark/>
          </w:tcPr>
          <w:p w14:paraId="4C335C65" w14:textId="77777777" w:rsidR="00654778" w:rsidRPr="007F6332" w:rsidRDefault="00654778" w:rsidP="000766DF">
            <w:pPr>
              <w:keepNext/>
              <w:keepLines/>
              <w:spacing w:after="0" w:line="240" w:lineRule="auto"/>
              <w:rPr>
                <w:rFonts w:eastAsia="Times New Roman" w:cs="Arial"/>
                <w:color w:val="000000"/>
                <w:lang w:eastAsia="en-AU"/>
              </w:rPr>
            </w:pPr>
            <w:r w:rsidRPr="007F6332">
              <w:rPr>
                <w:rFonts w:eastAsia="Times New Roman" w:cs="Arial"/>
                <w:color w:val="000000"/>
                <w:lang w:eastAsia="en-AU"/>
              </w:rPr>
              <w:t>Difference (#)</w:t>
            </w:r>
          </w:p>
        </w:tc>
        <w:tc>
          <w:tcPr>
            <w:tcW w:w="1205" w:type="dxa"/>
            <w:shd w:val="clear" w:color="auto" w:fill="auto"/>
            <w:noWrap/>
            <w:vAlign w:val="center"/>
            <w:hideMark/>
          </w:tcPr>
          <w:p w14:paraId="696C68F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3,507</w:t>
            </w:r>
          </w:p>
        </w:tc>
        <w:tc>
          <w:tcPr>
            <w:tcW w:w="1205" w:type="dxa"/>
            <w:shd w:val="clear" w:color="auto" w:fill="auto"/>
            <w:noWrap/>
            <w:vAlign w:val="center"/>
            <w:hideMark/>
          </w:tcPr>
          <w:p w14:paraId="7F043A4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5,724</w:t>
            </w:r>
          </w:p>
        </w:tc>
        <w:tc>
          <w:tcPr>
            <w:tcW w:w="1205" w:type="dxa"/>
            <w:shd w:val="clear" w:color="auto" w:fill="auto"/>
            <w:noWrap/>
            <w:vAlign w:val="center"/>
            <w:hideMark/>
          </w:tcPr>
          <w:p w14:paraId="603D82F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6,697</w:t>
            </w:r>
          </w:p>
        </w:tc>
        <w:tc>
          <w:tcPr>
            <w:tcW w:w="1205" w:type="dxa"/>
            <w:shd w:val="clear" w:color="auto" w:fill="auto"/>
            <w:noWrap/>
            <w:vAlign w:val="center"/>
            <w:hideMark/>
          </w:tcPr>
          <w:p w14:paraId="32D7678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7,269</w:t>
            </w:r>
          </w:p>
        </w:tc>
        <w:tc>
          <w:tcPr>
            <w:tcW w:w="1205" w:type="dxa"/>
            <w:tcBorders>
              <w:right w:val="single" w:sz="4" w:space="0" w:color="auto"/>
            </w:tcBorders>
            <w:shd w:val="clear" w:color="auto" w:fill="auto"/>
            <w:noWrap/>
            <w:vAlign w:val="center"/>
            <w:hideMark/>
          </w:tcPr>
          <w:p w14:paraId="0CAC49D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7,259</w:t>
            </w:r>
          </w:p>
        </w:tc>
        <w:tc>
          <w:tcPr>
            <w:tcW w:w="1205" w:type="dxa"/>
            <w:tcBorders>
              <w:left w:val="single" w:sz="4" w:space="0" w:color="auto"/>
            </w:tcBorders>
            <w:shd w:val="clear" w:color="auto" w:fill="auto"/>
            <w:noWrap/>
            <w:vAlign w:val="center"/>
            <w:hideMark/>
          </w:tcPr>
          <w:p w14:paraId="4898963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6,593</w:t>
            </w:r>
          </w:p>
        </w:tc>
      </w:tr>
      <w:tr w:rsidR="00654778" w:rsidRPr="007F6332" w14:paraId="05442B42" w14:textId="77777777" w:rsidTr="00C1755E">
        <w:trPr>
          <w:trHeight w:val="285"/>
        </w:trPr>
        <w:tc>
          <w:tcPr>
            <w:tcW w:w="1696" w:type="dxa"/>
            <w:tcBorders>
              <w:bottom w:val="single" w:sz="4" w:space="0" w:color="auto"/>
            </w:tcBorders>
            <w:shd w:val="clear" w:color="auto" w:fill="B499B7"/>
            <w:noWrap/>
            <w:vAlign w:val="bottom"/>
            <w:hideMark/>
          </w:tcPr>
          <w:p w14:paraId="49159D78"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Difference (%)</w:t>
            </w:r>
          </w:p>
        </w:tc>
        <w:tc>
          <w:tcPr>
            <w:tcW w:w="1205" w:type="dxa"/>
            <w:tcBorders>
              <w:bottom w:val="single" w:sz="4" w:space="0" w:color="auto"/>
            </w:tcBorders>
            <w:shd w:val="clear" w:color="auto" w:fill="B499B7"/>
            <w:noWrap/>
            <w:vAlign w:val="center"/>
            <w:hideMark/>
          </w:tcPr>
          <w:p w14:paraId="5D46E7A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12%</w:t>
            </w:r>
          </w:p>
        </w:tc>
        <w:tc>
          <w:tcPr>
            <w:tcW w:w="1205" w:type="dxa"/>
            <w:tcBorders>
              <w:bottom w:val="single" w:sz="4" w:space="0" w:color="auto"/>
            </w:tcBorders>
            <w:shd w:val="clear" w:color="auto" w:fill="B499B7"/>
            <w:noWrap/>
            <w:vAlign w:val="center"/>
            <w:hideMark/>
          </w:tcPr>
          <w:p w14:paraId="0431AA18"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19%</w:t>
            </w:r>
          </w:p>
        </w:tc>
        <w:tc>
          <w:tcPr>
            <w:tcW w:w="1205" w:type="dxa"/>
            <w:tcBorders>
              <w:bottom w:val="single" w:sz="4" w:space="0" w:color="auto"/>
            </w:tcBorders>
            <w:shd w:val="clear" w:color="auto" w:fill="B499B7"/>
            <w:noWrap/>
            <w:vAlign w:val="center"/>
            <w:hideMark/>
          </w:tcPr>
          <w:p w14:paraId="00570595"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w:t>
            </w:r>
          </w:p>
        </w:tc>
        <w:tc>
          <w:tcPr>
            <w:tcW w:w="1205" w:type="dxa"/>
            <w:tcBorders>
              <w:bottom w:val="single" w:sz="4" w:space="0" w:color="auto"/>
            </w:tcBorders>
            <w:shd w:val="clear" w:color="auto" w:fill="B499B7"/>
            <w:noWrap/>
            <w:vAlign w:val="center"/>
            <w:hideMark/>
          </w:tcPr>
          <w:p w14:paraId="257DD4B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w:t>
            </w:r>
          </w:p>
        </w:tc>
        <w:tc>
          <w:tcPr>
            <w:tcW w:w="1205" w:type="dxa"/>
            <w:tcBorders>
              <w:bottom w:val="single" w:sz="4" w:space="0" w:color="auto"/>
              <w:right w:val="single" w:sz="4" w:space="0" w:color="auto"/>
            </w:tcBorders>
            <w:shd w:val="clear" w:color="auto" w:fill="B499B7"/>
            <w:noWrap/>
            <w:vAlign w:val="center"/>
            <w:hideMark/>
          </w:tcPr>
          <w:p w14:paraId="67560AB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21%</w:t>
            </w:r>
          </w:p>
        </w:tc>
        <w:tc>
          <w:tcPr>
            <w:tcW w:w="1205" w:type="dxa"/>
            <w:tcBorders>
              <w:left w:val="single" w:sz="4" w:space="0" w:color="auto"/>
              <w:bottom w:val="single" w:sz="4" w:space="0" w:color="auto"/>
            </w:tcBorders>
            <w:shd w:val="clear" w:color="auto" w:fill="B499B7"/>
            <w:noWrap/>
            <w:vAlign w:val="center"/>
            <w:hideMark/>
          </w:tcPr>
          <w:p w14:paraId="6AE599A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15%</w:t>
            </w:r>
          </w:p>
        </w:tc>
      </w:tr>
    </w:tbl>
    <w:p w14:paraId="56BFE04C" w14:textId="1B4E00A2" w:rsidR="00654778" w:rsidRPr="007F6332" w:rsidRDefault="00654778" w:rsidP="00081093">
      <w:pPr>
        <w:spacing w:before="120"/>
        <w:rPr>
          <w:rFonts w:cs="Arial"/>
        </w:rPr>
      </w:pPr>
      <w:r w:rsidRPr="007F6332">
        <w:rPr>
          <w:rFonts w:cs="Arial"/>
        </w:rPr>
        <w:t xml:space="preserve">More participants with SIL </w:t>
      </w:r>
      <w:r w:rsidR="004E4FF4" w:rsidRPr="007F6332">
        <w:rPr>
          <w:rFonts w:cs="Arial"/>
        </w:rPr>
        <w:t>are</w:t>
      </w:r>
      <w:r w:rsidRPr="007F6332">
        <w:rPr>
          <w:rFonts w:cs="Arial"/>
        </w:rPr>
        <w:t xml:space="preserve"> projected in the Scheme compared to the </w:t>
      </w:r>
      <w:r w:rsidR="004E4FF4" w:rsidRPr="007F6332">
        <w:rPr>
          <w:rFonts w:cs="Arial"/>
        </w:rPr>
        <w:t>June 2022</w:t>
      </w:r>
      <w:r w:rsidRPr="007F6332">
        <w:rPr>
          <w:rFonts w:cs="Arial"/>
        </w:rPr>
        <w:t xml:space="preserve"> </w:t>
      </w:r>
      <w:r w:rsidR="004E4FF4" w:rsidRPr="007F6332">
        <w:rPr>
          <w:rFonts w:cs="Arial"/>
        </w:rPr>
        <w:t>projections</w:t>
      </w:r>
      <w:r w:rsidRPr="007F6332">
        <w:rPr>
          <w:rFonts w:cs="Arial"/>
        </w:rPr>
        <w:t>, reflecting the higher increase in participants with SIL in 2022-23, and the profile of participants shift</w:t>
      </w:r>
      <w:r w:rsidR="004E4FF4" w:rsidRPr="007F6332">
        <w:rPr>
          <w:rFonts w:cs="Arial"/>
        </w:rPr>
        <w:t>ing</w:t>
      </w:r>
      <w:r w:rsidRPr="007F6332">
        <w:rPr>
          <w:rFonts w:cs="Arial"/>
        </w:rPr>
        <w:t xml:space="preserve"> away from younger participants and related disability group</w:t>
      </w:r>
      <w:r w:rsidR="004E4FF4" w:rsidRPr="007F6332">
        <w:rPr>
          <w:rFonts w:cs="Arial"/>
        </w:rPr>
        <w:t>s</w:t>
      </w:r>
      <w:r w:rsidRPr="007F6332">
        <w:rPr>
          <w:rFonts w:cs="Arial"/>
        </w:rPr>
        <w:t xml:space="preserve">. </w:t>
      </w:r>
    </w:p>
    <w:p w14:paraId="1A0C9E33" w14:textId="1B33D530" w:rsidR="00654778" w:rsidRPr="007F6332" w:rsidRDefault="009028ED" w:rsidP="00654778">
      <w:pPr>
        <w:rPr>
          <w:rFonts w:cs="Arial"/>
        </w:rPr>
      </w:pPr>
      <w:r w:rsidRPr="007F6332">
        <w:rPr>
          <w:rFonts w:cs="Arial"/>
        </w:rPr>
        <w:t>Table I.4</w:t>
      </w:r>
      <w:r w:rsidR="00654778" w:rsidRPr="007F6332">
        <w:rPr>
          <w:rFonts w:cs="Arial"/>
        </w:rPr>
        <w:t xml:space="preserve"> and </w:t>
      </w:r>
      <w:r w:rsidRPr="007F6332">
        <w:rPr>
          <w:rFonts w:cs="Arial"/>
        </w:rPr>
        <w:t>Table I.5</w:t>
      </w:r>
      <w:r w:rsidR="00654778" w:rsidRPr="007F6332">
        <w:rPr>
          <w:rFonts w:cs="Arial"/>
        </w:rPr>
        <w:t xml:space="preserve"> compares the projected participants with SIL </w:t>
      </w:r>
      <w:r w:rsidR="004E4FF4" w:rsidRPr="007F6332">
        <w:rPr>
          <w:rFonts w:cs="Arial"/>
        </w:rPr>
        <w:t xml:space="preserve">from the </w:t>
      </w:r>
      <w:r w:rsidR="00654778" w:rsidRPr="007F6332">
        <w:rPr>
          <w:rFonts w:cs="Arial"/>
        </w:rPr>
        <w:t>Jun</w:t>
      </w:r>
      <w:r w:rsidR="004E4FF4" w:rsidRPr="007F6332">
        <w:rPr>
          <w:rFonts w:cs="Arial"/>
        </w:rPr>
        <w:t xml:space="preserve"> 20</w:t>
      </w:r>
      <w:r w:rsidR="00654778" w:rsidRPr="007F6332">
        <w:rPr>
          <w:rFonts w:cs="Arial"/>
        </w:rPr>
        <w:t xml:space="preserve">23 </w:t>
      </w:r>
      <w:r w:rsidR="004E4FF4" w:rsidRPr="007F6332">
        <w:rPr>
          <w:rFonts w:cs="Arial"/>
        </w:rPr>
        <w:t xml:space="preserve">projections </w:t>
      </w:r>
      <w:r w:rsidR="00654778" w:rsidRPr="007F6332">
        <w:rPr>
          <w:rFonts w:cs="Arial"/>
        </w:rPr>
        <w:t>and Jun</w:t>
      </w:r>
      <w:r w:rsidR="004E4FF4" w:rsidRPr="007F6332">
        <w:rPr>
          <w:rFonts w:cs="Arial"/>
        </w:rPr>
        <w:t>e 20</w:t>
      </w:r>
      <w:r w:rsidR="00654778" w:rsidRPr="007F6332">
        <w:rPr>
          <w:rFonts w:cs="Arial"/>
        </w:rPr>
        <w:t xml:space="preserve">22 </w:t>
      </w:r>
      <w:r w:rsidR="004E4FF4" w:rsidRPr="007F6332">
        <w:rPr>
          <w:rFonts w:cs="Arial"/>
        </w:rPr>
        <w:t xml:space="preserve">projections </w:t>
      </w:r>
      <w:r w:rsidR="00654778" w:rsidRPr="007F6332">
        <w:rPr>
          <w:rFonts w:cs="Arial"/>
        </w:rPr>
        <w:t xml:space="preserve">by disability group. </w:t>
      </w:r>
    </w:p>
    <w:p w14:paraId="711DD527" w14:textId="6C2A0902" w:rsidR="00EF6B24" w:rsidRDefault="00654778" w:rsidP="00654778">
      <w:pPr>
        <w:rPr>
          <w:rFonts w:cs="Arial"/>
        </w:rPr>
      </w:pPr>
      <w:r w:rsidRPr="007F6332">
        <w:rPr>
          <w:rFonts w:cs="Arial"/>
        </w:rPr>
        <w:t xml:space="preserve">While more participants with SIL is projected in the Scheme compared to the </w:t>
      </w:r>
      <w:r w:rsidR="004E4FF4" w:rsidRPr="007F6332">
        <w:rPr>
          <w:rFonts w:cs="Arial"/>
        </w:rPr>
        <w:t>June 2022</w:t>
      </w:r>
      <w:r w:rsidRPr="007F6332">
        <w:rPr>
          <w:rFonts w:cs="Arial"/>
        </w:rPr>
        <w:t xml:space="preserve"> </w:t>
      </w:r>
      <w:r w:rsidR="004E4FF4" w:rsidRPr="007F6332">
        <w:rPr>
          <w:rFonts w:cs="Arial"/>
        </w:rPr>
        <w:t>projections</w:t>
      </w:r>
      <w:r w:rsidRPr="007F6332">
        <w:rPr>
          <w:rFonts w:cs="Arial"/>
        </w:rPr>
        <w:t xml:space="preserve">, the profile of participants has shifted. The new approach allows </w:t>
      </w:r>
      <w:r w:rsidR="004E4FF4" w:rsidRPr="007F6332">
        <w:rPr>
          <w:rFonts w:cs="Arial"/>
        </w:rPr>
        <w:t xml:space="preserve">for </w:t>
      </w:r>
      <w:r w:rsidRPr="007F6332">
        <w:rPr>
          <w:rFonts w:cs="Arial"/>
        </w:rPr>
        <w:t>different growth in participant number</w:t>
      </w:r>
      <w:r w:rsidR="004E4FF4" w:rsidRPr="007F6332">
        <w:rPr>
          <w:rFonts w:cs="Arial"/>
        </w:rPr>
        <w:t>s</w:t>
      </w:r>
      <w:r w:rsidRPr="007F6332">
        <w:rPr>
          <w:rFonts w:cs="Arial"/>
        </w:rPr>
        <w:t xml:space="preserve"> with and without SIL, enabl</w:t>
      </w:r>
      <w:r w:rsidR="004E4FF4" w:rsidRPr="007F6332">
        <w:rPr>
          <w:rFonts w:cs="Arial"/>
        </w:rPr>
        <w:t>ing</w:t>
      </w:r>
      <w:r w:rsidRPr="007F6332">
        <w:rPr>
          <w:rFonts w:cs="Arial"/>
        </w:rPr>
        <w:t xml:space="preserve"> a better reflection of experience. As a result, while more participants with SIL is projected across all disability groups in the short term, </w:t>
      </w:r>
      <w:r w:rsidR="004E4FF4" w:rsidRPr="007F6332">
        <w:rPr>
          <w:rFonts w:cs="Arial"/>
        </w:rPr>
        <w:t>fewer</w:t>
      </w:r>
      <w:r w:rsidRPr="007F6332">
        <w:rPr>
          <w:rFonts w:cs="Arial"/>
        </w:rPr>
        <w:t xml:space="preserve"> participants with SIL with autism and intellectual disability are projected in the long term as the disability profile of participants with SIL shifts towards other neurological and psychosocial disabilit</w:t>
      </w:r>
      <w:r w:rsidR="004E4FF4" w:rsidRPr="007F6332">
        <w:rPr>
          <w:rFonts w:cs="Arial"/>
        </w:rPr>
        <w:t>ies</w:t>
      </w:r>
      <w:r w:rsidRPr="007F6332">
        <w:rPr>
          <w:rFonts w:cs="Arial"/>
        </w:rPr>
        <w:t xml:space="preserve">. </w:t>
      </w:r>
    </w:p>
    <w:p w14:paraId="23A89168" w14:textId="77777777" w:rsidR="00EF6B24" w:rsidRDefault="00EF6B24">
      <w:pPr>
        <w:spacing w:line="276" w:lineRule="auto"/>
        <w:rPr>
          <w:rFonts w:cs="Arial"/>
        </w:rPr>
      </w:pPr>
      <w:r>
        <w:rPr>
          <w:rFonts w:cs="Arial"/>
        </w:rPr>
        <w:br w:type="page"/>
      </w:r>
    </w:p>
    <w:p w14:paraId="20873613" w14:textId="7E98E74E" w:rsidR="00654778" w:rsidRPr="007F6332" w:rsidRDefault="009028ED" w:rsidP="00EF6B24">
      <w:pPr>
        <w:pStyle w:val="FiguresandTablesHeading5"/>
      </w:pPr>
      <w:r w:rsidRPr="007F6332">
        <w:lastRenderedPageBreak/>
        <w:t>Table I.4</w:t>
      </w:r>
      <w:r w:rsidR="00654778" w:rsidRPr="007F6332">
        <w:t>: Change in projected number of participants with SIL by primary disability group</w:t>
      </w:r>
      <w:r w:rsidR="00D9677F" w:rsidRPr="007F6332">
        <w:t xml:space="preserve"> 30 June</w:t>
      </w:r>
    </w:p>
    <w:tbl>
      <w:tblPr>
        <w:tblW w:w="9312" w:type="dxa"/>
        <w:tblLayout w:type="fixed"/>
        <w:tblLook w:val="04A0" w:firstRow="1" w:lastRow="0" w:firstColumn="1" w:lastColumn="0" w:noHBand="0" w:noVBand="1"/>
      </w:tblPr>
      <w:tblGrid>
        <w:gridCol w:w="2689"/>
        <w:gridCol w:w="1103"/>
        <w:gridCol w:w="1104"/>
        <w:gridCol w:w="1104"/>
        <w:gridCol w:w="1104"/>
        <w:gridCol w:w="1104"/>
        <w:gridCol w:w="1104"/>
      </w:tblGrid>
      <w:tr w:rsidR="00654778" w:rsidRPr="007F6332" w14:paraId="1A69B4CE" w14:textId="77777777" w:rsidTr="00C1755E">
        <w:trPr>
          <w:trHeight w:val="285"/>
        </w:trPr>
        <w:tc>
          <w:tcPr>
            <w:tcW w:w="2689" w:type="dxa"/>
            <w:shd w:val="clear" w:color="000000" w:fill="6B2976"/>
            <w:noWrap/>
            <w:vAlign w:val="bottom"/>
            <w:hideMark/>
          </w:tcPr>
          <w:p w14:paraId="7E3248F2" w14:textId="77777777" w:rsidR="00654778" w:rsidRPr="007F6332" w:rsidRDefault="00654778" w:rsidP="000766DF">
            <w:pPr>
              <w:keepNext/>
              <w:keepLines/>
              <w:spacing w:after="0" w:line="240" w:lineRule="auto"/>
              <w:rPr>
                <w:rFonts w:eastAsia="Times New Roman" w:cs="Arial"/>
                <w:b/>
                <w:bCs/>
                <w:color w:val="FFFFFF"/>
                <w:lang w:eastAsia="en-AU"/>
              </w:rPr>
            </w:pPr>
            <w:r w:rsidRPr="007F6332">
              <w:rPr>
                <w:rFonts w:eastAsia="Times New Roman" w:cs="Arial"/>
                <w:b/>
                <w:bCs/>
                <w:color w:val="FFFFFF"/>
                <w:lang w:eastAsia="en-AU"/>
              </w:rPr>
              <w:t>Projected participants with SIL</w:t>
            </w:r>
          </w:p>
        </w:tc>
        <w:tc>
          <w:tcPr>
            <w:tcW w:w="1103" w:type="dxa"/>
            <w:shd w:val="clear" w:color="000000" w:fill="6B2976"/>
            <w:noWrap/>
            <w:vAlign w:val="center"/>
            <w:hideMark/>
          </w:tcPr>
          <w:p w14:paraId="6A256825" w14:textId="4AEE9E63"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2023</w:t>
            </w:r>
          </w:p>
        </w:tc>
        <w:tc>
          <w:tcPr>
            <w:tcW w:w="1104" w:type="dxa"/>
            <w:shd w:val="clear" w:color="000000" w:fill="6B2976"/>
            <w:noWrap/>
            <w:vAlign w:val="center"/>
            <w:hideMark/>
          </w:tcPr>
          <w:p w14:paraId="38193393" w14:textId="3F3F09F7"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2024</w:t>
            </w:r>
          </w:p>
        </w:tc>
        <w:tc>
          <w:tcPr>
            <w:tcW w:w="1104" w:type="dxa"/>
            <w:shd w:val="clear" w:color="000000" w:fill="6B2976"/>
            <w:noWrap/>
            <w:vAlign w:val="center"/>
            <w:hideMark/>
          </w:tcPr>
          <w:p w14:paraId="39DC69F7" w14:textId="706E25F0"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w:t>
            </w:r>
          </w:p>
        </w:tc>
        <w:tc>
          <w:tcPr>
            <w:tcW w:w="1104" w:type="dxa"/>
            <w:shd w:val="clear" w:color="000000" w:fill="6B2976"/>
            <w:noWrap/>
            <w:vAlign w:val="center"/>
            <w:hideMark/>
          </w:tcPr>
          <w:p w14:paraId="57DA0138" w14:textId="4CB266E4"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w:t>
            </w:r>
          </w:p>
        </w:tc>
        <w:tc>
          <w:tcPr>
            <w:tcW w:w="1104" w:type="dxa"/>
            <w:tcBorders>
              <w:right w:val="single" w:sz="4" w:space="0" w:color="auto"/>
            </w:tcBorders>
            <w:shd w:val="clear" w:color="000000" w:fill="6B2976"/>
            <w:noWrap/>
            <w:vAlign w:val="center"/>
            <w:hideMark/>
          </w:tcPr>
          <w:p w14:paraId="616DAF09" w14:textId="732218A9"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2027</w:t>
            </w:r>
          </w:p>
        </w:tc>
        <w:tc>
          <w:tcPr>
            <w:tcW w:w="1104" w:type="dxa"/>
            <w:tcBorders>
              <w:left w:val="single" w:sz="4" w:space="0" w:color="auto"/>
            </w:tcBorders>
            <w:shd w:val="clear" w:color="000000" w:fill="6B2976"/>
            <w:noWrap/>
            <w:vAlign w:val="center"/>
            <w:hideMark/>
          </w:tcPr>
          <w:p w14:paraId="47E0E979" w14:textId="7E18F172"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2033</w:t>
            </w:r>
          </w:p>
        </w:tc>
      </w:tr>
      <w:tr w:rsidR="00654778" w:rsidRPr="007F6332" w14:paraId="2DF4B0BE" w14:textId="77777777" w:rsidTr="00C1755E">
        <w:trPr>
          <w:trHeight w:val="300"/>
        </w:trPr>
        <w:tc>
          <w:tcPr>
            <w:tcW w:w="2689" w:type="dxa"/>
            <w:shd w:val="clear" w:color="auto" w:fill="A6A6A6" w:themeFill="background1" w:themeFillShade="A6"/>
            <w:noWrap/>
            <w:vAlign w:val="bottom"/>
            <w:hideMark/>
          </w:tcPr>
          <w:p w14:paraId="644A0140" w14:textId="503FF086" w:rsidR="00654778" w:rsidRPr="007F6332" w:rsidRDefault="004E4FF4"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June 2023 projections</w:t>
            </w:r>
          </w:p>
        </w:tc>
        <w:tc>
          <w:tcPr>
            <w:tcW w:w="1103" w:type="dxa"/>
            <w:shd w:val="clear" w:color="auto" w:fill="A6A6A6" w:themeFill="background1" w:themeFillShade="A6"/>
            <w:noWrap/>
            <w:vAlign w:val="center"/>
            <w:hideMark/>
          </w:tcPr>
          <w:p w14:paraId="061ED9DB"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689865B9"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398348C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7C8B69E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tcBorders>
              <w:right w:val="single" w:sz="4" w:space="0" w:color="auto"/>
            </w:tcBorders>
            <w:shd w:val="clear" w:color="auto" w:fill="A6A6A6" w:themeFill="background1" w:themeFillShade="A6"/>
            <w:noWrap/>
            <w:vAlign w:val="center"/>
            <w:hideMark/>
          </w:tcPr>
          <w:p w14:paraId="0B69E569"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tcBorders>
              <w:left w:val="single" w:sz="4" w:space="0" w:color="auto"/>
            </w:tcBorders>
            <w:shd w:val="clear" w:color="auto" w:fill="A6A6A6" w:themeFill="background1" w:themeFillShade="A6"/>
            <w:noWrap/>
            <w:vAlign w:val="center"/>
            <w:hideMark/>
          </w:tcPr>
          <w:p w14:paraId="7892AC9B"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r>
      <w:tr w:rsidR="00654778" w:rsidRPr="007F6332" w14:paraId="4FEFBA1D" w14:textId="77777777" w:rsidTr="00C1755E">
        <w:trPr>
          <w:trHeight w:val="285"/>
        </w:trPr>
        <w:tc>
          <w:tcPr>
            <w:tcW w:w="2689" w:type="dxa"/>
            <w:shd w:val="clear" w:color="auto" w:fill="auto"/>
            <w:noWrap/>
            <w:vAlign w:val="bottom"/>
            <w:hideMark/>
          </w:tcPr>
          <w:p w14:paraId="1F2D3B5F"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Autism</w:t>
            </w:r>
          </w:p>
        </w:tc>
        <w:tc>
          <w:tcPr>
            <w:tcW w:w="1103" w:type="dxa"/>
            <w:shd w:val="clear" w:color="auto" w:fill="auto"/>
            <w:noWrap/>
            <w:vAlign w:val="bottom"/>
            <w:hideMark/>
          </w:tcPr>
          <w:p w14:paraId="254B76E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3,716</w:t>
            </w:r>
          </w:p>
        </w:tc>
        <w:tc>
          <w:tcPr>
            <w:tcW w:w="1104" w:type="dxa"/>
            <w:shd w:val="clear" w:color="auto" w:fill="auto"/>
            <w:noWrap/>
            <w:vAlign w:val="bottom"/>
            <w:hideMark/>
          </w:tcPr>
          <w:p w14:paraId="5B1CD85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4,327</w:t>
            </w:r>
          </w:p>
        </w:tc>
        <w:tc>
          <w:tcPr>
            <w:tcW w:w="1104" w:type="dxa"/>
            <w:shd w:val="clear" w:color="auto" w:fill="auto"/>
            <w:noWrap/>
            <w:vAlign w:val="bottom"/>
            <w:hideMark/>
          </w:tcPr>
          <w:p w14:paraId="7CA3DDA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4,821</w:t>
            </w:r>
          </w:p>
        </w:tc>
        <w:tc>
          <w:tcPr>
            <w:tcW w:w="1104" w:type="dxa"/>
            <w:shd w:val="clear" w:color="auto" w:fill="auto"/>
            <w:noWrap/>
            <w:vAlign w:val="bottom"/>
            <w:hideMark/>
          </w:tcPr>
          <w:p w14:paraId="357AAF3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5,329</w:t>
            </w:r>
          </w:p>
        </w:tc>
        <w:tc>
          <w:tcPr>
            <w:tcW w:w="1104" w:type="dxa"/>
            <w:tcBorders>
              <w:right w:val="single" w:sz="4" w:space="0" w:color="auto"/>
            </w:tcBorders>
            <w:shd w:val="clear" w:color="auto" w:fill="auto"/>
            <w:noWrap/>
            <w:vAlign w:val="bottom"/>
            <w:hideMark/>
          </w:tcPr>
          <w:p w14:paraId="3EA1050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5,805</w:t>
            </w:r>
          </w:p>
        </w:tc>
        <w:tc>
          <w:tcPr>
            <w:tcW w:w="1104" w:type="dxa"/>
            <w:tcBorders>
              <w:left w:val="single" w:sz="4" w:space="0" w:color="auto"/>
            </w:tcBorders>
            <w:shd w:val="clear" w:color="auto" w:fill="auto"/>
            <w:noWrap/>
            <w:vAlign w:val="bottom"/>
            <w:hideMark/>
          </w:tcPr>
          <w:p w14:paraId="424AF04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10,267</w:t>
            </w:r>
          </w:p>
        </w:tc>
      </w:tr>
      <w:tr w:rsidR="00654778" w:rsidRPr="007F6332" w14:paraId="76DD4C5C" w14:textId="77777777" w:rsidTr="00C1755E">
        <w:trPr>
          <w:trHeight w:val="285"/>
        </w:trPr>
        <w:tc>
          <w:tcPr>
            <w:tcW w:w="2689" w:type="dxa"/>
            <w:shd w:val="clear" w:color="auto" w:fill="BFBFBF" w:themeFill="background1" w:themeFillShade="BF"/>
            <w:noWrap/>
            <w:vAlign w:val="bottom"/>
            <w:hideMark/>
          </w:tcPr>
          <w:p w14:paraId="3AC3D5D5"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Intellectual Disability</w:t>
            </w:r>
          </w:p>
        </w:tc>
        <w:tc>
          <w:tcPr>
            <w:tcW w:w="1103" w:type="dxa"/>
            <w:shd w:val="clear" w:color="auto" w:fill="BFBFBF" w:themeFill="background1" w:themeFillShade="BF"/>
            <w:noWrap/>
            <w:vAlign w:val="bottom"/>
            <w:hideMark/>
          </w:tcPr>
          <w:p w14:paraId="05EF2A6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14,852</w:t>
            </w:r>
          </w:p>
        </w:tc>
        <w:tc>
          <w:tcPr>
            <w:tcW w:w="1104" w:type="dxa"/>
            <w:shd w:val="clear" w:color="auto" w:fill="BFBFBF" w:themeFill="background1" w:themeFillShade="BF"/>
            <w:noWrap/>
            <w:vAlign w:val="bottom"/>
            <w:hideMark/>
          </w:tcPr>
          <w:p w14:paraId="433AFCC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15,658</w:t>
            </w:r>
          </w:p>
        </w:tc>
        <w:tc>
          <w:tcPr>
            <w:tcW w:w="1104" w:type="dxa"/>
            <w:shd w:val="clear" w:color="auto" w:fill="BFBFBF" w:themeFill="background1" w:themeFillShade="BF"/>
            <w:noWrap/>
            <w:vAlign w:val="bottom"/>
            <w:hideMark/>
          </w:tcPr>
          <w:p w14:paraId="490010B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16,103</w:t>
            </w:r>
          </w:p>
        </w:tc>
        <w:tc>
          <w:tcPr>
            <w:tcW w:w="1104" w:type="dxa"/>
            <w:shd w:val="clear" w:color="auto" w:fill="BFBFBF" w:themeFill="background1" w:themeFillShade="BF"/>
            <w:noWrap/>
            <w:vAlign w:val="bottom"/>
            <w:hideMark/>
          </w:tcPr>
          <w:p w14:paraId="228E460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16,455</w:t>
            </w:r>
          </w:p>
        </w:tc>
        <w:tc>
          <w:tcPr>
            <w:tcW w:w="1104" w:type="dxa"/>
            <w:tcBorders>
              <w:right w:val="single" w:sz="4" w:space="0" w:color="auto"/>
            </w:tcBorders>
            <w:shd w:val="clear" w:color="auto" w:fill="BFBFBF" w:themeFill="background1" w:themeFillShade="BF"/>
            <w:noWrap/>
            <w:vAlign w:val="bottom"/>
            <w:hideMark/>
          </w:tcPr>
          <w:p w14:paraId="4722271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16,670</w:t>
            </w:r>
          </w:p>
        </w:tc>
        <w:tc>
          <w:tcPr>
            <w:tcW w:w="1104" w:type="dxa"/>
            <w:tcBorders>
              <w:left w:val="single" w:sz="4" w:space="0" w:color="auto"/>
            </w:tcBorders>
            <w:shd w:val="clear" w:color="auto" w:fill="BFBFBF" w:themeFill="background1" w:themeFillShade="BF"/>
            <w:noWrap/>
            <w:vAlign w:val="bottom"/>
            <w:hideMark/>
          </w:tcPr>
          <w:p w14:paraId="0442199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17,968</w:t>
            </w:r>
          </w:p>
        </w:tc>
      </w:tr>
      <w:tr w:rsidR="00654778" w:rsidRPr="007F6332" w14:paraId="6C9D9A4D" w14:textId="77777777" w:rsidTr="00C1755E">
        <w:trPr>
          <w:trHeight w:val="285"/>
        </w:trPr>
        <w:tc>
          <w:tcPr>
            <w:tcW w:w="2689" w:type="dxa"/>
            <w:shd w:val="clear" w:color="auto" w:fill="auto"/>
            <w:noWrap/>
            <w:vAlign w:val="bottom"/>
            <w:hideMark/>
          </w:tcPr>
          <w:p w14:paraId="22C76BB2"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Other Neurological</w:t>
            </w:r>
          </w:p>
        </w:tc>
        <w:tc>
          <w:tcPr>
            <w:tcW w:w="1103" w:type="dxa"/>
            <w:shd w:val="clear" w:color="auto" w:fill="auto"/>
            <w:noWrap/>
            <w:vAlign w:val="bottom"/>
            <w:hideMark/>
          </w:tcPr>
          <w:p w14:paraId="577B525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1,974</w:t>
            </w:r>
          </w:p>
        </w:tc>
        <w:tc>
          <w:tcPr>
            <w:tcW w:w="1104" w:type="dxa"/>
            <w:shd w:val="clear" w:color="auto" w:fill="auto"/>
            <w:noWrap/>
            <w:vAlign w:val="bottom"/>
            <w:hideMark/>
          </w:tcPr>
          <w:p w14:paraId="3111F8A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2,373</w:t>
            </w:r>
          </w:p>
        </w:tc>
        <w:tc>
          <w:tcPr>
            <w:tcW w:w="1104" w:type="dxa"/>
            <w:shd w:val="clear" w:color="auto" w:fill="auto"/>
            <w:noWrap/>
            <w:vAlign w:val="bottom"/>
            <w:hideMark/>
          </w:tcPr>
          <w:p w14:paraId="197C982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2,555</w:t>
            </w:r>
          </w:p>
        </w:tc>
        <w:tc>
          <w:tcPr>
            <w:tcW w:w="1104" w:type="dxa"/>
            <w:shd w:val="clear" w:color="auto" w:fill="auto"/>
            <w:noWrap/>
            <w:vAlign w:val="bottom"/>
            <w:hideMark/>
          </w:tcPr>
          <w:p w14:paraId="5BE5CB3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2,667</w:t>
            </w:r>
          </w:p>
        </w:tc>
        <w:tc>
          <w:tcPr>
            <w:tcW w:w="1104" w:type="dxa"/>
            <w:tcBorders>
              <w:right w:val="single" w:sz="4" w:space="0" w:color="auto"/>
            </w:tcBorders>
            <w:shd w:val="clear" w:color="auto" w:fill="auto"/>
            <w:noWrap/>
            <w:vAlign w:val="bottom"/>
            <w:hideMark/>
          </w:tcPr>
          <w:p w14:paraId="19B1B58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2,702</w:t>
            </w:r>
          </w:p>
        </w:tc>
        <w:tc>
          <w:tcPr>
            <w:tcW w:w="1104" w:type="dxa"/>
            <w:tcBorders>
              <w:left w:val="single" w:sz="4" w:space="0" w:color="auto"/>
            </w:tcBorders>
            <w:shd w:val="clear" w:color="auto" w:fill="auto"/>
            <w:noWrap/>
            <w:vAlign w:val="bottom"/>
            <w:hideMark/>
          </w:tcPr>
          <w:p w14:paraId="518EC16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2,708</w:t>
            </w:r>
          </w:p>
        </w:tc>
      </w:tr>
      <w:tr w:rsidR="00654778" w:rsidRPr="007F6332" w14:paraId="2B85A127" w14:textId="77777777" w:rsidTr="00C1755E">
        <w:trPr>
          <w:trHeight w:val="285"/>
        </w:trPr>
        <w:tc>
          <w:tcPr>
            <w:tcW w:w="2689" w:type="dxa"/>
            <w:shd w:val="clear" w:color="auto" w:fill="BFBFBF" w:themeFill="background1" w:themeFillShade="BF"/>
            <w:noWrap/>
            <w:vAlign w:val="bottom"/>
            <w:hideMark/>
          </w:tcPr>
          <w:p w14:paraId="753563AC"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Psychosocial Disability</w:t>
            </w:r>
          </w:p>
        </w:tc>
        <w:tc>
          <w:tcPr>
            <w:tcW w:w="1103" w:type="dxa"/>
            <w:shd w:val="clear" w:color="auto" w:fill="BFBFBF" w:themeFill="background1" w:themeFillShade="BF"/>
            <w:noWrap/>
            <w:vAlign w:val="bottom"/>
            <w:hideMark/>
          </w:tcPr>
          <w:p w14:paraId="1C3DA65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3,642</w:t>
            </w:r>
          </w:p>
        </w:tc>
        <w:tc>
          <w:tcPr>
            <w:tcW w:w="1104" w:type="dxa"/>
            <w:shd w:val="clear" w:color="auto" w:fill="BFBFBF" w:themeFill="background1" w:themeFillShade="BF"/>
            <w:noWrap/>
            <w:vAlign w:val="bottom"/>
            <w:hideMark/>
          </w:tcPr>
          <w:p w14:paraId="0422030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4,259</w:t>
            </w:r>
          </w:p>
        </w:tc>
        <w:tc>
          <w:tcPr>
            <w:tcW w:w="1104" w:type="dxa"/>
            <w:shd w:val="clear" w:color="auto" w:fill="BFBFBF" w:themeFill="background1" w:themeFillShade="BF"/>
            <w:noWrap/>
            <w:vAlign w:val="bottom"/>
            <w:hideMark/>
          </w:tcPr>
          <w:p w14:paraId="27DB3E0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4,671</w:t>
            </w:r>
          </w:p>
        </w:tc>
        <w:tc>
          <w:tcPr>
            <w:tcW w:w="1104" w:type="dxa"/>
            <w:shd w:val="clear" w:color="auto" w:fill="BFBFBF" w:themeFill="background1" w:themeFillShade="BF"/>
            <w:noWrap/>
            <w:vAlign w:val="bottom"/>
            <w:hideMark/>
          </w:tcPr>
          <w:p w14:paraId="20E81AA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5,028</w:t>
            </w:r>
          </w:p>
        </w:tc>
        <w:tc>
          <w:tcPr>
            <w:tcW w:w="1104" w:type="dxa"/>
            <w:tcBorders>
              <w:right w:val="single" w:sz="4" w:space="0" w:color="auto"/>
            </w:tcBorders>
            <w:shd w:val="clear" w:color="auto" w:fill="BFBFBF" w:themeFill="background1" w:themeFillShade="BF"/>
            <w:noWrap/>
            <w:vAlign w:val="bottom"/>
            <w:hideMark/>
          </w:tcPr>
          <w:p w14:paraId="0353D07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5,301</w:t>
            </w:r>
          </w:p>
        </w:tc>
        <w:tc>
          <w:tcPr>
            <w:tcW w:w="1104" w:type="dxa"/>
            <w:tcBorders>
              <w:left w:val="single" w:sz="4" w:space="0" w:color="auto"/>
            </w:tcBorders>
            <w:shd w:val="clear" w:color="auto" w:fill="BFBFBF" w:themeFill="background1" w:themeFillShade="BF"/>
            <w:noWrap/>
            <w:vAlign w:val="bottom"/>
            <w:hideMark/>
          </w:tcPr>
          <w:p w14:paraId="41711D8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6,840</w:t>
            </w:r>
          </w:p>
        </w:tc>
      </w:tr>
      <w:tr w:rsidR="00654778" w:rsidRPr="007F6332" w14:paraId="28495AE0" w14:textId="77777777" w:rsidTr="00C1755E">
        <w:trPr>
          <w:trHeight w:val="285"/>
        </w:trPr>
        <w:tc>
          <w:tcPr>
            <w:tcW w:w="2689" w:type="dxa"/>
            <w:shd w:val="clear" w:color="auto" w:fill="auto"/>
            <w:noWrap/>
            <w:vAlign w:val="bottom"/>
            <w:hideMark/>
          </w:tcPr>
          <w:p w14:paraId="408423FE"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Other Disabilities</w:t>
            </w:r>
          </w:p>
        </w:tc>
        <w:tc>
          <w:tcPr>
            <w:tcW w:w="1103" w:type="dxa"/>
            <w:shd w:val="clear" w:color="auto" w:fill="auto"/>
            <w:noWrap/>
            <w:vAlign w:val="bottom"/>
            <w:hideMark/>
          </w:tcPr>
          <w:p w14:paraId="2865A46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7,634</w:t>
            </w:r>
          </w:p>
        </w:tc>
        <w:tc>
          <w:tcPr>
            <w:tcW w:w="1104" w:type="dxa"/>
            <w:shd w:val="clear" w:color="auto" w:fill="auto"/>
            <w:noWrap/>
            <w:vAlign w:val="bottom"/>
            <w:hideMark/>
          </w:tcPr>
          <w:p w14:paraId="5E61218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8,852</w:t>
            </w:r>
          </w:p>
        </w:tc>
        <w:tc>
          <w:tcPr>
            <w:tcW w:w="1104" w:type="dxa"/>
            <w:shd w:val="clear" w:color="auto" w:fill="auto"/>
            <w:noWrap/>
            <w:vAlign w:val="bottom"/>
            <w:hideMark/>
          </w:tcPr>
          <w:p w14:paraId="4F4FA8D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9,581</w:t>
            </w:r>
          </w:p>
        </w:tc>
        <w:tc>
          <w:tcPr>
            <w:tcW w:w="1104" w:type="dxa"/>
            <w:shd w:val="clear" w:color="auto" w:fill="auto"/>
            <w:noWrap/>
            <w:vAlign w:val="bottom"/>
            <w:hideMark/>
          </w:tcPr>
          <w:p w14:paraId="3E0CD21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10,170</w:t>
            </w:r>
          </w:p>
        </w:tc>
        <w:tc>
          <w:tcPr>
            <w:tcW w:w="1104" w:type="dxa"/>
            <w:tcBorders>
              <w:right w:val="single" w:sz="4" w:space="0" w:color="auto"/>
            </w:tcBorders>
            <w:shd w:val="clear" w:color="auto" w:fill="auto"/>
            <w:noWrap/>
            <w:vAlign w:val="bottom"/>
            <w:hideMark/>
          </w:tcPr>
          <w:p w14:paraId="0CE4869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10,559</w:t>
            </w:r>
          </w:p>
        </w:tc>
        <w:tc>
          <w:tcPr>
            <w:tcW w:w="1104" w:type="dxa"/>
            <w:tcBorders>
              <w:left w:val="single" w:sz="4" w:space="0" w:color="auto"/>
            </w:tcBorders>
            <w:shd w:val="clear" w:color="auto" w:fill="auto"/>
            <w:noWrap/>
            <w:vAlign w:val="bottom"/>
            <w:hideMark/>
          </w:tcPr>
          <w:p w14:paraId="360CE8B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12,483</w:t>
            </w:r>
          </w:p>
        </w:tc>
      </w:tr>
      <w:tr w:rsidR="00654778" w:rsidRPr="007F6332" w14:paraId="32EE0A11" w14:textId="77777777" w:rsidTr="00C1755E">
        <w:trPr>
          <w:trHeight w:val="285"/>
        </w:trPr>
        <w:tc>
          <w:tcPr>
            <w:tcW w:w="2689" w:type="dxa"/>
            <w:shd w:val="clear" w:color="auto" w:fill="B499B9"/>
            <w:noWrap/>
            <w:vAlign w:val="bottom"/>
            <w:hideMark/>
          </w:tcPr>
          <w:p w14:paraId="21301067" w14:textId="77777777" w:rsidR="00654778" w:rsidRPr="007F6332" w:rsidRDefault="00654778" w:rsidP="000766DF">
            <w:pPr>
              <w:keepNext/>
              <w:keepLines/>
              <w:spacing w:after="0" w:line="240" w:lineRule="auto"/>
              <w:ind w:firstLineChars="100" w:firstLine="221"/>
              <w:rPr>
                <w:rFonts w:eastAsia="Times New Roman" w:cs="Arial"/>
                <w:b/>
                <w:bCs/>
                <w:color w:val="000000"/>
                <w:lang w:eastAsia="en-AU"/>
              </w:rPr>
            </w:pPr>
            <w:r w:rsidRPr="007F6332">
              <w:rPr>
                <w:rFonts w:eastAsia="Times New Roman" w:cs="Arial"/>
                <w:b/>
                <w:bCs/>
                <w:color w:val="000000"/>
                <w:lang w:eastAsia="en-AU"/>
              </w:rPr>
              <w:t xml:space="preserve">Total </w:t>
            </w:r>
          </w:p>
        </w:tc>
        <w:tc>
          <w:tcPr>
            <w:tcW w:w="1103" w:type="dxa"/>
            <w:shd w:val="clear" w:color="auto" w:fill="B499B9"/>
            <w:noWrap/>
            <w:vAlign w:val="bottom"/>
            <w:hideMark/>
          </w:tcPr>
          <w:p w14:paraId="4BF20EC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31,818</w:t>
            </w:r>
          </w:p>
        </w:tc>
        <w:tc>
          <w:tcPr>
            <w:tcW w:w="1104" w:type="dxa"/>
            <w:shd w:val="clear" w:color="auto" w:fill="B499B9"/>
            <w:noWrap/>
            <w:vAlign w:val="bottom"/>
            <w:hideMark/>
          </w:tcPr>
          <w:p w14:paraId="202D5CC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35,468</w:t>
            </w:r>
          </w:p>
        </w:tc>
        <w:tc>
          <w:tcPr>
            <w:tcW w:w="1104" w:type="dxa"/>
            <w:shd w:val="clear" w:color="auto" w:fill="B499B9"/>
            <w:noWrap/>
            <w:vAlign w:val="bottom"/>
            <w:hideMark/>
          </w:tcPr>
          <w:p w14:paraId="074C330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37,731</w:t>
            </w:r>
          </w:p>
        </w:tc>
        <w:tc>
          <w:tcPr>
            <w:tcW w:w="1104" w:type="dxa"/>
            <w:shd w:val="clear" w:color="auto" w:fill="B499B9"/>
            <w:noWrap/>
            <w:vAlign w:val="bottom"/>
            <w:hideMark/>
          </w:tcPr>
          <w:p w14:paraId="114D6D8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39,649</w:t>
            </w:r>
          </w:p>
        </w:tc>
        <w:tc>
          <w:tcPr>
            <w:tcW w:w="1104" w:type="dxa"/>
            <w:tcBorders>
              <w:right w:val="single" w:sz="4" w:space="0" w:color="auto"/>
            </w:tcBorders>
            <w:shd w:val="clear" w:color="auto" w:fill="B499B9"/>
            <w:noWrap/>
            <w:vAlign w:val="bottom"/>
            <w:hideMark/>
          </w:tcPr>
          <w:p w14:paraId="626EB3EB"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41,037</w:t>
            </w:r>
          </w:p>
        </w:tc>
        <w:tc>
          <w:tcPr>
            <w:tcW w:w="1104" w:type="dxa"/>
            <w:tcBorders>
              <w:left w:val="single" w:sz="4" w:space="0" w:color="auto"/>
            </w:tcBorders>
            <w:shd w:val="clear" w:color="auto" w:fill="B499B9"/>
            <w:noWrap/>
            <w:vAlign w:val="bottom"/>
            <w:hideMark/>
          </w:tcPr>
          <w:p w14:paraId="4BF9383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50,266</w:t>
            </w:r>
          </w:p>
        </w:tc>
      </w:tr>
      <w:tr w:rsidR="00654778" w:rsidRPr="007F6332" w14:paraId="7DF58905" w14:textId="77777777" w:rsidTr="00C1755E">
        <w:trPr>
          <w:trHeight w:val="300"/>
        </w:trPr>
        <w:tc>
          <w:tcPr>
            <w:tcW w:w="2689" w:type="dxa"/>
            <w:shd w:val="clear" w:color="auto" w:fill="A6A6A6" w:themeFill="background1" w:themeFillShade="A6"/>
            <w:noWrap/>
            <w:vAlign w:val="bottom"/>
            <w:hideMark/>
          </w:tcPr>
          <w:p w14:paraId="71050C95" w14:textId="7A110A79" w:rsidR="00654778" w:rsidRPr="007F6332" w:rsidRDefault="004E4FF4"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June 2022</w:t>
            </w:r>
            <w:r w:rsidR="00654778" w:rsidRPr="007F6332">
              <w:rPr>
                <w:rFonts w:eastAsia="Times New Roman" w:cs="Arial"/>
                <w:b/>
                <w:bCs/>
                <w:color w:val="000000"/>
                <w:lang w:eastAsia="en-AU"/>
              </w:rPr>
              <w:t xml:space="preserve"> </w:t>
            </w:r>
            <w:r w:rsidRPr="007F6332">
              <w:rPr>
                <w:rFonts w:eastAsia="Times New Roman" w:cs="Arial"/>
                <w:b/>
                <w:bCs/>
                <w:color w:val="000000"/>
                <w:lang w:eastAsia="en-AU"/>
              </w:rPr>
              <w:t>projections</w:t>
            </w:r>
          </w:p>
        </w:tc>
        <w:tc>
          <w:tcPr>
            <w:tcW w:w="1103" w:type="dxa"/>
            <w:shd w:val="clear" w:color="auto" w:fill="A6A6A6" w:themeFill="background1" w:themeFillShade="A6"/>
            <w:noWrap/>
            <w:vAlign w:val="center"/>
            <w:hideMark/>
          </w:tcPr>
          <w:p w14:paraId="69C0AB3C"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1F76076C"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0E077FEC"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50C3315D"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tcBorders>
              <w:right w:val="single" w:sz="4" w:space="0" w:color="auto"/>
            </w:tcBorders>
            <w:shd w:val="clear" w:color="auto" w:fill="A6A6A6" w:themeFill="background1" w:themeFillShade="A6"/>
            <w:noWrap/>
            <w:vAlign w:val="center"/>
            <w:hideMark/>
          </w:tcPr>
          <w:p w14:paraId="6B499233"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tcBorders>
              <w:left w:val="single" w:sz="4" w:space="0" w:color="auto"/>
            </w:tcBorders>
            <w:shd w:val="clear" w:color="auto" w:fill="A6A6A6" w:themeFill="background1" w:themeFillShade="A6"/>
            <w:noWrap/>
            <w:vAlign w:val="center"/>
            <w:hideMark/>
          </w:tcPr>
          <w:p w14:paraId="007AB16E"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r>
      <w:tr w:rsidR="00654778" w:rsidRPr="007F6332" w14:paraId="20CEECB0" w14:textId="77777777" w:rsidTr="00C1755E">
        <w:trPr>
          <w:trHeight w:val="285"/>
        </w:trPr>
        <w:tc>
          <w:tcPr>
            <w:tcW w:w="2689" w:type="dxa"/>
            <w:shd w:val="clear" w:color="auto" w:fill="auto"/>
            <w:noWrap/>
            <w:vAlign w:val="bottom"/>
            <w:hideMark/>
          </w:tcPr>
          <w:p w14:paraId="4F9690A2"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Autism</w:t>
            </w:r>
          </w:p>
        </w:tc>
        <w:tc>
          <w:tcPr>
            <w:tcW w:w="1103" w:type="dxa"/>
            <w:shd w:val="clear" w:color="auto" w:fill="auto"/>
            <w:noWrap/>
            <w:vAlign w:val="bottom"/>
            <w:hideMark/>
          </w:tcPr>
          <w:p w14:paraId="5E3779F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3,504</w:t>
            </w:r>
          </w:p>
        </w:tc>
        <w:tc>
          <w:tcPr>
            <w:tcW w:w="1104" w:type="dxa"/>
            <w:shd w:val="clear" w:color="auto" w:fill="auto"/>
            <w:noWrap/>
            <w:vAlign w:val="bottom"/>
            <w:hideMark/>
          </w:tcPr>
          <w:p w14:paraId="114F77F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4,009</w:t>
            </w:r>
          </w:p>
        </w:tc>
        <w:tc>
          <w:tcPr>
            <w:tcW w:w="1104" w:type="dxa"/>
            <w:shd w:val="clear" w:color="auto" w:fill="auto"/>
            <w:noWrap/>
            <w:vAlign w:val="bottom"/>
            <w:hideMark/>
          </w:tcPr>
          <w:p w14:paraId="30B8FF4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4,551</w:t>
            </w:r>
          </w:p>
        </w:tc>
        <w:tc>
          <w:tcPr>
            <w:tcW w:w="1104" w:type="dxa"/>
            <w:shd w:val="clear" w:color="auto" w:fill="auto"/>
            <w:noWrap/>
            <w:vAlign w:val="bottom"/>
            <w:hideMark/>
          </w:tcPr>
          <w:p w14:paraId="4426903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5,155</w:t>
            </w:r>
          </w:p>
        </w:tc>
        <w:tc>
          <w:tcPr>
            <w:tcW w:w="1104" w:type="dxa"/>
            <w:tcBorders>
              <w:right w:val="single" w:sz="4" w:space="0" w:color="auto"/>
            </w:tcBorders>
            <w:shd w:val="clear" w:color="auto" w:fill="auto"/>
            <w:noWrap/>
            <w:vAlign w:val="bottom"/>
            <w:hideMark/>
          </w:tcPr>
          <w:p w14:paraId="1676D7F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5,843</w:t>
            </w:r>
          </w:p>
        </w:tc>
        <w:tc>
          <w:tcPr>
            <w:tcW w:w="1104" w:type="dxa"/>
            <w:tcBorders>
              <w:left w:val="single" w:sz="4" w:space="0" w:color="auto"/>
            </w:tcBorders>
            <w:shd w:val="clear" w:color="auto" w:fill="auto"/>
            <w:noWrap/>
            <w:vAlign w:val="bottom"/>
            <w:hideMark/>
          </w:tcPr>
          <w:p w14:paraId="6847AD4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11,606</w:t>
            </w:r>
          </w:p>
        </w:tc>
      </w:tr>
      <w:tr w:rsidR="00654778" w:rsidRPr="007F6332" w14:paraId="2CBDAA2E" w14:textId="77777777" w:rsidTr="00C1755E">
        <w:trPr>
          <w:trHeight w:val="285"/>
        </w:trPr>
        <w:tc>
          <w:tcPr>
            <w:tcW w:w="2689" w:type="dxa"/>
            <w:shd w:val="clear" w:color="auto" w:fill="BFBFBF" w:themeFill="background1" w:themeFillShade="BF"/>
            <w:noWrap/>
            <w:vAlign w:val="bottom"/>
            <w:hideMark/>
          </w:tcPr>
          <w:p w14:paraId="3D5ACD64"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Intellectual Disability</w:t>
            </w:r>
          </w:p>
        </w:tc>
        <w:tc>
          <w:tcPr>
            <w:tcW w:w="1103" w:type="dxa"/>
            <w:shd w:val="clear" w:color="auto" w:fill="BFBFBF" w:themeFill="background1" w:themeFillShade="BF"/>
            <w:noWrap/>
            <w:vAlign w:val="bottom"/>
            <w:hideMark/>
          </w:tcPr>
          <w:p w14:paraId="5F864AA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14,161</w:t>
            </w:r>
          </w:p>
        </w:tc>
        <w:tc>
          <w:tcPr>
            <w:tcW w:w="1104" w:type="dxa"/>
            <w:shd w:val="clear" w:color="auto" w:fill="BFBFBF" w:themeFill="background1" w:themeFillShade="BF"/>
            <w:noWrap/>
            <w:vAlign w:val="bottom"/>
            <w:hideMark/>
          </w:tcPr>
          <w:p w14:paraId="3DEB7E0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14,597</w:t>
            </w:r>
          </w:p>
        </w:tc>
        <w:tc>
          <w:tcPr>
            <w:tcW w:w="1104" w:type="dxa"/>
            <w:shd w:val="clear" w:color="auto" w:fill="BFBFBF" w:themeFill="background1" w:themeFillShade="BF"/>
            <w:noWrap/>
            <w:vAlign w:val="bottom"/>
            <w:hideMark/>
          </w:tcPr>
          <w:p w14:paraId="0E4FA33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15,015</w:t>
            </w:r>
          </w:p>
        </w:tc>
        <w:tc>
          <w:tcPr>
            <w:tcW w:w="1104" w:type="dxa"/>
            <w:shd w:val="clear" w:color="auto" w:fill="BFBFBF" w:themeFill="background1" w:themeFillShade="BF"/>
            <w:noWrap/>
            <w:vAlign w:val="bottom"/>
            <w:hideMark/>
          </w:tcPr>
          <w:p w14:paraId="2034934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15,439</w:t>
            </w:r>
          </w:p>
        </w:tc>
        <w:tc>
          <w:tcPr>
            <w:tcW w:w="1104" w:type="dxa"/>
            <w:tcBorders>
              <w:right w:val="single" w:sz="4" w:space="0" w:color="auto"/>
            </w:tcBorders>
            <w:shd w:val="clear" w:color="auto" w:fill="BFBFBF" w:themeFill="background1" w:themeFillShade="BF"/>
            <w:noWrap/>
            <w:vAlign w:val="bottom"/>
            <w:hideMark/>
          </w:tcPr>
          <w:p w14:paraId="1C02C3A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15,842</w:t>
            </w:r>
          </w:p>
        </w:tc>
        <w:tc>
          <w:tcPr>
            <w:tcW w:w="1104" w:type="dxa"/>
            <w:tcBorders>
              <w:left w:val="single" w:sz="4" w:space="0" w:color="auto"/>
            </w:tcBorders>
            <w:shd w:val="clear" w:color="auto" w:fill="BFBFBF" w:themeFill="background1" w:themeFillShade="BF"/>
            <w:noWrap/>
            <w:vAlign w:val="bottom"/>
            <w:hideMark/>
          </w:tcPr>
          <w:p w14:paraId="3119256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18,266</w:t>
            </w:r>
          </w:p>
        </w:tc>
      </w:tr>
      <w:tr w:rsidR="00654778" w:rsidRPr="007F6332" w14:paraId="39AA22F0" w14:textId="77777777" w:rsidTr="00C1755E">
        <w:trPr>
          <w:trHeight w:val="285"/>
        </w:trPr>
        <w:tc>
          <w:tcPr>
            <w:tcW w:w="2689" w:type="dxa"/>
            <w:shd w:val="clear" w:color="auto" w:fill="auto"/>
            <w:noWrap/>
            <w:vAlign w:val="bottom"/>
            <w:hideMark/>
          </w:tcPr>
          <w:p w14:paraId="0336698D"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Other Neurological</w:t>
            </w:r>
          </w:p>
        </w:tc>
        <w:tc>
          <w:tcPr>
            <w:tcW w:w="1103" w:type="dxa"/>
            <w:shd w:val="clear" w:color="auto" w:fill="auto"/>
            <w:noWrap/>
            <w:vAlign w:val="bottom"/>
            <w:hideMark/>
          </w:tcPr>
          <w:p w14:paraId="597BFA9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1,333</w:t>
            </w:r>
          </w:p>
        </w:tc>
        <w:tc>
          <w:tcPr>
            <w:tcW w:w="1104" w:type="dxa"/>
            <w:shd w:val="clear" w:color="auto" w:fill="auto"/>
            <w:noWrap/>
            <w:vAlign w:val="bottom"/>
            <w:hideMark/>
          </w:tcPr>
          <w:p w14:paraId="0449982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1,340</w:t>
            </w:r>
          </w:p>
        </w:tc>
        <w:tc>
          <w:tcPr>
            <w:tcW w:w="1104" w:type="dxa"/>
            <w:shd w:val="clear" w:color="auto" w:fill="auto"/>
            <w:noWrap/>
            <w:vAlign w:val="bottom"/>
            <w:hideMark/>
          </w:tcPr>
          <w:p w14:paraId="165ECF1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1,330</w:t>
            </w:r>
          </w:p>
        </w:tc>
        <w:tc>
          <w:tcPr>
            <w:tcW w:w="1104" w:type="dxa"/>
            <w:shd w:val="clear" w:color="auto" w:fill="auto"/>
            <w:noWrap/>
            <w:vAlign w:val="bottom"/>
            <w:hideMark/>
          </w:tcPr>
          <w:p w14:paraId="4E3C2ED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1,323</w:t>
            </w:r>
          </w:p>
        </w:tc>
        <w:tc>
          <w:tcPr>
            <w:tcW w:w="1104" w:type="dxa"/>
            <w:tcBorders>
              <w:right w:val="single" w:sz="4" w:space="0" w:color="auto"/>
            </w:tcBorders>
            <w:shd w:val="clear" w:color="auto" w:fill="auto"/>
            <w:noWrap/>
            <w:vAlign w:val="bottom"/>
            <w:hideMark/>
          </w:tcPr>
          <w:p w14:paraId="75DD43B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1,320</w:t>
            </w:r>
          </w:p>
        </w:tc>
        <w:tc>
          <w:tcPr>
            <w:tcW w:w="1104" w:type="dxa"/>
            <w:tcBorders>
              <w:left w:val="single" w:sz="4" w:space="0" w:color="auto"/>
            </w:tcBorders>
            <w:shd w:val="clear" w:color="auto" w:fill="auto"/>
            <w:noWrap/>
            <w:vAlign w:val="bottom"/>
            <w:hideMark/>
          </w:tcPr>
          <w:p w14:paraId="447AE4D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1,345</w:t>
            </w:r>
          </w:p>
        </w:tc>
      </w:tr>
      <w:tr w:rsidR="00654778" w:rsidRPr="007F6332" w14:paraId="4FB1CFA9" w14:textId="77777777" w:rsidTr="00C1755E">
        <w:trPr>
          <w:trHeight w:val="285"/>
        </w:trPr>
        <w:tc>
          <w:tcPr>
            <w:tcW w:w="2689" w:type="dxa"/>
            <w:shd w:val="clear" w:color="auto" w:fill="BFBFBF" w:themeFill="background1" w:themeFillShade="BF"/>
            <w:noWrap/>
            <w:vAlign w:val="bottom"/>
            <w:hideMark/>
          </w:tcPr>
          <w:p w14:paraId="4F0B1D50"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Psychosocial Disability</w:t>
            </w:r>
          </w:p>
        </w:tc>
        <w:tc>
          <w:tcPr>
            <w:tcW w:w="1103" w:type="dxa"/>
            <w:shd w:val="clear" w:color="auto" w:fill="BFBFBF" w:themeFill="background1" w:themeFillShade="BF"/>
            <w:noWrap/>
            <w:vAlign w:val="bottom"/>
            <w:hideMark/>
          </w:tcPr>
          <w:p w14:paraId="787074E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3,093</w:t>
            </w:r>
          </w:p>
        </w:tc>
        <w:tc>
          <w:tcPr>
            <w:tcW w:w="1104" w:type="dxa"/>
            <w:shd w:val="clear" w:color="auto" w:fill="BFBFBF" w:themeFill="background1" w:themeFillShade="BF"/>
            <w:noWrap/>
            <w:vAlign w:val="bottom"/>
            <w:hideMark/>
          </w:tcPr>
          <w:p w14:paraId="0D40CE6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3,353</w:t>
            </w:r>
          </w:p>
        </w:tc>
        <w:tc>
          <w:tcPr>
            <w:tcW w:w="1104" w:type="dxa"/>
            <w:shd w:val="clear" w:color="auto" w:fill="BFBFBF" w:themeFill="background1" w:themeFillShade="BF"/>
            <w:noWrap/>
            <w:vAlign w:val="bottom"/>
            <w:hideMark/>
          </w:tcPr>
          <w:p w14:paraId="0A3A35C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3,518</w:t>
            </w:r>
          </w:p>
        </w:tc>
        <w:tc>
          <w:tcPr>
            <w:tcW w:w="1104" w:type="dxa"/>
            <w:shd w:val="clear" w:color="auto" w:fill="BFBFBF" w:themeFill="background1" w:themeFillShade="BF"/>
            <w:noWrap/>
            <w:vAlign w:val="bottom"/>
            <w:hideMark/>
          </w:tcPr>
          <w:p w14:paraId="762E0BA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3,682</w:t>
            </w:r>
          </w:p>
        </w:tc>
        <w:tc>
          <w:tcPr>
            <w:tcW w:w="1104" w:type="dxa"/>
            <w:tcBorders>
              <w:right w:val="single" w:sz="4" w:space="0" w:color="auto"/>
            </w:tcBorders>
            <w:shd w:val="clear" w:color="auto" w:fill="BFBFBF" w:themeFill="background1" w:themeFillShade="BF"/>
            <w:noWrap/>
            <w:vAlign w:val="bottom"/>
            <w:hideMark/>
          </w:tcPr>
          <w:p w14:paraId="5F80EE6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3,843</w:t>
            </w:r>
          </w:p>
        </w:tc>
        <w:tc>
          <w:tcPr>
            <w:tcW w:w="1104" w:type="dxa"/>
            <w:tcBorders>
              <w:left w:val="single" w:sz="4" w:space="0" w:color="auto"/>
            </w:tcBorders>
            <w:shd w:val="clear" w:color="auto" w:fill="BFBFBF" w:themeFill="background1" w:themeFillShade="BF"/>
            <w:noWrap/>
            <w:vAlign w:val="bottom"/>
            <w:hideMark/>
          </w:tcPr>
          <w:p w14:paraId="7046302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4,738</w:t>
            </w:r>
          </w:p>
        </w:tc>
      </w:tr>
      <w:tr w:rsidR="00654778" w:rsidRPr="007F6332" w14:paraId="6B14B10C" w14:textId="77777777" w:rsidTr="00C1755E">
        <w:trPr>
          <w:trHeight w:val="285"/>
        </w:trPr>
        <w:tc>
          <w:tcPr>
            <w:tcW w:w="2689" w:type="dxa"/>
            <w:shd w:val="clear" w:color="auto" w:fill="auto"/>
            <w:noWrap/>
            <w:vAlign w:val="bottom"/>
            <w:hideMark/>
          </w:tcPr>
          <w:p w14:paraId="73786686"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Other Disabilities</w:t>
            </w:r>
          </w:p>
        </w:tc>
        <w:tc>
          <w:tcPr>
            <w:tcW w:w="1103" w:type="dxa"/>
            <w:shd w:val="clear" w:color="auto" w:fill="auto"/>
            <w:noWrap/>
            <w:vAlign w:val="bottom"/>
            <w:hideMark/>
          </w:tcPr>
          <w:p w14:paraId="6D02249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6,221</w:t>
            </w:r>
          </w:p>
        </w:tc>
        <w:tc>
          <w:tcPr>
            <w:tcW w:w="1104" w:type="dxa"/>
            <w:shd w:val="clear" w:color="auto" w:fill="auto"/>
            <w:noWrap/>
            <w:vAlign w:val="bottom"/>
            <w:hideMark/>
          </w:tcPr>
          <w:p w14:paraId="064326F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6,447</w:t>
            </w:r>
          </w:p>
        </w:tc>
        <w:tc>
          <w:tcPr>
            <w:tcW w:w="1104" w:type="dxa"/>
            <w:shd w:val="clear" w:color="auto" w:fill="auto"/>
            <w:noWrap/>
            <w:vAlign w:val="bottom"/>
            <w:hideMark/>
          </w:tcPr>
          <w:p w14:paraId="593A0D9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6,619</w:t>
            </w:r>
          </w:p>
        </w:tc>
        <w:tc>
          <w:tcPr>
            <w:tcW w:w="1104" w:type="dxa"/>
            <w:shd w:val="clear" w:color="auto" w:fill="auto"/>
            <w:noWrap/>
            <w:vAlign w:val="bottom"/>
            <w:hideMark/>
          </w:tcPr>
          <w:p w14:paraId="2329625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6,782</w:t>
            </w:r>
          </w:p>
        </w:tc>
        <w:tc>
          <w:tcPr>
            <w:tcW w:w="1104" w:type="dxa"/>
            <w:tcBorders>
              <w:right w:val="single" w:sz="4" w:space="0" w:color="auto"/>
            </w:tcBorders>
            <w:shd w:val="clear" w:color="auto" w:fill="auto"/>
            <w:noWrap/>
            <w:vAlign w:val="bottom"/>
            <w:hideMark/>
          </w:tcPr>
          <w:p w14:paraId="05AE1AF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6,931</w:t>
            </w:r>
          </w:p>
        </w:tc>
        <w:tc>
          <w:tcPr>
            <w:tcW w:w="1104" w:type="dxa"/>
            <w:tcBorders>
              <w:left w:val="single" w:sz="4" w:space="0" w:color="auto"/>
            </w:tcBorders>
            <w:shd w:val="clear" w:color="auto" w:fill="auto"/>
            <w:noWrap/>
            <w:vAlign w:val="bottom"/>
            <w:hideMark/>
          </w:tcPr>
          <w:p w14:paraId="034E3A0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7,718</w:t>
            </w:r>
          </w:p>
        </w:tc>
      </w:tr>
      <w:tr w:rsidR="00654778" w:rsidRPr="007F6332" w14:paraId="07ED1DE2" w14:textId="77777777" w:rsidTr="00C1755E">
        <w:trPr>
          <w:trHeight w:val="285"/>
        </w:trPr>
        <w:tc>
          <w:tcPr>
            <w:tcW w:w="2689" w:type="dxa"/>
            <w:shd w:val="clear" w:color="auto" w:fill="B499B9"/>
            <w:noWrap/>
            <w:vAlign w:val="bottom"/>
            <w:hideMark/>
          </w:tcPr>
          <w:p w14:paraId="13D91466" w14:textId="77777777" w:rsidR="00654778" w:rsidRPr="007F6332" w:rsidRDefault="00654778" w:rsidP="000766DF">
            <w:pPr>
              <w:keepNext/>
              <w:keepLines/>
              <w:spacing w:after="0" w:line="240" w:lineRule="auto"/>
              <w:ind w:firstLineChars="100" w:firstLine="221"/>
              <w:rPr>
                <w:rFonts w:eastAsia="Times New Roman" w:cs="Arial"/>
                <w:b/>
                <w:bCs/>
                <w:color w:val="000000"/>
                <w:lang w:eastAsia="en-AU"/>
              </w:rPr>
            </w:pPr>
            <w:r w:rsidRPr="007F6332">
              <w:rPr>
                <w:rFonts w:eastAsia="Times New Roman" w:cs="Arial"/>
                <w:b/>
                <w:bCs/>
                <w:color w:val="000000"/>
                <w:lang w:eastAsia="en-AU"/>
              </w:rPr>
              <w:t>Total</w:t>
            </w:r>
          </w:p>
        </w:tc>
        <w:tc>
          <w:tcPr>
            <w:tcW w:w="1103" w:type="dxa"/>
            <w:shd w:val="clear" w:color="auto" w:fill="B499B9"/>
            <w:noWrap/>
            <w:vAlign w:val="bottom"/>
            <w:hideMark/>
          </w:tcPr>
          <w:p w14:paraId="09F03AFD"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28,311</w:t>
            </w:r>
          </w:p>
        </w:tc>
        <w:tc>
          <w:tcPr>
            <w:tcW w:w="1104" w:type="dxa"/>
            <w:shd w:val="clear" w:color="auto" w:fill="B499B9"/>
            <w:noWrap/>
            <w:vAlign w:val="bottom"/>
            <w:hideMark/>
          </w:tcPr>
          <w:p w14:paraId="6013BCA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29,745</w:t>
            </w:r>
          </w:p>
        </w:tc>
        <w:tc>
          <w:tcPr>
            <w:tcW w:w="1104" w:type="dxa"/>
            <w:shd w:val="clear" w:color="auto" w:fill="B499B9"/>
            <w:noWrap/>
            <w:vAlign w:val="bottom"/>
            <w:hideMark/>
          </w:tcPr>
          <w:p w14:paraId="703903BE"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31,034</w:t>
            </w:r>
          </w:p>
        </w:tc>
        <w:tc>
          <w:tcPr>
            <w:tcW w:w="1104" w:type="dxa"/>
            <w:shd w:val="clear" w:color="auto" w:fill="B499B9"/>
            <w:noWrap/>
            <w:vAlign w:val="bottom"/>
            <w:hideMark/>
          </w:tcPr>
          <w:p w14:paraId="56518F40"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32,381</w:t>
            </w:r>
          </w:p>
        </w:tc>
        <w:tc>
          <w:tcPr>
            <w:tcW w:w="1104" w:type="dxa"/>
            <w:tcBorders>
              <w:right w:val="single" w:sz="4" w:space="0" w:color="auto"/>
            </w:tcBorders>
            <w:shd w:val="clear" w:color="auto" w:fill="B499B9"/>
            <w:noWrap/>
            <w:vAlign w:val="bottom"/>
            <w:hideMark/>
          </w:tcPr>
          <w:p w14:paraId="11F1749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33,778</w:t>
            </w:r>
          </w:p>
        </w:tc>
        <w:tc>
          <w:tcPr>
            <w:tcW w:w="1104" w:type="dxa"/>
            <w:tcBorders>
              <w:left w:val="single" w:sz="4" w:space="0" w:color="auto"/>
            </w:tcBorders>
            <w:shd w:val="clear" w:color="auto" w:fill="B499B9"/>
            <w:noWrap/>
            <w:vAlign w:val="bottom"/>
            <w:hideMark/>
          </w:tcPr>
          <w:p w14:paraId="7711FB93"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43,673</w:t>
            </w:r>
          </w:p>
        </w:tc>
      </w:tr>
      <w:tr w:rsidR="00654778" w:rsidRPr="007F6332" w14:paraId="347F578C" w14:textId="77777777" w:rsidTr="00C1755E">
        <w:trPr>
          <w:trHeight w:val="300"/>
        </w:trPr>
        <w:tc>
          <w:tcPr>
            <w:tcW w:w="2689" w:type="dxa"/>
            <w:shd w:val="clear" w:color="auto" w:fill="A6A6A6" w:themeFill="background1" w:themeFillShade="A6"/>
            <w:noWrap/>
            <w:vAlign w:val="bottom"/>
            <w:hideMark/>
          </w:tcPr>
          <w:p w14:paraId="2EA014BC"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Difference</w:t>
            </w:r>
          </w:p>
        </w:tc>
        <w:tc>
          <w:tcPr>
            <w:tcW w:w="1103" w:type="dxa"/>
            <w:shd w:val="clear" w:color="auto" w:fill="A6A6A6" w:themeFill="background1" w:themeFillShade="A6"/>
            <w:noWrap/>
            <w:vAlign w:val="center"/>
            <w:hideMark/>
          </w:tcPr>
          <w:p w14:paraId="4E483B8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44206B9B"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2ACCF0AD"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1339EEBF"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tcBorders>
              <w:right w:val="single" w:sz="4" w:space="0" w:color="auto"/>
            </w:tcBorders>
            <w:shd w:val="clear" w:color="auto" w:fill="A6A6A6" w:themeFill="background1" w:themeFillShade="A6"/>
            <w:noWrap/>
            <w:vAlign w:val="center"/>
            <w:hideMark/>
          </w:tcPr>
          <w:p w14:paraId="3088DD5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tcBorders>
              <w:left w:val="single" w:sz="4" w:space="0" w:color="auto"/>
            </w:tcBorders>
            <w:shd w:val="clear" w:color="auto" w:fill="A6A6A6" w:themeFill="background1" w:themeFillShade="A6"/>
            <w:noWrap/>
            <w:vAlign w:val="center"/>
            <w:hideMark/>
          </w:tcPr>
          <w:p w14:paraId="0D9F54A8"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r>
      <w:tr w:rsidR="00654778" w:rsidRPr="007F6332" w14:paraId="27615F3C" w14:textId="77777777" w:rsidTr="00C1755E">
        <w:trPr>
          <w:trHeight w:val="285"/>
        </w:trPr>
        <w:tc>
          <w:tcPr>
            <w:tcW w:w="2689" w:type="dxa"/>
            <w:shd w:val="clear" w:color="auto" w:fill="auto"/>
            <w:noWrap/>
            <w:vAlign w:val="bottom"/>
            <w:hideMark/>
          </w:tcPr>
          <w:p w14:paraId="144E5746"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Autism</w:t>
            </w:r>
          </w:p>
        </w:tc>
        <w:tc>
          <w:tcPr>
            <w:tcW w:w="1103" w:type="dxa"/>
            <w:shd w:val="clear" w:color="auto" w:fill="auto"/>
            <w:noWrap/>
            <w:vAlign w:val="bottom"/>
            <w:hideMark/>
          </w:tcPr>
          <w:p w14:paraId="1C76E1D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212</w:t>
            </w:r>
          </w:p>
        </w:tc>
        <w:tc>
          <w:tcPr>
            <w:tcW w:w="1104" w:type="dxa"/>
            <w:shd w:val="clear" w:color="auto" w:fill="auto"/>
            <w:noWrap/>
            <w:vAlign w:val="bottom"/>
            <w:hideMark/>
          </w:tcPr>
          <w:p w14:paraId="17C38F1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318</w:t>
            </w:r>
          </w:p>
        </w:tc>
        <w:tc>
          <w:tcPr>
            <w:tcW w:w="1104" w:type="dxa"/>
            <w:shd w:val="clear" w:color="auto" w:fill="auto"/>
            <w:noWrap/>
            <w:vAlign w:val="bottom"/>
            <w:hideMark/>
          </w:tcPr>
          <w:p w14:paraId="44541FF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270</w:t>
            </w:r>
          </w:p>
        </w:tc>
        <w:tc>
          <w:tcPr>
            <w:tcW w:w="1104" w:type="dxa"/>
            <w:shd w:val="clear" w:color="auto" w:fill="auto"/>
            <w:noWrap/>
            <w:vAlign w:val="bottom"/>
            <w:hideMark/>
          </w:tcPr>
          <w:p w14:paraId="6A5C428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174</w:t>
            </w:r>
          </w:p>
        </w:tc>
        <w:tc>
          <w:tcPr>
            <w:tcW w:w="1104" w:type="dxa"/>
            <w:tcBorders>
              <w:right w:val="single" w:sz="4" w:space="0" w:color="auto"/>
            </w:tcBorders>
            <w:shd w:val="clear" w:color="auto" w:fill="auto"/>
            <w:noWrap/>
            <w:vAlign w:val="bottom"/>
            <w:hideMark/>
          </w:tcPr>
          <w:p w14:paraId="70719E3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-38</w:t>
            </w:r>
          </w:p>
        </w:tc>
        <w:tc>
          <w:tcPr>
            <w:tcW w:w="1104" w:type="dxa"/>
            <w:tcBorders>
              <w:left w:val="single" w:sz="4" w:space="0" w:color="auto"/>
            </w:tcBorders>
            <w:shd w:val="clear" w:color="auto" w:fill="auto"/>
            <w:noWrap/>
            <w:vAlign w:val="bottom"/>
            <w:hideMark/>
          </w:tcPr>
          <w:p w14:paraId="51CFAE5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-1,339</w:t>
            </w:r>
          </w:p>
        </w:tc>
      </w:tr>
      <w:tr w:rsidR="00654778" w:rsidRPr="007F6332" w14:paraId="3763EE14" w14:textId="77777777" w:rsidTr="00C1755E">
        <w:trPr>
          <w:trHeight w:val="285"/>
        </w:trPr>
        <w:tc>
          <w:tcPr>
            <w:tcW w:w="2689" w:type="dxa"/>
            <w:shd w:val="clear" w:color="auto" w:fill="BFBFBF" w:themeFill="background1" w:themeFillShade="BF"/>
            <w:noWrap/>
            <w:vAlign w:val="bottom"/>
            <w:hideMark/>
          </w:tcPr>
          <w:p w14:paraId="5D8F49C7"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Intellectual Disability</w:t>
            </w:r>
          </w:p>
        </w:tc>
        <w:tc>
          <w:tcPr>
            <w:tcW w:w="1103" w:type="dxa"/>
            <w:shd w:val="clear" w:color="auto" w:fill="BFBFBF" w:themeFill="background1" w:themeFillShade="BF"/>
            <w:noWrap/>
            <w:vAlign w:val="bottom"/>
            <w:hideMark/>
          </w:tcPr>
          <w:p w14:paraId="5D0E2DF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691</w:t>
            </w:r>
          </w:p>
        </w:tc>
        <w:tc>
          <w:tcPr>
            <w:tcW w:w="1104" w:type="dxa"/>
            <w:shd w:val="clear" w:color="auto" w:fill="BFBFBF" w:themeFill="background1" w:themeFillShade="BF"/>
            <w:noWrap/>
            <w:vAlign w:val="bottom"/>
            <w:hideMark/>
          </w:tcPr>
          <w:p w14:paraId="0406FC7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1,061</w:t>
            </w:r>
          </w:p>
        </w:tc>
        <w:tc>
          <w:tcPr>
            <w:tcW w:w="1104" w:type="dxa"/>
            <w:shd w:val="clear" w:color="auto" w:fill="BFBFBF" w:themeFill="background1" w:themeFillShade="BF"/>
            <w:noWrap/>
            <w:vAlign w:val="bottom"/>
            <w:hideMark/>
          </w:tcPr>
          <w:p w14:paraId="1B0FDB2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1,088</w:t>
            </w:r>
          </w:p>
        </w:tc>
        <w:tc>
          <w:tcPr>
            <w:tcW w:w="1104" w:type="dxa"/>
            <w:shd w:val="clear" w:color="auto" w:fill="BFBFBF" w:themeFill="background1" w:themeFillShade="BF"/>
            <w:noWrap/>
            <w:vAlign w:val="bottom"/>
            <w:hideMark/>
          </w:tcPr>
          <w:p w14:paraId="4A5798B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1,016</w:t>
            </w:r>
          </w:p>
        </w:tc>
        <w:tc>
          <w:tcPr>
            <w:tcW w:w="1104" w:type="dxa"/>
            <w:tcBorders>
              <w:right w:val="single" w:sz="4" w:space="0" w:color="auto"/>
            </w:tcBorders>
            <w:shd w:val="clear" w:color="auto" w:fill="BFBFBF" w:themeFill="background1" w:themeFillShade="BF"/>
            <w:noWrap/>
            <w:vAlign w:val="bottom"/>
            <w:hideMark/>
          </w:tcPr>
          <w:p w14:paraId="1D8BC3F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828</w:t>
            </w:r>
          </w:p>
        </w:tc>
        <w:tc>
          <w:tcPr>
            <w:tcW w:w="1104" w:type="dxa"/>
            <w:tcBorders>
              <w:left w:val="single" w:sz="4" w:space="0" w:color="auto"/>
            </w:tcBorders>
            <w:shd w:val="clear" w:color="auto" w:fill="BFBFBF" w:themeFill="background1" w:themeFillShade="BF"/>
            <w:noWrap/>
            <w:vAlign w:val="bottom"/>
            <w:hideMark/>
          </w:tcPr>
          <w:p w14:paraId="15E96F6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-298</w:t>
            </w:r>
          </w:p>
        </w:tc>
      </w:tr>
      <w:tr w:rsidR="00654778" w:rsidRPr="007F6332" w14:paraId="0CBDF52A" w14:textId="77777777" w:rsidTr="00C1755E">
        <w:trPr>
          <w:trHeight w:val="285"/>
        </w:trPr>
        <w:tc>
          <w:tcPr>
            <w:tcW w:w="2689" w:type="dxa"/>
            <w:shd w:val="clear" w:color="auto" w:fill="auto"/>
            <w:noWrap/>
            <w:vAlign w:val="bottom"/>
            <w:hideMark/>
          </w:tcPr>
          <w:p w14:paraId="0FB1546E"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Other Neurological</w:t>
            </w:r>
          </w:p>
        </w:tc>
        <w:tc>
          <w:tcPr>
            <w:tcW w:w="1103" w:type="dxa"/>
            <w:shd w:val="clear" w:color="auto" w:fill="auto"/>
            <w:noWrap/>
            <w:vAlign w:val="bottom"/>
            <w:hideMark/>
          </w:tcPr>
          <w:p w14:paraId="2100A74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641</w:t>
            </w:r>
          </w:p>
        </w:tc>
        <w:tc>
          <w:tcPr>
            <w:tcW w:w="1104" w:type="dxa"/>
            <w:shd w:val="clear" w:color="auto" w:fill="auto"/>
            <w:noWrap/>
            <w:vAlign w:val="bottom"/>
            <w:hideMark/>
          </w:tcPr>
          <w:p w14:paraId="311EF65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1,034</w:t>
            </w:r>
          </w:p>
        </w:tc>
        <w:tc>
          <w:tcPr>
            <w:tcW w:w="1104" w:type="dxa"/>
            <w:shd w:val="clear" w:color="auto" w:fill="auto"/>
            <w:noWrap/>
            <w:vAlign w:val="bottom"/>
            <w:hideMark/>
          </w:tcPr>
          <w:p w14:paraId="0BDC1D8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1,224</w:t>
            </w:r>
          </w:p>
        </w:tc>
        <w:tc>
          <w:tcPr>
            <w:tcW w:w="1104" w:type="dxa"/>
            <w:shd w:val="clear" w:color="auto" w:fill="auto"/>
            <w:noWrap/>
            <w:vAlign w:val="bottom"/>
            <w:hideMark/>
          </w:tcPr>
          <w:p w14:paraId="16657BF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1,344</w:t>
            </w:r>
          </w:p>
        </w:tc>
        <w:tc>
          <w:tcPr>
            <w:tcW w:w="1104" w:type="dxa"/>
            <w:tcBorders>
              <w:right w:val="single" w:sz="4" w:space="0" w:color="auto"/>
            </w:tcBorders>
            <w:shd w:val="clear" w:color="auto" w:fill="auto"/>
            <w:noWrap/>
            <w:vAlign w:val="bottom"/>
            <w:hideMark/>
          </w:tcPr>
          <w:p w14:paraId="4E50935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1,382</w:t>
            </w:r>
          </w:p>
        </w:tc>
        <w:tc>
          <w:tcPr>
            <w:tcW w:w="1104" w:type="dxa"/>
            <w:tcBorders>
              <w:left w:val="single" w:sz="4" w:space="0" w:color="auto"/>
            </w:tcBorders>
            <w:shd w:val="clear" w:color="auto" w:fill="auto"/>
            <w:noWrap/>
            <w:vAlign w:val="bottom"/>
            <w:hideMark/>
          </w:tcPr>
          <w:p w14:paraId="0431FCD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1,363</w:t>
            </w:r>
          </w:p>
        </w:tc>
      </w:tr>
      <w:tr w:rsidR="00654778" w:rsidRPr="007F6332" w14:paraId="347C6933" w14:textId="77777777" w:rsidTr="00C1755E">
        <w:trPr>
          <w:trHeight w:val="285"/>
        </w:trPr>
        <w:tc>
          <w:tcPr>
            <w:tcW w:w="2689" w:type="dxa"/>
            <w:shd w:val="clear" w:color="auto" w:fill="BFBFBF" w:themeFill="background1" w:themeFillShade="BF"/>
            <w:noWrap/>
            <w:vAlign w:val="bottom"/>
            <w:hideMark/>
          </w:tcPr>
          <w:p w14:paraId="6E73080C"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Psychosocial Disability</w:t>
            </w:r>
          </w:p>
        </w:tc>
        <w:tc>
          <w:tcPr>
            <w:tcW w:w="1103" w:type="dxa"/>
            <w:shd w:val="clear" w:color="auto" w:fill="BFBFBF" w:themeFill="background1" w:themeFillShade="BF"/>
            <w:noWrap/>
            <w:vAlign w:val="bottom"/>
            <w:hideMark/>
          </w:tcPr>
          <w:p w14:paraId="4E08B29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549</w:t>
            </w:r>
          </w:p>
        </w:tc>
        <w:tc>
          <w:tcPr>
            <w:tcW w:w="1104" w:type="dxa"/>
            <w:shd w:val="clear" w:color="auto" w:fill="BFBFBF" w:themeFill="background1" w:themeFillShade="BF"/>
            <w:noWrap/>
            <w:vAlign w:val="bottom"/>
            <w:hideMark/>
          </w:tcPr>
          <w:p w14:paraId="3EB90D6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906</w:t>
            </w:r>
          </w:p>
        </w:tc>
        <w:tc>
          <w:tcPr>
            <w:tcW w:w="1104" w:type="dxa"/>
            <w:shd w:val="clear" w:color="auto" w:fill="BFBFBF" w:themeFill="background1" w:themeFillShade="BF"/>
            <w:noWrap/>
            <w:vAlign w:val="bottom"/>
            <w:hideMark/>
          </w:tcPr>
          <w:p w14:paraId="5C44C0A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1,152</w:t>
            </w:r>
          </w:p>
        </w:tc>
        <w:tc>
          <w:tcPr>
            <w:tcW w:w="1104" w:type="dxa"/>
            <w:shd w:val="clear" w:color="auto" w:fill="BFBFBF" w:themeFill="background1" w:themeFillShade="BF"/>
            <w:noWrap/>
            <w:vAlign w:val="bottom"/>
            <w:hideMark/>
          </w:tcPr>
          <w:p w14:paraId="549F870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1,346</w:t>
            </w:r>
          </w:p>
        </w:tc>
        <w:tc>
          <w:tcPr>
            <w:tcW w:w="1104" w:type="dxa"/>
            <w:tcBorders>
              <w:right w:val="single" w:sz="4" w:space="0" w:color="auto"/>
            </w:tcBorders>
            <w:shd w:val="clear" w:color="auto" w:fill="BFBFBF" w:themeFill="background1" w:themeFillShade="BF"/>
            <w:noWrap/>
            <w:vAlign w:val="bottom"/>
            <w:hideMark/>
          </w:tcPr>
          <w:p w14:paraId="070C18D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1,457</w:t>
            </w:r>
          </w:p>
        </w:tc>
        <w:tc>
          <w:tcPr>
            <w:tcW w:w="1104" w:type="dxa"/>
            <w:tcBorders>
              <w:left w:val="single" w:sz="4" w:space="0" w:color="auto"/>
            </w:tcBorders>
            <w:shd w:val="clear" w:color="auto" w:fill="BFBFBF" w:themeFill="background1" w:themeFillShade="BF"/>
            <w:noWrap/>
            <w:vAlign w:val="bottom"/>
            <w:hideMark/>
          </w:tcPr>
          <w:p w14:paraId="7622EA1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2,102</w:t>
            </w:r>
          </w:p>
        </w:tc>
      </w:tr>
      <w:tr w:rsidR="00654778" w:rsidRPr="007F6332" w14:paraId="17D3F629" w14:textId="77777777" w:rsidTr="00C1755E">
        <w:trPr>
          <w:trHeight w:val="285"/>
        </w:trPr>
        <w:tc>
          <w:tcPr>
            <w:tcW w:w="2689" w:type="dxa"/>
            <w:shd w:val="clear" w:color="auto" w:fill="auto"/>
            <w:noWrap/>
            <w:vAlign w:val="bottom"/>
            <w:hideMark/>
          </w:tcPr>
          <w:p w14:paraId="23DC9D60"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Other Disabilities</w:t>
            </w:r>
          </w:p>
        </w:tc>
        <w:tc>
          <w:tcPr>
            <w:tcW w:w="1103" w:type="dxa"/>
            <w:shd w:val="clear" w:color="auto" w:fill="auto"/>
            <w:noWrap/>
            <w:vAlign w:val="bottom"/>
            <w:hideMark/>
          </w:tcPr>
          <w:p w14:paraId="618E292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1,413</w:t>
            </w:r>
          </w:p>
        </w:tc>
        <w:tc>
          <w:tcPr>
            <w:tcW w:w="1104" w:type="dxa"/>
            <w:shd w:val="clear" w:color="auto" w:fill="auto"/>
            <w:noWrap/>
            <w:vAlign w:val="bottom"/>
            <w:hideMark/>
          </w:tcPr>
          <w:p w14:paraId="25CE206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2,405</w:t>
            </w:r>
          </w:p>
        </w:tc>
        <w:tc>
          <w:tcPr>
            <w:tcW w:w="1104" w:type="dxa"/>
            <w:shd w:val="clear" w:color="auto" w:fill="auto"/>
            <w:noWrap/>
            <w:vAlign w:val="bottom"/>
            <w:hideMark/>
          </w:tcPr>
          <w:p w14:paraId="6FBECC3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2,962</w:t>
            </w:r>
          </w:p>
        </w:tc>
        <w:tc>
          <w:tcPr>
            <w:tcW w:w="1104" w:type="dxa"/>
            <w:shd w:val="clear" w:color="auto" w:fill="auto"/>
            <w:noWrap/>
            <w:vAlign w:val="bottom"/>
            <w:hideMark/>
          </w:tcPr>
          <w:p w14:paraId="05AD32E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3,388</w:t>
            </w:r>
          </w:p>
        </w:tc>
        <w:tc>
          <w:tcPr>
            <w:tcW w:w="1104" w:type="dxa"/>
            <w:tcBorders>
              <w:right w:val="single" w:sz="4" w:space="0" w:color="auto"/>
            </w:tcBorders>
            <w:shd w:val="clear" w:color="auto" w:fill="auto"/>
            <w:noWrap/>
            <w:vAlign w:val="bottom"/>
            <w:hideMark/>
          </w:tcPr>
          <w:p w14:paraId="6087529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3,628</w:t>
            </w:r>
          </w:p>
        </w:tc>
        <w:tc>
          <w:tcPr>
            <w:tcW w:w="1104" w:type="dxa"/>
            <w:tcBorders>
              <w:left w:val="single" w:sz="4" w:space="0" w:color="auto"/>
            </w:tcBorders>
            <w:shd w:val="clear" w:color="auto" w:fill="auto"/>
            <w:noWrap/>
            <w:vAlign w:val="bottom"/>
            <w:hideMark/>
          </w:tcPr>
          <w:p w14:paraId="42782FF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4,765</w:t>
            </w:r>
          </w:p>
        </w:tc>
      </w:tr>
      <w:tr w:rsidR="00654778" w:rsidRPr="007F6332" w14:paraId="6734FEA3" w14:textId="77777777" w:rsidTr="00C1755E">
        <w:trPr>
          <w:trHeight w:val="285"/>
        </w:trPr>
        <w:tc>
          <w:tcPr>
            <w:tcW w:w="2689" w:type="dxa"/>
            <w:shd w:val="clear" w:color="auto" w:fill="B499B9"/>
            <w:noWrap/>
            <w:vAlign w:val="bottom"/>
            <w:hideMark/>
          </w:tcPr>
          <w:p w14:paraId="399752EB" w14:textId="77777777" w:rsidR="00654778" w:rsidRPr="007F6332" w:rsidRDefault="00654778" w:rsidP="000766DF">
            <w:pPr>
              <w:keepNext/>
              <w:keepLines/>
              <w:spacing w:after="0" w:line="240" w:lineRule="auto"/>
              <w:ind w:firstLineChars="100" w:firstLine="221"/>
              <w:rPr>
                <w:rFonts w:eastAsia="Times New Roman" w:cs="Arial"/>
                <w:b/>
                <w:bCs/>
                <w:color w:val="000000"/>
                <w:lang w:eastAsia="en-AU"/>
              </w:rPr>
            </w:pPr>
            <w:r w:rsidRPr="007F6332">
              <w:rPr>
                <w:rFonts w:eastAsia="Times New Roman" w:cs="Arial"/>
                <w:b/>
                <w:bCs/>
                <w:color w:val="000000"/>
                <w:lang w:eastAsia="en-AU"/>
              </w:rPr>
              <w:t>Total</w:t>
            </w:r>
          </w:p>
        </w:tc>
        <w:tc>
          <w:tcPr>
            <w:tcW w:w="1103" w:type="dxa"/>
            <w:shd w:val="clear" w:color="auto" w:fill="B499B9"/>
            <w:noWrap/>
            <w:vAlign w:val="bottom"/>
            <w:hideMark/>
          </w:tcPr>
          <w:p w14:paraId="7D54DAE8"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3,507</w:t>
            </w:r>
          </w:p>
        </w:tc>
        <w:tc>
          <w:tcPr>
            <w:tcW w:w="1104" w:type="dxa"/>
            <w:shd w:val="clear" w:color="auto" w:fill="B499B9"/>
            <w:noWrap/>
            <w:vAlign w:val="bottom"/>
            <w:hideMark/>
          </w:tcPr>
          <w:p w14:paraId="3B5EF8CF"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5,724</w:t>
            </w:r>
          </w:p>
        </w:tc>
        <w:tc>
          <w:tcPr>
            <w:tcW w:w="1104" w:type="dxa"/>
            <w:shd w:val="clear" w:color="auto" w:fill="B499B9"/>
            <w:noWrap/>
            <w:vAlign w:val="bottom"/>
            <w:hideMark/>
          </w:tcPr>
          <w:p w14:paraId="457BE0DC"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6,697</w:t>
            </w:r>
          </w:p>
        </w:tc>
        <w:tc>
          <w:tcPr>
            <w:tcW w:w="1104" w:type="dxa"/>
            <w:shd w:val="clear" w:color="auto" w:fill="B499B9"/>
            <w:noWrap/>
            <w:vAlign w:val="bottom"/>
            <w:hideMark/>
          </w:tcPr>
          <w:p w14:paraId="3C6E329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7,269</w:t>
            </w:r>
          </w:p>
        </w:tc>
        <w:tc>
          <w:tcPr>
            <w:tcW w:w="1104" w:type="dxa"/>
            <w:tcBorders>
              <w:right w:val="single" w:sz="4" w:space="0" w:color="auto"/>
            </w:tcBorders>
            <w:shd w:val="clear" w:color="auto" w:fill="B499B9"/>
            <w:noWrap/>
            <w:vAlign w:val="bottom"/>
            <w:hideMark/>
          </w:tcPr>
          <w:p w14:paraId="6A97761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7,259</w:t>
            </w:r>
          </w:p>
        </w:tc>
        <w:tc>
          <w:tcPr>
            <w:tcW w:w="1104" w:type="dxa"/>
            <w:tcBorders>
              <w:left w:val="single" w:sz="4" w:space="0" w:color="auto"/>
            </w:tcBorders>
            <w:shd w:val="clear" w:color="auto" w:fill="B499B9"/>
            <w:noWrap/>
            <w:vAlign w:val="bottom"/>
            <w:hideMark/>
          </w:tcPr>
          <w:p w14:paraId="4F9A22C7"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6,593</w:t>
            </w:r>
          </w:p>
        </w:tc>
      </w:tr>
      <w:tr w:rsidR="00654778" w:rsidRPr="007F6332" w14:paraId="177ECEEF" w14:textId="77777777" w:rsidTr="00C1755E">
        <w:trPr>
          <w:trHeight w:val="300"/>
        </w:trPr>
        <w:tc>
          <w:tcPr>
            <w:tcW w:w="2689" w:type="dxa"/>
            <w:shd w:val="clear" w:color="auto" w:fill="A6A6A6" w:themeFill="background1" w:themeFillShade="A6"/>
            <w:noWrap/>
            <w:vAlign w:val="bottom"/>
            <w:hideMark/>
          </w:tcPr>
          <w:p w14:paraId="7719A4F4"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 Difference</w:t>
            </w:r>
          </w:p>
        </w:tc>
        <w:tc>
          <w:tcPr>
            <w:tcW w:w="1103" w:type="dxa"/>
            <w:shd w:val="clear" w:color="auto" w:fill="A6A6A6" w:themeFill="background1" w:themeFillShade="A6"/>
            <w:noWrap/>
            <w:vAlign w:val="center"/>
            <w:hideMark/>
          </w:tcPr>
          <w:p w14:paraId="2DDA1A8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2337961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2684BD6E"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shd w:val="clear" w:color="auto" w:fill="A6A6A6" w:themeFill="background1" w:themeFillShade="A6"/>
            <w:noWrap/>
            <w:vAlign w:val="center"/>
            <w:hideMark/>
          </w:tcPr>
          <w:p w14:paraId="4D63E1BA"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tcBorders>
              <w:right w:val="single" w:sz="4" w:space="0" w:color="auto"/>
            </w:tcBorders>
            <w:shd w:val="clear" w:color="auto" w:fill="A6A6A6" w:themeFill="background1" w:themeFillShade="A6"/>
            <w:noWrap/>
            <w:vAlign w:val="center"/>
            <w:hideMark/>
          </w:tcPr>
          <w:p w14:paraId="0BD7825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104" w:type="dxa"/>
            <w:tcBorders>
              <w:left w:val="single" w:sz="4" w:space="0" w:color="auto"/>
            </w:tcBorders>
            <w:shd w:val="clear" w:color="auto" w:fill="A6A6A6" w:themeFill="background1" w:themeFillShade="A6"/>
            <w:noWrap/>
            <w:vAlign w:val="center"/>
            <w:hideMark/>
          </w:tcPr>
          <w:p w14:paraId="65AF7740"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r>
      <w:tr w:rsidR="00654778" w:rsidRPr="007F6332" w14:paraId="0B122C11" w14:textId="77777777" w:rsidTr="00C1755E">
        <w:trPr>
          <w:trHeight w:val="285"/>
        </w:trPr>
        <w:tc>
          <w:tcPr>
            <w:tcW w:w="2689" w:type="dxa"/>
            <w:shd w:val="clear" w:color="auto" w:fill="auto"/>
            <w:noWrap/>
            <w:vAlign w:val="bottom"/>
            <w:hideMark/>
          </w:tcPr>
          <w:p w14:paraId="76D563E3"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Autism</w:t>
            </w:r>
          </w:p>
        </w:tc>
        <w:tc>
          <w:tcPr>
            <w:tcW w:w="1103" w:type="dxa"/>
            <w:shd w:val="clear" w:color="auto" w:fill="auto"/>
            <w:noWrap/>
            <w:vAlign w:val="bottom"/>
            <w:hideMark/>
          </w:tcPr>
          <w:p w14:paraId="7365FD1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w:t>
            </w:r>
          </w:p>
        </w:tc>
        <w:tc>
          <w:tcPr>
            <w:tcW w:w="1104" w:type="dxa"/>
            <w:shd w:val="clear" w:color="auto" w:fill="auto"/>
            <w:noWrap/>
            <w:vAlign w:val="bottom"/>
            <w:hideMark/>
          </w:tcPr>
          <w:p w14:paraId="2AAB3E7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8%</w:t>
            </w:r>
          </w:p>
        </w:tc>
        <w:tc>
          <w:tcPr>
            <w:tcW w:w="1104" w:type="dxa"/>
            <w:shd w:val="clear" w:color="auto" w:fill="auto"/>
            <w:noWrap/>
            <w:vAlign w:val="bottom"/>
            <w:hideMark/>
          </w:tcPr>
          <w:p w14:paraId="068900E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w:t>
            </w:r>
          </w:p>
        </w:tc>
        <w:tc>
          <w:tcPr>
            <w:tcW w:w="1104" w:type="dxa"/>
            <w:shd w:val="clear" w:color="auto" w:fill="auto"/>
            <w:noWrap/>
            <w:vAlign w:val="bottom"/>
            <w:hideMark/>
          </w:tcPr>
          <w:p w14:paraId="50F3657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w:t>
            </w:r>
          </w:p>
        </w:tc>
        <w:tc>
          <w:tcPr>
            <w:tcW w:w="1104" w:type="dxa"/>
            <w:tcBorders>
              <w:right w:val="single" w:sz="4" w:space="0" w:color="auto"/>
            </w:tcBorders>
            <w:shd w:val="clear" w:color="auto" w:fill="auto"/>
            <w:noWrap/>
            <w:vAlign w:val="bottom"/>
            <w:hideMark/>
          </w:tcPr>
          <w:p w14:paraId="2487989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w:t>
            </w:r>
          </w:p>
        </w:tc>
        <w:tc>
          <w:tcPr>
            <w:tcW w:w="1104" w:type="dxa"/>
            <w:tcBorders>
              <w:left w:val="single" w:sz="4" w:space="0" w:color="auto"/>
            </w:tcBorders>
            <w:shd w:val="clear" w:color="auto" w:fill="auto"/>
            <w:noWrap/>
            <w:vAlign w:val="bottom"/>
            <w:hideMark/>
          </w:tcPr>
          <w:p w14:paraId="00F67C7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-12%</w:t>
            </w:r>
          </w:p>
        </w:tc>
      </w:tr>
      <w:tr w:rsidR="00654778" w:rsidRPr="007F6332" w14:paraId="05A89B09" w14:textId="77777777" w:rsidTr="00C1755E">
        <w:trPr>
          <w:trHeight w:val="285"/>
        </w:trPr>
        <w:tc>
          <w:tcPr>
            <w:tcW w:w="2689" w:type="dxa"/>
            <w:shd w:val="clear" w:color="auto" w:fill="BFBFBF" w:themeFill="background1" w:themeFillShade="BF"/>
            <w:noWrap/>
            <w:vAlign w:val="bottom"/>
            <w:hideMark/>
          </w:tcPr>
          <w:p w14:paraId="53313030"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Intellectual Disability</w:t>
            </w:r>
          </w:p>
        </w:tc>
        <w:tc>
          <w:tcPr>
            <w:tcW w:w="1103" w:type="dxa"/>
            <w:shd w:val="clear" w:color="auto" w:fill="BFBFBF" w:themeFill="background1" w:themeFillShade="BF"/>
            <w:noWrap/>
            <w:vAlign w:val="bottom"/>
            <w:hideMark/>
          </w:tcPr>
          <w:p w14:paraId="211286A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w:t>
            </w:r>
          </w:p>
        </w:tc>
        <w:tc>
          <w:tcPr>
            <w:tcW w:w="1104" w:type="dxa"/>
            <w:shd w:val="clear" w:color="auto" w:fill="BFBFBF" w:themeFill="background1" w:themeFillShade="BF"/>
            <w:noWrap/>
            <w:vAlign w:val="bottom"/>
            <w:hideMark/>
          </w:tcPr>
          <w:p w14:paraId="5EC3A0E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w:t>
            </w:r>
          </w:p>
        </w:tc>
        <w:tc>
          <w:tcPr>
            <w:tcW w:w="1104" w:type="dxa"/>
            <w:shd w:val="clear" w:color="auto" w:fill="BFBFBF" w:themeFill="background1" w:themeFillShade="BF"/>
            <w:noWrap/>
            <w:vAlign w:val="bottom"/>
            <w:hideMark/>
          </w:tcPr>
          <w:p w14:paraId="1200DCF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w:t>
            </w:r>
          </w:p>
        </w:tc>
        <w:tc>
          <w:tcPr>
            <w:tcW w:w="1104" w:type="dxa"/>
            <w:shd w:val="clear" w:color="auto" w:fill="BFBFBF" w:themeFill="background1" w:themeFillShade="BF"/>
            <w:noWrap/>
            <w:vAlign w:val="bottom"/>
            <w:hideMark/>
          </w:tcPr>
          <w:p w14:paraId="462AC7A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w:t>
            </w:r>
          </w:p>
        </w:tc>
        <w:tc>
          <w:tcPr>
            <w:tcW w:w="1104" w:type="dxa"/>
            <w:tcBorders>
              <w:right w:val="single" w:sz="4" w:space="0" w:color="auto"/>
            </w:tcBorders>
            <w:shd w:val="clear" w:color="auto" w:fill="BFBFBF" w:themeFill="background1" w:themeFillShade="BF"/>
            <w:noWrap/>
            <w:vAlign w:val="bottom"/>
            <w:hideMark/>
          </w:tcPr>
          <w:p w14:paraId="723A212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w:t>
            </w:r>
          </w:p>
        </w:tc>
        <w:tc>
          <w:tcPr>
            <w:tcW w:w="1104" w:type="dxa"/>
            <w:tcBorders>
              <w:left w:val="single" w:sz="4" w:space="0" w:color="auto"/>
            </w:tcBorders>
            <w:shd w:val="clear" w:color="auto" w:fill="BFBFBF" w:themeFill="background1" w:themeFillShade="BF"/>
            <w:noWrap/>
            <w:vAlign w:val="bottom"/>
            <w:hideMark/>
          </w:tcPr>
          <w:p w14:paraId="3B173DB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w:t>
            </w:r>
          </w:p>
        </w:tc>
      </w:tr>
      <w:tr w:rsidR="00654778" w:rsidRPr="007F6332" w14:paraId="6BDA6217" w14:textId="77777777" w:rsidTr="00C1755E">
        <w:trPr>
          <w:trHeight w:val="285"/>
        </w:trPr>
        <w:tc>
          <w:tcPr>
            <w:tcW w:w="2689" w:type="dxa"/>
            <w:shd w:val="clear" w:color="auto" w:fill="auto"/>
            <w:noWrap/>
            <w:vAlign w:val="bottom"/>
            <w:hideMark/>
          </w:tcPr>
          <w:p w14:paraId="30506929"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Other Neurological</w:t>
            </w:r>
          </w:p>
        </w:tc>
        <w:tc>
          <w:tcPr>
            <w:tcW w:w="1103" w:type="dxa"/>
            <w:shd w:val="clear" w:color="auto" w:fill="auto"/>
            <w:noWrap/>
            <w:vAlign w:val="bottom"/>
            <w:hideMark/>
          </w:tcPr>
          <w:p w14:paraId="17DF08E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48%</w:t>
            </w:r>
          </w:p>
        </w:tc>
        <w:tc>
          <w:tcPr>
            <w:tcW w:w="1104" w:type="dxa"/>
            <w:shd w:val="clear" w:color="auto" w:fill="auto"/>
            <w:noWrap/>
            <w:vAlign w:val="bottom"/>
            <w:hideMark/>
          </w:tcPr>
          <w:p w14:paraId="6265A34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77%</w:t>
            </w:r>
          </w:p>
        </w:tc>
        <w:tc>
          <w:tcPr>
            <w:tcW w:w="1104" w:type="dxa"/>
            <w:shd w:val="clear" w:color="auto" w:fill="auto"/>
            <w:noWrap/>
            <w:vAlign w:val="bottom"/>
            <w:hideMark/>
          </w:tcPr>
          <w:p w14:paraId="703552A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92%</w:t>
            </w:r>
          </w:p>
        </w:tc>
        <w:tc>
          <w:tcPr>
            <w:tcW w:w="1104" w:type="dxa"/>
            <w:shd w:val="clear" w:color="auto" w:fill="auto"/>
            <w:noWrap/>
            <w:vAlign w:val="bottom"/>
            <w:hideMark/>
          </w:tcPr>
          <w:p w14:paraId="48AFA5A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102%</w:t>
            </w:r>
          </w:p>
        </w:tc>
        <w:tc>
          <w:tcPr>
            <w:tcW w:w="1104" w:type="dxa"/>
            <w:tcBorders>
              <w:right w:val="single" w:sz="4" w:space="0" w:color="auto"/>
            </w:tcBorders>
            <w:shd w:val="clear" w:color="auto" w:fill="auto"/>
            <w:noWrap/>
            <w:vAlign w:val="bottom"/>
            <w:hideMark/>
          </w:tcPr>
          <w:p w14:paraId="1573F13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105%</w:t>
            </w:r>
          </w:p>
        </w:tc>
        <w:tc>
          <w:tcPr>
            <w:tcW w:w="1104" w:type="dxa"/>
            <w:tcBorders>
              <w:left w:val="single" w:sz="4" w:space="0" w:color="auto"/>
            </w:tcBorders>
            <w:shd w:val="clear" w:color="auto" w:fill="auto"/>
            <w:noWrap/>
            <w:vAlign w:val="bottom"/>
            <w:hideMark/>
          </w:tcPr>
          <w:p w14:paraId="1BFA494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101%</w:t>
            </w:r>
          </w:p>
        </w:tc>
      </w:tr>
      <w:tr w:rsidR="00654778" w:rsidRPr="007F6332" w14:paraId="7E4D06F1" w14:textId="77777777" w:rsidTr="00C1755E">
        <w:trPr>
          <w:trHeight w:val="285"/>
        </w:trPr>
        <w:tc>
          <w:tcPr>
            <w:tcW w:w="2689" w:type="dxa"/>
            <w:shd w:val="clear" w:color="auto" w:fill="BFBFBF" w:themeFill="background1" w:themeFillShade="BF"/>
            <w:noWrap/>
            <w:vAlign w:val="bottom"/>
            <w:hideMark/>
          </w:tcPr>
          <w:p w14:paraId="33F1EDC3"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Psychosocial Disability</w:t>
            </w:r>
          </w:p>
        </w:tc>
        <w:tc>
          <w:tcPr>
            <w:tcW w:w="1103" w:type="dxa"/>
            <w:shd w:val="clear" w:color="auto" w:fill="BFBFBF" w:themeFill="background1" w:themeFillShade="BF"/>
            <w:noWrap/>
            <w:vAlign w:val="bottom"/>
            <w:hideMark/>
          </w:tcPr>
          <w:p w14:paraId="633B30C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18%</w:t>
            </w:r>
          </w:p>
        </w:tc>
        <w:tc>
          <w:tcPr>
            <w:tcW w:w="1104" w:type="dxa"/>
            <w:shd w:val="clear" w:color="auto" w:fill="BFBFBF" w:themeFill="background1" w:themeFillShade="BF"/>
            <w:noWrap/>
            <w:vAlign w:val="bottom"/>
            <w:hideMark/>
          </w:tcPr>
          <w:p w14:paraId="70CAFB1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27%</w:t>
            </w:r>
          </w:p>
        </w:tc>
        <w:tc>
          <w:tcPr>
            <w:tcW w:w="1104" w:type="dxa"/>
            <w:shd w:val="clear" w:color="auto" w:fill="BFBFBF" w:themeFill="background1" w:themeFillShade="BF"/>
            <w:noWrap/>
            <w:vAlign w:val="bottom"/>
            <w:hideMark/>
          </w:tcPr>
          <w:p w14:paraId="360F6F0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33%</w:t>
            </w:r>
          </w:p>
        </w:tc>
        <w:tc>
          <w:tcPr>
            <w:tcW w:w="1104" w:type="dxa"/>
            <w:shd w:val="clear" w:color="auto" w:fill="BFBFBF" w:themeFill="background1" w:themeFillShade="BF"/>
            <w:noWrap/>
            <w:vAlign w:val="bottom"/>
            <w:hideMark/>
          </w:tcPr>
          <w:p w14:paraId="092453D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37%</w:t>
            </w:r>
          </w:p>
        </w:tc>
        <w:tc>
          <w:tcPr>
            <w:tcW w:w="1104" w:type="dxa"/>
            <w:tcBorders>
              <w:right w:val="single" w:sz="4" w:space="0" w:color="auto"/>
            </w:tcBorders>
            <w:shd w:val="clear" w:color="auto" w:fill="BFBFBF" w:themeFill="background1" w:themeFillShade="BF"/>
            <w:noWrap/>
            <w:vAlign w:val="bottom"/>
            <w:hideMark/>
          </w:tcPr>
          <w:p w14:paraId="51B20EB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38%</w:t>
            </w:r>
          </w:p>
        </w:tc>
        <w:tc>
          <w:tcPr>
            <w:tcW w:w="1104" w:type="dxa"/>
            <w:tcBorders>
              <w:left w:val="single" w:sz="4" w:space="0" w:color="auto"/>
            </w:tcBorders>
            <w:shd w:val="clear" w:color="auto" w:fill="BFBFBF" w:themeFill="background1" w:themeFillShade="BF"/>
            <w:noWrap/>
            <w:vAlign w:val="bottom"/>
            <w:hideMark/>
          </w:tcPr>
          <w:p w14:paraId="36EB5C9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44%</w:t>
            </w:r>
          </w:p>
        </w:tc>
      </w:tr>
      <w:tr w:rsidR="00654778" w:rsidRPr="007F6332" w14:paraId="07D10D7F" w14:textId="77777777" w:rsidTr="00C1755E">
        <w:trPr>
          <w:trHeight w:val="285"/>
        </w:trPr>
        <w:tc>
          <w:tcPr>
            <w:tcW w:w="2689" w:type="dxa"/>
            <w:shd w:val="clear" w:color="auto" w:fill="auto"/>
            <w:noWrap/>
            <w:vAlign w:val="bottom"/>
            <w:hideMark/>
          </w:tcPr>
          <w:p w14:paraId="6C103AD1"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Other Disabilities</w:t>
            </w:r>
          </w:p>
        </w:tc>
        <w:tc>
          <w:tcPr>
            <w:tcW w:w="1103" w:type="dxa"/>
            <w:shd w:val="clear" w:color="auto" w:fill="auto"/>
            <w:noWrap/>
            <w:vAlign w:val="bottom"/>
            <w:hideMark/>
          </w:tcPr>
          <w:p w14:paraId="45AD5A1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23%</w:t>
            </w:r>
          </w:p>
        </w:tc>
        <w:tc>
          <w:tcPr>
            <w:tcW w:w="1104" w:type="dxa"/>
            <w:shd w:val="clear" w:color="auto" w:fill="auto"/>
            <w:noWrap/>
            <w:vAlign w:val="bottom"/>
            <w:hideMark/>
          </w:tcPr>
          <w:p w14:paraId="2665E91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37%</w:t>
            </w:r>
          </w:p>
        </w:tc>
        <w:tc>
          <w:tcPr>
            <w:tcW w:w="1104" w:type="dxa"/>
            <w:shd w:val="clear" w:color="auto" w:fill="auto"/>
            <w:noWrap/>
            <w:vAlign w:val="bottom"/>
            <w:hideMark/>
          </w:tcPr>
          <w:p w14:paraId="2EAAFA4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45%</w:t>
            </w:r>
          </w:p>
        </w:tc>
        <w:tc>
          <w:tcPr>
            <w:tcW w:w="1104" w:type="dxa"/>
            <w:shd w:val="clear" w:color="auto" w:fill="auto"/>
            <w:noWrap/>
            <w:vAlign w:val="bottom"/>
            <w:hideMark/>
          </w:tcPr>
          <w:p w14:paraId="705166F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50%</w:t>
            </w:r>
          </w:p>
        </w:tc>
        <w:tc>
          <w:tcPr>
            <w:tcW w:w="1104" w:type="dxa"/>
            <w:tcBorders>
              <w:right w:val="single" w:sz="4" w:space="0" w:color="auto"/>
            </w:tcBorders>
            <w:shd w:val="clear" w:color="auto" w:fill="auto"/>
            <w:noWrap/>
            <w:vAlign w:val="bottom"/>
            <w:hideMark/>
          </w:tcPr>
          <w:p w14:paraId="7DE7E96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52%</w:t>
            </w:r>
          </w:p>
        </w:tc>
        <w:tc>
          <w:tcPr>
            <w:tcW w:w="1104" w:type="dxa"/>
            <w:tcBorders>
              <w:left w:val="single" w:sz="4" w:space="0" w:color="auto"/>
            </w:tcBorders>
            <w:shd w:val="clear" w:color="auto" w:fill="auto"/>
            <w:noWrap/>
            <w:vAlign w:val="bottom"/>
            <w:hideMark/>
          </w:tcPr>
          <w:p w14:paraId="44F1B59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62%</w:t>
            </w:r>
          </w:p>
        </w:tc>
      </w:tr>
      <w:tr w:rsidR="00654778" w:rsidRPr="007F6332" w14:paraId="19B82C33" w14:textId="77777777" w:rsidTr="00C1755E">
        <w:trPr>
          <w:trHeight w:val="285"/>
        </w:trPr>
        <w:tc>
          <w:tcPr>
            <w:tcW w:w="2689" w:type="dxa"/>
            <w:tcBorders>
              <w:bottom w:val="single" w:sz="4" w:space="0" w:color="auto"/>
            </w:tcBorders>
            <w:shd w:val="clear" w:color="auto" w:fill="B499B9"/>
            <w:noWrap/>
            <w:vAlign w:val="bottom"/>
            <w:hideMark/>
          </w:tcPr>
          <w:p w14:paraId="79FF8338" w14:textId="77777777" w:rsidR="00654778" w:rsidRPr="007F6332" w:rsidRDefault="00654778" w:rsidP="000766DF">
            <w:pPr>
              <w:keepNext/>
              <w:keepLines/>
              <w:spacing w:after="0" w:line="240" w:lineRule="auto"/>
              <w:ind w:firstLineChars="100" w:firstLine="221"/>
              <w:rPr>
                <w:rFonts w:eastAsia="Times New Roman" w:cs="Arial"/>
                <w:b/>
                <w:bCs/>
                <w:color w:val="000000"/>
                <w:lang w:eastAsia="en-AU"/>
              </w:rPr>
            </w:pPr>
            <w:r w:rsidRPr="007F6332">
              <w:rPr>
                <w:rFonts w:eastAsia="Times New Roman" w:cs="Arial"/>
                <w:b/>
                <w:bCs/>
                <w:color w:val="000000"/>
                <w:lang w:eastAsia="en-AU"/>
              </w:rPr>
              <w:t>Total</w:t>
            </w:r>
          </w:p>
        </w:tc>
        <w:tc>
          <w:tcPr>
            <w:tcW w:w="1103" w:type="dxa"/>
            <w:tcBorders>
              <w:bottom w:val="single" w:sz="4" w:space="0" w:color="auto"/>
            </w:tcBorders>
            <w:shd w:val="clear" w:color="auto" w:fill="B499B9"/>
            <w:noWrap/>
            <w:vAlign w:val="bottom"/>
            <w:hideMark/>
          </w:tcPr>
          <w:p w14:paraId="5A5A037D"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12%</w:t>
            </w:r>
          </w:p>
        </w:tc>
        <w:tc>
          <w:tcPr>
            <w:tcW w:w="1104" w:type="dxa"/>
            <w:tcBorders>
              <w:bottom w:val="single" w:sz="4" w:space="0" w:color="auto"/>
            </w:tcBorders>
            <w:shd w:val="clear" w:color="auto" w:fill="B499B9"/>
            <w:noWrap/>
            <w:vAlign w:val="bottom"/>
            <w:hideMark/>
          </w:tcPr>
          <w:p w14:paraId="4A44ADE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19%</w:t>
            </w:r>
          </w:p>
        </w:tc>
        <w:tc>
          <w:tcPr>
            <w:tcW w:w="1104" w:type="dxa"/>
            <w:tcBorders>
              <w:bottom w:val="single" w:sz="4" w:space="0" w:color="auto"/>
            </w:tcBorders>
            <w:shd w:val="clear" w:color="auto" w:fill="B499B9"/>
            <w:noWrap/>
            <w:vAlign w:val="bottom"/>
            <w:hideMark/>
          </w:tcPr>
          <w:p w14:paraId="47D0221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w:t>
            </w:r>
          </w:p>
        </w:tc>
        <w:tc>
          <w:tcPr>
            <w:tcW w:w="1104" w:type="dxa"/>
            <w:tcBorders>
              <w:bottom w:val="single" w:sz="4" w:space="0" w:color="auto"/>
            </w:tcBorders>
            <w:shd w:val="clear" w:color="auto" w:fill="B499B9"/>
            <w:noWrap/>
            <w:vAlign w:val="bottom"/>
            <w:hideMark/>
          </w:tcPr>
          <w:p w14:paraId="16B824B9"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w:t>
            </w:r>
          </w:p>
        </w:tc>
        <w:tc>
          <w:tcPr>
            <w:tcW w:w="1104" w:type="dxa"/>
            <w:tcBorders>
              <w:bottom w:val="single" w:sz="4" w:space="0" w:color="auto"/>
              <w:right w:val="single" w:sz="4" w:space="0" w:color="auto"/>
            </w:tcBorders>
            <w:shd w:val="clear" w:color="auto" w:fill="B499B9"/>
            <w:noWrap/>
            <w:vAlign w:val="bottom"/>
            <w:hideMark/>
          </w:tcPr>
          <w:p w14:paraId="31657D50"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21%</w:t>
            </w:r>
          </w:p>
        </w:tc>
        <w:tc>
          <w:tcPr>
            <w:tcW w:w="1104" w:type="dxa"/>
            <w:tcBorders>
              <w:left w:val="single" w:sz="4" w:space="0" w:color="auto"/>
              <w:bottom w:val="single" w:sz="4" w:space="0" w:color="auto"/>
            </w:tcBorders>
            <w:shd w:val="clear" w:color="auto" w:fill="B499B9"/>
            <w:noWrap/>
            <w:vAlign w:val="bottom"/>
            <w:hideMark/>
          </w:tcPr>
          <w:p w14:paraId="1D85311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15%</w:t>
            </w:r>
          </w:p>
        </w:tc>
      </w:tr>
    </w:tbl>
    <w:p w14:paraId="7612EAF6" w14:textId="738EFC88" w:rsidR="00EF6B24" w:rsidRDefault="00654778" w:rsidP="0076644E">
      <w:pPr>
        <w:spacing w:before="240"/>
        <w:rPr>
          <w:rFonts w:cs="Arial"/>
        </w:rPr>
      </w:pPr>
      <w:r w:rsidRPr="007F6332">
        <w:rPr>
          <w:rFonts w:cs="Arial"/>
        </w:rPr>
        <w:t>Similarly, the age profile of participants with SIL has also shifted away from younger cohort</w:t>
      </w:r>
      <w:r w:rsidR="004E4FF4" w:rsidRPr="007F6332">
        <w:rPr>
          <w:rFonts w:cs="Arial"/>
        </w:rPr>
        <w:t>s</w:t>
      </w:r>
      <w:r w:rsidRPr="007F6332">
        <w:rPr>
          <w:rFonts w:cs="Arial"/>
        </w:rPr>
        <w:t xml:space="preserve"> towards older age group</w:t>
      </w:r>
      <w:r w:rsidR="004E4FF4" w:rsidRPr="007F6332">
        <w:rPr>
          <w:rFonts w:cs="Arial"/>
        </w:rPr>
        <w:t>s</w:t>
      </w:r>
      <w:r w:rsidRPr="007F6332">
        <w:rPr>
          <w:rFonts w:cs="Arial"/>
        </w:rPr>
        <w:t xml:space="preserve">. In particular, no new participants with SIL are projected to join at age 14 or </w:t>
      </w:r>
      <w:r w:rsidR="004E4FF4" w:rsidRPr="007F6332">
        <w:rPr>
          <w:rFonts w:cs="Arial"/>
        </w:rPr>
        <w:t>under</w:t>
      </w:r>
      <w:r w:rsidRPr="007F6332">
        <w:rPr>
          <w:rFonts w:cs="Arial"/>
        </w:rPr>
        <w:t xml:space="preserve"> and more participants with SIL are projected at older age group</w:t>
      </w:r>
      <w:r w:rsidR="004E4FF4" w:rsidRPr="007F6332">
        <w:rPr>
          <w:rFonts w:cs="Arial"/>
        </w:rPr>
        <w:t>s</w:t>
      </w:r>
      <w:r w:rsidRPr="007F6332">
        <w:rPr>
          <w:rFonts w:cs="Arial"/>
        </w:rPr>
        <w:t>. While the Scheme was primarily designed for participants aged 0 to 64, the increase in projected participants with SIL at age 65 and above reflect the continuous challenges participants encounter in transitioning to Residential Age</w:t>
      </w:r>
      <w:r w:rsidR="00BF2408" w:rsidRPr="007F6332">
        <w:rPr>
          <w:rFonts w:cs="Arial"/>
        </w:rPr>
        <w:t>d</w:t>
      </w:r>
      <w:r w:rsidRPr="007F6332">
        <w:rPr>
          <w:rFonts w:cs="Arial"/>
        </w:rPr>
        <w:t xml:space="preserve"> Care.</w:t>
      </w:r>
    </w:p>
    <w:p w14:paraId="4F7AD136" w14:textId="77777777" w:rsidR="00EF6B24" w:rsidRDefault="00EF6B24">
      <w:pPr>
        <w:spacing w:line="276" w:lineRule="auto"/>
        <w:rPr>
          <w:rFonts w:cs="Arial"/>
        </w:rPr>
      </w:pPr>
      <w:r>
        <w:rPr>
          <w:rFonts w:cs="Arial"/>
        </w:rPr>
        <w:br w:type="page"/>
      </w:r>
    </w:p>
    <w:p w14:paraId="2AB4C24E" w14:textId="77777777" w:rsidR="00654778" w:rsidRPr="007F6332" w:rsidRDefault="00654778" w:rsidP="0076644E">
      <w:pPr>
        <w:spacing w:before="240"/>
        <w:rPr>
          <w:rFonts w:cs="Arial"/>
        </w:rPr>
      </w:pPr>
    </w:p>
    <w:p w14:paraId="4ECCD83A" w14:textId="4AA04A68" w:rsidR="00654778" w:rsidRPr="007F6332" w:rsidRDefault="009028ED" w:rsidP="00EF6B24">
      <w:pPr>
        <w:pStyle w:val="FiguresandTablesHeading5"/>
      </w:pPr>
      <w:r w:rsidRPr="007F6332">
        <w:t>Table I.5</w:t>
      </w:r>
      <w:r w:rsidR="00654778" w:rsidRPr="007F6332">
        <w:t>: Change in projected number of participants with SIL by age group</w:t>
      </w:r>
      <w:r w:rsidR="00D9677F" w:rsidRPr="007F6332">
        <w:t xml:space="preserve"> 30 June</w:t>
      </w:r>
    </w:p>
    <w:tbl>
      <w:tblPr>
        <w:tblW w:w="9351" w:type="dxa"/>
        <w:tblLayout w:type="fixed"/>
        <w:tblLook w:val="04A0" w:firstRow="1" w:lastRow="0" w:firstColumn="1" w:lastColumn="0" w:noHBand="0" w:noVBand="1"/>
      </w:tblPr>
      <w:tblGrid>
        <w:gridCol w:w="2830"/>
        <w:gridCol w:w="1086"/>
        <w:gridCol w:w="1087"/>
        <w:gridCol w:w="1087"/>
        <w:gridCol w:w="1087"/>
        <w:gridCol w:w="1087"/>
        <w:gridCol w:w="1087"/>
      </w:tblGrid>
      <w:tr w:rsidR="00654778" w:rsidRPr="007F6332" w14:paraId="38C8440E" w14:textId="77777777" w:rsidTr="00C1755E">
        <w:trPr>
          <w:trHeight w:val="285"/>
        </w:trPr>
        <w:tc>
          <w:tcPr>
            <w:tcW w:w="2830" w:type="dxa"/>
            <w:shd w:val="clear" w:color="000000" w:fill="6B2976"/>
            <w:noWrap/>
            <w:vAlign w:val="bottom"/>
            <w:hideMark/>
          </w:tcPr>
          <w:p w14:paraId="23900276" w14:textId="77777777" w:rsidR="00654778" w:rsidRPr="007F6332" w:rsidRDefault="00654778" w:rsidP="000766DF">
            <w:pPr>
              <w:keepNext/>
              <w:keepLines/>
              <w:spacing w:after="0" w:line="240" w:lineRule="auto"/>
              <w:rPr>
                <w:rFonts w:eastAsia="Times New Roman" w:cs="Arial"/>
                <w:b/>
                <w:bCs/>
                <w:color w:val="FFFFFF"/>
                <w:lang w:eastAsia="en-AU"/>
              </w:rPr>
            </w:pPr>
            <w:r w:rsidRPr="007F6332">
              <w:rPr>
                <w:rFonts w:eastAsia="Times New Roman" w:cs="Arial"/>
                <w:b/>
                <w:bCs/>
                <w:color w:val="FFFFFF"/>
                <w:lang w:eastAsia="en-AU"/>
              </w:rPr>
              <w:t>Projected participants with SIL</w:t>
            </w:r>
          </w:p>
        </w:tc>
        <w:tc>
          <w:tcPr>
            <w:tcW w:w="1086" w:type="dxa"/>
            <w:shd w:val="clear" w:color="000000" w:fill="6B2976"/>
            <w:noWrap/>
            <w:vAlign w:val="center"/>
            <w:hideMark/>
          </w:tcPr>
          <w:p w14:paraId="66BB3717" w14:textId="0253645B"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2023</w:t>
            </w:r>
          </w:p>
        </w:tc>
        <w:tc>
          <w:tcPr>
            <w:tcW w:w="1087" w:type="dxa"/>
            <w:shd w:val="clear" w:color="000000" w:fill="6B2976"/>
            <w:noWrap/>
            <w:vAlign w:val="center"/>
            <w:hideMark/>
          </w:tcPr>
          <w:p w14:paraId="373D5F79" w14:textId="543DB21A"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2024</w:t>
            </w:r>
          </w:p>
        </w:tc>
        <w:tc>
          <w:tcPr>
            <w:tcW w:w="1087" w:type="dxa"/>
            <w:shd w:val="clear" w:color="000000" w:fill="6B2976"/>
            <w:noWrap/>
            <w:vAlign w:val="center"/>
            <w:hideMark/>
          </w:tcPr>
          <w:p w14:paraId="488470EF" w14:textId="5DE66E61"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w:t>
            </w:r>
          </w:p>
        </w:tc>
        <w:tc>
          <w:tcPr>
            <w:tcW w:w="1087" w:type="dxa"/>
            <w:tcBorders>
              <w:right w:val="nil"/>
            </w:tcBorders>
            <w:shd w:val="clear" w:color="000000" w:fill="6B2976"/>
            <w:noWrap/>
            <w:vAlign w:val="center"/>
            <w:hideMark/>
          </w:tcPr>
          <w:p w14:paraId="1BED61B6" w14:textId="6C257566"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w:t>
            </w:r>
          </w:p>
        </w:tc>
        <w:tc>
          <w:tcPr>
            <w:tcW w:w="1087" w:type="dxa"/>
            <w:tcBorders>
              <w:left w:val="nil"/>
              <w:right w:val="nil"/>
            </w:tcBorders>
            <w:shd w:val="clear" w:color="000000" w:fill="6B2976"/>
            <w:noWrap/>
            <w:vAlign w:val="center"/>
            <w:hideMark/>
          </w:tcPr>
          <w:p w14:paraId="7CCA3145" w14:textId="7415B50D"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2027</w:t>
            </w:r>
          </w:p>
        </w:tc>
        <w:tc>
          <w:tcPr>
            <w:tcW w:w="1087" w:type="dxa"/>
            <w:tcBorders>
              <w:left w:val="single" w:sz="4" w:space="0" w:color="auto"/>
            </w:tcBorders>
            <w:shd w:val="clear" w:color="000000" w:fill="6B2976"/>
            <w:noWrap/>
            <w:vAlign w:val="center"/>
            <w:hideMark/>
          </w:tcPr>
          <w:p w14:paraId="73D12012" w14:textId="7FCF9C3E" w:rsidR="00654778" w:rsidRPr="007F6332" w:rsidRDefault="00654778" w:rsidP="000766DF">
            <w:pPr>
              <w:keepNext/>
              <w:keepLines/>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2033</w:t>
            </w:r>
          </w:p>
        </w:tc>
      </w:tr>
      <w:tr w:rsidR="00654778" w:rsidRPr="007F6332" w14:paraId="2B3FC080" w14:textId="77777777" w:rsidTr="00C1755E">
        <w:trPr>
          <w:trHeight w:val="300"/>
        </w:trPr>
        <w:tc>
          <w:tcPr>
            <w:tcW w:w="2830" w:type="dxa"/>
            <w:tcBorders>
              <w:top w:val="nil"/>
            </w:tcBorders>
            <w:shd w:val="clear" w:color="auto" w:fill="A6A6A6" w:themeFill="background1" w:themeFillShade="A6"/>
            <w:noWrap/>
            <w:vAlign w:val="bottom"/>
            <w:hideMark/>
          </w:tcPr>
          <w:p w14:paraId="75E7AE1D" w14:textId="7629017E" w:rsidR="00654778" w:rsidRPr="007F6332" w:rsidRDefault="004E4FF4"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June 2023 projections</w:t>
            </w:r>
          </w:p>
        </w:tc>
        <w:tc>
          <w:tcPr>
            <w:tcW w:w="1086" w:type="dxa"/>
            <w:tcBorders>
              <w:top w:val="nil"/>
            </w:tcBorders>
            <w:shd w:val="clear" w:color="auto" w:fill="A6A6A6" w:themeFill="background1" w:themeFillShade="A6"/>
            <w:noWrap/>
            <w:vAlign w:val="center"/>
            <w:hideMark/>
          </w:tcPr>
          <w:p w14:paraId="540F975A"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tcBorders>
              <w:top w:val="nil"/>
            </w:tcBorders>
            <w:shd w:val="clear" w:color="auto" w:fill="A6A6A6" w:themeFill="background1" w:themeFillShade="A6"/>
            <w:noWrap/>
            <w:vAlign w:val="center"/>
            <w:hideMark/>
          </w:tcPr>
          <w:p w14:paraId="752E4B9B"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tcBorders>
              <w:top w:val="nil"/>
            </w:tcBorders>
            <w:shd w:val="clear" w:color="auto" w:fill="A6A6A6" w:themeFill="background1" w:themeFillShade="A6"/>
            <w:noWrap/>
            <w:vAlign w:val="center"/>
            <w:hideMark/>
          </w:tcPr>
          <w:p w14:paraId="0C17797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tcBorders>
              <w:top w:val="nil"/>
            </w:tcBorders>
            <w:shd w:val="clear" w:color="auto" w:fill="A6A6A6" w:themeFill="background1" w:themeFillShade="A6"/>
            <w:noWrap/>
            <w:vAlign w:val="center"/>
            <w:hideMark/>
          </w:tcPr>
          <w:p w14:paraId="7B9A888A"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tcBorders>
              <w:top w:val="nil"/>
              <w:right w:val="single" w:sz="4" w:space="0" w:color="auto"/>
            </w:tcBorders>
            <w:shd w:val="clear" w:color="auto" w:fill="A6A6A6" w:themeFill="background1" w:themeFillShade="A6"/>
            <w:noWrap/>
            <w:vAlign w:val="center"/>
            <w:hideMark/>
          </w:tcPr>
          <w:p w14:paraId="7275019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tcBorders>
              <w:top w:val="nil"/>
              <w:left w:val="single" w:sz="4" w:space="0" w:color="auto"/>
            </w:tcBorders>
            <w:shd w:val="clear" w:color="auto" w:fill="A6A6A6" w:themeFill="background1" w:themeFillShade="A6"/>
            <w:noWrap/>
            <w:vAlign w:val="center"/>
            <w:hideMark/>
          </w:tcPr>
          <w:p w14:paraId="0DCA76E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r>
      <w:tr w:rsidR="00654778" w:rsidRPr="007F6332" w14:paraId="25724629" w14:textId="77777777" w:rsidTr="00C1755E">
        <w:trPr>
          <w:trHeight w:val="285"/>
        </w:trPr>
        <w:tc>
          <w:tcPr>
            <w:tcW w:w="2830" w:type="dxa"/>
            <w:tcBorders>
              <w:top w:val="nil"/>
              <w:bottom w:val="nil"/>
            </w:tcBorders>
            <w:shd w:val="clear" w:color="auto" w:fill="auto"/>
            <w:noWrap/>
            <w:vAlign w:val="bottom"/>
            <w:hideMark/>
          </w:tcPr>
          <w:p w14:paraId="47C8C6C4" w14:textId="77777777" w:rsidR="00654778" w:rsidRPr="007F6332" w:rsidRDefault="00654778" w:rsidP="000766DF">
            <w:pPr>
              <w:keepNext/>
              <w:keepLines/>
              <w:spacing w:after="0" w:line="240" w:lineRule="auto"/>
              <w:ind w:firstLineChars="100" w:firstLine="220"/>
              <w:outlineLvl w:val="0"/>
              <w:rPr>
                <w:rFonts w:eastAsia="Times New Roman" w:cs="Arial"/>
                <w:color w:val="000000"/>
                <w:lang w:eastAsia="en-AU"/>
              </w:rPr>
            </w:pPr>
            <w:r w:rsidRPr="007F6332">
              <w:rPr>
                <w:rFonts w:eastAsia="Times New Roman" w:cs="Arial"/>
                <w:color w:val="000000"/>
                <w:lang w:eastAsia="en-AU"/>
              </w:rPr>
              <w:t>Children (0 to 14)</w:t>
            </w:r>
          </w:p>
        </w:tc>
        <w:tc>
          <w:tcPr>
            <w:tcW w:w="1086" w:type="dxa"/>
            <w:tcBorders>
              <w:top w:val="nil"/>
              <w:bottom w:val="nil"/>
            </w:tcBorders>
            <w:shd w:val="clear" w:color="auto" w:fill="auto"/>
            <w:noWrap/>
            <w:vAlign w:val="bottom"/>
            <w:hideMark/>
          </w:tcPr>
          <w:p w14:paraId="7C7E25FD" w14:textId="77777777" w:rsidR="00654778" w:rsidRPr="007F6332" w:rsidRDefault="00654778" w:rsidP="000766DF">
            <w:pPr>
              <w:keepNext/>
              <w:keepLines/>
              <w:spacing w:after="0" w:line="240" w:lineRule="auto"/>
              <w:jc w:val="right"/>
              <w:outlineLvl w:val="0"/>
              <w:rPr>
                <w:rFonts w:eastAsia="Times New Roman" w:cs="Arial"/>
                <w:color w:val="000000"/>
                <w:lang w:eastAsia="en-AU"/>
              </w:rPr>
            </w:pPr>
            <w:r w:rsidRPr="007F6332">
              <w:rPr>
                <w:rFonts w:eastAsia="Times New Roman" w:cs="Arial"/>
                <w:color w:val="000000"/>
                <w:lang w:eastAsia="en-AU"/>
              </w:rPr>
              <w:t>26</w:t>
            </w:r>
          </w:p>
        </w:tc>
        <w:tc>
          <w:tcPr>
            <w:tcW w:w="1087" w:type="dxa"/>
            <w:tcBorders>
              <w:top w:val="nil"/>
              <w:bottom w:val="nil"/>
            </w:tcBorders>
            <w:shd w:val="clear" w:color="auto" w:fill="auto"/>
            <w:noWrap/>
            <w:vAlign w:val="bottom"/>
            <w:hideMark/>
          </w:tcPr>
          <w:p w14:paraId="0E84647B" w14:textId="77777777" w:rsidR="00654778" w:rsidRPr="007F6332" w:rsidRDefault="00654778" w:rsidP="000766DF">
            <w:pPr>
              <w:keepNext/>
              <w:keepLines/>
              <w:spacing w:after="0" w:line="240" w:lineRule="auto"/>
              <w:jc w:val="right"/>
              <w:outlineLvl w:val="0"/>
              <w:rPr>
                <w:rFonts w:eastAsia="Times New Roman" w:cs="Arial"/>
                <w:color w:val="000000"/>
                <w:lang w:eastAsia="en-AU"/>
              </w:rPr>
            </w:pPr>
            <w:r w:rsidRPr="007F6332">
              <w:rPr>
                <w:rFonts w:eastAsia="Times New Roman" w:cs="Arial"/>
                <w:color w:val="000000"/>
                <w:lang w:eastAsia="en-AU"/>
              </w:rPr>
              <w:t>15</w:t>
            </w:r>
          </w:p>
        </w:tc>
        <w:tc>
          <w:tcPr>
            <w:tcW w:w="1087" w:type="dxa"/>
            <w:tcBorders>
              <w:top w:val="nil"/>
              <w:bottom w:val="nil"/>
            </w:tcBorders>
            <w:shd w:val="clear" w:color="auto" w:fill="auto"/>
            <w:noWrap/>
            <w:vAlign w:val="bottom"/>
            <w:hideMark/>
          </w:tcPr>
          <w:p w14:paraId="080F890C" w14:textId="77777777" w:rsidR="00654778" w:rsidRPr="007F6332" w:rsidRDefault="00654778" w:rsidP="000766DF">
            <w:pPr>
              <w:keepNext/>
              <w:keepLines/>
              <w:spacing w:after="0" w:line="240" w:lineRule="auto"/>
              <w:jc w:val="right"/>
              <w:outlineLvl w:val="0"/>
              <w:rPr>
                <w:rFonts w:eastAsia="Times New Roman" w:cs="Arial"/>
                <w:color w:val="000000"/>
                <w:lang w:eastAsia="en-AU"/>
              </w:rPr>
            </w:pPr>
            <w:r w:rsidRPr="007F6332">
              <w:rPr>
                <w:rFonts w:eastAsia="Times New Roman" w:cs="Arial"/>
                <w:color w:val="000000"/>
                <w:lang w:eastAsia="en-AU"/>
              </w:rPr>
              <w:t>12</w:t>
            </w:r>
          </w:p>
        </w:tc>
        <w:tc>
          <w:tcPr>
            <w:tcW w:w="1087" w:type="dxa"/>
            <w:tcBorders>
              <w:bottom w:val="nil"/>
              <w:right w:val="nil"/>
            </w:tcBorders>
            <w:shd w:val="clear" w:color="auto" w:fill="auto"/>
            <w:noWrap/>
            <w:vAlign w:val="bottom"/>
            <w:hideMark/>
          </w:tcPr>
          <w:p w14:paraId="570933FA" w14:textId="77777777" w:rsidR="00654778" w:rsidRPr="007F6332" w:rsidRDefault="00654778" w:rsidP="000766DF">
            <w:pPr>
              <w:keepNext/>
              <w:keepLines/>
              <w:spacing w:after="0" w:line="240" w:lineRule="auto"/>
              <w:jc w:val="right"/>
              <w:outlineLvl w:val="0"/>
              <w:rPr>
                <w:rFonts w:eastAsia="Times New Roman" w:cs="Arial"/>
                <w:color w:val="000000"/>
                <w:lang w:eastAsia="en-AU"/>
              </w:rPr>
            </w:pPr>
            <w:r w:rsidRPr="007F6332">
              <w:rPr>
                <w:rFonts w:eastAsia="Times New Roman" w:cs="Arial"/>
                <w:color w:val="000000"/>
                <w:lang w:eastAsia="en-AU"/>
              </w:rPr>
              <w:t>8</w:t>
            </w:r>
          </w:p>
        </w:tc>
        <w:tc>
          <w:tcPr>
            <w:tcW w:w="1087" w:type="dxa"/>
            <w:tcBorders>
              <w:left w:val="nil"/>
              <w:bottom w:val="nil"/>
              <w:right w:val="nil"/>
            </w:tcBorders>
            <w:shd w:val="clear" w:color="auto" w:fill="auto"/>
            <w:noWrap/>
            <w:vAlign w:val="bottom"/>
            <w:hideMark/>
          </w:tcPr>
          <w:p w14:paraId="171BD484" w14:textId="77777777" w:rsidR="00654778" w:rsidRPr="007F6332" w:rsidRDefault="00654778" w:rsidP="000766DF">
            <w:pPr>
              <w:keepNext/>
              <w:keepLines/>
              <w:spacing w:after="0" w:line="240" w:lineRule="auto"/>
              <w:jc w:val="right"/>
              <w:outlineLvl w:val="0"/>
              <w:rPr>
                <w:rFonts w:eastAsia="Times New Roman" w:cs="Arial"/>
                <w:color w:val="000000"/>
                <w:lang w:eastAsia="en-AU"/>
              </w:rPr>
            </w:pPr>
            <w:r w:rsidRPr="007F6332">
              <w:rPr>
                <w:rFonts w:eastAsia="Times New Roman" w:cs="Arial"/>
                <w:color w:val="000000"/>
                <w:lang w:eastAsia="en-AU"/>
              </w:rPr>
              <w:t>4</w:t>
            </w:r>
          </w:p>
        </w:tc>
        <w:tc>
          <w:tcPr>
            <w:tcW w:w="1087" w:type="dxa"/>
            <w:tcBorders>
              <w:left w:val="single" w:sz="4" w:space="0" w:color="auto"/>
              <w:bottom w:val="nil"/>
            </w:tcBorders>
            <w:shd w:val="clear" w:color="auto" w:fill="auto"/>
            <w:noWrap/>
            <w:vAlign w:val="bottom"/>
            <w:hideMark/>
          </w:tcPr>
          <w:p w14:paraId="21B48580" w14:textId="77777777" w:rsidR="00654778" w:rsidRPr="007F6332" w:rsidRDefault="00654778" w:rsidP="000766DF">
            <w:pPr>
              <w:keepNext/>
              <w:keepLines/>
              <w:spacing w:after="0" w:line="240" w:lineRule="auto"/>
              <w:jc w:val="right"/>
              <w:outlineLvl w:val="0"/>
              <w:rPr>
                <w:rFonts w:eastAsia="Times New Roman" w:cs="Arial"/>
                <w:color w:val="000000"/>
                <w:lang w:eastAsia="en-AU"/>
              </w:rPr>
            </w:pPr>
            <w:r w:rsidRPr="007F6332">
              <w:rPr>
                <w:rFonts w:eastAsia="Times New Roman" w:cs="Arial"/>
                <w:color w:val="000000"/>
                <w:lang w:eastAsia="en-AU"/>
              </w:rPr>
              <w:t>1</w:t>
            </w:r>
          </w:p>
        </w:tc>
      </w:tr>
      <w:tr w:rsidR="00654778" w:rsidRPr="007F6332" w14:paraId="31B26FC4" w14:textId="77777777" w:rsidTr="00C1755E">
        <w:trPr>
          <w:trHeight w:val="285"/>
        </w:trPr>
        <w:tc>
          <w:tcPr>
            <w:tcW w:w="2830" w:type="dxa"/>
            <w:tcBorders>
              <w:top w:val="nil"/>
              <w:bottom w:val="nil"/>
            </w:tcBorders>
            <w:shd w:val="clear" w:color="auto" w:fill="BFBFBF" w:themeFill="background1" w:themeFillShade="BF"/>
            <w:noWrap/>
            <w:vAlign w:val="bottom"/>
            <w:hideMark/>
          </w:tcPr>
          <w:p w14:paraId="2BFA5163"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Young Adults (15 to 24)</w:t>
            </w:r>
          </w:p>
        </w:tc>
        <w:tc>
          <w:tcPr>
            <w:tcW w:w="1086" w:type="dxa"/>
            <w:tcBorders>
              <w:top w:val="nil"/>
              <w:bottom w:val="nil"/>
            </w:tcBorders>
            <w:shd w:val="clear" w:color="auto" w:fill="BFBFBF" w:themeFill="background1" w:themeFillShade="BF"/>
            <w:noWrap/>
            <w:vAlign w:val="bottom"/>
            <w:hideMark/>
          </w:tcPr>
          <w:p w14:paraId="3D11092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2,806</w:t>
            </w:r>
          </w:p>
        </w:tc>
        <w:tc>
          <w:tcPr>
            <w:tcW w:w="1087" w:type="dxa"/>
            <w:tcBorders>
              <w:top w:val="nil"/>
              <w:bottom w:val="nil"/>
            </w:tcBorders>
            <w:shd w:val="clear" w:color="auto" w:fill="BFBFBF" w:themeFill="background1" w:themeFillShade="BF"/>
            <w:noWrap/>
            <w:vAlign w:val="bottom"/>
            <w:hideMark/>
          </w:tcPr>
          <w:p w14:paraId="5199BE6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3,240</w:t>
            </w:r>
          </w:p>
        </w:tc>
        <w:tc>
          <w:tcPr>
            <w:tcW w:w="1087" w:type="dxa"/>
            <w:tcBorders>
              <w:top w:val="nil"/>
              <w:bottom w:val="nil"/>
            </w:tcBorders>
            <w:shd w:val="clear" w:color="auto" w:fill="BFBFBF" w:themeFill="background1" w:themeFillShade="BF"/>
            <w:noWrap/>
            <w:vAlign w:val="bottom"/>
            <w:hideMark/>
          </w:tcPr>
          <w:p w14:paraId="1229E14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3,371</w:t>
            </w:r>
          </w:p>
        </w:tc>
        <w:tc>
          <w:tcPr>
            <w:tcW w:w="1087" w:type="dxa"/>
            <w:tcBorders>
              <w:top w:val="nil"/>
              <w:bottom w:val="nil"/>
              <w:right w:val="nil"/>
            </w:tcBorders>
            <w:shd w:val="clear" w:color="auto" w:fill="BFBFBF" w:themeFill="background1" w:themeFillShade="BF"/>
            <w:noWrap/>
            <w:vAlign w:val="bottom"/>
            <w:hideMark/>
          </w:tcPr>
          <w:p w14:paraId="6BB3A67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3,450</w:t>
            </w:r>
          </w:p>
        </w:tc>
        <w:tc>
          <w:tcPr>
            <w:tcW w:w="1087" w:type="dxa"/>
            <w:tcBorders>
              <w:top w:val="nil"/>
              <w:left w:val="nil"/>
              <w:bottom w:val="nil"/>
              <w:right w:val="nil"/>
            </w:tcBorders>
            <w:shd w:val="clear" w:color="auto" w:fill="BFBFBF" w:themeFill="background1" w:themeFillShade="BF"/>
            <w:noWrap/>
            <w:vAlign w:val="bottom"/>
            <w:hideMark/>
          </w:tcPr>
          <w:p w14:paraId="66074A3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3,405</w:t>
            </w:r>
          </w:p>
        </w:tc>
        <w:tc>
          <w:tcPr>
            <w:tcW w:w="1087" w:type="dxa"/>
            <w:tcBorders>
              <w:top w:val="nil"/>
              <w:left w:val="single" w:sz="4" w:space="0" w:color="auto"/>
              <w:bottom w:val="nil"/>
            </w:tcBorders>
            <w:shd w:val="clear" w:color="auto" w:fill="BFBFBF" w:themeFill="background1" w:themeFillShade="BF"/>
            <w:noWrap/>
            <w:vAlign w:val="bottom"/>
            <w:hideMark/>
          </w:tcPr>
          <w:p w14:paraId="40B66E4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4,282</w:t>
            </w:r>
          </w:p>
        </w:tc>
      </w:tr>
      <w:tr w:rsidR="00654778" w:rsidRPr="007F6332" w14:paraId="769FC2FF" w14:textId="77777777" w:rsidTr="00C1755E">
        <w:trPr>
          <w:trHeight w:val="285"/>
        </w:trPr>
        <w:tc>
          <w:tcPr>
            <w:tcW w:w="2830" w:type="dxa"/>
            <w:tcBorders>
              <w:top w:val="nil"/>
              <w:bottom w:val="nil"/>
            </w:tcBorders>
            <w:shd w:val="clear" w:color="auto" w:fill="auto"/>
            <w:noWrap/>
            <w:vAlign w:val="bottom"/>
            <w:hideMark/>
          </w:tcPr>
          <w:p w14:paraId="25768C58"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Adults (25 to 64)</w:t>
            </w:r>
          </w:p>
        </w:tc>
        <w:tc>
          <w:tcPr>
            <w:tcW w:w="1086" w:type="dxa"/>
            <w:tcBorders>
              <w:top w:val="nil"/>
              <w:bottom w:val="nil"/>
            </w:tcBorders>
            <w:shd w:val="clear" w:color="auto" w:fill="auto"/>
            <w:noWrap/>
            <w:vAlign w:val="bottom"/>
            <w:hideMark/>
          </w:tcPr>
          <w:p w14:paraId="4FF2D32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25,824</w:t>
            </w:r>
          </w:p>
        </w:tc>
        <w:tc>
          <w:tcPr>
            <w:tcW w:w="1087" w:type="dxa"/>
            <w:tcBorders>
              <w:top w:val="nil"/>
              <w:bottom w:val="nil"/>
            </w:tcBorders>
            <w:shd w:val="clear" w:color="auto" w:fill="auto"/>
            <w:noWrap/>
            <w:vAlign w:val="bottom"/>
            <w:hideMark/>
          </w:tcPr>
          <w:p w14:paraId="319B481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28,066</w:t>
            </w:r>
          </w:p>
        </w:tc>
        <w:tc>
          <w:tcPr>
            <w:tcW w:w="1087" w:type="dxa"/>
            <w:tcBorders>
              <w:top w:val="nil"/>
              <w:bottom w:val="nil"/>
            </w:tcBorders>
            <w:shd w:val="clear" w:color="auto" w:fill="auto"/>
            <w:noWrap/>
            <w:vAlign w:val="bottom"/>
            <w:hideMark/>
          </w:tcPr>
          <w:p w14:paraId="2D28D0A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29,331</w:t>
            </w:r>
          </w:p>
        </w:tc>
        <w:tc>
          <w:tcPr>
            <w:tcW w:w="1087" w:type="dxa"/>
            <w:tcBorders>
              <w:top w:val="nil"/>
              <w:bottom w:val="nil"/>
              <w:right w:val="nil"/>
            </w:tcBorders>
            <w:shd w:val="clear" w:color="auto" w:fill="auto"/>
            <w:noWrap/>
            <w:vAlign w:val="bottom"/>
            <w:hideMark/>
          </w:tcPr>
          <w:p w14:paraId="11D86E2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30,370</w:t>
            </w:r>
          </w:p>
        </w:tc>
        <w:tc>
          <w:tcPr>
            <w:tcW w:w="1087" w:type="dxa"/>
            <w:tcBorders>
              <w:top w:val="nil"/>
              <w:left w:val="nil"/>
              <w:bottom w:val="nil"/>
              <w:right w:val="nil"/>
            </w:tcBorders>
            <w:shd w:val="clear" w:color="auto" w:fill="auto"/>
            <w:noWrap/>
            <w:vAlign w:val="bottom"/>
            <w:hideMark/>
          </w:tcPr>
          <w:p w14:paraId="3706BAD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31,043</w:t>
            </w:r>
          </w:p>
        </w:tc>
        <w:tc>
          <w:tcPr>
            <w:tcW w:w="1087" w:type="dxa"/>
            <w:tcBorders>
              <w:top w:val="nil"/>
              <w:left w:val="single" w:sz="4" w:space="0" w:color="auto"/>
              <w:bottom w:val="nil"/>
            </w:tcBorders>
            <w:shd w:val="clear" w:color="auto" w:fill="auto"/>
            <w:noWrap/>
            <w:vAlign w:val="bottom"/>
            <w:hideMark/>
          </w:tcPr>
          <w:p w14:paraId="1839A5F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35,947</w:t>
            </w:r>
          </w:p>
        </w:tc>
      </w:tr>
      <w:tr w:rsidR="00654778" w:rsidRPr="007F6332" w14:paraId="4343A0DF" w14:textId="77777777" w:rsidTr="00C1755E">
        <w:trPr>
          <w:trHeight w:val="285"/>
        </w:trPr>
        <w:tc>
          <w:tcPr>
            <w:tcW w:w="2830" w:type="dxa"/>
            <w:tcBorders>
              <w:top w:val="nil"/>
            </w:tcBorders>
            <w:shd w:val="clear" w:color="auto" w:fill="BFBFBF" w:themeFill="background1" w:themeFillShade="BF"/>
            <w:noWrap/>
            <w:vAlign w:val="bottom"/>
            <w:hideMark/>
          </w:tcPr>
          <w:p w14:paraId="6A08B688"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Older adults (65+)</w:t>
            </w:r>
          </w:p>
        </w:tc>
        <w:tc>
          <w:tcPr>
            <w:tcW w:w="1086" w:type="dxa"/>
            <w:tcBorders>
              <w:top w:val="nil"/>
            </w:tcBorders>
            <w:shd w:val="clear" w:color="auto" w:fill="BFBFBF" w:themeFill="background1" w:themeFillShade="BF"/>
            <w:noWrap/>
            <w:vAlign w:val="bottom"/>
            <w:hideMark/>
          </w:tcPr>
          <w:p w14:paraId="6B4F700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3,162</w:t>
            </w:r>
          </w:p>
        </w:tc>
        <w:tc>
          <w:tcPr>
            <w:tcW w:w="1087" w:type="dxa"/>
            <w:tcBorders>
              <w:top w:val="nil"/>
            </w:tcBorders>
            <w:shd w:val="clear" w:color="auto" w:fill="BFBFBF" w:themeFill="background1" w:themeFillShade="BF"/>
            <w:noWrap/>
            <w:vAlign w:val="bottom"/>
            <w:hideMark/>
          </w:tcPr>
          <w:p w14:paraId="6189703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4,147</w:t>
            </w:r>
          </w:p>
        </w:tc>
        <w:tc>
          <w:tcPr>
            <w:tcW w:w="1087" w:type="dxa"/>
            <w:tcBorders>
              <w:top w:val="nil"/>
            </w:tcBorders>
            <w:shd w:val="clear" w:color="auto" w:fill="BFBFBF" w:themeFill="background1" w:themeFillShade="BF"/>
            <w:noWrap/>
            <w:vAlign w:val="bottom"/>
            <w:hideMark/>
          </w:tcPr>
          <w:p w14:paraId="70A3E13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5,016</w:t>
            </w:r>
          </w:p>
        </w:tc>
        <w:tc>
          <w:tcPr>
            <w:tcW w:w="1087" w:type="dxa"/>
            <w:tcBorders>
              <w:top w:val="nil"/>
              <w:right w:val="nil"/>
            </w:tcBorders>
            <w:shd w:val="clear" w:color="auto" w:fill="BFBFBF" w:themeFill="background1" w:themeFillShade="BF"/>
            <w:noWrap/>
            <w:vAlign w:val="bottom"/>
            <w:hideMark/>
          </w:tcPr>
          <w:p w14:paraId="5A052F3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5,822</w:t>
            </w:r>
          </w:p>
        </w:tc>
        <w:tc>
          <w:tcPr>
            <w:tcW w:w="1087" w:type="dxa"/>
            <w:tcBorders>
              <w:top w:val="nil"/>
              <w:left w:val="nil"/>
              <w:right w:val="nil"/>
            </w:tcBorders>
            <w:shd w:val="clear" w:color="auto" w:fill="BFBFBF" w:themeFill="background1" w:themeFillShade="BF"/>
            <w:noWrap/>
            <w:vAlign w:val="bottom"/>
            <w:hideMark/>
          </w:tcPr>
          <w:p w14:paraId="13F1183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6,585</w:t>
            </w:r>
          </w:p>
        </w:tc>
        <w:tc>
          <w:tcPr>
            <w:tcW w:w="1087" w:type="dxa"/>
            <w:tcBorders>
              <w:top w:val="nil"/>
              <w:left w:val="single" w:sz="4" w:space="0" w:color="auto"/>
            </w:tcBorders>
            <w:shd w:val="clear" w:color="auto" w:fill="BFBFBF" w:themeFill="background1" w:themeFillShade="BF"/>
            <w:noWrap/>
            <w:vAlign w:val="bottom"/>
            <w:hideMark/>
          </w:tcPr>
          <w:p w14:paraId="233BAC0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10,036</w:t>
            </w:r>
          </w:p>
        </w:tc>
      </w:tr>
      <w:tr w:rsidR="00654778" w:rsidRPr="007F6332" w14:paraId="70F379F6" w14:textId="77777777" w:rsidTr="00C1755E">
        <w:trPr>
          <w:trHeight w:val="285"/>
        </w:trPr>
        <w:tc>
          <w:tcPr>
            <w:tcW w:w="2830" w:type="dxa"/>
            <w:shd w:val="clear" w:color="auto" w:fill="B499B9"/>
            <w:noWrap/>
            <w:vAlign w:val="bottom"/>
            <w:hideMark/>
          </w:tcPr>
          <w:p w14:paraId="147F6F6B" w14:textId="77777777" w:rsidR="00654778" w:rsidRPr="007F6332" w:rsidRDefault="00654778" w:rsidP="000766DF">
            <w:pPr>
              <w:keepNext/>
              <w:keepLines/>
              <w:spacing w:after="0" w:line="240" w:lineRule="auto"/>
              <w:ind w:firstLineChars="100" w:firstLine="221"/>
              <w:rPr>
                <w:rFonts w:eastAsia="Times New Roman" w:cs="Arial"/>
                <w:b/>
                <w:bCs/>
                <w:color w:val="000000"/>
                <w:lang w:eastAsia="en-AU"/>
              </w:rPr>
            </w:pPr>
            <w:r w:rsidRPr="007F6332">
              <w:rPr>
                <w:rFonts w:eastAsia="Times New Roman" w:cs="Arial"/>
                <w:b/>
                <w:bCs/>
                <w:color w:val="000000"/>
                <w:lang w:eastAsia="en-AU"/>
              </w:rPr>
              <w:t>Total</w:t>
            </w:r>
          </w:p>
        </w:tc>
        <w:tc>
          <w:tcPr>
            <w:tcW w:w="1086" w:type="dxa"/>
            <w:shd w:val="clear" w:color="auto" w:fill="B499B9"/>
            <w:noWrap/>
            <w:vAlign w:val="bottom"/>
            <w:hideMark/>
          </w:tcPr>
          <w:p w14:paraId="77E21EA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31,818</w:t>
            </w:r>
          </w:p>
        </w:tc>
        <w:tc>
          <w:tcPr>
            <w:tcW w:w="1087" w:type="dxa"/>
            <w:shd w:val="clear" w:color="auto" w:fill="B499B9"/>
            <w:noWrap/>
            <w:vAlign w:val="bottom"/>
            <w:hideMark/>
          </w:tcPr>
          <w:p w14:paraId="38BE009F"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35,468</w:t>
            </w:r>
          </w:p>
        </w:tc>
        <w:tc>
          <w:tcPr>
            <w:tcW w:w="1087" w:type="dxa"/>
            <w:shd w:val="clear" w:color="auto" w:fill="B499B9"/>
            <w:noWrap/>
            <w:vAlign w:val="bottom"/>
            <w:hideMark/>
          </w:tcPr>
          <w:p w14:paraId="6C2AB098"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37,731</w:t>
            </w:r>
          </w:p>
        </w:tc>
        <w:tc>
          <w:tcPr>
            <w:tcW w:w="1087" w:type="dxa"/>
            <w:tcBorders>
              <w:right w:val="nil"/>
            </w:tcBorders>
            <w:shd w:val="clear" w:color="auto" w:fill="B499B9"/>
            <w:noWrap/>
            <w:vAlign w:val="bottom"/>
            <w:hideMark/>
          </w:tcPr>
          <w:p w14:paraId="3CC5B97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39,649</w:t>
            </w:r>
          </w:p>
        </w:tc>
        <w:tc>
          <w:tcPr>
            <w:tcW w:w="1087" w:type="dxa"/>
            <w:tcBorders>
              <w:left w:val="nil"/>
              <w:right w:val="nil"/>
            </w:tcBorders>
            <w:shd w:val="clear" w:color="auto" w:fill="B499B9"/>
            <w:noWrap/>
            <w:vAlign w:val="bottom"/>
            <w:hideMark/>
          </w:tcPr>
          <w:p w14:paraId="0868189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41,037</w:t>
            </w:r>
          </w:p>
        </w:tc>
        <w:tc>
          <w:tcPr>
            <w:tcW w:w="1087" w:type="dxa"/>
            <w:tcBorders>
              <w:left w:val="single" w:sz="4" w:space="0" w:color="auto"/>
            </w:tcBorders>
            <w:shd w:val="clear" w:color="auto" w:fill="B499B9"/>
            <w:noWrap/>
            <w:vAlign w:val="bottom"/>
            <w:hideMark/>
          </w:tcPr>
          <w:p w14:paraId="1C83377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50,266</w:t>
            </w:r>
          </w:p>
        </w:tc>
      </w:tr>
      <w:tr w:rsidR="00654778" w:rsidRPr="007F6332" w14:paraId="44147F69" w14:textId="77777777" w:rsidTr="00C1755E">
        <w:trPr>
          <w:trHeight w:val="300"/>
        </w:trPr>
        <w:tc>
          <w:tcPr>
            <w:tcW w:w="2830" w:type="dxa"/>
            <w:shd w:val="clear" w:color="auto" w:fill="A6A6A6" w:themeFill="background1" w:themeFillShade="A6"/>
            <w:noWrap/>
            <w:vAlign w:val="bottom"/>
            <w:hideMark/>
          </w:tcPr>
          <w:p w14:paraId="479AD93D" w14:textId="49A649D2" w:rsidR="00654778" w:rsidRPr="007F6332" w:rsidRDefault="004E4FF4"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June 2022 projections</w:t>
            </w:r>
          </w:p>
        </w:tc>
        <w:tc>
          <w:tcPr>
            <w:tcW w:w="1086" w:type="dxa"/>
            <w:shd w:val="clear" w:color="auto" w:fill="A6A6A6" w:themeFill="background1" w:themeFillShade="A6"/>
            <w:noWrap/>
            <w:vAlign w:val="center"/>
            <w:hideMark/>
          </w:tcPr>
          <w:p w14:paraId="1A8CD134"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27427BC7"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3C934A80"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tcBorders>
              <w:right w:val="nil"/>
            </w:tcBorders>
            <w:shd w:val="clear" w:color="auto" w:fill="A6A6A6" w:themeFill="background1" w:themeFillShade="A6"/>
            <w:noWrap/>
            <w:vAlign w:val="center"/>
            <w:hideMark/>
          </w:tcPr>
          <w:p w14:paraId="799DD5BB"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tcBorders>
              <w:left w:val="nil"/>
              <w:right w:val="nil"/>
            </w:tcBorders>
            <w:shd w:val="clear" w:color="auto" w:fill="A6A6A6" w:themeFill="background1" w:themeFillShade="A6"/>
            <w:noWrap/>
            <w:vAlign w:val="center"/>
            <w:hideMark/>
          </w:tcPr>
          <w:p w14:paraId="371D60D8"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tcBorders>
              <w:left w:val="single" w:sz="4" w:space="0" w:color="auto"/>
            </w:tcBorders>
            <w:shd w:val="clear" w:color="auto" w:fill="A6A6A6" w:themeFill="background1" w:themeFillShade="A6"/>
            <w:noWrap/>
            <w:vAlign w:val="center"/>
            <w:hideMark/>
          </w:tcPr>
          <w:p w14:paraId="7D19065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r>
      <w:tr w:rsidR="00654778" w:rsidRPr="007F6332" w14:paraId="7F82C2FF" w14:textId="77777777" w:rsidTr="00C1755E">
        <w:trPr>
          <w:trHeight w:val="285"/>
        </w:trPr>
        <w:tc>
          <w:tcPr>
            <w:tcW w:w="2830" w:type="dxa"/>
            <w:tcBorders>
              <w:bottom w:val="nil"/>
            </w:tcBorders>
            <w:shd w:val="clear" w:color="auto" w:fill="auto"/>
            <w:noWrap/>
            <w:vAlign w:val="bottom"/>
            <w:hideMark/>
          </w:tcPr>
          <w:p w14:paraId="6168B04A"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Children (0 to 14)</w:t>
            </w:r>
          </w:p>
        </w:tc>
        <w:tc>
          <w:tcPr>
            <w:tcW w:w="1086" w:type="dxa"/>
            <w:tcBorders>
              <w:bottom w:val="nil"/>
            </w:tcBorders>
            <w:shd w:val="clear" w:color="auto" w:fill="auto"/>
            <w:noWrap/>
            <w:vAlign w:val="bottom"/>
            <w:hideMark/>
          </w:tcPr>
          <w:p w14:paraId="083FFC3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c>
          <w:tcPr>
            <w:tcW w:w="1087" w:type="dxa"/>
            <w:tcBorders>
              <w:bottom w:val="nil"/>
            </w:tcBorders>
            <w:shd w:val="clear" w:color="auto" w:fill="auto"/>
            <w:noWrap/>
            <w:vAlign w:val="bottom"/>
            <w:hideMark/>
          </w:tcPr>
          <w:p w14:paraId="19BBDB6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18</w:t>
            </w:r>
          </w:p>
        </w:tc>
        <w:tc>
          <w:tcPr>
            <w:tcW w:w="1087" w:type="dxa"/>
            <w:tcBorders>
              <w:bottom w:val="nil"/>
            </w:tcBorders>
            <w:shd w:val="clear" w:color="auto" w:fill="auto"/>
            <w:noWrap/>
            <w:vAlign w:val="bottom"/>
            <w:hideMark/>
          </w:tcPr>
          <w:p w14:paraId="56DD610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18</w:t>
            </w:r>
          </w:p>
        </w:tc>
        <w:tc>
          <w:tcPr>
            <w:tcW w:w="1087" w:type="dxa"/>
            <w:tcBorders>
              <w:bottom w:val="nil"/>
              <w:right w:val="nil"/>
            </w:tcBorders>
            <w:shd w:val="clear" w:color="auto" w:fill="auto"/>
            <w:noWrap/>
            <w:vAlign w:val="bottom"/>
            <w:hideMark/>
          </w:tcPr>
          <w:p w14:paraId="05DF21A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w:t>
            </w:r>
          </w:p>
        </w:tc>
        <w:tc>
          <w:tcPr>
            <w:tcW w:w="1087" w:type="dxa"/>
            <w:tcBorders>
              <w:left w:val="nil"/>
              <w:bottom w:val="nil"/>
              <w:right w:val="nil"/>
            </w:tcBorders>
            <w:shd w:val="clear" w:color="auto" w:fill="auto"/>
            <w:noWrap/>
            <w:vAlign w:val="bottom"/>
            <w:hideMark/>
          </w:tcPr>
          <w:p w14:paraId="5C19F52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w:t>
            </w:r>
          </w:p>
        </w:tc>
        <w:tc>
          <w:tcPr>
            <w:tcW w:w="1087" w:type="dxa"/>
            <w:tcBorders>
              <w:left w:val="single" w:sz="4" w:space="0" w:color="auto"/>
              <w:bottom w:val="nil"/>
            </w:tcBorders>
            <w:shd w:val="clear" w:color="auto" w:fill="auto"/>
            <w:noWrap/>
            <w:vAlign w:val="bottom"/>
            <w:hideMark/>
          </w:tcPr>
          <w:p w14:paraId="6ADEC6F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20</w:t>
            </w:r>
          </w:p>
        </w:tc>
      </w:tr>
      <w:tr w:rsidR="00654778" w:rsidRPr="007F6332" w14:paraId="49C02235" w14:textId="77777777" w:rsidTr="00C1755E">
        <w:trPr>
          <w:trHeight w:val="285"/>
        </w:trPr>
        <w:tc>
          <w:tcPr>
            <w:tcW w:w="2830" w:type="dxa"/>
            <w:tcBorders>
              <w:top w:val="nil"/>
              <w:bottom w:val="nil"/>
            </w:tcBorders>
            <w:shd w:val="clear" w:color="auto" w:fill="BFBFBF" w:themeFill="background1" w:themeFillShade="BF"/>
            <w:noWrap/>
            <w:vAlign w:val="bottom"/>
            <w:hideMark/>
          </w:tcPr>
          <w:p w14:paraId="567F9A5C"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Young Adults (15 to 24)</w:t>
            </w:r>
          </w:p>
        </w:tc>
        <w:tc>
          <w:tcPr>
            <w:tcW w:w="1086" w:type="dxa"/>
            <w:tcBorders>
              <w:top w:val="nil"/>
              <w:bottom w:val="nil"/>
            </w:tcBorders>
            <w:shd w:val="clear" w:color="auto" w:fill="BFBFBF" w:themeFill="background1" w:themeFillShade="BF"/>
            <w:noWrap/>
            <w:vAlign w:val="bottom"/>
            <w:hideMark/>
          </w:tcPr>
          <w:p w14:paraId="7851A0A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2,407</w:t>
            </w:r>
          </w:p>
        </w:tc>
        <w:tc>
          <w:tcPr>
            <w:tcW w:w="1087" w:type="dxa"/>
            <w:tcBorders>
              <w:top w:val="nil"/>
              <w:bottom w:val="nil"/>
            </w:tcBorders>
            <w:shd w:val="clear" w:color="auto" w:fill="BFBFBF" w:themeFill="background1" w:themeFillShade="BF"/>
            <w:noWrap/>
            <w:vAlign w:val="bottom"/>
            <w:hideMark/>
          </w:tcPr>
          <w:p w14:paraId="6E8CE95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2,583</w:t>
            </w:r>
          </w:p>
        </w:tc>
        <w:tc>
          <w:tcPr>
            <w:tcW w:w="1087" w:type="dxa"/>
            <w:tcBorders>
              <w:top w:val="nil"/>
              <w:bottom w:val="nil"/>
            </w:tcBorders>
            <w:shd w:val="clear" w:color="auto" w:fill="BFBFBF" w:themeFill="background1" w:themeFillShade="BF"/>
            <w:noWrap/>
            <w:vAlign w:val="bottom"/>
            <w:hideMark/>
          </w:tcPr>
          <w:p w14:paraId="2EE1150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2,760</w:t>
            </w:r>
          </w:p>
        </w:tc>
        <w:tc>
          <w:tcPr>
            <w:tcW w:w="1087" w:type="dxa"/>
            <w:tcBorders>
              <w:top w:val="nil"/>
              <w:bottom w:val="nil"/>
              <w:right w:val="nil"/>
            </w:tcBorders>
            <w:shd w:val="clear" w:color="auto" w:fill="BFBFBF" w:themeFill="background1" w:themeFillShade="BF"/>
            <w:noWrap/>
            <w:vAlign w:val="bottom"/>
            <w:hideMark/>
          </w:tcPr>
          <w:p w14:paraId="0BEFDC8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2,971</w:t>
            </w:r>
          </w:p>
        </w:tc>
        <w:tc>
          <w:tcPr>
            <w:tcW w:w="1087" w:type="dxa"/>
            <w:tcBorders>
              <w:top w:val="nil"/>
              <w:left w:val="nil"/>
              <w:bottom w:val="nil"/>
              <w:right w:val="nil"/>
            </w:tcBorders>
            <w:shd w:val="clear" w:color="auto" w:fill="BFBFBF" w:themeFill="background1" w:themeFillShade="BF"/>
            <w:noWrap/>
            <w:vAlign w:val="bottom"/>
            <w:hideMark/>
          </w:tcPr>
          <w:p w14:paraId="0BECB32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3,208</w:t>
            </w:r>
          </w:p>
        </w:tc>
        <w:tc>
          <w:tcPr>
            <w:tcW w:w="1087" w:type="dxa"/>
            <w:tcBorders>
              <w:top w:val="nil"/>
              <w:left w:val="single" w:sz="4" w:space="0" w:color="auto"/>
              <w:bottom w:val="nil"/>
            </w:tcBorders>
            <w:shd w:val="clear" w:color="auto" w:fill="BFBFBF" w:themeFill="background1" w:themeFillShade="BF"/>
            <w:noWrap/>
            <w:vAlign w:val="bottom"/>
            <w:hideMark/>
          </w:tcPr>
          <w:p w14:paraId="12A11C1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4,941</w:t>
            </w:r>
          </w:p>
        </w:tc>
      </w:tr>
      <w:tr w:rsidR="00654778" w:rsidRPr="007F6332" w14:paraId="7910F201" w14:textId="77777777" w:rsidTr="00C1755E">
        <w:trPr>
          <w:trHeight w:val="285"/>
        </w:trPr>
        <w:tc>
          <w:tcPr>
            <w:tcW w:w="2830" w:type="dxa"/>
            <w:tcBorders>
              <w:top w:val="nil"/>
              <w:bottom w:val="nil"/>
            </w:tcBorders>
            <w:shd w:val="clear" w:color="auto" w:fill="auto"/>
            <w:noWrap/>
            <w:vAlign w:val="bottom"/>
            <w:hideMark/>
          </w:tcPr>
          <w:p w14:paraId="6AED2265"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Adults (25 to 64)</w:t>
            </w:r>
          </w:p>
        </w:tc>
        <w:tc>
          <w:tcPr>
            <w:tcW w:w="1086" w:type="dxa"/>
            <w:tcBorders>
              <w:top w:val="nil"/>
              <w:bottom w:val="nil"/>
            </w:tcBorders>
            <w:shd w:val="clear" w:color="auto" w:fill="auto"/>
            <w:noWrap/>
            <w:vAlign w:val="bottom"/>
            <w:hideMark/>
          </w:tcPr>
          <w:p w14:paraId="264D600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23,165</w:t>
            </w:r>
          </w:p>
        </w:tc>
        <w:tc>
          <w:tcPr>
            <w:tcW w:w="1087" w:type="dxa"/>
            <w:tcBorders>
              <w:top w:val="nil"/>
              <w:bottom w:val="nil"/>
            </w:tcBorders>
            <w:shd w:val="clear" w:color="auto" w:fill="auto"/>
            <w:noWrap/>
            <w:vAlign w:val="bottom"/>
            <w:hideMark/>
          </w:tcPr>
          <w:p w14:paraId="016A80C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23,965</w:t>
            </w:r>
          </w:p>
        </w:tc>
        <w:tc>
          <w:tcPr>
            <w:tcW w:w="1087" w:type="dxa"/>
            <w:tcBorders>
              <w:top w:val="nil"/>
              <w:bottom w:val="nil"/>
            </w:tcBorders>
            <w:shd w:val="clear" w:color="auto" w:fill="auto"/>
            <w:noWrap/>
            <w:vAlign w:val="bottom"/>
            <w:hideMark/>
          </w:tcPr>
          <w:p w14:paraId="6DDC2D82"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24,632</w:t>
            </w:r>
          </w:p>
        </w:tc>
        <w:tc>
          <w:tcPr>
            <w:tcW w:w="1087" w:type="dxa"/>
            <w:tcBorders>
              <w:top w:val="nil"/>
              <w:bottom w:val="nil"/>
              <w:right w:val="nil"/>
            </w:tcBorders>
            <w:shd w:val="clear" w:color="auto" w:fill="auto"/>
            <w:noWrap/>
            <w:vAlign w:val="bottom"/>
            <w:hideMark/>
          </w:tcPr>
          <w:p w14:paraId="32CAC9C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25,349</w:t>
            </w:r>
          </w:p>
        </w:tc>
        <w:tc>
          <w:tcPr>
            <w:tcW w:w="1087" w:type="dxa"/>
            <w:tcBorders>
              <w:top w:val="nil"/>
              <w:left w:val="nil"/>
              <w:bottom w:val="nil"/>
              <w:right w:val="nil"/>
            </w:tcBorders>
            <w:shd w:val="clear" w:color="auto" w:fill="auto"/>
            <w:noWrap/>
            <w:vAlign w:val="bottom"/>
            <w:hideMark/>
          </w:tcPr>
          <w:p w14:paraId="28AC2F9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26,103</w:t>
            </w:r>
          </w:p>
        </w:tc>
        <w:tc>
          <w:tcPr>
            <w:tcW w:w="1087" w:type="dxa"/>
            <w:tcBorders>
              <w:top w:val="nil"/>
              <w:left w:val="single" w:sz="4" w:space="0" w:color="auto"/>
              <w:bottom w:val="nil"/>
            </w:tcBorders>
            <w:shd w:val="clear" w:color="auto" w:fill="auto"/>
            <w:noWrap/>
            <w:vAlign w:val="bottom"/>
            <w:hideMark/>
          </w:tcPr>
          <w:p w14:paraId="70AB5CB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32,334</w:t>
            </w:r>
          </w:p>
        </w:tc>
      </w:tr>
      <w:tr w:rsidR="00654778" w:rsidRPr="007F6332" w14:paraId="339DB57A" w14:textId="77777777" w:rsidTr="00C1755E">
        <w:trPr>
          <w:trHeight w:val="285"/>
        </w:trPr>
        <w:tc>
          <w:tcPr>
            <w:tcW w:w="2830" w:type="dxa"/>
            <w:tcBorders>
              <w:top w:val="nil"/>
            </w:tcBorders>
            <w:shd w:val="clear" w:color="auto" w:fill="BFBFBF" w:themeFill="background1" w:themeFillShade="BF"/>
            <w:noWrap/>
            <w:vAlign w:val="bottom"/>
            <w:hideMark/>
          </w:tcPr>
          <w:p w14:paraId="1A21179D"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Older adults (65+)</w:t>
            </w:r>
          </w:p>
        </w:tc>
        <w:tc>
          <w:tcPr>
            <w:tcW w:w="1086" w:type="dxa"/>
            <w:tcBorders>
              <w:top w:val="nil"/>
            </w:tcBorders>
            <w:shd w:val="clear" w:color="auto" w:fill="BFBFBF" w:themeFill="background1" w:themeFillShade="BF"/>
            <w:noWrap/>
            <w:vAlign w:val="bottom"/>
            <w:hideMark/>
          </w:tcPr>
          <w:p w14:paraId="0293904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2,723</w:t>
            </w:r>
          </w:p>
        </w:tc>
        <w:tc>
          <w:tcPr>
            <w:tcW w:w="1087" w:type="dxa"/>
            <w:tcBorders>
              <w:top w:val="nil"/>
            </w:tcBorders>
            <w:shd w:val="clear" w:color="auto" w:fill="BFBFBF" w:themeFill="background1" w:themeFillShade="BF"/>
            <w:noWrap/>
            <w:vAlign w:val="bottom"/>
            <w:hideMark/>
          </w:tcPr>
          <w:p w14:paraId="72125D5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3,179</w:t>
            </w:r>
          </w:p>
        </w:tc>
        <w:tc>
          <w:tcPr>
            <w:tcW w:w="1087" w:type="dxa"/>
            <w:tcBorders>
              <w:top w:val="nil"/>
            </w:tcBorders>
            <w:shd w:val="clear" w:color="auto" w:fill="BFBFBF" w:themeFill="background1" w:themeFillShade="BF"/>
            <w:noWrap/>
            <w:vAlign w:val="bottom"/>
            <w:hideMark/>
          </w:tcPr>
          <w:p w14:paraId="4592B36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3,624</w:t>
            </w:r>
          </w:p>
        </w:tc>
        <w:tc>
          <w:tcPr>
            <w:tcW w:w="1087" w:type="dxa"/>
            <w:tcBorders>
              <w:top w:val="nil"/>
              <w:right w:val="nil"/>
            </w:tcBorders>
            <w:shd w:val="clear" w:color="auto" w:fill="BFBFBF" w:themeFill="background1" w:themeFillShade="BF"/>
            <w:noWrap/>
            <w:vAlign w:val="bottom"/>
            <w:hideMark/>
          </w:tcPr>
          <w:p w14:paraId="27F8A7F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4,041</w:t>
            </w:r>
          </w:p>
        </w:tc>
        <w:tc>
          <w:tcPr>
            <w:tcW w:w="1087" w:type="dxa"/>
            <w:tcBorders>
              <w:top w:val="nil"/>
              <w:left w:val="nil"/>
              <w:right w:val="nil"/>
            </w:tcBorders>
            <w:shd w:val="clear" w:color="auto" w:fill="BFBFBF" w:themeFill="background1" w:themeFillShade="BF"/>
            <w:noWrap/>
            <w:vAlign w:val="bottom"/>
            <w:hideMark/>
          </w:tcPr>
          <w:p w14:paraId="0950A81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4,448</w:t>
            </w:r>
          </w:p>
        </w:tc>
        <w:tc>
          <w:tcPr>
            <w:tcW w:w="1087" w:type="dxa"/>
            <w:tcBorders>
              <w:top w:val="nil"/>
              <w:left w:val="single" w:sz="4" w:space="0" w:color="auto"/>
            </w:tcBorders>
            <w:shd w:val="clear" w:color="auto" w:fill="BFBFBF" w:themeFill="background1" w:themeFillShade="BF"/>
            <w:noWrap/>
            <w:vAlign w:val="bottom"/>
            <w:hideMark/>
          </w:tcPr>
          <w:p w14:paraId="764E444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6,378</w:t>
            </w:r>
          </w:p>
        </w:tc>
      </w:tr>
      <w:tr w:rsidR="00654778" w:rsidRPr="007F6332" w14:paraId="228E9E27" w14:textId="77777777" w:rsidTr="00C1755E">
        <w:trPr>
          <w:trHeight w:val="285"/>
        </w:trPr>
        <w:tc>
          <w:tcPr>
            <w:tcW w:w="2830" w:type="dxa"/>
            <w:shd w:val="clear" w:color="auto" w:fill="B499B9"/>
            <w:noWrap/>
            <w:vAlign w:val="bottom"/>
            <w:hideMark/>
          </w:tcPr>
          <w:p w14:paraId="4447DBF7" w14:textId="77777777" w:rsidR="00654778" w:rsidRPr="007F6332" w:rsidRDefault="00654778" w:rsidP="000766DF">
            <w:pPr>
              <w:keepNext/>
              <w:keepLines/>
              <w:spacing w:after="0" w:line="240" w:lineRule="auto"/>
              <w:ind w:firstLineChars="100" w:firstLine="221"/>
              <w:rPr>
                <w:rFonts w:eastAsia="Times New Roman" w:cs="Arial"/>
                <w:b/>
                <w:bCs/>
                <w:color w:val="000000"/>
                <w:lang w:eastAsia="en-AU"/>
              </w:rPr>
            </w:pPr>
            <w:r w:rsidRPr="007F6332">
              <w:rPr>
                <w:rFonts w:eastAsia="Times New Roman" w:cs="Arial"/>
                <w:b/>
                <w:bCs/>
                <w:color w:val="000000"/>
                <w:lang w:eastAsia="en-AU"/>
              </w:rPr>
              <w:t>Total</w:t>
            </w:r>
          </w:p>
        </w:tc>
        <w:tc>
          <w:tcPr>
            <w:tcW w:w="1086" w:type="dxa"/>
            <w:shd w:val="clear" w:color="auto" w:fill="B499B9"/>
            <w:noWrap/>
            <w:vAlign w:val="bottom"/>
            <w:hideMark/>
          </w:tcPr>
          <w:p w14:paraId="13CE79FC"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28,311</w:t>
            </w:r>
          </w:p>
        </w:tc>
        <w:tc>
          <w:tcPr>
            <w:tcW w:w="1087" w:type="dxa"/>
            <w:shd w:val="clear" w:color="auto" w:fill="B499B9"/>
            <w:noWrap/>
            <w:vAlign w:val="bottom"/>
            <w:hideMark/>
          </w:tcPr>
          <w:p w14:paraId="732A778F"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29,745</w:t>
            </w:r>
          </w:p>
        </w:tc>
        <w:tc>
          <w:tcPr>
            <w:tcW w:w="1087" w:type="dxa"/>
            <w:shd w:val="clear" w:color="auto" w:fill="B499B9"/>
            <w:noWrap/>
            <w:vAlign w:val="bottom"/>
            <w:hideMark/>
          </w:tcPr>
          <w:p w14:paraId="3F399FF0"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31,034</w:t>
            </w:r>
          </w:p>
        </w:tc>
        <w:tc>
          <w:tcPr>
            <w:tcW w:w="1087" w:type="dxa"/>
            <w:shd w:val="clear" w:color="auto" w:fill="B499B9"/>
            <w:noWrap/>
            <w:vAlign w:val="bottom"/>
            <w:hideMark/>
          </w:tcPr>
          <w:p w14:paraId="20B97EC0"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32,381</w:t>
            </w:r>
          </w:p>
        </w:tc>
        <w:tc>
          <w:tcPr>
            <w:tcW w:w="1087" w:type="dxa"/>
            <w:shd w:val="clear" w:color="auto" w:fill="B499B9"/>
            <w:noWrap/>
            <w:vAlign w:val="bottom"/>
            <w:hideMark/>
          </w:tcPr>
          <w:p w14:paraId="074046F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33,778</w:t>
            </w:r>
          </w:p>
        </w:tc>
        <w:tc>
          <w:tcPr>
            <w:tcW w:w="1087" w:type="dxa"/>
            <w:shd w:val="clear" w:color="auto" w:fill="B499B9"/>
            <w:noWrap/>
            <w:vAlign w:val="bottom"/>
            <w:hideMark/>
          </w:tcPr>
          <w:p w14:paraId="47EE786C"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43,673</w:t>
            </w:r>
          </w:p>
        </w:tc>
      </w:tr>
      <w:tr w:rsidR="00654778" w:rsidRPr="007F6332" w14:paraId="181A1743" w14:textId="77777777" w:rsidTr="00C1755E">
        <w:trPr>
          <w:trHeight w:val="300"/>
        </w:trPr>
        <w:tc>
          <w:tcPr>
            <w:tcW w:w="2830" w:type="dxa"/>
            <w:shd w:val="clear" w:color="auto" w:fill="A6A6A6" w:themeFill="background1" w:themeFillShade="A6"/>
            <w:noWrap/>
            <w:vAlign w:val="bottom"/>
            <w:hideMark/>
          </w:tcPr>
          <w:p w14:paraId="54560C9E"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Difference</w:t>
            </w:r>
          </w:p>
        </w:tc>
        <w:tc>
          <w:tcPr>
            <w:tcW w:w="1086" w:type="dxa"/>
            <w:shd w:val="clear" w:color="auto" w:fill="A6A6A6" w:themeFill="background1" w:themeFillShade="A6"/>
            <w:noWrap/>
            <w:vAlign w:val="center"/>
            <w:hideMark/>
          </w:tcPr>
          <w:p w14:paraId="042EEA0F"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16D6011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2AF3A4D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6006D63E"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0155ED15"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5874E8F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r>
      <w:tr w:rsidR="00654778" w:rsidRPr="007F6332" w14:paraId="164CCB4D" w14:textId="77777777" w:rsidTr="00C1755E">
        <w:trPr>
          <w:trHeight w:val="285"/>
        </w:trPr>
        <w:tc>
          <w:tcPr>
            <w:tcW w:w="2830" w:type="dxa"/>
            <w:tcBorders>
              <w:bottom w:val="nil"/>
            </w:tcBorders>
            <w:shd w:val="clear" w:color="auto" w:fill="auto"/>
            <w:noWrap/>
            <w:vAlign w:val="bottom"/>
            <w:hideMark/>
          </w:tcPr>
          <w:p w14:paraId="3BFB27E0"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Children (0 to 14)</w:t>
            </w:r>
          </w:p>
        </w:tc>
        <w:tc>
          <w:tcPr>
            <w:tcW w:w="1086" w:type="dxa"/>
            <w:tcBorders>
              <w:bottom w:val="nil"/>
            </w:tcBorders>
            <w:shd w:val="clear" w:color="auto" w:fill="auto"/>
            <w:noWrap/>
            <w:vAlign w:val="bottom"/>
            <w:hideMark/>
          </w:tcPr>
          <w:p w14:paraId="2D35A19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9</w:t>
            </w:r>
          </w:p>
        </w:tc>
        <w:tc>
          <w:tcPr>
            <w:tcW w:w="1087" w:type="dxa"/>
            <w:tcBorders>
              <w:bottom w:val="nil"/>
            </w:tcBorders>
            <w:shd w:val="clear" w:color="auto" w:fill="auto"/>
            <w:noWrap/>
            <w:vAlign w:val="bottom"/>
            <w:hideMark/>
          </w:tcPr>
          <w:p w14:paraId="7D8579F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w:t>
            </w:r>
          </w:p>
        </w:tc>
        <w:tc>
          <w:tcPr>
            <w:tcW w:w="1087" w:type="dxa"/>
            <w:tcBorders>
              <w:bottom w:val="nil"/>
            </w:tcBorders>
            <w:shd w:val="clear" w:color="auto" w:fill="auto"/>
            <w:noWrap/>
            <w:vAlign w:val="bottom"/>
            <w:hideMark/>
          </w:tcPr>
          <w:p w14:paraId="04A5F87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w:t>
            </w:r>
          </w:p>
        </w:tc>
        <w:tc>
          <w:tcPr>
            <w:tcW w:w="1087" w:type="dxa"/>
            <w:tcBorders>
              <w:bottom w:val="nil"/>
              <w:right w:val="nil"/>
            </w:tcBorders>
            <w:shd w:val="clear" w:color="auto" w:fill="auto"/>
            <w:noWrap/>
            <w:vAlign w:val="bottom"/>
            <w:hideMark/>
          </w:tcPr>
          <w:p w14:paraId="6E38C19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087" w:type="dxa"/>
            <w:tcBorders>
              <w:left w:val="nil"/>
              <w:bottom w:val="nil"/>
              <w:right w:val="nil"/>
            </w:tcBorders>
            <w:shd w:val="clear" w:color="auto" w:fill="auto"/>
            <w:noWrap/>
            <w:vAlign w:val="bottom"/>
            <w:hideMark/>
          </w:tcPr>
          <w:p w14:paraId="1266D29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w:t>
            </w:r>
          </w:p>
        </w:tc>
        <w:tc>
          <w:tcPr>
            <w:tcW w:w="1087" w:type="dxa"/>
            <w:tcBorders>
              <w:left w:val="single" w:sz="4" w:space="0" w:color="auto"/>
              <w:bottom w:val="nil"/>
            </w:tcBorders>
            <w:shd w:val="clear" w:color="auto" w:fill="auto"/>
            <w:noWrap/>
            <w:vAlign w:val="bottom"/>
            <w:hideMark/>
          </w:tcPr>
          <w:p w14:paraId="0DA88D9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w:t>
            </w:r>
          </w:p>
        </w:tc>
      </w:tr>
      <w:tr w:rsidR="00654778" w:rsidRPr="007F6332" w14:paraId="2D16B9B0" w14:textId="77777777" w:rsidTr="00C1755E">
        <w:trPr>
          <w:trHeight w:val="285"/>
        </w:trPr>
        <w:tc>
          <w:tcPr>
            <w:tcW w:w="2830" w:type="dxa"/>
            <w:tcBorders>
              <w:top w:val="nil"/>
              <w:bottom w:val="nil"/>
            </w:tcBorders>
            <w:shd w:val="clear" w:color="auto" w:fill="BFBFBF" w:themeFill="background1" w:themeFillShade="BF"/>
            <w:noWrap/>
            <w:vAlign w:val="bottom"/>
            <w:hideMark/>
          </w:tcPr>
          <w:p w14:paraId="1B1FFC9A"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Young Adults (15 to 24)</w:t>
            </w:r>
          </w:p>
        </w:tc>
        <w:tc>
          <w:tcPr>
            <w:tcW w:w="1086" w:type="dxa"/>
            <w:tcBorders>
              <w:top w:val="nil"/>
              <w:bottom w:val="nil"/>
            </w:tcBorders>
            <w:shd w:val="clear" w:color="auto" w:fill="BFBFBF" w:themeFill="background1" w:themeFillShade="BF"/>
            <w:noWrap/>
            <w:vAlign w:val="bottom"/>
            <w:hideMark/>
          </w:tcPr>
          <w:p w14:paraId="352A593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399</w:t>
            </w:r>
          </w:p>
        </w:tc>
        <w:tc>
          <w:tcPr>
            <w:tcW w:w="1087" w:type="dxa"/>
            <w:tcBorders>
              <w:top w:val="nil"/>
              <w:bottom w:val="nil"/>
            </w:tcBorders>
            <w:shd w:val="clear" w:color="auto" w:fill="BFBFBF" w:themeFill="background1" w:themeFillShade="BF"/>
            <w:noWrap/>
            <w:vAlign w:val="bottom"/>
            <w:hideMark/>
          </w:tcPr>
          <w:p w14:paraId="34AC7DF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657</w:t>
            </w:r>
          </w:p>
        </w:tc>
        <w:tc>
          <w:tcPr>
            <w:tcW w:w="1087" w:type="dxa"/>
            <w:tcBorders>
              <w:top w:val="nil"/>
              <w:bottom w:val="nil"/>
            </w:tcBorders>
            <w:shd w:val="clear" w:color="auto" w:fill="BFBFBF" w:themeFill="background1" w:themeFillShade="BF"/>
            <w:noWrap/>
            <w:vAlign w:val="bottom"/>
            <w:hideMark/>
          </w:tcPr>
          <w:p w14:paraId="5868A24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611</w:t>
            </w:r>
          </w:p>
        </w:tc>
        <w:tc>
          <w:tcPr>
            <w:tcW w:w="1087" w:type="dxa"/>
            <w:tcBorders>
              <w:top w:val="nil"/>
              <w:bottom w:val="nil"/>
              <w:right w:val="nil"/>
            </w:tcBorders>
            <w:shd w:val="clear" w:color="auto" w:fill="BFBFBF" w:themeFill="background1" w:themeFillShade="BF"/>
            <w:noWrap/>
            <w:vAlign w:val="bottom"/>
            <w:hideMark/>
          </w:tcPr>
          <w:p w14:paraId="41255C5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479</w:t>
            </w:r>
          </w:p>
        </w:tc>
        <w:tc>
          <w:tcPr>
            <w:tcW w:w="1087" w:type="dxa"/>
            <w:tcBorders>
              <w:top w:val="nil"/>
              <w:left w:val="nil"/>
              <w:bottom w:val="nil"/>
              <w:right w:val="nil"/>
            </w:tcBorders>
            <w:shd w:val="clear" w:color="auto" w:fill="BFBFBF" w:themeFill="background1" w:themeFillShade="BF"/>
            <w:noWrap/>
            <w:vAlign w:val="bottom"/>
            <w:hideMark/>
          </w:tcPr>
          <w:p w14:paraId="5153A54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197</w:t>
            </w:r>
          </w:p>
        </w:tc>
        <w:tc>
          <w:tcPr>
            <w:tcW w:w="1087" w:type="dxa"/>
            <w:tcBorders>
              <w:top w:val="nil"/>
              <w:left w:val="single" w:sz="4" w:space="0" w:color="auto"/>
              <w:bottom w:val="nil"/>
            </w:tcBorders>
            <w:shd w:val="clear" w:color="auto" w:fill="BFBFBF" w:themeFill="background1" w:themeFillShade="BF"/>
            <w:noWrap/>
            <w:vAlign w:val="bottom"/>
            <w:hideMark/>
          </w:tcPr>
          <w:p w14:paraId="10F89FC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-659</w:t>
            </w:r>
          </w:p>
        </w:tc>
      </w:tr>
      <w:tr w:rsidR="00654778" w:rsidRPr="007F6332" w14:paraId="2F6F5904" w14:textId="77777777" w:rsidTr="00C1755E">
        <w:trPr>
          <w:trHeight w:val="285"/>
        </w:trPr>
        <w:tc>
          <w:tcPr>
            <w:tcW w:w="2830" w:type="dxa"/>
            <w:tcBorders>
              <w:top w:val="nil"/>
              <w:bottom w:val="nil"/>
            </w:tcBorders>
            <w:shd w:val="clear" w:color="auto" w:fill="auto"/>
            <w:noWrap/>
            <w:vAlign w:val="bottom"/>
            <w:hideMark/>
          </w:tcPr>
          <w:p w14:paraId="5BDE5C58"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Adults (25 to 64)</w:t>
            </w:r>
          </w:p>
        </w:tc>
        <w:tc>
          <w:tcPr>
            <w:tcW w:w="1086" w:type="dxa"/>
            <w:tcBorders>
              <w:top w:val="nil"/>
              <w:bottom w:val="nil"/>
            </w:tcBorders>
            <w:shd w:val="clear" w:color="auto" w:fill="auto"/>
            <w:noWrap/>
            <w:vAlign w:val="bottom"/>
            <w:hideMark/>
          </w:tcPr>
          <w:p w14:paraId="7C8979C7"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2,659</w:t>
            </w:r>
          </w:p>
        </w:tc>
        <w:tc>
          <w:tcPr>
            <w:tcW w:w="1087" w:type="dxa"/>
            <w:tcBorders>
              <w:top w:val="nil"/>
              <w:bottom w:val="nil"/>
            </w:tcBorders>
            <w:shd w:val="clear" w:color="auto" w:fill="auto"/>
            <w:noWrap/>
            <w:vAlign w:val="bottom"/>
            <w:hideMark/>
          </w:tcPr>
          <w:p w14:paraId="4111B10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4,101</w:t>
            </w:r>
          </w:p>
        </w:tc>
        <w:tc>
          <w:tcPr>
            <w:tcW w:w="1087" w:type="dxa"/>
            <w:tcBorders>
              <w:top w:val="nil"/>
              <w:bottom w:val="nil"/>
            </w:tcBorders>
            <w:shd w:val="clear" w:color="auto" w:fill="auto"/>
            <w:noWrap/>
            <w:vAlign w:val="bottom"/>
            <w:hideMark/>
          </w:tcPr>
          <w:p w14:paraId="5EC0CBA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4,699</w:t>
            </w:r>
          </w:p>
        </w:tc>
        <w:tc>
          <w:tcPr>
            <w:tcW w:w="1087" w:type="dxa"/>
            <w:tcBorders>
              <w:top w:val="nil"/>
              <w:bottom w:val="nil"/>
              <w:right w:val="nil"/>
            </w:tcBorders>
            <w:shd w:val="clear" w:color="auto" w:fill="auto"/>
            <w:noWrap/>
            <w:vAlign w:val="bottom"/>
            <w:hideMark/>
          </w:tcPr>
          <w:p w14:paraId="2552BB4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5,020</w:t>
            </w:r>
          </w:p>
        </w:tc>
        <w:tc>
          <w:tcPr>
            <w:tcW w:w="1087" w:type="dxa"/>
            <w:tcBorders>
              <w:top w:val="nil"/>
              <w:left w:val="nil"/>
              <w:bottom w:val="nil"/>
              <w:right w:val="nil"/>
            </w:tcBorders>
            <w:shd w:val="clear" w:color="auto" w:fill="auto"/>
            <w:noWrap/>
            <w:vAlign w:val="bottom"/>
            <w:hideMark/>
          </w:tcPr>
          <w:p w14:paraId="71E6C62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4,940</w:t>
            </w:r>
          </w:p>
        </w:tc>
        <w:tc>
          <w:tcPr>
            <w:tcW w:w="1087" w:type="dxa"/>
            <w:tcBorders>
              <w:top w:val="nil"/>
              <w:left w:val="single" w:sz="4" w:space="0" w:color="auto"/>
              <w:bottom w:val="nil"/>
            </w:tcBorders>
            <w:shd w:val="clear" w:color="auto" w:fill="auto"/>
            <w:noWrap/>
            <w:vAlign w:val="bottom"/>
            <w:hideMark/>
          </w:tcPr>
          <w:p w14:paraId="3D4C33E3"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3,613</w:t>
            </w:r>
          </w:p>
        </w:tc>
      </w:tr>
      <w:tr w:rsidR="00654778" w:rsidRPr="007F6332" w14:paraId="4F2E13A2" w14:textId="77777777" w:rsidTr="00C1755E">
        <w:trPr>
          <w:trHeight w:val="285"/>
        </w:trPr>
        <w:tc>
          <w:tcPr>
            <w:tcW w:w="2830" w:type="dxa"/>
            <w:tcBorders>
              <w:top w:val="nil"/>
            </w:tcBorders>
            <w:shd w:val="clear" w:color="auto" w:fill="BFBFBF" w:themeFill="background1" w:themeFillShade="BF"/>
            <w:noWrap/>
            <w:vAlign w:val="bottom"/>
            <w:hideMark/>
          </w:tcPr>
          <w:p w14:paraId="5DB6C837"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Older adults (65+)</w:t>
            </w:r>
          </w:p>
        </w:tc>
        <w:tc>
          <w:tcPr>
            <w:tcW w:w="1086" w:type="dxa"/>
            <w:tcBorders>
              <w:top w:val="nil"/>
            </w:tcBorders>
            <w:shd w:val="clear" w:color="auto" w:fill="BFBFBF" w:themeFill="background1" w:themeFillShade="BF"/>
            <w:noWrap/>
            <w:vAlign w:val="bottom"/>
            <w:hideMark/>
          </w:tcPr>
          <w:p w14:paraId="482BD70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439</w:t>
            </w:r>
          </w:p>
        </w:tc>
        <w:tc>
          <w:tcPr>
            <w:tcW w:w="1087" w:type="dxa"/>
            <w:tcBorders>
              <w:top w:val="nil"/>
            </w:tcBorders>
            <w:shd w:val="clear" w:color="auto" w:fill="BFBFBF" w:themeFill="background1" w:themeFillShade="BF"/>
            <w:noWrap/>
            <w:vAlign w:val="bottom"/>
            <w:hideMark/>
          </w:tcPr>
          <w:p w14:paraId="54E5C4D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968</w:t>
            </w:r>
          </w:p>
        </w:tc>
        <w:tc>
          <w:tcPr>
            <w:tcW w:w="1087" w:type="dxa"/>
            <w:tcBorders>
              <w:top w:val="nil"/>
            </w:tcBorders>
            <w:shd w:val="clear" w:color="auto" w:fill="BFBFBF" w:themeFill="background1" w:themeFillShade="BF"/>
            <w:noWrap/>
            <w:vAlign w:val="bottom"/>
            <w:hideMark/>
          </w:tcPr>
          <w:p w14:paraId="0DBE6CD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1,393</w:t>
            </w:r>
          </w:p>
        </w:tc>
        <w:tc>
          <w:tcPr>
            <w:tcW w:w="1087" w:type="dxa"/>
            <w:tcBorders>
              <w:top w:val="nil"/>
              <w:right w:val="nil"/>
            </w:tcBorders>
            <w:shd w:val="clear" w:color="auto" w:fill="BFBFBF" w:themeFill="background1" w:themeFillShade="BF"/>
            <w:noWrap/>
            <w:vAlign w:val="bottom"/>
            <w:hideMark/>
          </w:tcPr>
          <w:p w14:paraId="5D63298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1,781</w:t>
            </w:r>
          </w:p>
        </w:tc>
        <w:tc>
          <w:tcPr>
            <w:tcW w:w="1087" w:type="dxa"/>
            <w:tcBorders>
              <w:top w:val="nil"/>
              <w:left w:val="nil"/>
              <w:right w:val="nil"/>
            </w:tcBorders>
            <w:shd w:val="clear" w:color="auto" w:fill="BFBFBF" w:themeFill="background1" w:themeFillShade="BF"/>
            <w:noWrap/>
            <w:vAlign w:val="bottom"/>
            <w:hideMark/>
          </w:tcPr>
          <w:p w14:paraId="403E338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2,137</w:t>
            </w:r>
          </w:p>
        </w:tc>
        <w:tc>
          <w:tcPr>
            <w:tcW w:w="1087" w:type="dxa"/>
            <w:tcBorders>
              <w:top w:val="nil"/>
              <w:left w:val="single" w:sz="4" w:space="0" w:color="auto"/>
            </w:tcBorders>
            <w:shd w:val="clear" w:color="auto" w:fill="BFBFBF" w:themeFill="background1" w:themeFillShade="BF"/>
            <w:noWrap/>
            <w:vAlign w:val="bottom"/>
            <w:hideMark/>
          </w:tcPr>
          <w:p w14:paraId="2D4BC76B"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3,658</w:t>
            </w:r>
          </w:p>
        </w:tc>
      </w:tr>
      <w:tr w:rsidR="00654778" w:rsidRPr="007F6332" w14:paraId="5D3465E4" w14:textId="77777777" w:rsidTr="00C1755E">
        <w:trPr>
          <w:trHeight w:val="285"/>
        </w:trPr>
        <w:tc>
          <w:tcPr>
            <w:tcW w:w="2830" w:type="dxa"/>
            <w:shd w:val="clear" w:color="auto" w:fill="B499B9"/>
            <w:noWrap/>
            <w:vAlign w:val="bottom"/>
            <w:hideMark/>
          </w:tcPr>
          <w:p w14:paraId="35B41DCC" w14:textId="77777777" w:rsidR="00654778" w:rsidRPr="007F6332" w:rsidRDefault="00654778" w:rsidP="000766DF">
            <w:pPr>
              <w:keepNext/>
              <w:keepLines/>
              <w:spacing w:after="0" w:line="240" w:lineRule="auto"/>
              <w:ind w:firstLineChars="100" w:firstLine="221"/>
              <w:rPr>
                <w:rFonts w:eastAsia="Times New Roman" w:cs="Arial"/>
                <w:b/>
                <w:bCs/>
                <w:color w:val="000000"/>
                <w:lang w:eastAsia="en-AU"/>
              </w:rPr>
            </w:pPr>
            <w:r w:rsidRPr="007F6332">
              <w:rPr>
                <w:rFonts w:eastAsia="Times New Roman" w:cs="Arial"/>
                <w:b/>
                <w:bCs/>
                <w:color w:val="000000"/>
                <w:lang w:eastAsia="en-AU"/>
              </w:rPr>
              <w:t>Total</w:t>
            </w:r>
          </w:p>
        </w:tc>
        <w:tc>
          <w:tcPr>
            <w:tcW w:w="1086" w:type="dxa"/>
            <w:shd w:val="clear" w:color="auto" w:fill="B499B9"/>
            <w:noWrap/>
            <w:vAlign w:val="bottom"/>
            <w:hideMark/>
          </w:tcPr>
          <w:p w14:paraId="59E7DCD2"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3,507</w:t>
            </w:r>
          </w:p>
        </w:tc>
        <w:tc>
          <w:tcPr>
            <w:tcW w:w="1087" w:type="dxa"/>
            <w:shd w:val="clear" w:color="auto" w:fill="B499B9"/>
            <w:noWrap/>
            <w:vAlign w:val="bottom"/>
            <w:hideMark/>
          </w:tcPr>
          <w:p w14:paraId="2F0F4998"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5,724</w:t>
            </w:r>
          </w:p>
        </w:tc>
        <w:tc>
          <w:tcPr>
            <w:tcW w:w="1087" w:type="dxa"/>
            <w:shd w:val="clear" w:color="auto" w:fill="B499B9"/>
            <w:noWrap/>
            <w:vAlign w:val="bottom"/>
            <w:hideMark/>
          </w:tcPr>
          <w:p w14:paraId="788715DF"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6,697</w:t>
            </w:r>
          </w:p>
        </w:tc>
        <w:tc>
          <w:tcPr>
            <w:tcW w:w="1087" w:type="dxa"/>
            <w:shd w:val="clear" w:color="auto" w:fill="B499B9"/>
            <w:noWrap/>
            <w:vAlign w:val="bottom"/>
            <w:hideMark/>
          </w:tcPr>
          <w:p w14:paraId="715EFB0E"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7,269</w:t>
            </w:r>
          </w:p>
        </w:tc>
        <w:tc>
          <w:tcPr>
            <w:tcW w:w="1087" w:type="dxa"/>
            <w:shd w:val="clear" w:color="auto" w:fill="B499B9"/>
            <w:noWrap/>
            <w:vAlign w:val="bottom"/>
            <w:hideMark/>
          </w:tcPr>
          <w:p w14:paraId="63D2296A"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7,259</w:t>
            </w:r>
          </w:p>
        </w:tc>
        <w:tc>
          <w:tcPr>
            <w:tcW w:w="1087" w:type="dxa"/>
            <w:shd w:val="clear" w:color="auto" w:fill="B499B9"/>
            <w:noWrap/>
            <w:vAlign w:val="bottom"/>
            <w:hideMark/>
          </w:tcPr>
          <w:p w14:paraId="108BC5EA"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6,593</w:t>
            </w:r>
          </w:p>
        </w:tc>
      </w:tr>
      <w:tr w:rsidR="00654778" w:rsidRPr="007F6332" w14:paraId="35F02706" w14:textId="77777777" w:rsidTr="00C1755E">
        <w:trPr>
          <w:trHeight w:val="300"/>
        </w:trPr>
        <w:tc>
          <w:tcPr>
            <w:tcW w:w="2830" w:type="dxa"/>
            <w:shd w:val="clear" w:color="auto" w:fill="A6A6A6" w:themeFill="background1" w:themeFillShade="A6"/>
            <w:noWrap/>
            <w:vAlign w:val="bottom"/>
            <w:hideMark/>
          </w:tcPr>
          <w:p w14:paraId="3E35CB66" w14:textId="77777777" w:rsidR="00654778" w:rsidRPr="007F6332" w:rsidRDefault="00654778" w:rsidP="000766DF">
            <w:pPr>
              <w:keepNext/>
              <w:keepLines/>
              <w:spacing w:after="0" w:line="240" w:lineRule="auto"/>
              <w:rPr>
                <w:rFonts w:eastAsia="Times New Roman" w:cs="Arial"/>
                <w:b/>
                <w:bCs/>
                <w:color w:val="000000"/>
                <w:lang w:eastAsia="en-AU"/>
              </w:rPr>
            </w:pPr>
            <w:r w:rsidRPr="007F6332">
              <w:rPr>
                <w:rFonts w:eastAsia="Times New Roman" w:cs="Arial"/>
                <w:b/>
                <w:bCs/>
                <w:color w:val="000000"/>
                <w:lang w:eastAsia="en-AU"/>
              </w:rPr>
              <w:t>% Difference</w:t>
            </w:r>
          </w:p>
        </w:tc>
        <w:tc>
          <w:tcPr>
            <w:tcW w:w="1086" w:type="dxa"/>
            <w:shd w:val="clear" w:color="auto" w:fill="A6A6A6" w:themeFill="background1" w:themeFillShade="A6"/>
            <w:noWrap/>
            <w:vAlign w:val="center"/>
            <w:hideMark/>
          </w:tcPr>
          <w:p w14:paraId="30C8CD4A"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2278636E"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7F8B3ABD"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1B59655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4F90834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c>
          <w:tcPr>
            <w:tcW w:w="1087" w:type="dxa"/>
            <w:shd w:val="clear" w:color="auto" w:fill="A6A6A6" w:themeFill="background1" w:themeFillShade="A6"/>
            <w:noWrap/>
            <w:vAlign w:val="center"/>
            <w:hideMark/>
          </w:tcPr>
          <w:p w14:paraId="7608429B"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 </w:t>
            </w:r>
          </w:p>
        </w:tc>
      </w:tr>
      <w:tr w:rsidR="00654778" w:rsidRPr="007F6332" w14:paraId="4EB36C20" w14:textId="77777777" w:rsidTr="00C1755E">
        <w:trPr>
          <w:trHeight w:val="285"/>
        </w:trPr>
        <w:tc>
          <w:tcPr>
            <w:tcW w:w="2830" w:type="dxa"/>
            <w:tcBorders>
              <w:bottom w:val="nil"/>
            </w:tcBorders>
            <w:shd w:val="clear" w:color="auto" w:fill="auto"/>
            <w:noWrap/>
            <w:vAlign w:val="bottom"/>
            <w:hideMark/>
          </w:tcPr>
          <w:p w14:paraId="5915EE9D"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Children (0 to 14)</w:t>
            </w:r>
          </w:p>
        </w:tc>
        <w:tc>
          <w:tcPr>
            <w:tcW w:w="1086" w:type="dxa"/>
            <w:tcBorders>
              <w:bottom w:val="nil"/>
            </w:tcBorders>
            <w:shd w:val="clear" w:color="auto" w:fill="auto"/>
            <w:noWrap/>
            <w:vAlign w:val="bottom"/>
            <w:hideMark/>
          </w:tcPr>
          <w:p w14:paraId="396FEA4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55%</w:t>
            </w:r>
          </w:p>
        </w:tc>
        <w:tc>
          <w:tcPr>
            <w:tcW w:w="1087" w:type="dxa"/>
            <w:tcBorders>
              <w:bottom w:val="nil"/>
            </w:tcBorders>
            <w:shd w:val="clear" w:color="auto" w:fill="auto"/>
            <w:noWrap/>
            <w:vAlign w:val="bottom"/>
            <w:hideMark/>
          </w:tcPr>
          <w:p w14:paraId="157B9F8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-15%</w:t>
            </w:r>
          </w:p>
        </w:tc>
        <w:tc>
          <w:tcPr>
            <w:tcW w:w="1087" w:type="dxa"/>
            <w:tcBorders>
              <w:bottom w:val="nil"/>
            </w:tcBorders>
            <w:shd w:val="clear" w:color="auto" w:fill="auto"/>
            <w:noWrap/>
            <w:vAlign w:val="bottom"/>
            <w:hideMark/>
          </w:tcPr>
          <w:p w14:paraId="42A4C46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-34%</w:t>
            </w:r>
          </w:p>
        </w:tc>
        <w:tc>
          <w:tcPr>
            <w:tcW w:w="1087" w:type="dxa"/>
            <w:tcBorders>
              <w:bottom w:val="nil"/>
              <w:right w:val="nil"/>
            </w:tcBorders>
            <w:shd w:val="clear" w:color="auto" w:fill="auto"/>
            <w:noWrap/>
            <w:vAlign w:val="bottom"/>
            <w:hideMark/>
          </w:tcPr>
          <w:p w14:paraId="4610927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-58%</w:t>
            </w:r>
          </w:p>
        </w:tc>
        <w:tc>
          <w:tcPr>
            <w:tcW w:w="1087" w:type="dxa"/>
            <w:tcBorders>
              <w:left w:val="nil"/>
              <w:bottom w:val="nil"/>
              <w:right w:val="nil"/>
            </w:tcBorders>
            <w:shd w:val="clear" w:color="auto" w:fill="auto"/>
            <w:noWrap/>
            <w:vAlign w:val="bottom"/>
            <w:hideMark/>
          </w:tcPr>
          <w:p w14:paraId="04D0C02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-79%</w:t>
            </w:r>
          </w:p>
        </w:tc>
        <w:tc>
          <w:tcPr>
            <w:tcW w:w="1087" w:type="dxa"/>
            <w:tcBorders>
              <w:left w:val="single" w:sz="4" w:space="0" w:color="auto"/>
              <w:bottom w:val="nil"/>
            </w:tcBorders>
            <w:shd w:val="clear" w:color="auto" w:fill="auto"/>
            <w:noWrap/>
            <w:vAlign w:val="bottom"/>
            <w:hideMark/>
          </w:tcPr>
          <w:p w14:paraId="5768132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-95%</w:t>
            </w:r>
          </w:p>
        </w:tc>
      </w:tr>
      <w:tr w:rsidR="00654778" w:rsidRPr="007F6332" w14:paraId="52B267AC" w14:textId="77777777" w:rsidTr="00C1755E">
        <w:trPr>
          <w:trHeight w:val="285"/>
        </w:trPr>
        <w:tc>
          <w:tcPr>
            <w:tcW w:w="2830" w:type="dxa"/>
            <w:tcBorders>
              <w:top w:val="nil"/>
              <w:bottom w:val="nil"/>
            </w:tcBorders>
            <w:shd w:val="clear" w:color="auto" w:fill="BFBFBF" w:themeFill="background1" w:themeFillShade="BF"/>
            <w:noWrap/>
            <w:vAlign w:val="bottom"/>
            <w:hideMark/>
          </w:tcPr>
          <w:p w14:paraId="5447E0DD"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Young Adults (15 to 24)</w:t>
            </w:r>
          </w:p>
        </w:tc>
        <w:tc>
          <w:tcPr>
            <w:tcW w:w="1086" w:type="dxa"/>
            <w:tcBorders>
              <w:top w:val="nil"/>
              <w:bottom w:val="nil"/>
            </w:tcBorders>
            <w:shd w:val="clear" w:color="auto" w:fill="BFBFBF" w:themeFill="background1" w:themeFillShade="BF"/>
            <w:noWrap/>
            <w:vAlign w:val="bottom"/>
            <w:hideMark/>
          </w:tcPr>
          <w:p w14:paraId="648A64E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c>
          <w:tcPr>
            <w:tcW w:w="1087" w:type="dxa"/>
            <w:tcBorders>
              <w:top w:val="nil"/>
              <w:bottom w:val="nil"/>
            </w:tcBorders>
            <w:shd w:val="clear" w:color="auto" w:fill="BFBFBF" w:themeFill="background1" w:themeFillShade="BF"/>
            <w:noWrap/>
            <w:vAlign w:val="bottom"/>
            <w:hideMark/>
          </w:tcPr>
          <w:p w14:paraId="2C4F1F2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25%</w:t>
            </w:r>
          </w:p>
        </w:tc>
        <w:tc>
          <w:tcPr>
            <w:tcW w:w="1087" w:type="dxa"/>
            <w:tcBorders>
              <w:top w:val="nil"/>
              <w:bottom w:val="nil"/>
            </w:tcBorders>
            <w:shd w:val="clear" w:color="auto" w:fill="BFBFBF" w:themeFill="background1" w:themeFillShade="BF"/>
            <w:noWrap/>
            <w:vAlign w:val="bottom"/>
            <w:hideMark/>
          </w:tcPr>
          <w:p w14:paraId="726C194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22%</w:t>
            </w:r>
          </w:p>
        </w:tc>
        <w:tc>
          <w:tcPr>
            <w:tcW w:w="1087" w:type="dxa"/>
            <w:tcBorders>
              <w:top w:val="nil"/>
              <w:bottom w:val="nil"/>
              <w:right w:val="nil"/>
            </w:tcBorders>
            <w:shd w:val="clear" w:color="auto" w:fill="BFBFBF" w:themeFill="background1" w:themeFillShade="BF"/>
            <w:noWrap/>
            <w:vAlign w:val="bottom"/>
            <w:hideMark/>
          </w:tcPr>
          <w:p w14:paraId="381386E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16%</w:t>
            </w:r>
          </w:p>
        </w:tc>
        <w:tc>
          <w:tcPr>
            <w:tcW w:w="1087" w:type="dxa"/>
            <w:tcBorders>
              <w:top w:val="nil"/>
              <w:left w:val="nil"/>
              <w:bottom w:val="nil"/>
              <w:right w:val="nil"/>
            </w:tcBorders>
            <w:shd w:val="clear" w:color="auto" w:fill="BFBFBF" w:themeFill="background1" w:themeFillShade="BF"/>
            <w:noWrap/>
            <w:vAlign w:val="bottom"/>
            <w:hideMark/>
          </w:tcPr>
          <w:p w14:paraId="602AFCF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6%</w:t>
            </w:r>
          </w:p>
        </w:tc>
        <w:tc>
          <w:tcPr>
            <w:tcW w:w="1087" w:type="dxa"/>
            <w:tcBorders>
              <w:top w:val="nil"/>
              <w:left w:val="single" w:sz="4" w:space="0" w:color="auto"/>
              <w:bottom w:val="nil"/>
            </w:tcBorders>
            <w:shd w:val="clear" w:color="auto" w:fill="BFBFBF" w:themeFill="background1" w:themeFillShade="BF"/>
            <w:noWrap/>
            <w:vAlign w:val="bottom"/>
            <w:hideMark/>
          </w:tcPr>
          <w:p w14:paraId="6C389B80"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-13%</w:t>
            </w:r>
          </w:p>
        </w:tc>
      </w:tr>
      <w:tr w:rsidR="00654778" w:rsidRPr="007F6332" w14:paraId="5A4F7710" w14:textId="77777777" w:rsidTr="00C1755E">
        <w:trPr>
          <w:trHeight w:val="285"/>
        </w:trPr>
        <w:tc>
          <w:tcPr>
            <w:tcW w:w="2830" w:type="dxa"/>
            <w:tcBorders>
              <w:top w:val="nil"/>
              <w:bottom w:val="nil"/>
            </w:tcBorders>
            <w:shd w:val="clear" w:color="auto" w:fill="auto"/>
            <w:noWrap/>
            <w:vAlign w:val="bottom"/>
            <w:hideMark/>
          </w:tcPr>
          <w:p w14:paraId="21401A29"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Adults (25 to 64)</w:t>
            </w:r>
          </w:p>
        </w:tc>
        <w:tc>
          <w:tcPr>
            <w:tcW w:w="1086" w:type="dxa"/>
            <w:tcBorders>
              <w:top w:val="nil"/>
              <w:bottom w:val="nil"/>
            </w:tcBorders>
            <w:shd w:val="clear" w:color="auto" w:fill="auto"/>
            <w:noWrap/>
            <w:vAlign w:val="bottom"/>
            <w:hideMark/>
          </w:tcPr>
          <w:p w14:paraId="33386738"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c>
          <w:tcPr>
            <w:tcW w:w="1087" w:type="dxa"/>
            <w:tcBorders>
              <w:top w:val="nil"/>
              <w:bottom w:val="nil"/>
            </w:tcBorders>
            <w:shd w:val="clear" w:color="auto" w:fill="auto"/>
            <w:noWrap/>
            <w:vAlign w:val="bottom"/>
            <w:hideMark/>
          </w:tcPr>
          <w:p w14:paraId="15DC9E65"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17%</w:t>
            </w:r>
          </w:p>
        </w:tc>
        <w:tc>
          <w:tcPr>
            <w:tcW w:w="1087" w:type="dxa"/>
            <w:tcBorders>
              <w:top w:val="nil"/>
              <w:bottom w:val="nil"/>
            </w:tcBorders>
            <w:shd w:val="clear" w:color="auto" w:fill="auto"/>
            <w:noWrap/>
            <w:vAlign w:val="bottom"/>
            <w:hideMark/>
          </w:tcPr>
          <w:p w14:paraId="4BB5545E"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w:t>
            </w:r>
          </w:p>
        </w:tc>
        <w:tc>
          <w:tcPr>
            <w:tcW w:w="1087" w:type="dxa"/>
            <w:tcBorders>
              <w:top w:val="nil"/>
              <w:bottom w:val="nil"/>
              <w:right w:val="nil"/>
            </w:tcBorders>
            <w:shd w:val="clear" w:color="auto" w:fill="auto"/>
            <w:noWrap/>
            <w:vAlign w:val="bottom"/>
            <w:hideMark/>
          </w:tcPr>
          <w:p w14:paraId="0672858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20%</w:t>
            </w:r>
          </w:p>
        </w:tc>
        <w:tc>
          <w:tcPr>
            <w:tcW w:w="1087" w:type="dxa"/>
            <w:tcBorders>
              <w:top w:val="nil"/>
              <w:left w:val="nil"/>
              <w:bottom w:val="nil"/>
              <w:right w:val="nil"/>
            </w:tcBorders>
            <w:shd w:val="clear" w:color="auto" w:fill="auto"/>
            <w:noWrap/>
            <w:vAlign w:val="bottom"/>
            <w:hideMark/>
          </w:tcPr>
          <w:p w14:paraId="72792451"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19%</w:t>
            </w:r>
          </w:p>
        </w:tc>
        <w:tc>
          <w:tcPr>
            <w:tcW w:w="1087" w:type="dxa"/>
            <w:tcBorders>
              <w:top w:val="nil"/>
              <w:left w:val="single" w:sz="4" w:space="0" w:color="auto"/>
              <w:bottom w:val="nil"/>
            </w:tcBorders>
            <w:shd w:val="clear" w:color="auto" w:fill="auto"/>
            <w:noWrap/>
            <w:vAlign w:val="bottom"/>
            <w:hideMark/>
          </w:tcPr>
          <w:p w14:paraId="2C7331EF"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11%</w:t>
            </w:r>
          </w:p>
        </w:tc>
      </w:tr>
      <w:tr w:rsidR="00654778" w:rsidRPr="007F6332" w14:paraId="342F47F5" w14:textId="77777777" w:rsidTr="00C1755E">
        <w:trPr>
          <w:trHeight w:val="285"/>
        </w:trPr>
        <w:tc>
          <w:tcPr>
            <w:tcW w:w="2830" w:type="dxa"/>
            <w:tcBorders>
              <w:top w:val="nil"/>
            </w:tcBorders>
            <w:shd w:val="clear" w:color="auto" w:fill="BFBFBF" w:themeFill="background1" w:themeFillShade="BF"/>
            <w:noWrap/>
            <w:vAlign w:val="bottom"/>
            <w:hideMark/>
          </w:tcPr>
          <w:p w14:paraId="35978777" w14:textId="77777777" w:rsidR="00654778" w:rsidRPr="007F6332" w:rsidRDefault="00654778" w:rsidP="000766DF">
            <w:pPr>
              <w:keepNext/>
              <w:keepLines/>
              <w:spacing w:after="0" w:line="240" w:lineRule="auto"/>
              <w:ind w:firstLineChars="100" w:firstLine="220"/>
              <w:rPr>
                <w:rFonts w:eastAsia="Times New Roman" w:cs="Arial"/>
                <w:color w:val="000000"/>
                <w:lang w:eastAsia="en-AU"/>
              </w:rPr>
            </w:pPr>
            <w:r w:rsidRPr="007F6332">
              <w:rPr>
                <w:rFonts w:eastAsia="Times New Roman" w:cs="Arial"/>
                <w:color w:val="000000"/>
                <w:lang w:eastAsia="en-AU"/>
              </w:rPr>
              <w:t>Older adults (65+)</w:t>
            </w:r>
          </w:p>
        </w:tc>
        <w:tc>
          <w:tcPr>
            <w:tcW w:w="1086" w:type="dxa"/>
            <w:tcBorders>
              <w:top w:val="nil"/>
            </w:tcBorders>
            <w:shd w:val="clear" w:color="auto" w:fill="BFBFBF" w:themeFill="background1" w:themeFillShade="BF"/>
            <w:noWrap/>
            <w:vAlign w:val="bottom"/>
            <w:hideMark/>
          </w:tcPr>
          <w:p w14:paraId="1134B43A"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16%</w:t>
            </w:r>
          </w:p>
        </w:tc>
        <w:tc>
          <w:tcPr>
            <w:tcW w:w="1087" w:type="dxa"/>
            <w:tcBorders>
              <w:top w:val="nil"/>
            </w:tcBorders>
            <w:shd w:val="clear" w:color="auto" w:fill="BFBFBF" w:themeFill="background1" w:themeFillShade="BF"/>
            <w:noWrap/>
            <w:vAlign w:val="bottom"/>
            <w:hideMark/>
          </w:tcPr>
          <w:p w14:paraId="2DF2E04D"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30%</w:t>
            </w:r>
          </w:p>
        </w:tc>
        <w:tc>
          <w:tcPr>
            <w:tcW w:w="1087" w:type="dxa"/>
            <w:tcBorders>
              <w:top w:val="nil"/>
            </w:tcBorders>
            <w:shd w:val="clear" w:color="auto" w:fill="BFBFBF" w:themeFill="background1" w:themeFillShade="BF"/>
            <w:noWrap/>
            <w:vAlign w:val="bottom"/>
            <w:hideMark/>
          </w:tcPr>
          <w:p w14:paraId="5993AB89"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38%</w:t>
            </w:r>
          </w:p>
        </w:tc>
        <w:tc>
          <w:tcPr>
            <w:tcW w:w="1087" w:type="dxa"/>
            <w:tcBorders>
              <w:top w:val="nil"/>
              <w:right w:val="nil"/>
            </w:tcBorders>
            <w:shd w:val="clear" w:color="auto" w:fill="BFBFBF" w:themeFill="background1" w:themeFillShade="BF"/>
            <w:noWrap/>
            <w:vAlign w:val="bottom"/>
            <w:hideMark/>
          </w:tcPr>
          <w:p w14:paraId="11287E24"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44%</w:t>
            </w:r>
          </w:p>
        </w:tc>
        <w:tc>
          <w:tcPr>
            <w:tcW w:w="1087" w:type="dxa"/>
            <w:tcBorders>
              <w:top w:val="nil"/>
              <w:left w:val="nil"/>
              <w:right w:val="nil"/>
            </w:tcBorders>
            <w:shd w:val="clear" w:color="auto" w:fill="BFBFBF" w:themeFill="background1" w:themeFillShade="BF"/>
            <w:noWrap/>
            <w:vAlign w:val="bottom"/>
            <w:hideMark/>
          </w:tcPr>
          <w:p w14:paraId="597BD69C"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48%</w:t>
            </w:r>
          </w:p>
        </w:tc>
        <w:tc>
          <w:tcPr>
            <w:tcW w:w="1087" w:type="dxa"/>
            <w:tcBorders>
              <w:top w:val="nil"/>
              <w:left w:val="single" w:sz="4" w:space="0" w:color="auto"/>
            </w:tcBorders>
            <w:shd w:val="clear" w:color="auto" w:fill="BFBFBF" w:themeFill="background1" w:themeFillShade="BF"/>
            <w:noWrap/>
            <w:vAlign w:val="bottom"/>
            <w:hideMark/>
          </w:tcPr>
          <w:p w14:paraId="7EE50CF6" w14:textId="77777777" w:rsidR="00654778" w:rsidRPr="007F6332" w:rsidRDefault="00654778" w:rsidP="000766DF">
            <w:pPr>
              <w:keepNext/>
              <w:keepLines/>
              <w:spacing w:after="0" w:line="240" w:lineRule="auto"/>
              <w:jc w:val="right"/>
              <w:rPr>
                <w:rFonts w:eastAsia="Times New Roman" w:cs="Arial"/>
                <w:color w:val="000000"/>
                <w:lang w:eastAsia="en-AU"/>
              </w:rPr>
            </w:pPr>
            <w:r w:rsidRPr="007F6332">
              <w:rPr>
                <w:rFonts w:eastAsia="Times New Roman" w:cs="Arial"/>
                <w:color w:val="000000"/>
                <w:lang w:eastAsia="en-AU"/>
              </w:rPr>
              <w:t>57%</w:t>
            </w:r>
          </w:p>
        </w:tc>
      </w:tr>
      <w:tr w:rsidR="00654778" w:rsidRPr="007F6332" w14:paraId="5ACF2F6D" w14:textId="77777777" w:rsidTr="00C1755E">
        <w:trPr>
          <w:trHeight w:val="285"/>
        </w:trPr>
        <w:tc>
          <w:tcPr>
            <w:tcW w:w="2830" w:type="dxa"/>
            <w:tcBorders>
              <w:bottom w:val="single" w:sz="4" w:space="0" w:color="auto"/>
            </w:tcBorders>
            <w:shd w:val="clear" w:color="auto" w:fill="B499B9"/>
            <w:noWrap/>
            <w:vAlign w:val="bottom"/>
            <w:hideMark/>
          </w:tcPr>
          <w:p w14:paraId="14E84EF5" w14:textId="77777777" w:rsidR="00654778" w:rsidRPr="007F6332" w:rsidRDefault="00654778" w:rsidP="000766DF">
            <w:pPr>
              <w:keepNext/>
              <w:keepLines/>
              <w:spacing w:after="0" w:line="240" w:lineRule="auto"/>
              <w:ind w:firstLineChars="100" w:firstLine="221"/>
              <w:rPr>
                <w:rFonts w:eastAsia="Times New Roman" w:cs="Arial"/>
                <w:b/>
                <w:bCs/>
                <w:color w:val="000000"/>
                <w:lang w:eastAsia="en-AU"/>
              </w:rPr>
            </w:pPr>
            <w:r w:rsidRPr="007F6332">
              <w:rPr>
                <w:rFonts w:eastAsia="Times New Roman" w:cs="Arial"/>
                <w:b/>
                <w:bCs/>
                <w:color w:val="000000"/>
                <w:lang w:eastAsia="en-AU"/>
              </w:rPr>
              <w:t>Total</w:t>
            </w:r>
          </w:p>
        </w:tc>
        <w:tc>
          <w:tcPr>
            <w:tcW w:w="1086" w:type="dxa"/>
            <w:tcBorders>
              <w:bottom w:val="single" w:sz="4" w:space="0" w:color="auto"/>
            </w:tcBorders>
            <w:shd w:val="clear" w:color="auto" w:fill="B499B9"/>
            <w:noWrap/>
            <w:vAlign w:val="bottom"/>
            <w:hideMark/>
          </w:tcPr>
          <w:p w14:paraId="2F29D563"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12%</w:t>
            </w:r>
          </w:p>
        </w:tc>
        <w:tc>
          <w:tcPr>
            <w:tcW w:w="1087" w:type="dxa"/>
            <w:tcBorders>
              <w:bottom w:val="single" w:sz="4" w:space="0" w:color="auto"/>
            </w:tcBorders>
            <w:shd w:val="clear" w:color="auto" w:fill="B499B9"/>
            <w:noWrap/>
            <w:vAlign w:val="bottom"/>
            <w:hideMark/>
          </w:tcPr>
          <w:p w14:paraId="72EBFC45"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19%</w:t>
            </w:r>
          </w:p>
        </w:tc>
        <w:tc>
          <w:tcPr>
            <w:tcW w:w="1087" w:type="dxa"/>
            <w:tcBorders>
              <w:bottom w:val="single" w:sz="4" w:space="0" w:color="auto"/>
            </w:tcBorders>
            <w:shd w:val="clear" w:color="auto" w:fill="B499B9"/>
            <w:noWrap/>
            <w:vAlign w:val="bottom"/>
            <w:hideMark/>
          </w:tcPr>
          <w:p w14:paraId="6239E3F1"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w:t>
            </w:r>
          </w:p>
        </w:tc>
        <w:tc>
          <w:tcPr>
            <w:tcW w:w="1087" w:type="dxa"/>
            <w:tcBorders>
              <w:bottom w:val="single" w:sz="4" w:space="0" w:color="auto"/>
              <w:right w:val="nil"/>
            </w:tcBorders>
            <w:shd w:val="clear" w:color="auto" w:fill="B499B9"/>
            <w:noWrap/>
            <w:vAlign w:val="bottom"/>
            <w:hideMark/>
          </w:tcPr>
          <w:p w14:paraId="61EA7E93"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22%</w:t>
            </w:r>
          </w:p>
        </w:tc>
        <w:tc>
          <w:tcPr>
            <w:tcW w:w="1087" w:type="dxa"/>
            <w:tcBorders>
              <w:left w:val="nil"/>
              <w:bottom w:val="single" w:sz="4" w:space="0" w:color="auto"/>
              <w:right w:val="nil"/>
            </w:tcBorders>
            <w:shd w:val="clear" w:color="auto" w:fill="B499B9"/>
            <w:noWrap/>
            <w:vAlign w:val="bottom"/>
            <w:hideMark/>
          </w:tcPr>
          <w:p w14:paraId="7C06A810"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21%</w:t>
            </w:r>
          </w:p>
        </w:tc>
        <w:tc>
          <w:tcPr>
            <w:tcW w:w="1087" w:type="dxa"/>
            <w:tcBorders>
              <w:left w:val="single" w:sz="4" w:space="0" w:color="auto"/>
              <w:bottom w:val="single" w:sz="4" w:space="0" w:color="auto"/>
            </w:tcBorders>
            <w:shd w:val="clear" w:color="auto" w:fill="B499B9"/>
            <w:noWrap/>
            <w:vAlign w:val="bottom"/>
            <w:hideMark/>
          </w:tcPr>
          <w:p w14:paraId="266A65C6" w14:textId="77777777" w:rsidR="00654778" w:rsidRPr="007F6332" w:rsidRDefault="00654778" w:rsidP="000766DF">
            <w:pPr>
              <w:keepNext/>
              <w:keepLines/>
              <w:spacing w:after="0" w:line="240" w:lineRule="auto"/>
              <w:jc w:val="right"/>
              <w:rPr>
                <w:rFonts w:eastAsia="Times New Roman" w:cs="Arial"/>
                <w:b/>
                <w:bCs/>
                <w:color w:val="000000"/>
                <w:lang w:eastAsia="en-AU"/>
              </w:rPr>
            </w:pPr>
            <w:r w:rsidRPr="007F6332">
              <w:rPr>
                <w:rFonts w:eastAsia="Times New Roman" w:cs="Arial"/>
                <w:b/>
                <w:bCs/>
                <w:color w:val="000000"/>
                <w:lang w:eastAsia="en-AU"/>
              </w:rPr>
              <w:t>15%</w:t>
            </w:r>
          </w:p>
        </w:tc>
      </w:tr>
    </w:tbl>
    <w:p w14:paraId="54EB2E4E" w14:textId="10ED859A" w:rsidR="004643ED" w:rsidRPr="007F6332" w:rsidRDefault="001F171D" w:rsidP="00EF6B24">
      <w:pPr>
        <w:pStyle w:val="FSRHeading4"/>
      </w:pPr>
      <w:r w:rsidRPr="007F6332">
        <w:t>Modelling of future demand for SIL supports</w:t>
      </w:r>
    </w:p>
    <w:p w14:paraId="73A50EAA" w14:textId="1E892812" w:rsidR="00C270E9" w:rsidRPr="007F6332" w:rsidRDefault="00742973" w:rsidP="004419AD">
      <w:pPr>
        <w:pStyle w:val="FSRnormal"/>
        <w:spacing w:before="120" w:after="120"/>
        <w:rPr>
          <w:rFonts w:cs="Arial"/>
          <w:bCs/>
          <w:iCs/>
        </w:rPr>
      </w:pPr>
      <w:r w:rsidRPr="007F6332">
        <w:rPr>
          <w:rFonts w:cs="Arial"/>
          <w:bCs/>
          <w:iCs/>
        </w:rPr>
        <w:t xml:space="preserve">Since the previous review, </w:t>
      </w:r>
      <w:r w:rsidR="00C8205F" w:rsidRPr="007F6332">
        <w:rPr>
          <w:rFonts w:cs="Arial"/>
          <w:bCs/>
          <w:iCs/>
        </w:rPr>
        <w:t>new</w:t>
      </w:r>
      <w:r w:rsidR="00E26E89" w:rsidRPr="007F6332">
        <w:rPr>
          <w:rFonts w:cs="Arial"/>
          <w:bCs/>
          <w:iCs/>
        </w:rPr>
        <w:t xml:space="preserve"> </w:t>
      </w:r>
      <w:r w:rsidR="00BC5B44" w:rsidRPr="007F6332">
        <w:rPr>
          <w:rFonts w:cs="Arial"/>
          <w:bCs/>
          <w:iCs/>
        </w:rPr>
        <w:t>investigati</w:t>
      </w:r>
      <w:r w:rsidR="00C8205F" w:rsidRPr="007F6332">
        <w:rPr>
          <w:rFonts w:cs="Arial"/>
          <w:bCs/>
          <w:iCs/>
        </w:rPr>
        <w:t>o</w:t>
      </w:r>
      <w:r w:rsidR="00BC5B44" w:rsidRPr="007F6332">
        <w:rPr>
          <w:rFonts w:cs="Arial"/>
          <w:bCs/>
          <w:iCs/>
        </w:rPr>
        <w:t xml:space="preserve">n and </w:t>
      </w:r>
      <w:r w:rsidR="00E26E89" w:rsidRPr="007F6332">
        <w:rPr>
          <w:rFonts w:cs="Arial"/>
          <w:bCs/>
          <w:iCs/>
        </w:rPr>
        <w:t>modelling</w:t>
      </w:r>
      <w:r w:rsidR="00C8205F" w:rsidRPr="007F6332">
        <w:rPr>
          <w:rFonts w:cs="Arial"/>
          <w:bCs/>
          <w:iCs/>
        </w:rPr>
        <w:t xml:space="preserve"> has been undertaken on</w:t>
      </w:r>
      <w:r w:rsidR="00E26E89" w:rsidRPr="007F6332">
        <w:rPr>
          <w:rFonts w:cs="Arial"/>
          <w:bCs/>
          <w:iCs/>
        </w:rPr>
        <w:t xml:space="preserve"> the future demand for SIL </w:t>
      </w:r>
      <w:r w:rsidR="004419AD" w:rsidRPr="007F6332">
        <w:rPr>
          <w:rFonts w:cs="Arial"/>
          <w:bCs/>
          <w:iCs/>
        </w:rPr>
        <w:t xml:space="preserve">supports </w:t>
      </w:r>
      <w:r w:rsidR="00E26E89" w:rsidRPr="007F6332">
        <w:rPr>
          <w:rFonts w:cs="Arial"/>
          <w:bCs/>
          <w:iCs/>
        </w:rPr>
        <w:t>in the NDIS. The outputs from th</w:t>
      </w:r>
      <w:r w:rsidR="00D163E6" w:rsidRPr="007F6332">
        <w:rPr>
          <w:rFonts w:cs="Arial"/>
          <w:bCs/>
          <w:iCs/>
        </w:rPr>
        <w:t>is</w:t>
      </w:r>
      <w:r w:rsidR="00E26E89" w:rsidRPr="007F6332">
        <w:rPr>
          <w:rFonts w:cs="Arial"/>
          <w:bCs/>
          <w:iCs/>
        </w:rPr>
        <w:t xml:space="preserve"> modelling have </w:t>
      </w:r>
      <w:r w:rsidR="00D163E6" w:rsidRPr="007F6332">
        <w:rPr>
          <w:rFonts w:cs="Arial"/>
          <w:bCs/>
          <w:iCs/>
        </w:rPr>
        <w:t>provided</w:t>
      </w:r>
      <w:r w:rsidR="00E26E89" w:rsidRPr="007F6332">
        <w:rPr>
          <w:rFonts w:cs="Arial"/>
          <w:bCs/>
          <w:iCs/>
        </w:rPr>
        <w:t xml:space="preserve"> a reasonableness check on assumptions underlying the June 2023 projections and </w:t>
      </w:r>
      <w:r w:rsidR="003B6E8B" w:rsidRPr="007F6332">
        <w:rPr>
          <w:rFonts w:cs="Arial"/>
          <w:bCs/>
          <w:iCs/>
        </w:rPr>
        <w:t xml:space="preserve">the </w:t>
      </w:r>
      <w:r w:rsidR="00E26E89" w:rsidRPr="007F6332">
        <w:rPr>
          <w:rFonts w:cs="Arial"/>
          <w:bCs/>
          <w:iCs/>
        </w:rPr>
        <w:t xml:space="preserve">expected trajectory of the number of participants with SIL. </w:t>
      </w:r>
      <w:r w:rsidR="00942CEB" w:rsidRPr="007F6332">
        <w:rPr>
          <w:rFonts w:cs="Arial"/>
          <w:bCs/>
          <w:iCs/>
        </w:rPr>
        <w:t>However, it is important to recognise that there remains significant uncertainty about</w:t>
      </w:r>
      <w:r w:rsidR="00E017EC" w:rsidRPr="007F6332">
        <w:rPr>
          <w:rFonts w:cs="Arial"/>
          <w:bCs/>
          <w:iCs/>
        </w:rPr>
        <w:t xml:space="preserve"> how and when participants may transition into SIL arrangements in the future, and also the extent to which </w:t>
      </w:r>
      <w:r w:rsidR="00E124B3" w:rsidRPr="007F6332">
        <w:rPr>
          <w:rFonts w:cs="Arial"/>
          <w:bCs/>
          <w:iCs/>
        </w:rPr>
        <w:t xml:space="preserve">alternative models of H&amp;L supports </w:t>
      </w:r>
      <w:r w:rsidR="00C270E9" w:rsidRPr="007F6332">
        <w:rPr>
          <w:rFonts w:cs="Arial"/>
          <w:bCs/>
          <w:iCs/>
        </w:rPr>
        <w:t>may be</w:t>
      </w:r>
      <w:r w:rsidR="00E124B3" w:rsidRPr="007F6332">
        <w:rPr>
          <w:rFonts w:cs="Arial"/>
          <w:bCs/>
          <w:iCs/>
        </w:rPr>
        <w:t xml:space="preserve"> taken up by participants</w:t>
      </w:r>
      <w:r w:rsidR="00677681" w:rsidRPr="007F6332">
        <w:rPr>
          <w:rFonts w:cs="Arial"/>
          <w:bCs/>
          <w:iCs/>
        </w:rPr>
        <w:t xml:space="preserve"> instead of what is currently </w:t>
      </w:r>
      <w:r w:rsidR="00C270E9" w:rsidRPr="007F6332">
        <w:rPr>
          <w:rFonts w:cs="Arial"/>
          <w:bCs/>
          <w:iCs/>
        </w:rPr>
        <w:t>describ</w:t>
      </w:r>
      <w:r w:rsidR="00677681" w:rsidRPr="007F6332">
        <w:rPr>
          <w:rFonts w:cs="Arial"/>
          <w:bCs/>
          <w:iCs/>
        </w:rPr>
        <w:t>ed as</w:t>
      </w:r>
      <w:r w:rsidR="00576038" w:rsidRPr="007F6332">
        <w:rPr>
          <w:rFonts w:cs="Arial"/>
          <w:bCs/>
          <w:iCs/>
        </w:rPr>
        <w:t xml:space="preserve"> SIL</w:t>
      </w:r>
      <w:r w:rsidR="00E124B3" w:rsidRPr="007F6332">
        <w:rPr>
          <w:rFonts w:cs="Arial"/>
          <w:bCs/>
          <w:iCs/>
        </w:rPr>
        <w:t xml:space="preserve">. </w:t>
      </w:r>
    </w:p>
    <w:p w14:paraId="5D93288B" w14:textId="0CBFF5CD" w:rsidR="00AE250F" w:rsidRPr="007F6332" w:rsidRDefault="00AE250F" w:rsidP="009949E2">
      <w:pPr>
        <w:pStyle w:val="FSRnormal"/>
        <w:spacing w:before="120" w:after="120"/>
        <w:rPr>
          <w:rFonts w:cs="Arial"/>
          <w:bCs/>
          <w:iCs/>
        </w:rPr>
      </w:pPr>
      <w:r w:rsidRPr="007F6332">
        <w:rPr>
          <w:rFonts w:cs="Arial"/>
          <w:bCs/>
          <w:iCs/>
        </w:rPr>
        <w:t xml:space="preserve">The </w:t>
      </w:r>
      <w:r w:rsidR="004346A7" w:rsidRPr="007F6332">
        <w:rPr>
          <w:rFonts w:cs="Arial"/>
          <w:bCs/>
          <w:iCs/>
        </w:rPr>
        <w:t xml:space="preserve">investigation was focused on the </w:t>
      </w:r>
      <w:r w:rsidRPr="007F6332">
        <w:rPr>
          <w:rFonts w:cs="Arial"/>
          <w:bCs/>
          <w:iCs/>
        </w:rPr>
        <w:t xml:space="preserve">volume and types of participants who are not currently in SIL arrangements but might be expected to transition into SIL supports at some point. </w:t>
      </w:r>
      <w:r w:rsidR="00884184" w:rsidRPr="007F6332">
        <w:rPr>
          <w:rFonts w:cs="Arial"/>
          <w:bCs/>
          <w:iCs/>
        </w:rPr>
        <w:t>P</w:t>
      </w:r>
      <w:r w:rsidRPr="007F6332">
        <w:rPr>
          <w:rFonts w:cs="Arial"/>
          <w:bCs/>
          <w:iCs/>
        </w:rPr>
        <w:t xml:space="preserve">articipants </w:t>
      </w:r>
      <w:r w:rsidR="003F13CC" w:rsidRPr="007F6332">
        <w:rPr>
          <w:rFonts w:cs="Arial"/>
          <w:bCs/>
          <w:iCs/>
        </w:rPr>
        <w:t>with</w:t>
      </w:r>
      <w:r w:rsidRPr="007F6332">
        <w:rPr>
          <w:rFonts w:cs="Arial"/>
          <w:bCs/>
          <w:iCs/>
        </w:rPr>
        <w:t xml:space="preserve"> similar characteristics and support needs to those who are already in SIL</w:t>
      </w:r>
      <w:r w:rsidR="00D12E7E" w:rsidRPr="007F6332">
        <w:rPr>
          <w:rFonts w:cs="Arial"/>
          <w:bCs/>
          <w:iCs/>
        </w:rPr>
        <w:t>, or those who ha</w:t>
      </w:r>
      <w:r w:rsidR="008F5541" w:rsidRPr="007F6332">
        <w:rPr>
          <w:rFonts w:cs="Arial"/>
          <w:bCs/>
          <w:iCs/>
        </w:rPr>
        <w:t xml:space="preserve">ve been found eligible for SIL based on a H&amp;L decision, </w:t>
      </w:r>
      <w:r w:rsidR="00884184" w:rsidRPr="007F6332">
        <w:rPr>
          <w:rFonts w:cs="Arial"/>
          <w:bCs/>
          <w:iCs/>
        </w:rPr>
        <w:t>were identified</w:t>
      </w:r>
      <w:r w:rsidR="008D1FDF" w:rsidRPr="007F6332">
        <w:rPr>
          <w:rFonts w:cs="Arial"/>
          <w:bCs/>
          <w:iCs/>
        </w:rPr>
        <w:t>. As not all of these participants would be expected to transition into SIL arrangements, assumptions were then developed about</w:t>
      </w:r>
      <w:r w:rsidRPr="007F6332">
        <w:rPr>
          <w:rFonts w:cs="Arial"/>
          <w:bCs/>
          <w:iCs/>
        </w:rPr>
        <w:t xml:space="preserve"> the pa</w:t>
      </w:r>
      <w:r w:rsidR="004C0888" w:rsidRPr="007F6332">
        <w:rPr>
          <w:rFonts w:cs="Arial"/>
          <w:bCs/>
          <w:iCs/>
        </w:rPr>
        <w:t>ttern of when future transitions might occur</w:t>
      </w:r>
      <w:r w:rsidRPr="007F6332">
        <w:rPr>
          <w:rFonts w:cs="Arial"/>
          <w:bCs/>
          <w:iCs/>
        </w:rPr>
        <w:t xml:space="preserve">. </w:t>
      </w:r>
    </w:p>
    <w:p w14:paraId="13F22F41" w14:textId="2025C159" w:rsidR="00607346" w:rsidRPr="007F6332" w:rsidRDefault="00574F13" w:rsidP="00574F13">
      <w:pPr>
        <w:rPr>
          <w:rFonts w:cs="Arial"/>
        </w:rPr>
      </w:pPr>
      <w:r w:rsidRPr="007F6332">
        <w:rPr>
          <w:rFonts w:cs="Arial"/>
        </w:rPr>
        <w:lastRenderedPageBreak/>
        <w:t xml:space="preserve">The </w:t>
      </w:r>
      <w:r w:rsidR="001F171D" w:rsidRPr="007F6332">
        <w:rPr>
          <w:rFonts w:cs="Arial"/>
        </w:rPr>
        <w:t xml:space="preserve">modelling of future demand for SIL </w:t>
      </w:r>
      <w:r w:rsidRPr="007F6332">
        <w:rPr>
          <w:rFonts w:cs="Arial"/>
        </w:rPr>
        <w:t>consist</w:t>
      </w:r>
      <w:r w:rsidR="00F624FB" w:rsidRPr="007F6332">
        <w:rPr>
          <w:rFonts w:cs="Arial"/>
        </w:rPr>
        <w:t>ed</w:t>
      </w:r>
      <w:r w:rsidRPr="007F6332">
        <w:rPr>
          <w:rFonts w:cs="Arial"/>
        </w:rPr>
        <w:t xml:space="preserve"> of a bottom-up and a top-down approach. </w:t>
      </w:r>
      <w:r w:rsidR="00F624FB" w:rsidRPr="007F6332">
        <w:rPr>
          <w:rFonts w:cs="Arial"/>
        </w:rPr>
        <w:t>For t</w:t>
      </w:r>
      <w:r w:rsidRPr="007F6332">
        <w:rPr>
          <w:rFonts w:cs="Arial"/>
        </w:rPr>
        <w:t>he bottom-up approach</w:t>
      </w:r>
      <w:r w:rsidR="00F624FB" w:rsidRPr="007F6332">
        <w:rPr>
          <w:rFonts w:cs="Arial"/>
        </w:rPr>
        <w:t>, detailed file reviews were conducted</w:t>
      </w:r>
      <w:r w:rsidR="007B719B" w:rsidRPr="007F6332">
        <w:rPr>
          <w:rFonts w:cs="Arial"/>
        </w:rPr>
        <w:t xml:space="preserve"> </w:t>
      </w:r>
      <w:r w:rsidR="007F14A7" w:rsidRPr="007F6332">
        <w:rPr>
          <w:rFonts w:cs="Arial"/>
        </w:rPr>
        <w:t xml:space="preserve">on a sample </w:t>
      </w:r>
      <w:r w:rsidR="007B719B" w:rsidRPr="007F6332">
        <w:rPr>
          <w:rFonts w:cs="Arial"/>
        </w:rPr>
        <w:t>of individual participants across a range of cohorts to</w:t>
      </w:r>
      <w:r w:rsidRPr="007F6332">
        <w:rPr>
          <w:rFonts w:cs="Arial"/>
        </w:rPr>
        <w:t xml:space="preserve"> </w:t>
      </w:r>
      <w:r w:rsidR="005E7404" w:rsidRPr="007F6332">
        <w:rPr>
          <w:rFonts w:cs="Arial"/>
        </w:rPr>
        <w:t>form a view of</w:t>
      </w:r>
      <w:r w:rsidRPr="007F6332">
        <w:rPr>
          <w:rFonts w:cs="Arial"/>
        </w:rPr>
        <w:t xml:space="preserve"> </w:t>
      </w:r>
      <w:r w:rsidR="007B719B" w:rsidRPr="007F6332">
        <w:rPr>
          <w:rFonts w:cs="Arial"/>
        </w:rPr>
        <w:t>whether they would be likely to have a need for SIL</w:t>
      </w:r>
      <w:r w:rsidR="008D5F82" w:rsidRPr="007F6332">
        <w:rPr>
          <w:rFonts w:cs="Arial"/>
        </w:rPr>
        <w:t xml:space="preserve"> type</w:t>
      </w:r>
      <w:r w:rsidR="007B719B" w:rsidRPr="007F6332">
        <w:rPr>
          <w:rFonts w:cs="Arial"/>
        </w:rPr>
        <w:t xml:space="preserve"> supports in the</w:t>
      </w:r>
      <w:r w:rsidR="00316571" w:rsidRPr="007F6332">
        <w:rPr>
          <w:rFonts w:cs="Arial"/>
        </w:rPr>
        <w:t xml:space="preserve"> </w:t>
      </w:r>
      <w:r w:rsidR="007B719B" w:rsidRPr="007F6332">
        <w:rPr>
          <w:rFonts w:cs="Arial"/>
        </w:rPr>
        <w:t>next 5 to 10 years.</w:t>
      </w:r>
      <w:r w:rsidR="00710FB2" w:rsidRPr="007F6332">
        <w:rPr>
          <w:rFonts w:cs="Arial"/>
        </w:rPr>
        <w:t xml:space="preserve"> It is important to note that this process was subjective and relied on the judgment of </w:t>
      </w:r>
      <w:r w:rsidR="00F368BB" w:rsidRPr="007F6332">
        <w:rPr>
          <w:rFonts w:cs="Arial"/>
        </w:rPr>
        <w:t>Agency specialists.</w:t>
      </w:r>
      <w:r w:rsidR="007B719B" w:rsidRPr="007F6332">
        <w:rPr>
          <w:rFonts w:cs="Arial"/>
        </w:rPr>
        <w:t xml:space="preserve"> </w:t>
      </w:r>
      <w:r w:rsidR="00C13689" w:rsidRPr="007F6332">
        <w:rPr>
          <w:rFonts w:cs="Arial"/>
        </w:rPr>
        <w:t xml:space="preserve">The results from the sample were then scaled </w:t>
      </w:r>
      <w:r w:rsidR="00776803" w:rsidRPr="007F6332">
        <w:rPr>
          <w:rFonts w:cs="Arial"/>
        </w:rPr>
        <w:t xml:space="preserve">to estimate the level of SIL type need </w:t>
      </w:r>
      <w:r w:rsidR="00A113BB" w:rsidRPr="007F6332">
        <w:rPr>
          <w:rFonts w:cs="Arial"/>
        </w:rPr>
        <w:t>across the Scheme</w:t>
      </w:r>
      <w:r w:rsidR="00844316" w:rsidRPr="007F6332">
        <w:rPr>
          <w:rFonts w:cs="Arial"/>
        </w:rPr>
        <w:t xml:space="preserve"> </w:t>
      </w:r>
      <w:r w:rsidR="00DD308A" w:rsidRPr="007F6332">
        <w:rPr>
          <w:rFonts w:cs="Arial"/>
        </w:rPr>
        <w:t xml:space="preserve">based on </w:t>
      </w:r>
      <w:r w:rsidRPr="007F6332">
        <w:rPr>
          <w:rFonts w:cs="Arial"/>
        </w:rPr>
        <w:t xml:space="preserve">the </w:t>
      </w:r>
      <w:r w:rsidR="003C7451" w:rsidRPr="007F6332">
        <w:rPr>
          <w:rFonts w:cs="Arial"/>
        </w:rPr>
        <w:t xml:space="preserve">June 2023 </w:t>
      </w:r>
      <w:r w:rsidRPr="007F6332">
        <w:rPr>
          <w:rFonts w:cs="Arial"/>
        </w:rPr>
        <w:t xml:space="preserve">participant projection. </w:t>
      </w:r>
    </w:p>
    <w:p w14:paraId="6AD809B0" w14:textId="2DA6A6E0" w:rsidR="00A614EE" w:rsidRPr="007F6332" w:rsidRDefault="00574F13" w:rsidP="00574F13">
      <w:pPr>
        <w:rPr>
          <w:rFonts w:cs="Arial"/>
        </w:rPr>
      </w:pPr>
      <w:r w:rsidRPr="007F6332">
        <w:rPr>
          <w:rFonts w:cs="Arial"/>
        </w:rPr>
        <w:t>The top-down approach (</w:t>
      </w:r>
      <w:r w:rsidR="00F368BB" w:rsidRPr="007F6332">
        <w:rPr>
          <w:rFonts w:cs="Arial"/>
        </w:rPr>
        <w:t xml:space="preserve">referred to as the </w:t>
      </w:r>
      <w:r w:rsidRPr="007F6332">
        <w:rPr>
          <w:rFonts w:cs="Arial"/>
        </w:rPr>
        <w:t xml:space="preserve">characteristic model) </w:t>
      </w:r>
      <w:r w:rsidR="00BB3095" w:rsidRPr="007F6332">
        <w:rPr>
          <w:rFonts w:cs="Arial"/>
        </w:rPr>
        <w:t xml:space="preserve">used </w:t>
      </w:r>
      <w:r w:rsidR="00071997" w:rsidRPr="007F6332">
        <w:rPr>
          <w:rFonts w:cs="Arial"/>
        </w:rPr>
        <w:t xml:space="preserve">statistical </w:t>
      </w:r>
      <w:r w:rsidR="00BB3095" w:rsidRPr="007F6332">
        <w:rPr>
          <w:rFonts w:cs="Arial"/>
        </w:rPr>
        <w:t>regression modelling to identify characteristics of participants with SIL supports</w:t>
      </w:r>
      <w:r w:rsidR="00710CAC" w:rsidRPr="007F6332">
        <w:rPr>
          <w:rFonts w:cs="Arial"/>
        </w:rPr>
        <w:t xml:space="preserve"> </w:t>
      </w:r>
      <w:r w:rsidR="00634869" w:rsidRPr="007F6332">
        <w:rPr>
          <w:rFonts w:cs="Arial"/>
        </w:rPr>
        <w:t xml:space="preserve">which </w:t>
      </w:r>
      <w:r w:rsidR="00F10DF3" w:rsidRPr="007F6332">
        <w:rPr>
          <w:rFonts w:cs="Arial"/>
        </w:rPr>
        <w:t>may predict a SIL type need</w:t>
      </w:r>
      <w:r w:rsidR="00930E69" w:rsidRPr="007F6332">
        <w:rPr>
          <w:rFonts w:cs="Arial"/>
        </w:rPr>
        <w:t>. It</w:t>
      </w:r>
      <w:r w:rsidR="00710CAC" w:rsidRPr="007F6332">
        <w:rPr>
          <w:rFonts w:cs="Arial"/>
        </w:rPr>
        <w:t xml:space="preserve"> then </w:t>
      </w:r>
      <w:r w:rsidR="00F10DF3" w:rsidRPr="007F6332">
        <w:rPr>
          <w:rFonts w:cs="Arial"/>
        </w:rPr>
        <w:t xml:space="preserve">looked for </w:t>
      </w:r>
      <w:r w:rsidR="003877F8" w:rsidRPr="007F6332">
        <w:rPr>
          <w:rFonts w:cs="Arial"/>
        </w:rPr>
        <w:t>the presence of those characteristics in the population of participants not current receiving SIL supports.</w:t>
      </w:r>
      <w:r w:rsidRPr="007F6332">
        <w:rPr>
          <w:rFonts w:cs="Arial"/>
        </w:rPr>
        <w:t xml:space="preserve"> </w:t>
      </w:r>
      <w:r w:rsidR="00E02B14" w:rsidRPr="007F6332">
        <w:rPr>
          <w:rFonts w:cs="Arial"/>
        </w:rPr>
        <w:t xml:space="preserve">A feature of the characteristic model is that it requires a </w:t>
      </w:r>
      <w:r w:rsidR="002D5ED2" w:rsidRPr="007F6332">
        <w:rPr>
          <w:rFonts w:cs="Arial"/>
        </w:rPr>
        <w:t>threshold or level of probability t</w:t>
      </w:r>
      <w:r w:rsidR="008073AB" w:rsidRPr="007F6332">
        <w:rPr>
          <w:rFonts w:cs="Arial"/>
        </w:rPr>
        <w:t>o be chosen</w:t>
      </w:r>
      <w:r w:rsidR="00475BD0" w:rsidRPr="007F6332">
        <w:rPr>
          <w:rFonts w:cs="Arial"/>
        </w:rPr>
        <w:t xml:space="preserve">, which is subjective, </w:t>
      </w:r>
      <w:r w:rsidR="00F27331" w:rsidRPr="007F6332">
        <w:rPr>
          <w:rFonts w:cs="Arial"/>
        </w:rPr>
        <w:t>i.e.,</w:t>
      </w:r>
      <w:r w:rsidR="00475BD0" w:rsidRPr="007F6332">
        <w:rPr>
          <w:rFonts w:cs="Arial"/>
        </w:rPr>
        <w:t xml:space="preserve"> </w:t>
      </w:r>
      <w:r w:rsidR="00D07C6F" w:rsidRPr="007F6332">
        <w:rPr>
          <w:rFonts w:cs="Arial"/>
        </w:rPr>
        <w:t xml:space="preserve">a requirement that </w:t>
      </w:r>
      <w:r w:rsidR="00704368" w:rsidRPr="007F6332">
        <w:rPr>
          <w:rFonts w:cs="Arial"/>
        </w:rPr>
        <w:t>participants exhibit m</w:t>
      </w:r>
      <w:r w:rsidR="00D57615" w:rsidRPr="007F6332">
        <w:rPr>
          <w:rFonts w:cs="Arial"/>
        </w:rPr>
        <w:t>ost</w:t>
      </w:r>
      <w:r w:rsidR="00704368" w:rsidRPr="007F6332">
        <w:rPr>
          <w:rFonts w:cs="Arial"/>
        </w:rPr>
        <w:t xml:space="preserve"> characteristics identified </w:t>
      </w:r>
      <w:r w:rsidR="00A866E3" w:rsidRPr="007F6332">
        <w:rPr>
          <w:rFonts w:cs="Arial"/>
        </w:rPr>
        <w:t>as predictive markers for SIL will result in a low estimate of SIL type need</w:t>
      </w:r>
      <w:r w:rsidR="002713A5" w:rsidRPr="007F6332">
        <w:rPr>
          <w:rFonts w:cs="Arial"/>
        </w:rPr>
        <w:t xml:space="preserve"> but </w:t>
      </w:r>
      <w:r w:rsidR="00671CA5" w:rsidRPr="007F6332">
        <w:rPr>
          <w:rFonts w:cs="Arial"/>
        </w:rPr>
        <w:t xml:space="preserve">is likely to understate the result because </w:t>
      </w:r>
      <w:r w:rsidR="00C30B91" w:rsidRPr="007F6332">
        <w:rPr>
          <w:rFonts w:cs="Arial"/>
        </w:rPr>
        <w:t xml:space="preserve">many participants with a SIL type need exhibit </w:t>
      </w:r>
      <w:r w:rsidR="00A614EE" w:rsidRPr="007F6332">
        <w:rPr>
          <w:rFonts w:cs="Arial"/>
        </w:rPr>
        <w:t xml:space="preserve">only some of those characteristics. </w:t>
      </w:r>
      <w:r w:rsidR="001218CD" w:rsidRPr="007F6332">
        <w:rPr>
          <w:rFonts w:cs="Arial"/>
        </w:rPr>
        <w:t xml:space="preserve">Conversely, </w:t>
      </w:r>
      <w:r w:rsidR="00D3432D" w:rsidRPr="007F6332">
        <w:rPr>
          <w:rFonts w:cs="Arial"/>
        </w:rPr>
        <w:t xml:space="preserve">a requirement that participants exhibit fewer characteristics </w:t>
      </w:r>
      <w:r w:rsidR="00433BA3" w:rsidRPr="007F6332">
        <w:rPr>
          <w:rFonts w:cs="Arial"/>
        </w:rPr>
        <w:t xml:space="preserve">will capture more participants who will </w:t>
      </w:r>
      <w:r w:rsidR="00063C62" w:rsidRPr="007F6332">
        <w:rPr>
          <w:rFonts w:cs="Arial"/>
        </w:rPr>
        <w:t>emerge to have a SIL type need but is more likely to also identify participants who will not.</w:t>
      </w:r>
      <w:r w:rsidR="005E502D" w:rsidRPr="007F6332">
        <w:rPr>
          <w:rFonts w:cs="Arial"/>
        </w:rPr>
        <w:t xml:space="preserve"> In order to validate the characteristic model, the results were benchmarked against participants in the Scheme with a level of daily living core supports at a ratio of 1:3 or higher.</w:t>
      </w:r>
    </w:p>
    <w:p w14:paraId="0E1A4F32" w14:textId="2BCC8339" w:rsidR="00574F13" w:rsidRPr="007F6332" w:rsidRDefault="00574F13" w:rsidP="00574F13">
      <w:pPr>
        <w:rPr>
          <w:rFonts w:cs="Arial"/>
        </w:rPr>
      </w:pPr>
      <w:r w:rsidRPr="007F6332">
        <w:rPr>
          <w:rFonts w:cs="Arial"/>
        </w:rPr>
        <w:t>T</w:t>
      </w:r>
      <w:r w:rsidR="00A614EE" w:rsidRPr="007F6332">
        <w:rPr>
          <w:rFonts w:cs="Arial"/>
        </w:rPr>
        <w:t>aken together, t</w:t>
      </w:r>
      <w:r w:rsidRPr="007F6332">
        <w:rPr>
          <w:rFonts w:cs="Arial"/>
        </w:rPr>
        <w:t>he model</w:t>
      </w:r>
      <w:r w:rsidR="00C843FA" w:rsidRPr="007F6332">
        <w:rPr>
          <w:rFonts w:cs="Arial"/>
        </w:rPr>
        <w:t>s</w:t>
      </w:r>
      <w:r w:rsidRPr="007F6332">
        <w:rPr>
          <w:rFonts w:cs="Arial"/>
        </w:rPr>
        <w:t xml:space="preserve"> provide</w:t>
      </w:r>
      <w:r w:rsidR="00C843FA" w:rsidRPr="007F6332">
        <w:rPr>
          <w:rFonts w:cs="Arial"/>
        </w:rPr>
        <w:t>d</w:t>
      </w:r>
      <w:r w:rsidRPr="007F6332">
        <w:rPr>
          <w:rFonts w:cs="Arial"/>
        </w:rPr>
        <w:t xml:space="preserve"> two different estimates and </w:t>
      </w:r>
      <w:r w:rsidR="001B3070" w:rsidRPr="007F6332">
        <w:rPr>
          <w:rFonts w:cs="Arial"/>
        </w:rPr>
        <w:t>hence</w:t>
      </w:r>
      <w:r w:rsidRPr="007F6332">
        <w:rPr>
          <w:rFonts w:cs="Arial"/>
        </w:rPr>
        <w:t xml:space="preserve"> a plausible range of </w:t>
      </w:r>
      <w:r w:rsidR="004F5AA6" w:rsidRPr="007F6332">
        <w:rPr>
          <w:rFonts w:cs="Arial"/>
        </w:rPr>
        <w:t xml:space="preserve">the number of </w:t>
      </w:r>
      <w:r w:rsidRPr="007F6332">
        <w:rPr>
          <w:rFonts w:cs="Arial"/>
        </w:rPr>
        <w:t>participants</w:t>
      </w:r>
      <w:r w:rsidR="003C7451" w:rsidRPr="007F6332">
        <w:rPr>
          <w:rFonts w:cs="Arial"/>
        </w:rPr>
        <w:t xml:space="preserve"> that </w:t>
      </w:r>
      <w:r w:rsidR="004F5AA6" w:rsidRPr="007F6332">
        <w:rPr>
          <w:rFonts w:cs="Arial"/>
        </w:rPr>
        <w:t>may</w:t>
      </w:r>
      <w:r w:rsidR="003C7451" w:rsidRPr="007F6332">
        <w:rPr>
          <w:rFonts w:cs="Arial"/>
        </w:rPr>
        <w:t xml:space="preserve"> require, or request, SIL</w:t>
      </w:r>
      <w:r w:rsidR="00DD70F1" w:rsidRPr="007F6332">
        <w:rPr>
          <w:rFonts w:cs="Arial"/>
        </w:rPr>
        <w:t xml:space="preserve"> type</w:t>
      </w:r>
      <w:r w:rsidR="003C7451" w:rsidRPr="007F6332">
        <w:rPr>
          <w:rFonts w:cs="Arial"/>
        </w:rPr>
        <w:t xml:space="preserve"> supports in the future</w:t>
      </w:r>
      <w:r w:rsidRPr="007F6332">
        <w:rPr>
          <w:rFonts w:cs="Arial"/>
        </w:rPr>
        <w:t xml:space="preserve">. </w:t>
      </w:r>
      <w:r w:rsidR="00E42D26" w:rsidRPr="007F6332">
        <w:rPr>
          <w:rFonts w:cs="Arial"/>
        </w:rPr>
        <w:t>However, as noted, both approac</w:t>
      </w:r>
      <w:r w:rsidR="00B15CFC" w:rsidRPr="007F6332">
        <w:rPr>
          <w:rFonts w:cs="Arial"/>
        </w:rPr>
        <w:t xml:space="preserve">hes require judgment and the results </w:t>
      </w:r>
      <w:r w:rsidR="008338D8" w:rsidRPr="007F6332">
        <w:rPr>
          <w:rFonts w:cs="Arial"/>
        </w:rPr>
        <w:t xml:space="preserve">obtained </w:t>
      </w:r>
      <w:r w:rsidR="005543E6" w:rsidRPr="007F6332">
        <w:rPr>
          <w:rFonts w:cs="Arial"/>
        </w:rPr>
        <w:t>would fluctuate</w:t>
      </w:r>
      <w:r w:rsidR="008338D8" w:rsidRPr="007F6332">
        <w:rPr>
          <w:rFonts w:cs="Arial"/>
        </w:rPr>
        <w:t xml:space="preserve"> if the </w:t>
      </w:r>
      <w:r w:rsidR="005543E6" w:rsidRPr="007F6332">
        <w:rPr>
          <w:rFonts w:cs="Arial"/>
        </w:rPr>
        <w:t>work is repeated going forward.</w:t>
      </w:r>
    </w:p>
    <w:p w14:paraId="225CFA99" w14:textId="099BD9B0" w:rsidR="00574F13" w:rsidRPr="007F6332" w:rsidRDefault="00B723E7" w:rsidP="00574F13">
      <w:pPr>
        <w:rPr>
          <w:rFonts w:cs="Arial"/>
        </w:rPr>
      </w:pPr>
      <w:r w:rsidRPr="007F6332">
        <w:rPr>
          <w:rFonts w:cs="Arial"/>
        </w:rPr>
        <w:t xml:space="preserve">Under either of the modelling approaches, </w:t>
      </w:r>
      <w:r w:rsidR="00F630C8" w:rsidRPr="007F6332">
        <w:rPr>
          <w:rFonts w:cs="Arial"/>
        </w:rPr>
        <w:t xml:space="preserve">the timing of </w:t>
      </w:r>
      <w:r w:rsidR="008F4DCE" w:rsidRPr="007F6332">
        <w:rPr>
          <w:rFonts w:cs="Arial"/>
        </w:rPr>
        <w:t>when</w:t>
      </w:r>
      <w:r w:rsidR="00574F13" w:rsidRPr="007F6332">
        <w:rPr>
          <w:rFonts w:cs="Arial"/>
        </w:rPr>
        <w:t xml:space="preserve"> the participants</w:t>
      </w:r>
      <w:r w:rsidR="00360829" w:rsidRPr="007F6332">
        <w:rPr>
          <w:rFonts w:cs="Arial"/>
        </w:rPr>
        <w:t xml:space="preserve"> identified as having a future SIL type need </w:t>
      </w:r>
      <w:r w:rsidR="008F4DCE" w:rsidRPr="007F6332">
        <w:rPr>
          <w:rFonts w:cs="Arial"/>
        </w:rPr>
        <w:t>will</w:t>
      </w:r>
      <w:r w:rsidRPr="007F6332">
        <w:rPr>
          <w:rFonts w:cs="Arial"/>
        </w:rPr>
        <w:t xml:space="preserve"> </w:t>
      </w:r>
      <w:r w:rsidR="00574F13" w:rsidRPr="007F6332">
        <w:rPr>
          <w:rFonts w:cs="Arial"/>
        </w:rPr>
        <w:t>access SIL</w:t>
      </w:r>
      <w:r w:rsidR="00360829" w:rsidRPr="007F6332">
        <w:rPr>
          <w:rFonts w:cs="Arial"/>
        </w:rPr>
        <w:t xml:space="preserve"> supports</w:t>
      </w:r>
      <w:r w:rsidR="00F630C8" w:rsidRPr="007F6332">
        <w:rPr>
          <w:rFonts w:cs="Arial"/>
        </w:rPr>
        <w:t xml:space="preserve"> </w:t>
      </w:r>
      <w:r w:rsidR="008F4DCE" w:rsidRPr="007F6332">
        <w:rPr>
          <w:rFonts w:cs="Arial"/>
        </w:rPr>
        <w:t xml:space="preserve">is very uncertain. </w:t>
      </w:r>
      <w:r w:rsidR="00574F13" w:rsidRPr="007F6332">
        <w:rPr>
          <w:rFonts w:cs="Arial"/>
        </w:rPr>
        <w:t xml:space="preserve">For participants relying on informal support, such as family carers, the timing of when informal support </w:t>
      </w:r>
      <w:r w:rsidR="00DD70F1" w:rsidRPr="007F6332">
        <w:rPr>
          <w:rFonts w:cs="Arial"/>
        </w:rPr>
        <w:t xml:space="preserve">will </w:t>
      </w:r>
      <w:r w:rsidR="00574F13" w:rsidRPr="007F6332">
        <w:rPr>
          <w:rFonts w:cs="Arial"/>
        </w:rPr>
        <w:t xml:space="preserve">cease is not clear </w:t>
      </w:r>
      <w:r w:rsidR="002939A5" w:rsidRPr="007F6332">
        <w:rPr>
          <w:rFonts w:cs="Arial"/>
        </w:rPr>
        <w:t xml:space="preserve">but </w:t>
      </w:r>
      <w:r w:rsidR="00574F13" w:rsidRPr="007F6332">
        <w:rPr>
          <w:rFonts w:cs="Arial"/>
        </w:rPr>
        <w:t>influence</w:t>
      </w:r>
      <w:r w:rsidR="002939A5" w:rsidRPr="007F6332">
        <w:rPr>
          <w:rFonts w:cs="Arial"/>
        </w:rPr>
        <w:t>s</w:t>
      </w:r>
      <w:r w:rsidR="00574F13" w:rsidRPr="007F6332">
        <w:rPr>
          <w:rFonts w:cs="Arial"/>
        </w:rPr>
        <w:t xml:space="preserve"> the level of participants access</w:t>
      </w:r>
      <w:r w:rsidR="00C301F4" w:rsidRPr="007F6332">
        <w:rPr>
          <w:rFonts w:cs="Arial"/>
        </w:rPr>
        <w:t>ing</w:t>
      </w:r>
      <w:r w:rsidR="00574F13" w:rsidRPr="007F6332">
        <w:rPr>
          <w:rFonts w:cs="Arial"/>
        </w:rPr>
        <w:t xml:space="preserve"> SIL </w:t>
      </w:r>
      <w:r w:rsidR="00C301F4" w:rsidRPr="007F6332">
        <w:rPr>
          <w:rFonts w:cs="Arial"/>
        </w:rPr>
        <w:t>over</w:t>
      </w:r>
      <w:r w:rsidR="00574F13" w:rsidRPr="007F6332">
        <w:rPr>
          <w:rFonts w:cs="Arial"/>
        </w:rPr>
        <w:t xml:space="preserve"> time. There are also participants that </w:t>
      </w:r>
      <w:r w:rsidR="003C7451" w:rsidRPr="007F6332">
        <w:rPr>
          <w:rFonts w:cs="Arial"/>
        </w:rPr>
        <w:t>may</w:t>
      </w:r>
      <w:r w:rsidR="00574F13" w:rsidRPr="007F6332">
        <w:rPr>
          <w:rFonts w:cs="Arial"/>
        </w:rPr>
        <w:t xml:space="preserve"> never access SIL support</w:t>
      </w:r>
      <w:r w:rsidR="003C7451" w:rsidRPr="007F6332">
        <w:rPr>
          <w:rFonts w:cs="Arial"/>
        </w:rPr>
        <w:t>s</w:t>
      </w:r>
      <w:r w:rsidR="00574F13" w:rsidRPr="007F6332">
        <w:rPr>
          <w:rFonts w:cs="Arial"/>
        </w:rPr>
        <w:t xml:space="preserve">, such as participants with borderline need of SIL as well as those in relatively unique circumstances. To allow for these situations and be comparable to the </w:t>
      </w:r>
      <w:r w:rsidR="003C7451" w:rsidRPr="007F6332">
        <w:rPr>
          <w:rFonts w:cs="Arial"/>
        </w:rPr>
        <w:t>June 2023 projections</w:t>
      </w:r>
      <w:r w:rsidR="00574F13" w:rsidRPr="007F6332">
        <w:rPr>
          <w:rFonts w:cs="Arial"/>
        </w:rPr>
        <w:t>, assumed rate</w:t>
      </w:r>
      <w:r w:rsidR="003D0B10" w:rsidRPr="007F6332">
        <w:rPr>
          <w:rFonts w:cs="Arial"/>
        </w:rPr>
        <w:t>s</w:t>
      </w:r>
      <w:r w:rsidR="00574F13" w:rsidRPr="007F6332">
        <w:rPr>
          <w:rFonts w:cs="Arial"/>
        </w:rPr>
        <w:t xml:space="preserve"> </w:t>
      </w:r>
      <w:r w:rsidR="002354CC" w:rsidRPr="007F6332">
        <w:rPr>
          <w:rFonts w:cs="Arial"/>
        </w:rPr>
        <w:t xml:space="preserve">of </w:t>
      </w:r>
      <w:r w:rsidR="003D0B10" w:rsidRPr="007F6332">
        <w:rPr>
          <w:rFonts w:cs="Arial"/>
        </w:rPr>
        <w:t xml:space="preserve">accessing SIL supports </w:t>
      </w:r>
      <w:r w:rsidR="00C301F4" w:rsidRPr="007F6332">
        <w:rPr>
          <w:rFonts w:cs="Arial"/>
        </w:rPr>
        <w:t xml:space="preserve">were </w:t>
      </w:r>
      <w:r w:rsidR="00574F13" w:rsidRPr="007F6332">
        <w:rPr>
          <w:rFonts w:cs="Arial"/>
        </w:rPr>
        <w:t xml:space="preserve">applied to the model results </w:t>
      </w:r>
      <w:r w:rsidR="003D0B10" w:rsidRPr="007F6332">
        <w:rPr>
          <w:rFonts w:cs="Arial"/>
        </w:rPr>
        <w:t xml:space="preserve">of SIL type need. These rates were </w:t>
      </w:r>
      <w:r w:rsidR="00574F13" w:rsidRPr="007F6332">
        <w:rPr>
          <w:rFonts w:cs="Arial"/>
        </w:rPr>
        <w:t xml:space="preserve">based on recent </w:t>
      </w:r>
      <w:r w:rsidR="003D0B10" w:rsidRPr="007F6332">
        <w:rPr>
          <w:rFonts w:cs="Arial"/>
        </w:rPr>
        <w:t xml:space="preserve">Scheme </w:t>
      </w:r>
      <w:r w:rsidR="00574F13" w:rsidRPr="007F6332">
        <w:rPr>
          <w:rFonts w:cs="Arial"/>
        </w:rPr>
        <w:t>experience</w:t>
      </w:r>
      <w:r w:rsidR="003D0B10" w:rsidRPr="007F6332">
        <w:rPr>
          <w:rFonts w:cs="Arial"/>
        </w:rPr>
        <w:t xml:space="preserve"> but also with consideration of the </w:t>
      </w:r>
      <w:r w:rsidR="00552143" w:rsidRPr="007F6332">
        <w:rPr>
          <w:rFonts w:cs="Arial"/>
        </w:rPr>
        <w:t>Budget initiative in relation to H&amp;L decisions</w:t>
      </w:r>
      <w:r w:rsidR="00574F13" w:rsidRPr="007F6332">
        <w:rPr>
          <w:rFonts w:cs="Arial"/>
        </w:rPr>
        <w:t xml:space="preserve">. </w:t>
      </w:r>
    </w:p>
    <w:p w14:paraId="6406735B" w14:textId="1253622B" w:rsidR="00574F13" w:rsidRPr="007F6332" w:rsidRDefault="00950565" w:rsidP="00574F13">
      <w:pPr>
        <w:rPr>
          <w:rFonts w:cs="Arial"/>
        </w:rPr>
      </w:pPr>
      <w:r w:rsidRPr="007F6332">
        <w:rPr>
          <w:rFonts w:cs="Arial"/>
        </w:rPr>
        <w:t>Figure I</w:t>
      </w:r>
      <w:r w:rsidR="003C7451" w:rsidRPr="007F6332">
        <w:rPr>
          <w:rFonts w:cs="Arial"/>
        </w:rPr>
        <w:t>.9</w:t>
      </w:r>
      <w:r w:rsidR="00574F13" w:rsidRPr="007F6332">
        <w:rPr>
          <w:rFonts w:cs="Arial"/>
        </w:rPr>
        <w:t xml:space="preserve"> compares the two approaches from the </w:t>
      </w:r>
      <w:r w:rsidR="001F171D" w:rsidRPr="007F6332">
        <w:rPr>
          <w:rFonts w:cs="Arial"/>
        </w:rPr>
        <w:t xml:space="preserve">future </w:t>
      </w:r>
      <w:r w:rsidR="00574F13" w:rsidRPr="007F6332">
        <w:rPr>
          <w:rFonts w:cs="Arial"/>
        </w:rPr>
        <w:t xml:space="preserve">demand model along with the </w:t>
      </w:r>
      <w:r w:rsidR="003C7451" w:rsidRPr="007F6332">
        <w:rPr>
          <w:rFonts w:cs="Arial"/>
        </w:rPr>
        <w:t>June 2023 projections</w:t>
      </w:r>
      <w:r w:rsidR="00574F13" w:rsidRPr="007F6332">
        <w:rPr>
          <w:rFonts w:cs="Arial"/>
        </w:rPr>
        <w:t xml:space="preserve">. The dotted </w:t>
      </w:r>
      <w:r w:rsidR="00F3615F" w:rsidRPr="007F6332">
        <w:rPr>
          <w:rFonts w:cs="Arial"/>
        </w:rPr>
        <w:t xml:space="preserve">blue and purple </w:t>
      </w:r>
      <w:r w:rsidR="00574F13" w:rsidRPr="007F6332">
        <w:rPr>
          <w:rFonts w:cs="Arial"/>
        </w:rPr>
        <w:t xml:space="preserve">lines denote the </w:t>
      </w:r>
      <w:r w:rsidR="00552143" w:rsidRPr="007F6332">
        <w:rPr>
          <w:rFonts w:cs="Arial"/>
        </w:rPr>
        <w:t xml:space="preserve">estimates </w:t>
      </w:r>
      <w:r w:rsidR="003D7BD4" w:rsidRPr="007F6332">
        <w:rPr>
          <w:rFonts w:cs="Arial"/>
        </w:rPr>
        <w:t xml:space="preserve">of SIL type need </w:t>
      </w:r>
      <w:r w:rsidR="00574F13" w:rsidRPr="007F6332">
        <w:rPr>
          <w:rFonts w:cs="Arial"/>
        </w:rPr>
        <w:t xml:space="preserve">from the two approaches from the </w:t>
      </w:r>
      <w:r w:rsidR="001F171D" w:rsidRPr="007F6332">
        <w:rPr>
          <w:rFonts w:cs="Arial"/>
        </w:rPr>
        <w:t xml:space="preserve">future </w:t>
      </w:r>
      <w:r w:rsidR="00574F13" w:rsidRPr="007F6332">
        <w:rPr>
          <w:rFonts w:cs="Arial"/>
        </w:rPr>
        <w:t>demand model</w:t>
      </w:r>
      <w:r w:rsidR="000C6F63" w:rsidRPr="007F6332">
        <w:rPr>
          <w:rFonts w:cs="Arial"/>
        </w:rPr>
        <w:t>ling</w:t>
      </w:r>
      <w:r w:rsidR="003D7BD4" w:rsidRPr="007F6332">
        <w:rPr>
          <w:rFonts w:cs="Arial"/>
        </w:rPr>
        <w:t>, including both participants currently in SIL and future demand. T</w:t>
      </w:r>
      <w:r w:rsidR="00574F13" w:rsidRPr="007F6332">
        <w:rPr>
          <w:rFonts w:cs="Arial"/>
        </w:rPr>
        <w:t xml:space="preserve">he solid </w:t>
      </w:r>
      <w:r w:rsidR="00F3615F" w:rsidRPr="007F6332">
        <w:rPr>
          <w:rFonts w:cs="Arial"/>
        </w:rPr>
        <w:t xml:space="preserve">blue and purple </w:t>
      </w:r>
      <w:r w:rsidR="00574F13" w:rsidRPr="007F6332">
        <w:rPr>
          <w:rFonts w:cs="Arial"/>
        </w:rPr>
        <w:t xml:space="preserve">lines denote the estimates of those who </w:t>
      </w:r>
      <w:r w:rsidR="00845429" w:rsidRPr="007F6332">
        <w:rPr>
          <w:rFonts w:cs="Arial"/>
        </w:rPr>
        <w:t>will</w:t>
      </w:r>
      <w:r w:rsidR="00574F13" w:rsidRPr="007F6332">
        <w:rPr>
          <w:rFonts w:cs="Arial"/>
        </w:rPr>
        <w:t xml:space="preserve"> </w:t>
      </w:r>
      <w:r w:rsidR="006B0F81" w:rsidRPr="007F6332">
        <w:rPr>
          <w:rFonts w:cs="Arial"/>
        </w:rPr>
        <w:t xml:space="preserve">be </w:t>
      </w:r>
      <w:r w:rsidR="00AA2934" w:rsidRPr="007F6332">
        <w:rPr>
          <w:rFonts w:cs="Arial"/>
        </w:rPr>
        <w:t>access</w:t>
      </w:r>
      <w:r w:rsidR="006B0F81" w:rsidRPr="007F6332">
        <w:rPr>
          <w:rFonts w:cs="Arial"/>
        </w:rPr>
        <w:t>ing</w:t>
      </w:r>
      <w:r w:rsidR="00AA2934" w:rsidRPr="007F6332">
        <w:rPr>
          <w:rFonts w:cs="Arial"/>
        </w:rPr>
        <w:t xml:space="preserve"> </w:t>
      </w:r>
      <w:r w:rsidR="00574F13" w:rsidRPr="007F6332">
        <w:rPr>
          <w:rFonts w:cs="Arial"/>
        </w:rPr>
        <w:t>SIL</w:t>
      </w:r>
      <w:r w:rsidR="00AA2934" w:rsidRPr="007F6332">
        <w:rPr>
          <w:rFonts w:cs="Arial"/>
        </w:rPr>
        <w:t xml:space="preserve"> supports</w:t>
      </w:r>
      <w:r w:rsidR="006B0F81" w:rsidRPr="007F6332">
        <w:rPr>
          <w:rFonts w:cs="Arial"/>
        </w:rPr>
        <w:t xml:space="preserve"> over time</w:t>
      </w:r>
      <w:r w:rsidR="00F3615F" w:rsidRPr="007F6332">
        <w:rPr>
          <w:rFonts w:cs="Arial"/>
        </w:rPr>
        <w:t>. T</w:t>
      </w:r>
      <w:r w:rsidR="00574F13" w:rsidRPr="007F6332">
        <w:rPr>
          <w:rFonts w:cs="Arial"/>
        </w:rPr>
        <w:t xml:space="preserve">he </w:t>
      </w:r>
      <w:r w:rsidR="00AA2934" w:rsidRPr="007F6332">
        <w:rPr>
          <w:rFonts w:cs="Arial"/>
        </w:rPr>
        <w:t>June 2023 projection</w:t>
      </w:r>
      <w:r w:rsidR="00F3615F" w:rsidRPr="007F6332">
        <w:rPr>
          <w:rFonts w:cs="Arial"/>
        </w:rPr>
        <w:t xml:space="preserve"> of participants with SIL</w:t>
      </w:r>
      <w:r w:rsidR="004F4FC2" w:rsidRPr="007F6332">
        <w:rPr>
          <w:rFonts w:cs="Arial"/>
        </w:rPr>
        <w:t xml:space="preserve"> is shown by the black sold line</w:t>
      </w:r>
      <w:r w:rsidR="00574F13" w:rsidRPr="007F6332">
        <w:rPr>
          <w:rFonts w:cs="Arial"/>
        </w:rPr>
        <w:t xml:space="preserve">. </w:t>
      </w:r>
      <w:r w:rsidR="004F4FC2" w:rsidRPr="007F6332">
        <w:rPr>
          <w:rFonts w:cs="Arial"/>
        </w:rPr>
        <w:t xml:space="preserve">This lies </w:t>
      </w:r>
      <w:r w:rsidR="004F1148" w:rsidRPr="007F6332">
        <w:rPr>
          <w:rFonts w:cs="Arial"/>
        </w:rPr>
        <w:t xml:space="preserve">within the plausible range </w:t>
      </w:r>
      <w:r w:rsidR="00747EF8" w:rsidRPr="007F6332">
        <w:rPr>
          <w:rFonts w:cs="Arial"/>
        </w:rPr>
        <w:t>described by</w:t>
      </w:r>
      <w:r w:rsidR="004F4FC2" w:rsidRPr="007F6332">
        <w:rPr>
          <w:rFonts w:cs="Arial"/>
        </w:rPr>
        <w:t xml:space="preserve"> the results of the characteristics model and the bottom-up model</w:t>
      </w:r>
      <w:r w:rsidR="004B6827" w:rsidRPr="007F6332">
        <w:rPr>
          <w:rFonts w:cs="Arial"/>
        </w:rPr>
        <w:t>, providing some indication that the June 2023 projection</w:t>
      </w:r>
      <w:r w:rsidR="00747EF8" w:rsidRPr="007F6332">
        <w:rPr>
          <w:rFonts w:cs="Arial"/>
        </w:rPr>
        <w:t>s are not unreasonable. However</w:t>
      </w:r>
      <w:r w:rsidR="00EB209D" w:rsidRPr="007F6332">
        <w:rPr>
          <w:rFonts w:cs="Arial"/>
        </w:rPr>
        <w:t xml:space="preserve">, the modelling of future demand </w:t>
      </w:r>
      <w:r w:rsidR="00EB209D" w:rsidRPr="007F6332">
        <w:rPr>
          <w:rFonts w:cs="Arial"/>
        </w:rPr>
        <w:lastRenderedPageBreak/>
        <w:t>for SIL and SIL type supports will continue to be develop</w:t>
      </w:r>
      <w:r w:rsidR="00614575" w:rsidRPr="007F6332">
        <w:rPr>
          <w:rFonts w:cs="Arial"/>
        </w:rPr>
        <w:t>ed</w:t>
      </w:r>
      <w:r w:rsidR="00EB209D" w:rsidRPr="007F6332">
        <w:rPr>
          <w:rFonts w:cs="Arial"/>
        </w:rPr>
        <w:t>, to gain a better understanding</w:t>
      </w:r>
      <w:r w:rsidR="00895B9A" w:rsidRPr="007F6332">
        <w:rPr>
          <w:rFonts w:cs="Arial"/>
        </w:rPr>
        <w:t xml:space="preserve"> of</w:t>
      </w:r>
      <w:r w:rsidR="001F171D" w:rsidRPr="007F6332">
        <w:rPr>
          <w:rFonts w:cs="Arial"/>
        </w:rPr>
        <w:t xml:space="preserve"> </w:t>
      </w:r>
      <w:r w:rsidR="00574F13" w:rsidRPr="007F6332">
        <w:rPr>
          <w:rFonts w:cs="Arial"/>
        </w:rPr>
        <w:t xml:space="preserve">SIL demand </w:t>
      </w:r>
      <w:r w:rsidR="00895B9A" w:rsidRPr="007F6332">
        <w:rPr>
          <w:rFonts w:cs="Arial"/>
        </w:rPr>
        <w:t xml:space="preserve">and how it </w:t>
      </w:r>
      <w:r w:rsidR="00574F13" w:rsidRPr="007F6332">
        <w:rPr>
          <w:rFonts w:cs="Arial"/>
        </w:rPr>
        <w:t xml:space="preserve">may or may not </w:t>
      </w:r>
      <w:r w:rsidR="00AA2934" w:rsidRPr="007F6332">
        <w:rPr>
          <w:rFonts w:cs="Arial"/>
        </w:rPr>
        <w:t xml:space="preserve">be </w:t>
      </w:r>
      <w:r w:rsidR="00574F13" w:rsidRPr="007F6332">
        <w:rPr>
          <w:rFonts w:cs="Arial"/>
        </w:rPr>
        <w:t>realise</w:t>
      </w:r>
      <w:r w:rsidR="00AA2934" w:rsidRPr="007F6332">
        <w:rPr>
          <w:rFonts w:cs="Arial"/>
        </w:rPr>
        <w:t>d</w:t>
      </w:r>
      <w:r w:rsidR="00574F13" w:rsidRPr="007F6332">
        <w:rPr>
          <w:rFonts w:cs="Arial"/>
        </w:rPr>
        <w:t xml:space="preserve">. </w:t>
      </w:r>
    </w:p>
    <w:p w14:paraId="6684579A" w14:textId="3A1236FF" w:rsidR="00574F13" w:rsidRPr="007F6332" w:rsidRDefault="003C7451" w:rsidP="00EF6B24">
      <w:pPr>
        <w:pStyle w:val="FiguresandTablesHeading5"/>
      </w:pPr>
      <w:r w:rsidRPr="007F6332">
        <w:t>Figure I.9:</w:t>
      </w:r>
      <w:r w:rsidR="00574F13" w:rsidRPr="007F6332">
        <w:t xml:space="preserve"> </w:t>
      </w:r>
      <w:r w:rsidR="001F171D" w:rsidRPr="007F6332">
        <w:t>E</w:t>
      </w:r>
      <w:r w:rsidR="00574F13" w:rsidRPr="007F6332">
        <w:t>stimated number of participants with SIL by 30 June 2028 and 30 June 2033.</w:t>
      </w:r>
    </w:p>
    <w:p w14:paraId="53DB2B2F" w14:textId="3D7D947D" w:rsidR="00961658" w:rsidRPr="007F6332" w:rsidRDefault="00574F13" w:rsidP="00327305">
      <w:pPr>
        <w:pStyle w:val="Figures"/>
        <w:rPr>
          <w:rFonts w:cs="Arial"/>
        </w:rPr>
      </w:pPr>
      <w:r w:rsidRPr="007F6332">
        <w:rPr>
          <w:rFonts w:cs="Arial"/>
        </w:rPr>
        <w:drawing>
          <wp:inline distT="0" distB="0" distL="0" distR="0" wp14:anchorId="6ABF73B4" wp14:editId="40A43C2B">
            <wp:extent cx="5731510" cy="3184525"/>
            <wp:effectExtent l="0" t="0" r="2540" b="0"/>
            <wp:docPr id="457301567" name="Picture 6" descr="Figure I.9: Estimated number of participants with SIL by 30 June 2028 and 30 June 2033.&#10;&#10;Comparing the future demand on the Scheme accessing SIL supports. The bottom up model suggests June 2023 projections are not unreasonable with 2028 figures stating 49,461 and 2033 54,014. The bottom up model  - SIL need suggests 2023: 65,759, 2028: 67,998 and 2033: 7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01567" name="Picture 6" descr="Figure I.9: Estimated number of participants with SIL by 30 June 2028 and 30 June 2033.&#10;&#10;Comparing the future demand on the Scheme accessing SIL supports. The bottom up model suggests June 2023 projections are not unreasonable with 2028 figures stating 49,461 and 2033 54,014. The bottom up model  - SIL need suggests 2023: 65,759, 2028: 67,998 and 2033: 70,91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31510" cy="3184525"/>
                    </a:xfrm>
                    <a:prstGeom prst="rect">
                      <a:avLst/>
                    </a:prstGeom>
                    <a:noFill/>
                    <a:ln>
                      <a:noFill/>
                    </a:ln>
                  </pic:spPr>
                </pic:pic>
              </a:graphicData>
            </a:graphic>
          </wp:inline>
        </w:drawing>
      </w:r>
      <w:r w:rsidR="00961658" w:rsidRPr="007F6332">
        <w:rPr>
          <w:rFonts w:cs="Arial"/>
        </w:rPr>
        <w:t xml:space="preserve"> </w:t>
      </w:r>
    </w:p>
    <w:p w14:paraId="080CAA74" w14:textId="77777777" w:rsidR="007916C5" w:rsidRPr="007F6332" w:rsidRDefault="007916C5" w:rsidP="00C112E5">
      <w:pPr>
        <w:rPr>
          <w:rFonts w:cs="Arial"/>
        </w:rPr>
      </w:pPr>
    </w:p>
    <w:p w14:paraId="33890892" w14:textId="77777777" w:rsidR="007A7CBF" w:rsidRPr="007F6332" w:rsidRDefault="007A7CBF" w:rsidP="00AD33D4">
      <w:pPr>
        <w:rPr>
          <w:rFonts w:cs="Arial"/>
        </w:rPr>
        <w:sectPr w:rsidR="007A7CBF" w:rsidRPr="007F6332" w:rsidSect="00CE7E91">
          <w:pgSz w:w="11906" w:h="16838"/>
          <w:pgMar w:top="1440" w:right="1416" w:bottom="1440" w:left="1440" w:header="708" w:footer="850" w:gutter="0"/>
          <w:cols w:space="708"/>
          <w:titlePg/>
          <w:docGrid w:linePitch="360"/>
        </w:sectPr>
      </w:pPr>
    </w:p>
    <w:p w14:paraId="27EBE8C9" w14:textId="243DB435" w:rsidR="007A7CBF" w:rsidRPr="007F6332" w:rsidRDefault="007A7CBF" w:rsidP="008B34A8">
      <w:pPr>
        <w:pStyle w:val="FSRHeading3"/>
      </w:pPr>
      <w:bookmarkStart w:id="326" w:name="_Toc152615027"/>
      <w:r w:rsidRPr="007F6332">
        <w:lastRenderedPageBreak/>
        <w:t>Appendix J</w:t>
      </w:r>
      <w:r w:rsidR="00A12E65" w:rsidRPr="007F6332">
        <w:tab/>
      </w:r>
      <w:r w:rsidR="00EE3DAC" w:rsidRPr="007F6332">
        <w:t>Average payment assumption setting details</w:t>
      </w:r>
      <w:bookmarkEnd w:id="326"/>
    </w:p>
    <w:p w14:paraId="64EE0A9B" w14:textId="77777777" w:rsidR="00A12E65" w:rsidRPr="007F6332" w:rsidRDefault="00A12E65" w:rsidP="00A12E65">
      <w:pPr>
        <w:pStyle w:val="FSRnormal"/>
        <w:rPr>
          <w:rFonts w:cs="Arial"/>
        </w:rPr>
      </w:pPr>
      <w:r w:rsidRPr="007F6332">
        <w:rPr>
          <w:rFonts w:cs="Arial"/>
        </w:rPr>
        <w:t>Average payment assumptions have been calculated separately for each of the 15 different support categories, with different types of Scheme expenses treated as follows:</w:t>
      </w:r>
    </w:p>
    <w:p w14:paraId="1B19BA1F" w14:textId="77777777" w:rsidR="00A12E65" w:rsidRPr="007F6332" w:rsidRDefault="00A12E65" w:rsidP="00B8399D">
      <w:pPr>
        <w:pStyle w:val="FSRlist"/>
        <w:rPr>
          <w:rFonts w:cs="Arial"/>
        </w:rPr>
      </w:pPr>
      <w:r w:rsidRPr="007F6332">
        <w:rPr>
          <w:rFonts w:cs="Arial"/>
        </w:rPr>
        <w:t xml:space="preserve">Payments to participants and providers are treated on a cash basis (when the cash is paid out by the Agency, regardless of when the support was provided). </w:t>
      </w:r>
    </w:p>
    <w:p w14:paraId="4505FA9F" w14:textId="77777777" w:rsidR="00A12E65" w:rsidRPr="007F6332" w:rsidRDefault="00A12E65" w:rsidP="00B8399D">
      <w:pPr>
        <w:pStyle w:val="FSRlist"/>
        <w:rPr>
          <w:rFonts w:cs="Arial"/>
        </w:rPr>
      </w:pPr>
      <w:r w:rsidRPr="007F6332">
        <w:rPr>
          <w:rFonts w:cs="Arial"/>
        </w:rPr>
        <w:t>Payments relating to in-kind supports are treated on an accrual basis (when the service was provided to the participant).</w:t>
      </w:r>
      <w:r w:rsidRPr="007F6332">
        <w:rPr>
          <w:rStyle w:val="FootnoteReference"/>
          <w:rFonts w:cs="Arial"/>
          <w:vertAlign w:val="baseline"/>
        </w:rPr>
        <w:footnoteReference w:id="181"/>
      </w:r>
      <w:r w:rsidRPr="007F6332">
        <w:rPr>
          <w:rFonts w:cs="Arial"/>
        </w:rPr>
        <w:t xml:space="preserve"> </w:t>
      </w:r>
    </w:p>
    <w:p w14:paraId="116C8AEB" w14:textId="77777777" w:rsidR="00A12E65" w:rsidRPr="007F6332" w:rsidRDefault="00A12E65" w:rsidP="00B8399D">
      <w:pPr>
        <w:pStyle w:val="FSRlist"/>
        <w:rPr>
          <w:rFonts w:cs="Arial"/>
        </w:rPr>
      </w:pPr>
      <w:r w:rsidRPr="007F6332">
        <w:rPr>
          <w:rFonts w:cs="Arial"/>
        </w:rPr>
        <w:t>Payments relating to Residential Aged Care (RAC) supports have been removed due to the infrequent occurrence of cross-billing payments which may distort the payment experience in each period. Expected payments relating to RAC are explicitly allowed for in the projection through a loading assumption.</w:t>
      </w:r>
    </w:p>
    <w:p w14:paraId="0C1A1518" w14:textId="77777777" w:rsidR="00A12E65" w:rsidRPr="007F6332" w:rsidRDefault="00A12E65" w:rsidP="00A12E65">
      <w:pPr>
        <w:pStyle w:val="FSRnormal"/>
        <w:rPr>
          <w:rFonts w:cs="Arial"/>
        </w:rPr>
      </w:pPr>
      <w:r w:rsidRPr="007F6332">
        <w:rPr>
          <w:rFonts w:cs="Arial"/>
        </w:rPr>
        <w:t>The key components considered in setting payment assumptions are discussed in more details below.</w:t>
      </w:r>
    </w:p>
    <w:p w14:paraId="5FA7E447" w14:textId="77777777" w:rsidR="00A12E65" w:rsidRPr="007F6332" w:rsidRDefault="00A12E65" w:rsidP="00A12E65">
      <w:pPr>
        <w:pStyle w:val="FSRHeading4"/>
        <w:rPr>
          <w:rFonts w:cs="Arial"/>
        </w:rPr>
      </w:pPr>
      <w:r w:rsidRPr="007F6332">
        <w:rPr>
          <w:rFonts w:cs="Arial"/>
        </w:rPr>
        <w:t>The most appropriate averaging period for payment experience</w:t>
      </w:r>
    </w:p>
    <w:p w14:paraId="46ED583A" w14:textId="1DD27143" w:rsidR="00A12E65" w:rsidRPr="007F6332" w:rsidRDefault="00A12E65" w:rsidP="00536741">
      <w:pPr>
        <w:pStyle w:val="FSRnormal"/>
        <w:rPr>
          <w:rFonts w:cs="Arial"/>
        </w:rPr>
      </w:pPr>
      <w:r w:rsidRPr="007F6332">
        <w:rPr>
          <w:rFonts w:cs="Arial"/>
        </w:rPr>
        <w:t>The selection of an averaging period must balance the need to reflect recent experience with minimising volatility of payment patterns by cohort and support category. The assumed averaging period is the three months to 30 Apr</w:t>
      </w:r>
      <w:r w:rsidR="00BF2408" w:rsidRPr="007F6332">
        <w:rPr>
          <w:rFonts w:cs="Arial"/>
        </w:rPr>
        <w:t>il</w:t>
      </w:r>
      <w:r w:rsidRPr="007F6332">
        <w:rPr>
          <w:rFonts w:cs="Arial"/>
        </w:rPr>
        <w:t xml:space="preserve"> 2023</w:t>
      </w:r>
      <w:r w:rsidRPr="007F6332">
        <w:rPr>
          <w:rStyle w:val="FootnoteReference"/>
          <w:rFonts w:cs="Arial"/>
        </w:rPr>
        <w:footnoteReference w:id="182"/>
      </w:r>
      <w:r w:rsidRPr="007F6332">
        <w:rPr>
          <w:rFonts w:cs="Arial"/>
        </w:rPr>
        <w:t xml:space="preserve">. By modelling the payments based on the three-month period, the projections align more closely to recent payment experience, which continues to increase over time, while still ensuring there is sufficient stability in payment patterns. </w:t>
      </w:r>
    </w:p>
    <w:p w14:paraId="1A5E7A25" w14:textId="196A3E44" w:rsidR="00A12E65" w:rsidRPr="007F6332" w:rsidRDefault="00A12E65" w:rsidP="00536741">
      <w:pPr>
        <w:pStyle w:val="FSRnormal"/>
        <w:rPr>
          <w:rFonts w:cs="Arial"/>
        </w:rPr>
      </w:pPr>
      <w:r w:rsidRPr="007F6332">
        <w:rPr>
          <w:rFonts w:cs="Arial"/>
        </w:rPr>
        <w:t>The average payment assumptions (i.e., those before allowance for inflation) are set with reference to payments on participants who have been in the Scheme for at least 12 months as of</w:t>
      </w:r>
      <w:r w:rsidR="00494F88" w:rsidRPr="007F6332">
        <w:rPr>
          <w:rFonts w:cs="Arial"/>
        </w:rPr>
        <w:t xml:space="preserve"> 1</w:t>
      </w:r>
      <w:r w:rsidRPr="007F6332">
        <w:rPr>
          <w:rFonts w:cs="Arial"/>
        </w:rPr>
        <w:t xml:space="preserve"> February, 2023. This recognises the time it takes for a new participant to navigate the </w:t>
      </w:r>
      <w:r w:rsidR="00494F88" w:rsidRPr="007F6332">
        <w:rPr>
          <w:rFonts w:cs="Arial"/>
        </w:rPr>
        <w:t>S</w:t>
      </w:r>
      <w:r w:rsidRPr="007F6332">
        <w:rPr>
          <w:rFonts w:cs="Arial"/>
        </w:rPr>
        <w:t>cheme.</w:t>
      </w:r>
    </w:p>
    <w:p w14:paraId="3580A573" w14:textId="502946CD" w:rsidR="00A12E65" w:rsidRPr="007F6332" w:rsidRDefault="00A12E65" w:rsidP="00536741">
      <w:pPr>
        <w:pStyle w:val="FSRnormal"/>
        <w:rPr>
          <w:rFonts w:cs="Arial"/>
        </w:rPr>
      </w:pPr>
      <w:r w:rsidRPr="007F6332">
        <w:rPr>
          <w:rFonts w:cs="Arial"/>
        </w:rPr>
        <w:t xml:space="preserve">Payments are annualised based on working days for participants not in </w:t>
      </w:r>
      <w:r w:rsidR="00494F88" w:rsidRPr="007F6332">
        <w:rPr>
          <w:rFonts w:cs="Arial"/>
        </w:rPr>
        <w:t>S</w:t>
      </w:r>
      <w:r w:rsidRPr="007F6332">
        <w:rPr>
          <w:rFonts w:cs="Arial"/>
        </w:rPr>
        <w:t xml:space="preserve">upported </w:t>
      </w:r>
      <w:r w:rsidR="00494F88" w:rsidRPr="007F6332">
        <w:rPr>
          <w:rFonts w:cs="Arial"/>
        </w:rPr>
        <w:t>I</w:t>
      </w:r>
      <w:r w:rsidRPr="007F6332">
        <w:rPr>
          <w:rFonts w:cs="Arial"/>
        </w:rPr>
        <w:t xml:space="preserve">ndependent </w:t>
      </w:r>
      <w:r w:rsidR="00494F88" w:rsidRPr="007F6332">
        <w:rPr>
          <w:rFonts w:cs="Arial"/>
        </w:rPr>
        <w:t>L</w:t>
      </w:r>
      <w:r w:rsidRPr="007F6332">
        <w:rPr>
          <w:rFonts w:cs="Arial"/>
        </w:rPr>
        <w:t xml:space="preserve">iving </w:t>
      </w:r>
      <w:r w:rsidR="00494F88" w:rsidRPr="007F6332">
        <w:rPr>
          <w:rFonts w:cs="Arial"/>
        </w:rPr>
        <w:t xml:space="preserve">arrangements </w:t>
      </w:r>
      <w:r w:rsidRPr="007F6332">
        <w:rPr>
          <w:rFonts w:cs="Arial"/>
        </w:rPr>
        <w:t xml:space="preserve">(“participants without SIL”); and calendar days for participants with </w:t>
      </w:r>
      <w:r w:rsidR="00494F88" w:rsidRPr="007F6332">
        <w:rPr>
          <w:rFonts w:cs="Arial"/>
        </w:rPr>
        <w:t>S</w:t>
      </w:r>
      <w:r w:rsidRPr="007F6332">
        <w:rPr>
          <w:rFonts w:cs="Arial"/>
        </w:rPr>
        <w:t xml:space="preserve">upported </w:t>
      </w:r>
      <w:r w:rsidR="00494F88" w:rsidRPr="007F6332">
        <w:rPr>
          <w:rFonts w:cs="Arial"/>
        </w:rPr>
        <w:t>I</w:t>
      </w:r>
      <w:r w:rsidRPr="007F6332">
        <w:rPr>
          <w:rFonts w:cs="Arial"/>
        </w:rPr>
        <w:t xml:space="preserve">ndependent </w:t>
      </w:r>
      <w:r w:rsidR="00494F88" w:rsidRPr="007F6332">
        <w:rPr>
          <w:rFonts w:cs="Arial"/>
        </w:rPr>
        <w:t>L</w:t>
      </w:r>
      <w:r w:rsidRPr="007F6332">
        <w:rPr>
          <w:rFonts w:cs="Arial"/>
        </w:rPr>
        <w:t>iving arrangements (“participants with SIL”).</w:t>
      </w:r>
    </w:p>
    <w:p w14:paraId="3427D9D8" w14:textId="77777777" w:rsidR="00327305" w:rsidRPr="007F6332" w:rsidRDefault="00327305" w:rsidP="00A12E65">
      <w:pPr>
        <w:pStyle w:val="FSRHeading4"/>
        <w:rPr>
          <w:rFonts w:cs="Arial"/>
        </w:rPr>
        <w:sectPr w:rsidR="00327305" w:rsidRPr="007F6332" w:rsidSect="00CE7E91">
          <w:pgSz w:w="11906" w:h="16838"/>
          <w:pgMar w:top="1440" w:right="1416" w:bottom="1440" w:left="1440" w:header="708" w:footer="850" w:gutter="0"/>
          <w:cols w:space="708"/>
          <w:titlePg/>
          <w:docGrid w:linePitch="360"/>
        </w:sectPr>
      </w:pPr>
    </w:p>
    <w:p w14:paraId="2357F59C" w14:textId="77777777" w:rsidR="00A12E65" w:rsidRPr="007F6332" w:rsidRDefault="00A12E65" w:rsidP="00A12E65">
      <w:pPr>
        <w:pStyle w:val="FSRHeading4"/>
        <w:rPr>
          <w:rFonts w:cs="Arial"/>
        </w:rPr>
      </w:pPr>
      <w:r w:rsidRPr="007F6332">
        <w:rPr>
          <w:rFonts w:cs="Arial"/>
        </w:rPr>
        <w:lastRenderedPageBreak/>
        <w:t>Impact of seasonality on the payment experience</w:t>
      </w:r>
    </w:p>
    <w:p w14:paraId="00762A6E" w14:textId="5A8DFFC9" w:rsidR="00A12E65" w:rsidRPr="007F6332" w:rsidRDefault="00A12E65" w:rsidP="00536741">
      <w:pPr>
        <w:pStyle w:val="FSRnormal"/>
        <w:rPr>
          <w:rFonts w:cs="Arial"/>
          <w:highlight w:val="yellow"/>
        </w:rPr>
      </w:pPr>
      <w:r w:rsidRPr="007F6332">
        <w:rPr>
          <w:rFonts w:cs="Arial"/>
        </w:rPr>
        <w:t xml:space="preserve">Seasonality refers to fluctuations in payment levels over a period of time due to factors such as the number of business days, public holidays and provider claiming behaviour. By utilising a shorter period to inform average payment assumptions, the seasonality impact can result in </w:t>
      </w:r>
      <w:r w:rsidR="00494F88" w:rsidRPr="007F6332">
        <w:rPr>
          <w:rFonts w:cs="Arial"/>
        </w:rPr>
        <w:t xml:space="preserve">either </w:t>
      </w:r>
      <w:r w:rsidRPr="007F6332">
        <w:rPr>
          <w:rFonts w:cs="Arial"/>
        </w:rPr>
        <w:t>understatement or overstatement of payments. Hence, the average annualised payments assumptions are modified to allow for seasonality impacts resulting from the use of the three months to 30 Apr</w:t>
      </w:r>
      <w:r w:rsidR="00494F88" w:rsidRPr="007F6332">
        <w:rPr>
          <w:rFonts w:cs="Arial"/>
        </w:rPr>
        <w:t>il</w:t>
      </w:r>
      <w:r w:rsidRPr="007F6332">
        <w:rPr>
          <w:rFonts w:cs="Arial"/>
        </w:rPr>
        <w:t xml:space="preserve"> 2023 as the averaging period.</w:t>
      </w:r>
      <w:r w:rsidRPr="007F6332">
        <w:rPr>
          <w:rFonts w:cs="Arial"/>
          <w:highlight w:val="yellow"/>
        </w:rPr>
        <w:t xml:space="preserve"> </w:t>
      </w:r>
    </w:p>
    <w:p w14:paraId="50467FBF" w14:textId="04412983" w:rsidR="00A12E65" w:rsidRPr="007F6332" w:rsidRDefault="002D1BC3" w:rsidP="00536741">
      <w:pPr>
        <w:pStyle w:val="FSRnormal"/>
        <w:rPr>
          <w:rFonts w:cs="Arial"/>
        </w:rPr>
      </w:pPr>
      <w:r w:rsidRPr="007F6332">
        <w:rPr>
          <w:rFonts w:cs="Arial"/>
        </w:rPr>
        <w:t xml:space="preserve">Table J.1 </w:t>
      </w:r>
      <w:r w:rsidR="00A12E65" w:rsidRPr="007F6332">
        <w:rPr>
          <w:rFonts w:cs="Arial"/>
        </w:rPr>
        <w:t xml:space="preserve">shows the seasonality factors </w:t>
      </w:r>
      <w:r w:rsidR="00494F88" w:rsidRPr="007F6332">
        <w:rPr>
          <w:rFonts w:cs="Arial"/>
        </w:rPr>
        <w:t>by</w:t>
      </w:r>
      <w:r w:rsidR="00A12E65" w:rsidRPr="007F6332">
        <w:rPr>
          <w:rFonts w:cs="Arial"/>
        </w:rPr>
        <w:t xml:space="preserve"> support category. </w:t>
      </w:r>
      <w:r w:rsidR="00494F88" w:rsidRPr="007F6332">
        <w:rPr>
          <w:rFonts w:cs="Arial"/>
        </w:rPr>
        <w:t>The o</w:t>
      </w:r>
      <w:r w:rsidR="00A12E65" w:rsidRPr="007F6332">
        <w:rPr>
          <w:rFonts w:cs="Arial"/>
        </w:rPr>
        <w:t xml:space="preserve">verall </w:t>
      </w:r>
      <w:r w:rsidR="00494F88" w:rsidRPr="007F6332">
        <w:rPr>
          <w:rFonts w:cs="Arial"/>
        </w:rPr>
        <w:t xml:space="preserve">assumed </w:t>
      </w:r>
      <w:r w:rsidR="00A12E65" w:rsidRPr="007F6332">
        <w:rPr>
          <w:rFonts w:cs="Arial"/>
        </w:rPr>
        <w:t xml:space="preserve">adjustment for seasonality </w:t>
      </w:r>
      <w:r w:rsidR="00494F88" w:rsidRPr="007F6332">
        <w:rPr>
          <w:rFonts w:cs="Arial"/>
        </w:rPr>
        <w:t xml:space="preserve">is a </w:t>
      </w:r>
      <w:r w:rsidR="00A12E65" w:rsidRPr="007F6332">
        <w:rPr>
          <w:rFonts w:cs="Arial"/>
        </w:rPr>
        <w:t xml:space="preserve">2.0% reduction for participants with SIL supports and </w:t>
      </w:r>
      <w:r w:rsidR="00494F88" w:rsidRPr="007F6332">
        <w:rPr>
          <w:rFonts w:cs="Arial"/>
        </w:rPr>
        <w:t xml:space="preserve">a </w:t>
      </w:r>
      <w:r w:rsidR="00A12E65" w:rsidRPr="007F6332">
        <w:rPr>
          <w:rFonts w:cs="Arial"/>
        </w:rPr>
        <w:t>2.8% reduction for participants without SIL supports.</w:t>
      </w:r>
    </w:p>
    <w:p w14:paraId="3B9FAEA9" w14:textId="2432C577" w:rsidR="00A12E65" w:rsidRPr="007F6332" w:rsidRDefault="00A12E65" w:rsidP="00EF6B24">
      <w:pPr>
        <w:pStyle w:val="FiguresandTablesHeading5"/>
      </w:pPr>
      <w:bookmarkStart w:id="327" w:name="_Ref113286115"/>
      <w:r w:rsidRPr="007F6332">
        <w:t>Table</w:t>
      </w:r>
      <w:bookmarkEnd w:id="327"/>
      <w:r w:rsidR="002D1BC3" w:rsidRPr="007F6332">
        <w:t xml:space="preserve"> J.1</w:t>
      </w:r>
      <w:r w:rsidRPr="007F6332">
        <w:t>: Assumed seasonality factors by support category</w:t>
      </w:r>
    </w:p>
    <w:tbl>
      <w:tblPr>
        <w:tblStyle w:val="FSRtable"/>
        <w:tblW w:w="9072" w:type="dxa"/>
        <w:tblInd w:w="0" w:type="dxa"/>
        <w:tblLayout w:type="fixed"/>
        <w:tblLook w:val="04A0" w:firstRow="1" w:lastRow="0" w:firstColumn="1" w:lastColumn="0" w:noHBand="0" w:noVBand="1"/>
      </w:tblPr>
      <w:tblGrid>
        <w:gridCol w:w="3828"/>
        <w:gridCol w:w="2622"/>
        <w:gridCol w:w="2622"/>
      </w:tblGrid>
      <w:tr w:rsidR="00B8399D" w:rsidRPr="007F6332" w14:paraId="2BB52EA1" w14:textId="77777777" w:rsidTr="00F26AC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28" w:type="dxa"/>
            <w:noWrap/>
          </w:tcPr>
          <w:p w14:paraId="38AB3124" w14:textId="79736FAC" w:rsidR="002C1F5E" w:rsidRPr="007F6332" w:rsidRDefault="002C1F5E" w:rsidP="006C7E97">
            <w:pPr>
              <w:rPr>
                <w:rFonts w:eastAsia="Times New Roman"/>
                <w:bCs/>
                <w:color w:val="FFFFFF"/>
                <w:szCs w:val="22"/>
                <w:lang w:eastAsia="en-AU"/>
              </w:rPr>
            </w:pPr>
            <w:r w:rsidRPr="007F6332">
              <w:rPr>
                <w:rFonts w:eastAsia="Times New Roman"/>
                <w:bCs/>
                <w:color w:val="FFFFFF"/>
                <w:szCs w:val="22"/>
                <w:lang w:eastAsia="en-AU"/>
              </w:rPr>
              <w:t>Support Category</w:t>
            </w:r>
          </w:p>
        </w:tc>
        <w:tc>
          <w:tcPr>
            <w:tcW w:w="2622" w:type="dxa"/>
            <w:noWrap/>
          </w:tcPr>
          <w:p w14:paraId="16B7C6C1" w14:textId="5E00F148" w:rsidR="002C1F5E" w:rsidRPr="007F6332" w:rsidRDefault="002C1F5E" w:rsidP="00F26AC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Participants</w:t>
            </w:r>
          </w:p>
          <w:p w14:paraId="23508A4B" w14:textId="77777777" w:rsidR="002C1F5E" w:rsidRPr="007F6332" w:rsidRDefault="002C1F5E" w:rsidP="00F26AC5">
            <w:pPr>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Without SIL</w:t>
            </w:r>
          </w:p>
        </w:tc>
        <w:tc>
          <w:tcPr>
            <w:tcW w:w="2622" w:type="dxa"/>
          </w:tcPr>
          <w:p w14:paraId="63D63137" w14:textId="653536EA" w:rsidR="002C1F5E" w:rsidRPr="007F6332" w:rsidRDefault="002C1F5E" w:rsidP="00F26AC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Cs w:val="22"/>
                <w:lang w:eastAsia="en-AU"/>
              </w:rPr>
            </w:pPr>
            <w:r w:rsidRPr="007F6332">
              <w:rPr>
                <w:rFonts w:eastAsia="Times New Roman"/>
                <w:bCs/>
                <w:color w:val="FFFFFF"/>
                <w:szCs w:val="22"/>
                <w:lang w:eastAsia="en-AU"/>
              </w:rPr>
              <w:t>Participants</w:t>
            </w:r>
          </w:p>
          <w:p w14:paraId="2B2B003F" w14:textId="77777777" w:rsidR="002C1F5E" w:rsidRPr="007F6332" w:rsidRDefault="002C1F5E" w:rsidP="00F26AC5">
            <w:pPr>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Cs w:val="22"/>
                <w:lang w:eastAsia="en-AU"/>
              </w:rPr>
            </w:pPr>
            <w:r w:rsidRPr="007F6332">
              <w:rPr>
                <w:rFonts w:eastAsia="Times New Roman"/>
                <w:bCs/>
                <w:color w:val="FFFFFF"/>
                <w:szCs w:val="22"/>
                <w:lang w:eastAsia="en-AU"/>
              </w:rPr>
              <w:t>With SIL</w:t>
            </w:r>
          </w:p>
        </w:tc>
      </w:tr>
      <w:tr w:rsidR="00B8399D" w:rsidRPr="007F6332" w14:paraId="6DB2B948" w14:textId="77777777" w:rsidTr="00F26AC5">
        <w:trPr>
          <w:trHeight w:val="300"/>
        </w:trPr>
        <w:tc>
          <w:tcPr>
            <w:cnfStyle w:val="001000000000" w:firstRow="0" w:lastRow="0" w:firstColumn="1" w:lastColumn="0" w:oddVBand="0" w:evenVBand="0" w:oddHBand="0" w:evenHBand="0" w:firstRowFirstColumn="0" w:firstRowLastColumn="0" w:lastRowFirstColumn="0" w:lastRowLastColumn="0"/>
            <w:tcW w:w="3828" w:type="dxa"/>
            <w:shd w:val="clear" w:color="auto" w:fill="A6A6A6" w:themeFill="background1" w:themeFillShade="A6"/>
            <w:noWrap/>
            <w:hideMark/>
          </w:tcPr>
          <w:p w14:paraId="60CAA3BD" w14:textId="77777777" w:rsidR="002C1F5E" w:rsidRPr="007F6332" w:rsidRDefault="002C1F5E" w:rsidP="006C7E97">
            <w:pPr>
              <w:rPr>
                <w:rFonts w:eastAsia="Times New Roman" w:cs="Arial"/>
                <w:b/>
                <w:bCs/>
                <w:color w:val="000000"/>
                <w:szCs w:val="22"/>
                <w:lang w:eastAsia="en-AU"/>
              </w:rPr>
            </w:pPr>
            <w:r w:rsidRPr="007F6332">
              <w:rPr>
                <w:rFonts w:eastAsia="Times New Roman" w:cs="Arial"/>
                <w:b/>
                <w:bCs/>
                <w:color w:val="000000"/>
                <w:szCs w:val="22"/>
                <w:lang w:eastAsia="en-AU"/>
              </w:rPr>
              <w:t>Core</w:t>
            </w:r>
          </w:p>
        </w:tc>
        <w:tc>
          <w:tcPr>
            <w:tcW w:w="2622" w:type="dxa"/>
            <w:shd w:val="clear" w:color="auto" w:fill="A6A6A6" w:themeFill="background1" w:themeFillShade="A6"/>
            <w:noWrap/>
            <w:hideMark/>
          </w:tcPr>
          <w:p w14:paraId="4D9D8532" w14:textId="45888E18" w:rsidR="002C1F5E" w:rsidRPr="007F6332" w:rsidRDefault="002C1F5E" w:rsidP="00F26A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p>
        </w:tc>
        <w:tc>
          <w:tcPr>
            <w:tcW w:w="2622" w:type="dxa"/>
            <w:shd w:val="clear" w:color="auto" w:fill="A6A6A6" w:themeFill="background1" w:themeFillShade="A6"/>
          </w:tcPr>
          <w:p w14:paraId="2F0BAB2D" w14:textId="77777777" w:rsidR="002C1F5E" w:rsidRPr="007F6332" w:rsidRDefault="002C1F5E" w:rsidP="00F26A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2"/>
                <w:lang w:eastAsia="en-AU"/>
              </w:rPr>
            </w:pPr>
          </w:p>
        </w:tc>
      </w:tr>
      <w:tr w:rsidR="00B8399D" w:rsidRPr="007F6332" w14:paraId="3D05281F" w14:textId="77777777" w:rsidTr="00F26AC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28" w:type="dxa"/>
            <w:noWrap/>
            <w:hideMark/>
          </w:tcPr>
          <w:p w14:paraId="7C7AFA7C"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Daily Activities</w:t>
            </w:r>
          </w:p>
        </w:tc>
        <w:tc>
          <w:tcPr>
            <w:tcW w:w="2622" w:type="dxa"/>
            <w:noWrap/>
            <w:hideMark/>
          </w:tcPr>
          <w:p w14:paraId="32B6D508"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2.3%</w:t>
            </w:r>
          </w:p>
        </w:tc>
        <w:tc>
          <w:tcPr>
            <w:tcW w:w="2622" w:type="dxa"/>
          </w:tcPr>
          <w:p w14:paraId="2B176EDF"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-1.8%</w:t>
            </w:r>
          </w:p>
        </w:tc>
      </w:tr>
      <w:tr w:rsidR="00B8399D" w:rsidRPr="007F6332" w14:paraId="58BA3237" w14:textId="77777777" w:rsidTr="00F26AC5">
        <w:trPr>
          <w:trHeight w:val="285"/>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9E0EF34"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Social Community Civic</w:t>
            </w:r>
          </w:p>
        </w:tc>
        <w:tc>
          <w:tcPr>
            <w:tcW w:w="2622" w:type="dxa"/>
            <w:noWrap/>
            <w:hideMark/>
          </w:tcPr>
          <w:p w14:paraId="1E695F2B"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-8.3%</w:t>
            </w:r>
          </w:p>
        </w:tc>
        <w:tc>
          <w:tcPr>
            <w:tcW w:w="2622" w:type="dxa"/>
          </w:tcPr>
          <w:p w14:paraId="4B74BE6D"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-3.2%</w:t>
            </w:r>
          </w:p>
        </w:tc>
      </w:tr>
      <w:tr w:rsidR="00B8399D" w:rsidRPr="007F6332" w14:paraId="367D5B80" w14:textId="77777777" w:rsidTr="00F26AC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28" w:type="dxa"/>
            <w:noWrap/>
            <w:hideMark/>
          </w:tcPr>
          <w:p w14:paraId="7A2540EB"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Consumables</w:t>
            </w:r>
          </w:p>
        </w:tc>
        <w:tc>
          <w:tcPr>
            <w:tcW w:w="2622" w:type="dxa"/>
            <w:noWrap/>
            <w:hideMark/>
          </w:tcPr>
          <w:p w14:paraId="490E4E38"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-3.4%</w:t>
            </w:r>
          </w:p>
        </w:tc>
        <w:tc>
          <w:tcPr>
            <w:tcW w:w="2622" w:type="dxa"/>
          </w:tcPr>
          <w:p w14:paraId="44DB9203"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-1.7%</w:t>
            </w:r>
          </w:p>
        </w:tc>
      </w:tr>
      <w:tr w:rsidR="00B8399D" w:rsidRPr="007F6332" w14:paraId="22D0A0EF" w14:textId="77777777" w:rsidTr="00F26AC5">
        <w:trPr>
          <w:trHeight w:val="285"/>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22C123F"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Transport</w:t>
            </w:r>
          </w:p>
        </w:tc>
        <w:tc>
          <w:tcPr>
            <w:tcW w:w="2622" w:type="dxa"/>
            <w:noWrap/>
            <w:hideMark/>
          </w:tcPr>
          <w:p w14:paraId="69E2FA9E"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3.5%</w:t>
            </w:r>
          </w:p>
        </w:tc>
        <w:tc>
          <w:tcPr>
            <w:tcW w:w="2622" w:type="dxa"/>
          </w:tcPr>
          <w:p w14:paraId="43B57184"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2.5%</w:t>
            </w:r>
          </w:p>
        </w:tc>
      </w:tr>
      <w:tr w:rsidR="00B8399D" w:rsidRPr="007F6332" w14:paraId="6001611E" w14:textId="77777777" w:rsidTr="00F26AC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shd w:val="clear" w:color="auto" w:fill="A6A6A6" w:themeFill="background1" w:themeFillShade="A6"/>
            <w:noWrap/>
            <w:hideMark/>
          </w:tcPr>
          <w:p w14:paraId="38BAAB58" w14:textId="77777777" w:rsidR="002C1F5E" w:rsidRPr="007F6332" w:rsidRDefault="002C1F5E" w:rsidP="006C7E97">
            <w:pPr>
              <w:rPr>
                <w:rFonts w:eastAsia="Times New Roman" w:cs="Arial"/>
                <w:b/>
                <w:bCs/>
                <w:color w:val="000000"/>
                <w:szCs w:val="22"/>
                <w:lang w:eastAsia="en-AU"/>
              </w:rPr>
            </w:pPr>
            <w:r w:rsidRPr="007F6332">
              <w:rPr>
                <w:rFonts w:eastAsia="Times New Roman" w:cs="Arial"/>
                <w:b/>
                <w:bCs/>
                <w:color w:val="000000"/>
                <w:szCs w:val="22"/>
                <w:lang w:eastAsia="en-AU"/>
              </w:rPr>
              <w:t>Capital</w:t>
            </w:r>
          </w:p>
        </w:tc>
        <w:tc>
          <w:tcPr>
            <w:tcW w:w="2622" w:type="dxa"/>
            <w:shd w:val="clear" w:color="auto" w:fill="A6A6A6" w:themeFill="background1" w:themeFillShade="A6"/>
            <w:noWrap/>
          </w:tcPr>
          <w:p w14:paraId="3FFA480E"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p>
        </w:tc>
        <w:tc>
          <w:tcPr>
            <w:tcW w:w="2622" w:type="dxa"/>
            <w:shd w:val="clear" w:color="auto" w:fill="A6A6A6" w:themeFill="background1" w:themeFillShade="A6"/>
          </w:tcPr>
          <w:p w14:paraId="7FAB0C3C"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p>
        </w:tc>
      </w:tr>
      <w:tr w:rsidR="00B8399D" w:rsidRPr="007F6332" w14:paraId="53E8C9DB" w14:textId="77777777" w:rsidTr="00F26AC5">
        <w:trPr>
          <w:trHeight w:val="285"/>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FF79789"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Assistive Technology</w:t>
            </w:r>
          </w:p>
        </w:tc>
        <w:tc>
          <w:tcPr>
            <w:tcW w:w="2622" w:type="dxa"/>
            <w:noWrap/>
          </w:tcPr>
          <w:p w14:paraId="086294A6"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3.3%</w:t>
            </w:r>
          </w:p>
        </w:tc>
        <w:tc>
          <w:tcPr>
            <w:tcW w:w="2622" w:type="dxa"/>
          </w:tcPr>
          <w:p w14:paraId="48ED5528"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-1.0%</w:t>
            </w:r>
          </w:p>
        </w:tc>
      </w:tr>
      <w:tr w:rsidR="00B8399D" w:rsidRPr="007F6332" w14:paraId="4964D55F" w14:textId="77777777" w:rsidTr="00F26AC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494A6BC"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Home Modifications</w:t>
            </w:r>
          </w:p>
        </w:tc>
        <w:tc>
          <w:tcPr>
            <w:tcW w:w="2622" w:type="dxa"/>
            <w:noWrap/>
            <w:hideMark/>
          </w:tcPr>
          <w:p w14:paraId="5D6CFF10"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-9.8%</w:t>
            </w:r>
          </w:p>
        </w:tc>
        <w:tc>
          <w:tcPr>
            <w:tcW w:w="2622" w:type="dxa"/>
          </w:tcPr>
          <w:p w14:paraId="3981F370"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-0.7%</w:t>
            </w:r>
          </w:p>
        </w:tc>
      </w:tr>
      <w:tr w:rsidR="00B8399D" w:rsidRPr="007F6332" w14:paraId="5897DD19" w14:textId="77777777" w:rsidTr="00F26AC5">
        <w:trPr>
          <w:trHeight w:val="300"/>
        </w:trPr>
        <w:tc>
          <w:tcPr>
            <w:cnfStyle w:val="001000000000" w:firstRow="0" w:lastRow="0" w:firstColumn="1" w:lastColumn="0" w:oddVBand="0" w:evenVBand="0" w:oddHBand="0" w:evenHBand="0" w:firstRowFirstColumn="0" w:firstRowLastColumn="0" w:lastRowFirstColumn="0" w:lastRowLastColumn="0"/>
            <w:tcW w:w="3828" w:type="dxa"/>
            <w:shd w:val="clear" w:color="auto" w:fill="A6A6A6" w:themeFill="background1" w:themeFillShade="A6"/>
            <w:noWrap/>
            <w:hideMark/>
          </w:tcPr>
          <w:p w14:paraId="3C5A7481" w14:textId="77777777" w:rsidR="002C1F5E" w:rsidRPr="007F6332" w:rsidRDefault="002C1F5E" w:rsidP="006C7E97">
            <w:pPr>
              <w:rPr>
                <w:rFonts w:eastAsia="Times New Roman" w:cs="Arial"/>
                <w:b/>
                <w:bCs/>
                <w:color w:val="000000"/>
                <w:szCs w:val="22"/>
                <w:lang w:eastAsia="en-AU"/>
              </w:rPr>
            </w:pPr>
            <w:r w:rsidRPr="007F6332">
              <w:rPr>
                <w:rFonts w:eastAsia="Times New Roman" w:cs="Arial"/>
                <w:b/>
                <w:bCs/>
                <w:color w:val="000000"/>
                <w:szCs w:val="22"/>
                <w:lang w:eastAsia="en-AU"/>
              </w:rPr>
              <w:t>Capacity Building</w:t>
            </w:r>
          </w:p>
        </w:tc>
        <w:tc>
          <w:tcPr>
            <w:tcW w:w="2622" w:type="dxa"/>
            <w:shd w:val="clear" w:color="auto" w:fill="A6A6A6" w:themeFill="background1" w:themeFillShade="A6"/>
            <w:noWrap/>
          </w:tcPr>
          <w:p w14:paraId="72ABFCB1"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p>
        </w:tc>
        <w:tc>
          <w:tcPr>
            <w:tcW w:w="2622" w:type="dxa"/>
            <w:shd w:val="clear" w:color="auto" w:fill="A6A6A6" w:themeFill="background1" w:themeFillShade="A6"/>
          </w:tcPr>
          <w:p w14:paraId="4B09F8BA"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p>
        </w:tc>
      </w:tr>
      <w:tr w:rsidR="00B8399D" w:rsidRPr="007F6332" w14:paraId="7C60B49D" w14:textId="77777777" w:rsidTr="00F26AC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509E6A4"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CB Daily Activities</w:t>
            </w:r>
          </w:p>
        </w:tc>
        <w:tc>
          <w:tcPr>
            <w:tcW w:w="2622" w:type="dxa"/>
            <w:noWrap/>
          </w:tcPr>
          <w:p w14:paraId="34CA3A49"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-6.9%</w:t>
            </w:r>
          </w:p>
        </w:tc>
        <w:tc>
          <w:tcPr>
            <w:tcW w:w="2622" w:type="dxa"/>
          </w:tcPr>
          <w:p w14:paraId="4D2AC1FC"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-4.1%</w:t>
            </w:r>
          </w:p>
        </w:tc>
      </w:tr>
      <w:tr w:rsidR="00B8399D" w:rsidRPr="007F6332" w14:paraId="1A9D6711" w14:textId="77777777" w:rsidTr="00F26AC5">
        <w:trPr>
          <w:trHeight w:val="285"/>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4FDE399"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Support Coordination</w:t>
            </w:r>
          </w:p>
        </w:tc>
        <w:tc>
          <w:tcPr>
            <w:tcW w:w="2622" w:type="dxa"/>
            <w:noWrap/>
          </w:tcPr>
          <w:p w14:paraId="1B55F7CB"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-4.3%</w:t>
            </w:r>
          </w:p>
        </w:tc>
        <w:tc>
          <w:tcPr>
            <w:tcW w:w="2622" w:type="dxa"/>
          </w:tcPr>
          <w:p w14:paraId="4C0FF100"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-3.4%</w:t>
            </w:r>
          </w:p>
        </w:tc>
      </w:tr>
      <w:tr w:rsidR="00B8399D" w:rsidRPr="007F6332" w14:paraId="6EEED6C4" w14:textId="77777777" w:rsidTr="00F26AC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28" w:type="dxa"/>
            <w:tcBorders>
              <w:bottom w:val="nil"/>
            </w:tcBorders>
            <w:noWrap/>
            <w:hideMark/>
          </w:tcPr>
          <w:p w14:paraId="2387B764"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CB Employment</w:t>
            </w:r>
          </w:p>
        </w:tc>
        <w:tc>
          <w:tcPr>
            <w:tcW w:w="2622" w:type="dxa"/>
            <w:tcBorders>
              <w:bottom w:val="nil"/>
            </w:tcBorders>
            <w:noWrap/>
          </w:tcPr>
          <w:p w14:paraId="34B22669"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-8.8%</w:t>
            </w:r>
          </w:p>
        </w:tc>
        <w:tc>
          <w:tcPr>
            <w:tcW w:w="2622" w:type="dxa"/>
            <w:tcBorders>
              <w:bottom w:val="nil"/>
            </w:tcBorders>
          </w:tcPr>
          <w:p w14:paraId="31784B55"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-0.3%</w:t>
            </w:r>
          </w:p>
        </w:tc>
      </w:tr>
      <w:tr w:rsidR="00B8399D" w:rsidRPr="007F6332" w14:paraId="66129909" w14:textId="77777777" w:rsidTr="00F26AC5">
        <w:trPr>
          <w:trHeight w:val="285"/>
        </w:trPr>
        <w:tc>
          <w:tcPr>
            <w:cnfStyle w:val="001000000000" w:firstRow="0" w:lastRow="0" w:firstColumn="1" w:lastColumn="0" w:oddVBand="0" w:evenVBand="0" w:oddHBand="0" w:evenHBand="0" w:firstRowFirstColumn="0" w:firstRowLastColumn="0" w:lastRowFirstColumn="0" w:lastRowLastColumn="0"/>
            <w:tcW w:w="3828" w:type="dxa"/>
            <w:tcBorders>
              <w:top w:val="nil"/>
              <w:bottom w:val="nil"/>
            </w:tcBorders>
            <w:noWrap/>
            <w:vAlign w:val="top"/>
          </w:tcPr>
          <w:p w14:paraId="5BB203B4"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CB Choice Control</w:t>
            </w:r>
          </w:p>
        </w:tc>
        <w:tc>
          <w:tcPr>
            <w:tcW w:w="2622" w:type="dxa"/>
            <w:tcBorders>
              <w:top w:val="nil"/>
              <w:bottom w:val="nil"/>
            </w:tcBorders>
            <w:noWrap/>
          </w:tcPr>
          <w:p w14:paraId="0CA38B09"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-5.4%</w:t>
            </w:r>
          </w:p>
        </w:tc>
        <w:tc>
          <w:tcPr>
            <w:tcW w:w="2622" w:type="dxa"/>
            <w:tcBorders>
              <w:top w:val="nil"/>
              <w:bottom w:val="nil"/>
            </w:tcBorders>
          </w:tcPr>
          <w:p w14:paraId="79199914"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-2.8%</w:t>
            </w:r>
          </w:p>
        </w:tc>
      </w:tr>
      <w:tr w:rsidR="00B8399D" w:rsidRPr="007F6332" w14:paraId="00124D2D" w14:textId="77777777" w:rsidTr="00F26AC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28" w:type="dxa"/>
            <w:tcBorders>
              <w:top w:val="nil"/>
              <w:bottom w:val="nil"/>
            </w:tcBorders>
            <w:noWrap/>
            <w:vAlign w:val="top"/>
          </w:tcPr>
          <w:p w14:paraId="7285E960"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CB Social Community Civic</w:t>
            </w:r>
          </w:p>
        </w:tc>
        <w:tc>
          <w:tcPr>
            <w:tcW w:w="2622" w:type="dxa"/>
            <w:tcBorders>
              <w:top w:val="nil"/>
              <w:bottom w:val="nil"/>
            </w:tcBorders>
            <w:noWrap/>
          </w:tcPr>
          <w:p w14:paraId="209EFE77"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-6.4%</w:t>
            </w:r>
          </w:p>
        </w:tc>
        <w:tc>
          <w:tcPr>
            <w:tcW w:w="2622" w:type="dxa"/>
            <w:tcBorders>
              <w:top w:val="nil"/>
              <w:bottom w:val="nil"/>
            </w:tcBorders>
          </w:tcPr>
          <w:p w14:paraId="0E94DDEC"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4.3%</w:t>
            </w:r>
          </w:p>
        </w:tc>
      </w:tr>
      <w:tr w:rsidR="00B8399D" w:rsidRPr="007F6332" w14:paraId="1FDAEF61" w14:textId="77777777" w:rsidTr="00F26AC5">
        <w:trPr>
          <w:trHeight w:val="285"/>
        </w:trPr>
        <w:tc>
          <w:tcPr>
            <w:cnfStyle w:val="001000000000" w:firstRow="0" w:lastRow="0" w:firstColumn="1" w:lastColumn="0" w:oddVBand="0" w:evenVBand="0" w:oddHBand="0" w:evenHBand="0" w:firstRowFirstColumn="0" w:firstRowLastColumn="0" w:lastRowFirstColumn="0" w:lastRowLastColumn="0"/>
            <w:tcW w:w="3828" w:type="dxa"/>
            <w:tcBorders>
              <w:top w:val="nil"/>
              <w:bottom w:val="nil"/>
            </w:tcBorders>
            <w:noWrap/>
            <w:vAlign w:val="top"/>
          </w:tcPr>
          <w:p w14:paraId="592771CA"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CB Relationships</w:t>
            </w:r>
          </w:p>
        </w:tc>
        <w:tc>
          <w:tcPr>
            <w:tcW w:w="2622" w:type="dxa"/>
            <w:tcBorders>
              <w:top w:val="nil"/>
              <w:bottom w:val="nil"/>
            </w:tcBorders>
            <w:noWrap/>
          </w:tcPr>
          <w:p w14:paraId="51A6B902"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-8.1%</w:t>
            </w:r>
          </w:p>
        </w:tc>
        <w:tc>
          <w:tcPr>
            <w:tcW w:w="2622" w:type="dxa"/>
            <w:tcBorders>
              <w:top w:val="nil"/>
              <w:bottom w:val="nil"/>
            </w:tcBorders>
          </w:tcPr>
          <w:p w14:paraId="0414750C"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-3.7%</w:t>
            </w:r>
          </w:p>
        </w:tc>
      </w:tr>
      <w:tr w:rsidR="00B8399D" w:rsidRPr="007F6332" w14:paraId="321CDDCB" w14:textId="77777777" w:rsidTr="00F26AC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28" w:type="dxa"/>
            <w:tcBorders>
              <w:top w:val="nil"/>
              <w:bottom w:val="nil"/>
            </w:tcBorders>
            <w:noWrap/>
            <w:vAlign w:val="top"/>
          </w:tcPr>
          <w:p w14:paraId="2D1E218C"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CB Health Wellbeing</w:t>
            </w:r>
          </w:p>
        </w:tc>
        <w:tc>
          <w:tcPr>
            <w:tcW w:w="2622" w:type="dxa"/>
            <w:tcBorders>
              <w:top w:val="nil"/>
              <w:bottom w:val="nil"/>
            </w:tcBorders>
            <w:noWrap/>
          </w:tcPr>
          <w:p w14:paraId="46087089"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1.6%</w:t>
            </w:r>
          </w:p>
        </w:tc>
        <w:tc>
          <w:tcPr>
            <w:tcW w:w="2622" w:type="dxa"/>
            <w:tcBorders>
              <w:top w:val="nil"/>
              <w:bottom w:val="nil"/>
            </w:tcBorders>
          </w:tcPr>
          <w:p w14:paraId="4CD21282"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3.0%</w:t>
            </w:r>
          </w:p>
        </w:tc>
      </w:tr>
      <w:tr w:rsidR="00B8399D" w:rsidRPr="007F6332" w14:paraId="15AD6235" w14:textId="77777777" w:rsidTr="00F26AC5">
        <w:trPr>
          <w:trHeight w:val="285"/>
        </w:trPr>
        <w:tc>
          <w:tcPr>
            <w:cnfStyle w:val="001000000000" w:firstRow="0" w:lastRow="0" w:firstColumn="1" w:lastColumn="0" w:oddVBand="0" w:evenVBand="0" w:oddHBand="0" w:evenHBand="0" w:firstRowFirstColumn="0" w:firstRowLastColumn="0" w:lastRowFirstColumn="0" w:lastRowLastColumn="0"/>
            <w:tcW w:w="3828" w:type="dxa"/>
            <w:tcBorders>
              <w:top w:val="nil"/>
              <w:bottom w:val="nil"/>
            </w:tcBorders>
            <w:noWrap/>
            <w:vAlign w:val="top"/>
          </w:tcPr>
          <w:p w14:paraId="1875830D"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CB Home Living</w:t>
            </w:r>
          </w:p>
        </w:tc>
        <w:tc>
          <w:tcPr>
            <w:tcW w:w="2622" w:type="dxa"/>
            <w:tcBorders>
              <w:top w:val="nil"/>
              <w:bottom w:val="nil"/>
            </w:tcBorders>
            <w:noWrap/>
          </w:tcPr>
          <w:p w14:paraId="4DF48B7C"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w:t>
            </w:r>
          </w:p>
        </w:tc>
        <w:tc>
          <w:tcPr>
            <w:tcW w:w="2622" w:type="dxa"/>
            <w:tcBorders>
              <w:top w:val="nil"/>
              <w:bottom w:val="nil"/>
            </w:tcBorders>
          </w:tcPr>
          <w:p w14:paraId="3997F561" w14:textId="77777777" w:rsidR="002C1F5E" w:rsidRPr="007F6332" w:rsidRDefault="002C1F5E" w:rsidP="00F26AC5">
            <w:pPr>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w:t>
            </w:r>
          </w:p>
        </w:tc>
      </w:tr>
      <w:tr w:rsidR="00B8399D" w:rsidRPr="007F6332" w14:paraId="4BFBC2DC" w14:textId="77777777" w:rsidTr="00F26AC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28" w:type="dxa"/>
            <w:tcBorders>
              <w:top w:val="nil"/>
              <w:bottom w:val="nil"/>
            </w:tcBorders>
            <w:noWrap/>
            <w:vAlign w:val="top"/>
          </w:tcPr>
          <w:p w14:paraId="379D482C" w14:textId="77777777" w:rsidR="002C1F5E" w:rsidRPr="007F6332" w:rsidRDefault="002C1F5E" w:rsidP="006C7E97">
            <w:pPr>
              <w:ind w:firstLineChars="100" w:firstLine="220"/>
              <w:rPr>
                <w:rFonts w:eastAsia="Times New Roman" w:cs="Arial"/>
                <w:color w:val="000000"/>
                <w:szCs w:val="22"/>
                <w:lang w:eastAsia="en-AU"/>
              </w:rPr>
            </w:pPr>
            <w:r w:rsidRPr="007F6332">
              <w:rPr>
                <w:rFonts w:eastAsia="Times New Roman" w:cs="Arial"/>
                <w:color w:val="000000"/>
                <w:szCs w:val="22"/>
                <w:lang w:eastAsia="en-AU"/>
              </w:rPr>
              <w:t>CB Lifelong Learning</w:t>
            </w:r>
          </w:p>
        </w:tc>
        <w:tc>
          <w:tcPr>
            <w:tcW w:w="2622" w:type="dxa"/>
            <w:tcBorders>
              <w:top w:val="nil"/>
              <w:bottom w:val="nil"/>
            </w:tcBorders>
            <w:noWrap/>
          </w:tcPr>
          <w:p w14:paraId="52C7FAEC"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w:t>
            </w:r>
          </w:p>
        </w:tc>
        <w:tc>
          <w:tcPr>
            <w:tcW w:w="2622" w:type="dxa"/>
            <w:tcBorders>
              <w:top w:val="nil"/>
              <w:bottom w:val="nil"/>
            </w:tcBorders>
          </w:tcPr>
          <w:p w14:paraId="5CF206CD" w14:textId="77777777" w:rsidR="002C1F5E" w:rsidRPr="007F6332" w:rsidRDefault="002C1F5E" w:rsidP="00F26AC5">
            <w:pPr>
              <w:ind w:firstLineChars="100" w:firstLine="220"/>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7F6332">
              <w:rPr>
                <w:rFonts w:eastAsia="Times New Roman" w:cs="Arial"/>
                <w:color w:val="000000"/>
                <w:szCs w:val="22"/>
                <w:lang w:eastAsia="en-AU"/>
              </w:rPr>
              <w:t>0.0%</w:t>
            </w:r>
          </w:p>
        </w:tc>
      </w:tr>
      <w:tr w:rsidR="00B8399D" w:rsidRPr="007F6332" w14:paraId="3A9CA1E3" w14:textId="77777777" w:rsidTr="00F26AC5">
        <w:trPr>
          <w:trHeight w:val="300"/>
        </w:trPr>
        <w:tc>
          <w:tcPr>
            <w:cnfStyle w:val="001000000000" w:firstRow="0" w:lastRow="0" w:firstColumn="1" w:lastColumn="0" w:oddVBand="0" w:evenVBand="0" w:oddHBand="0" w:evenHBand="0" w:firstRowFirstColumn="0" w:firstRowLastColumn="0" w:lastRowFirstColumn="0" w:lastRowLastColumn="0"/>
            <w:tcW w:w="3828" w:type="dxa"/>
            <w:tcBorders>
              <w:top w:val="nil"/>
              <w:bottom w:val="single" w:sz="4" w:space="0" w:color="auto"/>
            </w:tcBorders>
            <w:shd w:val="clear" w:color="auto" w:fill="97719D"/>
            <w:noWrap/>
            <w:hideMark/>
          </w:tcPr>
          <w:p w14:paraId="146F4A57" w14:textId="77777777" w:rsidR="002C1F5E" w:rsidRPr="007F6332" w:rsidRDefault="002C1F5E" w:rsidP="006C7E97">
            <w:pPr>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2622" w:type="dxa"/>
            <w:tcBorders>
              <w:top w:val="nil"/>
              <w:bottom w:val="single" w:sz="4" w:space="0" w:color="auto"/>
            </w:tcBorders>
            <w:shd w:val="clear" w:color="auto" w:fill="97719D"/>
            <w:noWrap/>
            <w:hideMark/>
          </w:tcPr>
          <w:p w14:paraId="3269240F" w14:textId="77777777" w:rsidR="002C1F5E" w:rsidRPr="007F6332" w:rsidRDefault="002C1F5E" w:rsidP="00F26AC5">
            <w:pPr>
              <w:ind w:firstLineChars="100" w:firstLine="221"/>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2"/>
                <w:lang w:eastAsia="en-AU"/>
              </w:rPr>
            </w:pPr>
            <w:r w:rsidRPr="007F6332">
              <w:rPr>
                <w:rFonts w:eastAsia="Times New Roman" w:cs="Arial"/>
                <w:b/>
                <w:color w:val="000000"/>
                <w:szCs w:val="22"/>
                <w:lang w:eastAsia="en-AU"/>
              </w:rPr>
              <w:t>-2.8%</w:t>
            </w:r>
          </w:p>
        </w:tc>
        <w:tc>
          <w:tcPr>
            <w:tcW w:w="2622" w:type="dxa"/>
            <w:tcBorders>
              <w:top w:val="nil"/>
              <w:bottom w:val="single" w:sz="4" w:space="0" w:color="auto"/>
            </w:tcBorders>
            <w:shd w:val="clear" w:color="auto" w:fill="97719D"/>
          </w:tcPr>
          <w:p w14:paraId="06991A8F" w14:textId="77777777" w:rsidR="002C1F5E" w:rsidRPr="007F6332" w:rsidRDefault="002C1F5E" w:rsidP="00F26AC5">
            <w:pPr>
              <w:ind w:firstLineChars="100" w:firstLine="221"/>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2"/>
                <w:lang w:eastAsia="en-AU"/>
              </w:rPr>
            </w:pPr>
            <w:r w:rsidRPr="007F6332">
              <w:rPr>
                <w:rFonts w:eastAsia="Times New Roman" w:cs="Arial"/>
                <w:b/>
                <w:color w:val="000000"/>
                <w:szCs w:val="22"/>
                <w:lang w:eastAsia="en-AU"/>
              </w:rPr>
              <w:t>-2.0%</w:t>
            </w:r>
          </w:p>
        </w:tc>
      </w:tr>
    </w:tbl>
    <w:p w14:paraId="25FB5550" w14:textId="4E563991" w:rsidR="00A12E65" w:rsidRPr="007F6332" w:rsidRDefault="00A12E65" w:rsidP="00A12E65">
      <w:pPr>
        <w:pStyle w:val="FSRHeading4"/>
        <w:rPr>
          <w:rFonts w:cs="Arial"/>
          <w:highlight w:val="yellow"/>
        </w:rPr>
      </w:pPr>
      <w:r w:rsidRPr="007F6332">
        <w:rPr>
          <w:rFonts w:cs="Arial"/>
        </w:rPr>
        <w:t xml:space="preserve">First </w:t>
      </w:r>
      <w:r w:rsidR="001D73DF" w:rsidRPr="007F6332">
        <w:rPr>
          <w:rFonts w:cs="Arial"/>
        </w:rPr>
        <w:t>year participants</w:t>
      </w:r>
    </w:p>
    <w:p w14:paraId="36049B5B" w14:textId="52E22E3A" w:rsidR="00A12E65" w:rsidRPr="007F6332" w:rsidRDefault="00A12E65" w:rsidP="00A12E65">
      <w:pPr>
        <w:pStyle w:val="FSRnormal"/>
        <w:rPr>
          <w:rFonts w:cs="Arial"/>
          <w:b/>
        </w:rPr>
      </w:pPr>
      <w:r w:rsidRPr="007F6332">
        <w:rPr>
          <w:rFonts w:cs="Arial"/>
        </w:rPr>
        <w:t xml:space="preserve">Participants in their first year in the Scheme are observed to have lower average payments, which is likely to arise from time taken to familiarise themselves with the Scheme and the process of accessing supports. For participants in their first year without SIL supports, average payments assumptions have been discounted by 35% (consistent with </w:t>
      </w:r>
      <w:r w:rsidR="00494F88" w:rsidRPr="007F6332">
        <w:rPr>
          <w:rFonts w:cs="Arial"/>
        </w:rPr>
        <w:t xml:space="preserve">the </w:t>
      </w:r>
      <w:r w:rsidRPr="007F6332">
        <w:rPr>
          <w:rFonts w:cs="Arial"/>
        </w:rPr>
        <w:t>previous review) relative to average payments for participants</w:t>
      </w:r>
      <w:r w:rsidR="00494F88" w:rsidRPr="007F6332">
        <w:rPr>
          <w:rFonts w:cs="Arial"/>
        </w:rPr>
        <w:t xml:space="preserve"> in the Scheme for at least 12 months</w:t>
      </w:r>
      <w:r w:rsidRPr="007F6332">
        <w:rPr>
          <w:rFonts w:cs="Arial"/>
        </w:rPr>
        <w:t xml:space="preserve">, while no reduction (consistent previous review) is assumed for first-year participants with SIL. </w:t>
      </w:r>
    </w:p>
    <w:p w14:paraId="69C8BBDC" w14:textId="4792F418" w:rsidR="00A12E65" w:rsidRPr="007F6332" w:rsidRDefault="00A12E65" w:rsidP="00A12E65">
      <w:pPr>
        <w:pStyle w:val="FSRHeading4"/>
        <w:rPr>
          <w:rFonts w:cs="Arial"/>
        </w:rPr>
      </w:pPr>
      <w:r w:rsidRPr="007F6332">
        <w:rPr>
          <w:rFonts w:cs="Arial"/>
        </w:rPr>
        <w:lastRenderedPageBreak/>
        <w:t xml:space="preserve">New </w:t>
      </w:r>
      <w:r w:rsidR="001D73DF" w:rsidRPr="007F6332">
        <w:rPr>
          <w:rFonts w:cs="Arial"/>
        </w:rPr>
        <w:t>e</w:t>
      </w:r>
      <w:r w:rsidRPr="007F6332">
        <w:rPr>
          <w:rFonts w:cs="Arial"/>
        </w:rPr>
        <w:t xml:space="preserve">ntrant </w:t>
      </w:r>
      <w:r w:rsidR="001D73DF" w:rsidRPr="007F6332">
        <w:rPr>
          <w:rFonts w:cs="Arial"/>
        </w:rPr>
        <w:t>d</w:t>
      </w:r>
      <w:r w:rsidRPr="007F6332">
        <w:rPr>
          <w:rFonts w:cs="Arial"/>
        </w:rPr>
        <w:t>iscount</w:t>
      </w:r>
    </w:p>
    <w:p w14:paraId="54DBE3E7" w14:textId="4A144448" w:rsidR="00A12E65" w:rsidRPr="007F6332" w:rsidRDefault="00A12E65" w:rsidP="00A12E65">
      <w:pPr>
        <w:pStyle w:val="FSRnormal"/>
        <w:rPr>
          <w:rFonts w:cs="Arial"/>
        </w:rPr>
      </w:pPr>
      <w:r w:rsidRPr="007F6332">
        <w:rPr>
          <w:rFonts w:cs="Arial"/>
        </w:rPr>
        <w:t xml:space="preserve">For </w:t>
      </w:r>
      <w:r w:rsidR="00494F88" w:rsidRPr="007F6332">
        <w:rPr>
          <w:rFonts w:cs="Arial"/>
        </w:rPr>
        <w:t>2023-24</w:t>
      </w:r>
      <w:r w:rsidRPr="007F6332">
        <w:rPr>
          <w:rFonts w:cs="Arial"/>
        </w:rPr>
        <w:t xml:space="preserve"> and beyond, all new participants without SIL supports have a </w:t>
      </w:r>
      <w:r w:rsidRPr="007F6332">
        <w:rPr>
          <w:rFonts w:cs="Arial"/>
          <w:b/>
          <w:bCs/>
          <w:i/>
          <w:iCs/>
        </w:rPr>
        <w:t>further</w:t>
      </w:r>
      <w:r w:rsidRPr="007F6332">
        <w:rPr>
          <w:rFonts w:cs="Arial"/>
        </w:rPr>
        <w:t xml:space="preserve"> discount of about 8.4%, relative to existing participants (consistent with </w:t>
      </w:r>
      <w:r w:rsidR="00494F88" w:rsidRPr="007F6332">
        <w:rPr>
          <w:rFonts w:cs="Arial"/>
        </w:rPr>
        <w:t xml:space="preserve">the </w:t>
      </w:r>
      <w:r w:rsidRPr="007F6332">
        <w:rPr>
          <w:rFonts w:cs="Arial"/>
        </w:rPr>
        <w:t xml:space="preserve">previous review), applied to their average payments’ assumption. </w:t>
      </w:r>
    </w:p>
    <w:p w14:paraId="12C2EDDC" w14:textId="4949EA99" w:rsidR="00A12E65" w:rsidRPr="007F6332" w:rsidRDefault="002D1BC3" w:rsidP="00A12E65">
      <w:pPr>
        <w:pStyle w:val="FSRnormal"/>
        <w:rPr>
          <w:rFonts w:cs="Arial"/>
        </w:rPr>
      </w:pPr>
      <w:r w:rsidRPr="007F6332">
        <w:rPr>
          <w:rFonts w:cs="Arial"/>
        </w:rPr>
        <w:t xml:space="preserve">Table J.2 </w:t>
      </w:r>
      <w:r w:rsidR="00A12E65" w:rsidRPr="007F6332">
        <w:rPr>
          <w:rFonts w:cs="Arial"/>
        </w:rPr>
        <w:t>shows the average payment by phasing year. Participants who have entered the scheme within the first 2 years of its availability in their region (D0+) experienced a higher average payment compared to those who have joined at a later stage (D2+). Overall relative difference in average payments was about 8.4%</w:t>
      </w:r>
      <w:r w:rsidR="00A12E65" w:rsidRPr="007F6332">
        <w:rPr>
          <w:rStyle w:val="FootnoteReference"/>
          <w:rFonts w:cs="Arial"/>
        </w:rPr>
        <w:footnoteReference w:id="183"/>
      </w:r>
      <w:r w:rsidR="00A12E65" w:rsidRPr="007F6332">
        <w:rPr>
          <w:rFonts w:cs="Arial"/>
        </w:rPr>
        <w:t xml:space="preserve"> - same as last review.</w:t>
      </w:r>
    </w:p>
    <w:p w14:paraId="5B2BDBB3" w14:textId="20D4F308" w:rsidR="00A12E65" w:rsidRPr="007F6332" w:rsidRDefault="002D1BC3" w:rsidP="00EF6B24">
      <w:pPr>
        <w:pStyle w:val="FiguresandTablesHeading5"/>
        <w:rPr>
          <w:color w:val="000000" w:themeColor="text1"/>
        </w:rPr>
      </w:pPr>
      <w:r w:rsidRPr="007F6332">
        <w:t>Table J.2</w:t>
      </w:r>
      <w:r w:rsidR="00A12E65" w:rsidRPr="007F6332">
        <w:t>: Average payment triangle by phasing Financial Year</w:t>
      </w:r>
    </w:p>
    <w:tbl>
      <w:tblPr>
        <w:tblW w:w="8998" w:type="dxa"/>
        <w:tblLayout w:type="fixed"/>
        <w:tblLook w:val="04A0" w:firstRow="1" w:lastRow="0" w:firstColumn="1" w:lastColumn="0" w:noHBand="0" w:noVBand="1"/>
      </w:tblPr>
      <w:tblGrid>
        <w:gridCol w:w="1301"/>
        <w:gridCol w:w="855"/>
        <w:gridCol w:w="855"/>
        <w:gridCol w:w="855"/>
        <w:gridCol w:w="855"/>
        <w:gridCol w:w="856"/>
        <w:gridCol w:w="855"/>
        <w:gridCol w:w="855"/>
        <w:gridCol w:w="855"/>
        <w:gridCol w:w="856"/>
      </w:tblGrid>
      <w:tr w:rsidR="00A12E65" w:rsidRPr="007F6332" w14:paraId="1BF20C0A" w14:textId="77777777" w:rsidTr="00CE7E91">
        <w:trPr>
          <w:trHeight w:val="461"/>
        </w:trPr>
        <w:tc>
          <w:tcPr>
            <w:tcW w:w="1301" w:type="dxa"/>
            <w:tcBorders>
              <w:bottom w:val="single" w:sz="4" w:space="0" w:color="auto"/>
              <w:right w:val="dashed" w:sz="8" w:space="0" w:color="auto"/>
            </w:tcBorders>
            <w:shd w:val="clear" w:color="auto" w:fill="6B2976"/>
            <w:noWrap/>
            <w:vAlign w:val="center"/>
            <w:hideMark/>
          </w:tcPr>
          <w:p w14:paraId="3C984682" w14:textId="77777777" w:rsidR="00A12E65" w:rsidRPr="007F6332" w:rsidRDefault="00A12E65" w:rsidP="006C7E97">
            <w:pPr>
              <w:spacing w:after="0" w:line="240" w:lineRule="auto"/>
              <w:jc w:val="center"/>
              <w:rPr>
                <w:rFonts w:eastAsia="Times New Roman" w:cs="Arial"/>
                <w:b/>
                <w:bCs/>
                <w:szCs w:val="22"/>
                <w:lang w:eastAsia="en-AU"/>
              </w:rPr>
            </w:pPr>
            <w:r w:rsidRPr="007F6332">
              <w:rPr>
                <w:rFonts w:eastAsia="Times New Roman" w:cs="Arial"/>
                <w:b/>
                <w:bCs/>
                <w:color w:val="FFFFFF" w:themeColor="background1"/>
                <w:szCs w:val="22"/>
                <w:lang w:eastAsia="en-AU"/>
              </w:rPr>
              <w:t>Phasing FY/Delay</w:t>
            </w:r>
          </w:p>
        </w:tc>
        <w:tc>
          <w:tcPr>
            <w:tcW w:w="855" w:type="dxa"/>
            <w:tcBorders>
              <w:left w:val="dashed" w:sz="8" w:space="0" w:color="auto"/>
              <w:bottom w:val="single" w:sz="4" w:space="0" w:color="auto"/>
              <w:right w:val="nil"/>
            </w:tcBorders>
            <w:shd w:val="clear" w:color="auto" w:fill="6B2976"/>
            <w:noWrap/>
            <w:vAlign w:val="center"/>
            <w:hideMark/>
          </w:tcPr>
          <w:p w14:paraId="38D5B2F5"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0</w:t>
            </w:r>
          </w:p>
        </w:tc>
        <w:tc>
          <w:tcPr>
            <w:tcW w:w="855" w:type="dxa"/>
            <w:tcBorders>
              <w:left w:val="nil"/>
              <w:bottom w:val="single" w:sz="4" w:space="0" w:color="auto"/>
              <w:right w:val="nil"/>
            </w:tcBorders>
            <w:shd w:val="clear" w:color="auto" w:fill="6B2976"/>
            <w:noWrap/>
            <w:vAlign w:val="center"/>
            <w:hideMark/>
          </w:tcPr>
          <w:p w14:paraId="793F30A6"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1</w:t>
            </w:r>
          </w:p>
        </w:tc>
        <w:tc>
          <w:tcPr>
            <w:tcW w:w="855" w:type="dxa"/>
            <w:tcBorders>
              <w:left w:val="nil"/>
              <w:bottom w:val="single" w:sz="4" w:space="0" w:color="auto"/>
              <w:right w:val="nil"/>
            </w:tcBorders>
            <w:shd w:val="clear" w:color="auto" w:fill="6B2976"/>
            <w:noWrap/>
            <w:vAlign w:val="center"/>
            <w:hideMark/>
          </w:tcPr>
          <w:p w14:paraId="083A53BC"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2</w:t>
            </w:r>
          </w:p>
        </w:tc>
        <w:tc>
          <w:tcPr>
            <w:tcW w:w="855" w:type="dxa"/>
            <w:tcBorders>
              <w:left w:val="nil"/>
              <w:bottom w:val="single" w:sz="4" w:space="0" w:color="auto"/>
              <w:right w:val="nil"/>
            </w:tcBorders>
            <w:shd w:val="clear" w:color="auto" w:fill="6B2976"/>
            <w:noWrap/>
            <w:vAlign w:val="center"/>
            <w:hideMark/>
          </w:tcPr>
          <w:p w14:paraId="40AAF77D"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3</w:t>
            </w:r>
          </w:p>
        </w:tc>
        <w:tc>
          <w:tcPr>
            <w:tcW w:w="856" w:type="dxa"/>
            <w:tcBorders>
              <w:left w:val="nil"/>
              <w:bottom w:val="single" w:sz="4" w:space="0" w:color="auto"/>
              <w:right w:val="nil"/>
            </w:tcBorders>
            <w:shd w:val="clear" w:color="auto" w:fill="6B2976"/>
            <w:noWrap/>
            <w:vAlign w:val="center"/>
            <w:hideMark/>
          </w:tcPr>
          <w:p w14:paraId="79E545FB"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4</w:t>
            </w:r>
          </w:p>
        </w:tc>
        <w:tc>
          <w:tcPr>
            <w:tcW w:w="855" w:type="dxa"/>
            <w:tcBorders>
              <w:left w:val="nil"/>
              <w:bottom w:val="single" w:sz="4" w:space="0" w:color="auto"/>
              <w:right w:val="nil"/>
            </w:tcBorders>
            <w:shd w:val="clear" w:color="auto" w:fill="6B2976"/>
            <w:noWrap/>
            <w:vAlign w:val="center"/>
            <w:hideMark/>
          </w:tcPr>
          <w:p w14:paraId="6BBAAAA3"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5</w:t>
            </w:r>
          </w:p>
        </w:tc>
        <w:tc>
          <w:tcPr>
            <w:tcW w:w="855" w:type="dxa"/>
            <w:tcBorders>
              <w:left w:val="nil"/>
              <w:bottom w:val="single" w:sz="4" w:space="0" w:color="auto"/>
              <w:right w:val="nil"/>
            </w:tcBorders>
            <w:shd w:val="clear" w:color="auto" w:fill="6B2976"/>
            <w:noWrap/>
            <w:vAlign w:val="center"/>
            <w:hideMark/>
          </w:tcPr>
          <w:p w14:paraId="7331242D"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6</w:t>
            </w:r>
          </w:p>
        </w:tc>
        <w:tc>
          <w:tcPr>
            <w:tcW w:w="855" w:type="dxa"/>
            <w:tcBorders>
              <w:left w:val="nil"/>
              <w:bottom w:val="single" w:sz="4" w:space="0" w:color="auto"/>
              <w:right w:val="nil"/>
            </w:tcBorders>
            <w:shd w:val="clear" w:color="auto" w:fill="6B2976"/>
            <w:noWrap/>
            <w:vAlign w:val="center"/>
            <w:hideMark/>
          </w:tcPr>
          <w:p w14:paraId="3F45C104"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7</w:t>
            </w:r>
          </w:p>
        </w:tc>
        <w:tc>
          <w:tcPr>
            <w:tcW w:w="856" w:type="dxa"/>
            <w:tcBorders>
              <w:left w:val="nil"/>
              <w:bottom w:val="single" w:sz="12" w:space="0" w:color="auto"/>
            </w:tcBorders>
            <w:shd w:val="clear" w:color="auto" w:fill="6B2976"/>
            <w:noWrap/>
            <w:vAlign w:val="center"/>
            <w:hideMark/>
          </w:tcPr>
          <w:p w14:paraId="720A9B3B" w14:textId="77777777" w:rsidR="00A12E65" w:rsidRPr="007F6332" w:rsidRDefault="00A12E65" w:rsidP="00CE7E91">
            <w:pPr>
              <w:spacing w:after="0" w:line="240" w:lineRule="auto"/>
              <w:ind w:right="-71"/>
              <w:rPr>
                <w:rFonts w:eastAsia="Times New Roman" w:cs="Arial"/>
                <w:b/>
                <w:bCs/>
                <w:color w:val="FFFFFF" w:themeColor="background1"/>
                <w:szCs w:val="22"/>
                <w:lang w:eastAsia="en-AU"/>
              </w:rPr>
            </w:pPr>
            <w:r w:rsidRPr="007F6332">
              <w:rPr>
                <w:rFonts w:eastAsia="Times New Roman" w:cs="Arial"/>
                <w:b/>
                <w:bCs/>
                <w:color w:val="FFFFFF" w:themeColor="background1"/>
                <w:szCs w:val="22"/>
                <w:lang w:eastAsia="en-AU"/>
              </w:rPr>
              <w:t>8</w:t>
            </w:r>
          </w:p>
        </w:tc>
      </w:tr>
      <w:tr w:rsidR="00A12E65" w:rsidRPr="007F6332" w14:paraId="6B501E7B" w14:textId="77777777" w:rsidTr="003D7B37">
        <w:trPr>
          <w:trHeight w:val="461"/>
        </w:trPr>
        <w:tc>
          <w:tcPr>
            <w:tcW w:w="1301" w:type="dxa"/>
            <w:tcBorders>
              <w:top w:val="nil"/>
              <w:bottom w:val="nil"/>
              <w:right w:val="dashed" w:sz="8" w:space="0" w:color="auto"/>
            </w:tcBorders>
            <w:shd w:val="clear" w:color="auto" w:fill="BFBFBF" w:themeFill="background1" w:themeFillShade="BF"/>
            <w:noWrap/>
            <w:vAlign w:val="center"/>
            <w:hideMark/>
          </w:tcPr>
          <w:p w14:paraId="2FC49ACC" w14:textId="39E8E75B" w:rsidR="00A12E65" w:rsidRPr="007F6332" w:rsidRDefault="00A12E65" w:rsidP="006C7E97">
            <w:pPr>
              <w:spacing w:after="0" w:line="240" w:lineRule="auto"/>
              <w:jc w:val="right"/>
              <w:rPr>
                <w:rFonts w:eastAsia="Times New Roman" w:cs="Arial"/>
                <w:b/>
                <w:bCs/>
                <w:szCs w:val="22"/>
                <w:lang w:eastAsia="en-AU"/>
              </w:rPr>
            </w:pPr>
            <w:r w:rsidRPr="007F6332">
              <w:rPr>
                <w:rFonts w:eastAsia="Times New Roman" w:cs="Arial"/>
                <w:b/>
                <w:bCs/>
                <w:szCs w:val="22"/>
                <w:lang w:eastAsia="en-AU"/>
              </w:rPr>
              <w:t>2013</w:t>
            </w:r>
            <w:r w:rsidR="001D73DF" w:rsidRPr="007F6332">
              <w:rPr>
                <w:rFonts w:eastAsia="Times New Roman" w:cs="Arial"/>
                <w:b/>
                <w:bCs/>
                <w:szCs w:val="22"/>
                <w:lang w:eastAsia="en-AU"/>
              </w:rPr>
              <w:t>-</w:t>
            </w:r>
            <w:r w:rsidRPr="007F6332">
              <w:rPr>
                <w:rFonts w:eastAsia="Times New Roman" w:cs="Arial"/>
                <w:b/>
                <w:bCs/>
                <w:szCs w:val="22"/>
                <w:lang w:eastAsia="en-AU"/>
              </w:rPr>
              <w:t>14</w:t>
            </w:r>
          </w:p>
        </w:tc>
        <w:tc>
          <w:tcPr>
            <w:tcW w:w="855" w:type="dxa"/>
            <w:tcBorders>
              <w:left w:val="dashed" w:sz="8" w:space="0" w:color="auto"/>
            </w:tcBorders>
            <w:shd w:val="clear" w:color="auto" w:fill="BFBFBF" w:themeFill="background1" w:themeFillShade="BF"/>
            <w:noWrap/>
            <w:vAlign w:val="center"/>
            <w:hideMark/>
          </w:tcPr>
          <w:p w14:paraId="247362AC" w14:textId="77777777" w:rsidR="00A12E65" w:rsidRPr="007F6332" w:rsidRDefault="00A12E65" w:rsidP="00CE7E91">
            <w:pPr>
              <w:ind w:right="-71"/>
              <w:rPr>
                <w:rFonts w:eastAsia="Times New Roman" w:cs="Arial"/>
                <w:szCs w:val="22"/>
                <w:lang w:eastAsia="en-AU"/>
              </w:rPr>
            </w:pPr>
          </w:p>
        </w:tc>
        <w:tc>
          <w:tcPr>
            <w:tcW w:w="855" w:type="dxa"/>
            <w:shd w:val="clear" w:color="auto" w:fill="BFBFBF" w:themeFill="background1" w:themeFillShade="BF"/>
            <w:noWrap/>
            <w:vAlign w:val="center"/>
            <w:hideMark/>
          </w:tcPr>
          <w:p w14:paraId="799D1CCC" w14:textId="77777777" w:rsidR="00A12E65" w:rsidRPr="007F6332" w:rsidRDefault="00A12E65" w:rsidP="003D7B37">
            <w:pPr>
              <w:spacing w:after="0"/>
              <w:ind w:right="-71"/>
              <w:jc w:val="center"/>
              <w:rPr>
                <w:rFonts w:cs="Arial"/>
                <w:szCs w:val="22"/>
                <w:lang w:eastAsia="en-AU"/>
              </w:rPr>
            </w:pPr>
          </w:p>
        </w:tc>
        <w:tc>
          <w:tcPr>
            <w:tcW w:w="855" w:type="dxa"/>
            <w:shd w:val="clear" w:color="auto" w:fill="BFBFBF" w:themeFill="background1" w:themeFillShade="BF"/>
            <w:noWrap/>
            <w:vAlign w:val="center"/>
            <w:hideMark/>
          </w:tcPr>
          <w:p w14:paraId="1B66C6C8" w14:textId="77777777" w:rsidR="00A12E65" w:rsidRPr="007F6332" w:rsidRDefault="00A12E65" w:rsidP="00CE7E91">
            <w:pPr>
              <w:spacing w:after="0"/>
              <w:ind w:right="-71"/>
              <w:rPr>
                <w:rFonts w:cs="Arial"/>
                <w:szCs w:val="22"/>
                <w:lang w:eastAsia="en-AU"/>
              </w:rPr>
            </w:pPr>
          </w:p>
        </w:tc>
        <w:tc>
          <w:tcPr>
            <w:tcW w:w="855" w:type="dxa"/>
            <w:shd w:val="clear" w:color="auto" w:fill="BFBFBF" w:themeFill="background1" w:themeFillShade="BF"/>
            <w:noWrap/>
            <w:vAlign w:val="center"/>
            <w:hideMark/>
          </w:tcPr>
          <w:p w14:paraId="50E4A61F" w14:textId="77777777" w:rsidR="00A12E65" w:rsidRPr="007F6332" w:rsidRDefault="00A12E65" w:rsidP="00CE7E91">
            <w:pPr>
              <w:spacing w:after="0"/>
              <w:ind w:right="-71"/>
              <w:rPr>
                <w:rFonts w:cs="Arial"/>
                <w:szCs w:val="22"/>
                <w:lang w:eastAsia="en-AU"/>
              </w:rPr>
            </w:pPr>
          </w:p>
        </w:tc>
        <w:tc>
          <w:tcPr>
            <w:tcW w:w="856" w:type="dxa"/>
            <w:shd w:val="clear" w:color="auto" w:fill="BFBFBF" w:themeFill="background1" w:themeFillShade="BF"/>
            <w:noWrap/>
            <w:vAlign w:val="center"/>
            <w:hideMark/>
          </w:tcPr>
          <w:p w14:paraId="6EC5C754" w14:textId="77777777" w:rsidR="00A12E65" w:rsidRPr="007F6332" w:rsidRDefault="00A12E65" w:rsidP="00CE7E91">
            <w:pPr>
              <w:spacing w:after="0"/>
              <w:ind w:right="-71"/>
              <w:rPr>
                <w:rFonts w:cs="Arial"/>
                <w:szCs w:val="22"/>
                <w:lang w:eastAsia="en-AU"/>
              </w:rPr>
            </w:pPr>
          </w:p>
        </w:tc>
        <w:tc>
          <w:tcPr>
            <w:tcW w:w="855" w:type="dxa"/>
            <w:shd w:val="clear" w:color="auto" w:fill="BFBFBF" w:themeFill="background1" w:themeFillShade="BF"/>
            <w:noWrap/>
            <w:vAlign w:val="center"/>
            <w:hideMark/>
          </w:tcPr>
          <w:p w14:paraId="347CDA14" w14:textId="77777777" w:rsidR="00A12E65" w:rsidRPr="007F6332" w:rsidRDefault="00A12E65" w:rsidP="00CE7E91">
            <w:pPr>
              <w:spacing w:after="0"/>
              <w:ind w:right="-71"/>
              <w:rPr>
                <w:rFonts w:cs="Arial"/>
                <w:szCs w:val="22"/>
                <w:lang w:eastAsia="en-AU"/>
              </w:rPr>
            </w:pPr>
          </w:p>
        </w:tc>
        <w:tc>
          <w:tcPr>
            <w:tcW w:w="855" w:type="dxa"/>
            <w:shd w:val="clear" w:color="auto" w:fill="BFBFBF" w:themeFill="background1" w:themeFillShade="BF"/>
            <w:noWrap/>
            <w:vAlign w:val="center"/>
            <w:hideMark/>
          </w:tcPr>
          <w:p w14:paraId="34C6EEC8" w14:textId="77777777" w:rsidR="00A12E65" w:rsidRPr="007F6332" w:rsidRDefault="00A12E65" w:rsidP="00CE7E91">
            <w:pPr>
              <w:spacing w:after="0"/>
              <w:ind w:right="-71"/>
              <w:rPr>
                <w:rFonts w:cs="Arial"/>
                <w:szCs w:val="22"/>
                <w:lang w:eastAsia="en-AU"/>
              </w:rPr>
            </w:pPr>
          </w:p>
        </w:tc>
        <w:tc>
          <w:tcPr>
            <w:tcW w:w="855" w:type="dxa"/>
            <w:tcBorders>
              <w:top w:val="nil"/>
              <w:left w:val="nil"/>
              <w:bottom w:val="single" w:sz="12" w:space="0" w:color="auto"/>
              <w:right w:val="single" w:sz="12" w:space="0" w:color="auto"/>
            </w:tcBorders>
            <w:shd w:val="clear" w:color="auto" w:fill="BFBFBF" w:themeFill="background1" w:themeFillShade="BF"/>
            <w:noWrap/>
            <w:vAlign w:val="center"/>
            <w:hideMark/>
          </w:tcPr>
          <w:p w14:paraId="4EC34D5D" w14:textId="77777777" w:rsidR="00A12E65" w:rsidRPr="007F6332" w:rsidRDefault="00A12E65" w:rsidP="00CE7E91">
            <w:pPr>
              <w:spacing w:after="0" w:line="240" w:lineRule="auto"/>
              <w:ind w:right="-71"/>
              <w:rPr>
                <w:rFonts w:eastAsia="Times New Roman" w:cs="Arial"/>
                <w:color w:val="000000"/>
                <w:szCs w:val="22"/>
                <w:lang w:eastAsia="en-AU"/>
              </w:rPr>
            </w:pPr>
            <w:r w:rsidRPr="007F6332">
              <w:rPr>
                <w:rFonts w:cs="Arial"/>
                <w:color w:val="000000"/>
                <w:szCs w:val="22"/>
              </w:rPr>
              <w:t>7,288</w:t>
            </w:r>
          </w:p>
        </w:tc>
        <w:tc>
          <w:tcPr>
            <w:tcW w:w="856" w:type="dxa"/>
            <w:tcBorders>
              <w:top w:val="single" w:sz="12" w:space="0" w:color="auto"/>
              <w:left w:val="single" w:sz="12" w:space="0" w:color="auto"/>
              <w:bottom w:val="nil"/>
            </w:tcBorders>
            <w:shd w:val="clear" w:color="auto" w:fill="BFBFBF" w:themeFill="background1" w:themeFillShade="BF"/>
            <w:noWrap/>
            <w:vAlign w:val="center"/>
            <w:hideMark/>
          </w:tcPr>
          <w:p w14:paraId="357BD967" w14:textId="77777777" w:rsidR="00A12E65" w:rsidRPr="007F6332" w:rsidRDefault="00A12E65" w:rsidP="00CE7E91">
            <w:pPr>
              <w:spacing w:after="0" w:line="240" w:lineRule="auto"/>
              <w:ind w:right="-71"/>
              <w:rPr>
                <w:rFonts w:eastAsia="Times New Roman" w:cs="Arial"/>
                <w:color w:val="000000"/>
                <w:szCs w:val="22"/>
                <w:lang w:eastAsia="en-AU"/>
              </w:rPr>
            </w:pPr>
            <w:r w:rsidRPr="007F6332">
              <w:rPr>
                <w:rFonts w:cs="Arial"/>
                <w:color w:val="000000"/>
                <w:szCs w:val="22"/>
              </w:rPr>
              <w:t>5,562</w:t>
            </w:r>
          </w:p>
        </w:tc>
      </w:tr>
      <w:tr w:rsidR="00A12E65" w:rsidRPr="007F6332" w14:paraId="1B1F5F1E" w14:textId="77777777" w:rsidTr="00CE7E91">
        <w:trPr>
          <w:trHeight w:val="461"/>
        </w:trPr>
        <w:tc>
          <w:tcPr>
            <w:tcW w:w="1301" w:type="dxa"/>
            <w:tcBorders>
              <w:top w:val="nil"/>
              <w:bottom w:val="nil"/>
              <w:right w:val="dashed" w:sz="8" w:space="0" w:color="auto"/>
            </w:tcBorders>
            <w:noWrap/>
            <w:vAlign w:val="center"/>
            <w:hideMark/>
          </w:tcPr>
          <w:p w14:paraId="7BAE3B42" w14:textId="06F6EF82" w:rsidR="00A12E65" w:rsidRPr="007F6332" w:rsidRDefault="00A12E65" w:rsidP="006C7E97">
            <w:pPr>
              <w:spacing w:after="0" w:line="240" w:lineRule="auto"/>
              <w:jc w:val="right"/>
              <w:rPr>
                <w:rFonts w:eastAsia="Times New Roman" w:cs="Arial"/>
                <w:b/>
                <w:bCs/>
                <w:szCs w:val="22"/>
                <w:lang w:eastAsia="en-AU"/>
              </w:rPr>
            </w:pPr>
            <w:r w:rsidRPr="007F6332">
              <w:rPr>
                <w:rFonts w:eastAsia="Times New Roman" w:cs="Arial"/>
                <w:b/>
                <w:bCs/>
                <w:szCs w:val="22"/>
                <w:lang w:eastAsia="en-AU"/>
              </w:rPr>
              <w:t>2014</w:t>
            </w:r>
            <w:r w:rsidR="001D73DF" w:rsidRPr="007F6332">
              <w:rPr>
                <w:rFonts w:eastAsia="Times New Roman" w:cs="Arial"/>
                <w:b/>
                <w:bCs/>
                <w:szCs w:val="22"/>
                <w:lang w:eastAsia="en-AU"/>
              </w:rPr>
              <w:t>-</w:t>
            </w:r>
            <w:r w:rsidRPr="007F6332">
              <w:rPr>
                <w:rFonts w:eastAsia="Times New Roman" w:cs="Arial"/>
                <w:b/>
                <w:bCs/>
                <w:szCs w:val="22"/>
                <w:lang w:eastAsia="en-AU"/>
              </w:rPr>
              <w:t>15</w:t>
            </w:r>
          </w:p>
        </w:tc>
        <w:tc>
          <w:tcPr>
            <w:tcW w:w="855" w:type="dxa"/>
            <w:tcBorders>
              <w:left w:val="dashed" w:sz="8" w:space="0" w:color="auto"/>
            </w:tcBorders>
            <w:noWrap/>
            <w:vAlign w:val="center"/>
            <w:hideMark/>
          </w:tcPr>
          <w:p w14:paraId="66244670" w14:textId="77777777" w:rsidR="00A12E65" w:rsidRPr="007F6332" w:rsidRDefault="00A12E65" w:rsidP="00CE7E91">
            <w:pPr>
              <w:ind w:right="-71"/>
              <w:rPr>
                <w:rFonts w:eastAsia="Times New Roman" w:cs="Arial"/>
                <w:szCs w:val="22"/>
                <w:lang w:eastAsia="en-AU"/>
              </w:rPr>
            </w:pPr>
          </w:p>
        </w:tc>
        <w:tc>
          <w:tcPr>
            <w:tcW w:w="855" w:type="dxa"/>
            <w:noWrap/>
            <w:vAlign w:val="center"/>
            <w:hideMark/>
          </w:tcPr>
          <w:p w14:paraId="18AF3372" w14:textId="77777777" w:rsidR="00A12E65" w:rsidRPr="007F6332" w:rsidRDefault="00A12E65" w:rsidP="00CE7E91">
            <w:pPr>
              <w:spacing w:after="0"/>
              <w:ind w:right="-71"/>
              <w:rPr>
                <w:rFonts w:cs="Arial"/>
                <w:szCs w:val="22"/>
                <w:lang w:eastAsia="en-AU"/>
              </w:rPr>
            </w:pPr>
          </w:p>
        </w:tc>
        <w:tc>
          <w:tcPr>
            <w:tcW w:w="855" w:type="dxa"/>
            <w:noWrap/>
            <w:vAlign w:val="center"/>
            <w:hideMark/>
          </w:tcPr>
          <w:p w14:paraId="14556074" w14:textId="77777777" w:rsidR="00A12E65" w:rsidRPr="007F6332" w:rsidRDefault="00A12E65" w:rsidP="00CE7E91">
            <w:pPr>
              <w:spacing w:after="0"/>
              <w:ind w:right="-71"/>
              <w:rPr>
                <w:rFonts w:cs="Arial"/>
                <w:szCs w:val="22"/>
                <w:lang w:eastAsia="en-AU"/>
              </w:rPr>
            </w:pPr>
          </w:p>
        </w:tc>
        <w:tc>
          <w:tcPr>
            <w:tcW w:w="855" w:type="dxa"/>
            <w:noWrap/>
            <w:vAlign w:val="center"/>
            <w:hideMark/>
          </w:tcPr>
          <w:p w14:paraId="2A61F2EC" w14:textId="77777777" w:rsidR="00A12E65" w:rsidRPr="007F6332" w:rsidRDefault="00A12E65" w:rsidP="00CE7E91">
            <w:pPr>
              <w:spacing w:after="0"/>
              <w:ind w:right="-71"/>
              <w:rPr>
                <w:rFonts w:cs="Arial"/>
                <w:szCs w:val="22"/>
                <w:lang w:eastAsia="en-AU"/>
              </w:rPr>
            </w:pPr>
          </w:p>
        </w:tc>
        <w:tc>
          <w:tcPr>
            <w:tcW w:w="856" w:type="dxa"/>
            <w:noWrap/>
            <w:vAlign w:val="center"/>
            <w:hideMark/>
          </w:tcPr>
          <w:p w14:paraId="0AB104BB" w14:textId="77777777" w:rsidR="00A12E65" w:rsidRPr="007F6332" w:rsidRDefault="00A12E65" w:rsidP="00CE7E91">
            <w:pPr>
              <w:spacing w:after="0"/>
              <w:ind w:right="-71"/>
              <w:rPr>
                <w:rFonts w:cs="Arial"/>
                <w:szCs w:val="22"/>
                <w:lang w:eastAsia="en-AU"/>
              </w:rPr>
            </w:pPr>
          </w:p>
        </w:tc>
        <w:tc>
          <w:tcPr>
            <w:tcW w:w="855" w:type="dxa"/>
            <w:noWrap/>
            <w:vAlign w:val="center"/>
            <w:hideMark/>
          </w:tcPr>
          <w:p w14:paraId="440F27DD" w14:textId="77777777" w:rsidR="00A12E65" w:rsidRPr="007F6332" w:rsidRDefault="00A12E65" w:rsidP="00CE7E91">
            <w:pPr>
              <w:spacing w:after="0"/>
              <w:ind w:right="-71"/>
              <w:rPr>
                <w:rFonts w:cs="Arial"/>
                <w:szCs w:val="22"/>
                <w:lang w:eastAsia="en-AU"/>
              </w:rPr>
            </w:pPr>
          </w:p>
        </w:tc>
        <w:tc>
          <w:tcPr>
            <w:tcW w:w="855" w:type="dxa"/>
            <w:tcBorders>
              <w:top w:val="nil"/>
              <w:left w:val="nil"/>
              <w:bottom w:val="single" w:sz="12" w:space="0" w:color="auto"/>
              <w:right w:val="single" w:sz="12" w:space="0" w:color="auto"/>
            </w:tcBorders>
            <w:noWrap/>
            <w:vAlign w:val="center"/>
            <w:hideMark/>
          </w:tcPr>
          <w:p w14:paraId="14793064" w14:textId="77777777" w:rsidR="00A12E65" w:rsidRPr="007F6332" w:rsidRDefault="00A12E65" w:rsidP="00CE7E91">
            <w:pPr>
              <w:spacing w:after="0" w:line="240" w:lineRule="auto"/>
              <w:ind w:right="-71"/>
              <w:rPr>
                <w:rFonts w:eastAsia="Times New Roman" w:cs="Arial"/>
                <w:color w:val="000000"/>
                <w:szCs w:val="22"/>
                <w:lang w:eastAsia="en-AU"/>
              </w:rPr>
            </w:pPr>
            <w:r w:rsidRPr="007F6332">
              <w:rPr>
                <w:rFonts w:cs="Arial"/>
                <w:color w:val="000000"/>
                <w:szCs w:val="22"/>
              </w:rPr>
              <w:t> </w:t>
            </w:r>
          </w:p>
        </w:tc>
        <w:tc>
          <w:tcPr>
            <w:tcW w:w="855" w:type="dxa"/>
            <w:tcBorders>
              <w:top w:val="single" w:sz="12" w:space="0" w:color="auto"/>
              <w:left w:val="single" w:sz="12" w:space="0" w:color="auto"/>
            </w:tcBorders>
            <w:noWrap/>
            <w:vAlign w:val="center"/>
            <w:hideMark/>
          </w:tcPr>
          <w:p w14:paraId="08421D69" w14:textId="77777777" w:rsidR="00A12E65" w:rsidRPr="007F6332" w:rsidRDefault="00A12E65" w:rsidP="00CE7E91">
            <w:pPr>
              <w:spacing w:after="0" w:line="240" w:lineRule="auto"/>
              <w:ind w:right="-71"/>
              <w:rPr>
                <w:rFonts w:eastAsia="Times New Roman" w:cs="Arial"/>
                <w:color w:val="000000"/>
                <w:szCs w:val="22"/>
                <w:lang w:eastAsia="en-AU"/>
              </w:rPr>
            </w:pPr>
            <w:r w:rsidRPr="007F6332">
              <w:rPr>
                <w:rFonts w:cs="Arial"/>
                <w:color w:val="000000"/>
                <w:szCs w:val="22"/>
              </w:rPr>
              <w:t>5,462</w:t>
            </w:r>
          </w:p>
        </w:tc>
        <w:tc>
          <w:tcPr>
            <w:tcW w:w="856" w:type="dxa"/>
            <w:tcBorders>
              <w:top w:val="nil"/>
              <w:left w:val="nil"/>
              <w:bottom w:val="nil"/>
            </w:tcBorders>
            <w:noWrap/>
            <w:vAlign w:val="center"/>
            <w:hideMark/>
          </w:tcPr>
          <w:p w14:paraId="6B6EF7A5" w14:textId="77777777" w:rsidR="00A12E65" w:rsidRPr="007F6332" w:rsidRDefault="00A12E65" w:rsidP="00CE7E91">
            <w:pPr>
              <w:ind w:right="-71"/>
              <w:rPr>
                <w:rFonts w:eastAsia="Times New Roman" w:cs="Arial"/>
                <w:color w:val="000000"/>
                <w:szCs w:val="22"/>
                <w:lang w:eastAsia="en-AU"/>
              </w:rPr>
            </w:pPr>
          </w:p>
        </w:tc>
      </w:tr>
      <w:tr w:rsidR="00A12E65" w:rsidRPr="007F6332" w14:paraId="7561C413" w14:textId="77777777" w:rsidTr="00CE7E91">
        <w:trPr>
          <w:trHeight w:val="461"/>
        </w:trPr>
        <w:tc>
          <w:tcPr>
            <w:tcW w:w="1301" w:type="dxa"/>
            <w:tcBorders>
              <w:top w:val="nil"/>
              <w:bottom w:val="nil"/>
              <w:right w:val="dashed" w:sz="8" w:space="0" w:color="auto"/>
            </w:tcBorders>
            <w:shd w:val="clear" w:color="auto" w:fill="BFBFBF" w:themeFill="background1" w:themeFillShade="BF"/>
            <w:noWrap/>
            <w:vAlign w:val="center"/>
            <w:hideMark/>
          </w:tcPr>
          <w:p w14:paraId="1D90C436" w14:textId="5C6A2B54" w:rsidR="00A12E65" w:rsidRPr="007F6332" w:rsidRDefault="00A12E65" w:rsidP="006C7E97">
            <w:pPr>
              <w:spacing w:after="0" w:line="240" w:lineRule="auto"/>
              <w:jc w:val="right"/>
              <w:rPr>
                <w:rFonts w:eastAsia="Times New Roman" w:cs="Arial"/>
                <w:b/>
                <w:bCs/>
                <w:szCs w:val="22"/>
                <w:lang w:eastAsia="en-AU"/>
              </w:rPr>
            </w:pPr>
            <w:r w:rsidRPr="007F6332">
              <w:rPr>
                <w:rFonts w:eastAsia="Times New Roman" w:cs="Arial"/>
                <w:b/>
                <w:bCs/>
                <w:szCs w:val="22"/>
                <w:lang w:eastAsia="en-AU"/>
              </w:rPr>
              <w:t>2015</w:t>
            </w:r>
            <w:r w:rsidR="001D73DF" w:rsidRPr="007F6332">
              <w:rPr>
                <w:rFonts w:eastAsia="Times New Roman" w:cs="Arial"/>
                <w:b/>
                <w:bCs/>
                <w:szCs w:val="22"/>
                <w:lang w:eastAsia="en-AU"/>
              </w:rPr>
              <w:t>-</w:t>
            </w:r>
            <w:r w:rsidRPr="007F6332">
              <w:rPr>
                <w:rFonts w:eastAsia="Times New Roman" w:cs="Arial"/>
                <w:b/>
                <w:bCs/>
                <w:szCs w:val="22"/>
                <w:lang w:eastAsia="en-AU"/>
              </w:rPr>
              <w:t>16</w:t>
            </w:r>
          </w:p>
        </w:tc>
        <w:tc>
          <w:tcPr>
            <w:tcW w:w="855" w:type="dxa"/>
            <w:tcBorders>
              <w:left w:val="dashed" w:sz="8" w:space="0" w:color="auto"/>
            </w:tcBorders>
            <w:shd w:val="clear" w:color="auto" w:fill="BFBFBF" w:themeFill="background1" w:themeFillShade="BF"/>
            <w:noWrap/>
            <w:vAlign w:val="center"/>
            <w:hideMark/>
          </w:tcPr>
          <w:p w14:paraId="55C41BF0" w14:textId="77777777" w:rsidR="00A12E65" w:rsidRPr="007F6332" w:rsidRDefault="00A12E65" w:rsidP="00CE7E91">
            <w:pPr>
              <w:ind w:right="-71"/>
              <w:rPr>
                <w:rFonts w:eastAsia="Times New Roman" w:cs="Arial"/>
                <w:szCs w:val="22"/>
                <w:lang w:eastAsia="en-AU"/>
              </w:rPr>
            </w:pPr>
          </w:p>
        </w:tc>
        <w:tc>
          <w:tcPr>
            <w:tcW w:w="855" w:type="dxa"/>
            <w:shd w:val="clear" w:color="auto" w:fill="BFBFBF" w:themeFill="background1" w:themeFillShade="BF"/>
            <w:noWrap/>
            <w:vAlign w:val="center"/>
            <w:hideMark/>
          </w:tcPr>
          <w:p w14:paraId="5F70BB99" w14:textId="77777777" w:rsidR="00A12E65" w:rsidRPr="007F6332" w:rsidRDefault="00A12E65" w:rsidP="00CE7E91">
            <w:pPr>
              <w:spacing w:after="0"/>
              <w:ind w:right="-71"/>
              <w:rPr>
                <w:rFonts w:cs="Arial"/>
                <w:szCs w:val="22"/>
                <w:lang w:eastAsia="en-AU"/>
              </w:rPr>
            </w:pPr>
          </w:p>
        </w:tc>
        <w:tc>
          <w:tcPr>
            <w:tcW w:w="855" w:type="dxa"/>
            <w:shd w:val="clear" w:color="auto" w:fill="BFBFBF" w:themeFill="background1" w:themeFillShade="BF"/>
            <w:noWrap/>
            <w:vAlign w:val="center"/>
            <w:hideMark/>
          </w:tcPr>
          <w:p w14:paraId="02D9CEA0" w14:textId="77777777" w:rsidR="00A12E65" w:rsidRPr="007F6332" w:rsidRDefault="00A12E65" w:rsidP="00CE7E91">
            <w:pPr>
              <w:spacing w:after="0"/>
              <w:ind w:right="-71"/>
              <w:rPr>
                <w:rFonts w:cs="Arial"/>
                <w:szCs w:val="22"/>
                <w:lang w:eastAsia="en-AU"/>
              </w:rPr>
            </w:pPr>
          </w:p>
        </w:tc>
        <w:tc>
          <w:tcPr>
            <w:tcW w:w="855" w:type="dxa"/>
            <w:shd w:val="clear" w:color="auto" w:fill="BFBFBF" w:themeFill="background1" w:themeFillShade="BF"/>
            <w:noWrap/>
            <w:vAlign w:val="center"/>
            <w:hideMark/>
          </w:tcPr>
          <w:p w14:paraId="78D89521" w14:textId="77777777" w:rsidR="00A12E65" w:rsidRPr="007F6332" w:rsidRDefault="00A12E65" w:rsidP="00CE7E91">
            <w:pPr>
              <w:spacing w:after="0"/>
              <w:ind w:right="-71"/>
              <w:rPr>
                <w:rFonts w:cs="Arial"/>
                <w:szCs w:val="22"/>
                <w:lang w:eastAsia="en-AU"/>
              </w:rPr>
            </w:pPr>
          </w:p>
        </w:tc>
        <w:tc>
          <w:tcPr>
            <w:tcW w:w="856" w:type="dxa"/>
            <w:shd w:val="clear" w:color="auto" w:fill="BFBFBF" w:themeFill="background1" w:themeFillShade="BF"/>
            <w:noWrap/>
            <w:vAlign w:val="center"/>
            <w:hideMark/>
          </w:tcPr>
          <w:p w14:paraId="27DE1E5C" w14:textId="77777777" w:rsidR="00A12E65" w:rsidRPr="007F6332" w:rsidRDefault="00A12E65" w:rsidP="00CE7E91">
            <w:pPr>
              <w:spacing w:after="0"/>
              <w:ind w:right="-71"/>
              <w:rPr>
                <w:rFonts w:cs="Arial"/>
                <w:szCs w:val="22"/>
                <w:lang w:eastAsia="en-AU"/>
              </w:rPr>
            </w:pPr>
          </w:p>
        </w:tc>
        <w:tc>
          <w:tcPr>
            <w:tcW w:w="855" w:type="dxa"/>
            <w:tcBorders>
              <w:top w:val="nil"/>
              <w:left w:val="nil"/>
              <w:bottom w:val="single" w:sz="12" w:space="0" w:color="auto"/>
              <w:right w:val="single" w:sz="12" w:space="0" w:color="auto"/>
            </w:tcBorders>
            <w:shd w:val="clear" w:color="auto" w:fill="BFBFBF" w:themeFill="background1" w:themeFillShade="BF"/>
            <w:noWrap/>
            <w:vAlign w:val="center"/>
            <w:hideMark/>
          </w:tcPr>
          <w:p w14:paraId="0F3F7449" w14:textId="77777777" w:rsidR="00A12E65" w:rsidRPr="007F6332" w:rsidRDefault="00A12E65" w:rsidP="00CE7E91">
            <w:pPr>
              <w:spacing w:after="0" w:line="240" w:lineRule="auto"/>
              <w:ind w:right="-71"/>
              <w:rPr>
                <w:rFonts w:eastAsia="Times New Roman" w:cs="Arial"/>
                <w:color w:val="000000"/>
                <w:szCs w:val="22"/>
                <w:lang w:eastAsia="en-AU"/>
              </w:rPr>
            </w:pPr>
            <w:r w:rsidRPr="007F6332">
              <w:rPr>
                <w:rFonts w:cs="Arial"/>
                <w:color w:val="000000"/>
                <w:szCs w:val="22"/>
              </w:rPr>
              <w:t> </w:t>
            </w:r>
          </w:p>
        </w:tc>
        <w:tc>
          <w:tcPr>
            <w:tcW w:w="855" w:type="dxa"/>
            <w:tcBorders>
              <w:top w:val="single" w:sz="12" w:space="0" w:color="auto"/>
              <w:left w:val="single" w:sz="12" w:space="0" w:color="auto"/>
            </w:tcBorders>
            <w:shd w:val="clear" w:color="auto" w:fill="BFBFBF" w:themeFill="background1" w:themeFillShade="BF"/>
            <w:noWrap/>
            <w:vAlign w:val="center"/>
            <w:hideMark/>
          </w:tcPr>
          <w:p w14:paraId="105CC53A" w14:textId="77777777" w:rsidR="00A12E65" w:rsidRPr="007F6332" w:rsidRDefault="00A12E65" w:rsidP="00CE7E91">
            <w:pPr>
              <w:ind w:right="-71"/>
              <w:rPr>
                <w:rFonts w:eastAsia="Times New Roman" w:cs="Arial"/>
                <w:color w:val="000000"/>
                <w:szCs w:val="22"/>
                <w:lang w:eastAsia="en-AU"/>
              </w:rPr>
            </w:pPr>
          </w:p>
        </w:tc>
        <w:tc>
          <w:tcPr>
            <w:tcW w:w="855" w:type="dxa"/>
            <w:shd w:val="clear" w:color="auto" w:fill="BFBFBF" w:themeFill="background1" w:themeFillShade="BF"/>
            <w:noWrap/>
            <w:vAlign w:val="center"/>
            <w:hideMark/>
          </w:tcPr>
          <w:p w14:paraId="5206F818" w14:textId="77777777" w:rsidR="00A12E65" w:rsidRPr="007F6332" w:rsidRDefault="00A12E65" w:rsidP="00CE7E91">
            <w:pPr>
              <w:spacing w:after="0"/>
              <w:ind w:right="-71"/>
              <w:rPr>
                <w:rFonts w:cs="Arial"/>
                <w:szCs w:val="22"/>
                <w:lang w:eastAsia="en-AU"/>
              </w:rPr>
            </w:pPr>
          </w:p>
        </w:tc>
        <w:tc>
          <w:tcPr>
            <w:tcW w:w="856" w:type="dxa"/>
            <w:tcBorders>
              <w:top w:val="nil"/>
              <w:left w:val="nil"/>
              <w:bottom w:val="nil"/>
            </w:tcBorders>
            <w:shd w:val="clear" w:color="auto" w:fill="BFBFBF" w:themeFill="background1" w:themeFillShade="BF"/>
            <w:noWrap/>
            <w:vAlign w:val="center"/>
            <w:hideMark/>
          </w:tcPr>
          <w:p w14:paraId="70688922" w14:textId="77777777" w:rsidR="00A12E65" w:rsidRPr="007F6332" w:rsidRDefault="00A12E65" w:rsidP="00CE7E91">
            <w:pPr>
              <w:spacing w:after="0"/>
              <w:ind w:right="-71"/>
              <w:rPr>
                <w:rFonts w:cs="Arial"/>
                <w:szCs w:val="22"/>
                <w:lang w:eastAsia="en-AU"/>
              </w:rPr>
            </w:pPr>
          </w:p>
        </w:tc>
      </w:tr>
      <w:tr w:rsidR="00A12E65" w:rsidRPr="007F6332" w14:paraId="38625FBA" w14:textId="77777777" w:rsidTr="00CE7E91">
        <w:trPr>
          <w:trHeight w:val="461"/>
        </w:trPr>
        <w:tc>
          <w:tcPr>
            <w:tcW w:w="1301" w:type="dxa"/>
            <w:tcBorders>
              <w:top w:val="nil"/>
              <w:bottom w:val="nil"/>
              <w:right w:val="dashed" w:sz="8" w:space="0" w:color="auto"/>
            </w:tcBorders>
            <w:noWrap/>
            <w:vAlign w:val="center"/>
            <w:hideMark/>
          </w:tcPr>
          <w:p w14:paraId="42AC0E4E" w14:textId="0E90577A" w:rsidR="00A12E65" w:rsidRPr="007F6332" w:rsidRDefault="00A12E65" w:rsidP="006C7E97">
            <w:pPr>
              <w:spacing w:after="0" w:line="240" w:lineRule="auto"/>
              <w:jc w:val="right"/>
              <w:rPr>
                <w:rFonts w:eastAsia="Times New Roman" w:cs="Arial"/>
                <w:b/>
                <w:bCs/>
                <w:szCs w:val="22"/>
                <w:lang w:eastAsia="en-AU"/>
              </w:rPr>
            </w:pPr>
            <w:r w:rsidRPr="007F6332">
              <w:rPr>
                <w:rFonts w:eastAsia="Times New Roman" w:cs="Arial"/>
                <w:b/>
                <w:bCs/>
                <w:szCs w:val="22"/>
                <w:lang w:eastAsia="en-AU"/>
              </w:rPr>
              <w:t>2016</w:t>
            </w:r>
            <w:r w:rsidR="001D73DF" w:rsidRPr="007F6332">
              <w:rPr>
                <w:rFonts w:eastAsia="Times New Roman" w:cs="Arial"/>
                <w:b/>
                <w:bCs/>
                <w:szCs w:val="22"/>
                <w:lang w:eastAsia="en-AU"/>
              </w:rPr>
              <w:t>-</w:t>
            </w:r>
            <w:r w:rsidRPr="007F6332">
              <w:rPr>
                <w:rFonts w:eastAsia="Times New Roman" w:cs="Arial"/>
                <w:b/>
                <w:bCs/>
                <w:szCs w:val="22"/>
                <w:lang w:eastAsia="en-AU"/>
              </w:rPr>
              <w:t>17</w:t>
            </w:r>
          </w:p>
        </w:tc>
        <w:tc>
          <w:tcPr>
            <w:tcW w:w="855" w:type="dxa"/>
            <w:tcBorders>
              <w:left w:val="dashed" w:sz="8" w:space="0" w:color="auto"/>
            </w:tcBorders>
            <w:noWrap/>
            <w:vAlign w:val="center"/>
            <w:hideMark/>
          </w:tcPr>
          <w:p w14:paraId="5DAD947C"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11,562</w:t>
            </w:r>
          </w:p>
        </w:tc>
        <w:tc>
          <w:tcPr>
            <w:tcW w:w="855" w:type="dxa"/>
            <w:noWrap/>
            <w:vAlign w:val="center"/>
            <w:hideMark/>
          </w:tcPr>
          <w:p w14:paraId="67264431"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9,797</w:t>
            </w:r>
          </w:p>
        </w:tc>
        <w:tc>
          <w:tcPr>
            <w:tcW w:w="855" w:type="dxa"/>
            <w:noWrap/>
            <w:vAlign w:val="center"/>
            <w:hideMark/>
          </w:tcPr>
          <w:p w14:paraId="42130243"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9,234</w:t>
            </w:r>
          </w:p>
        </w:tc>
        <w:tc>
          <w:tcPr>
            <w:tcW w:w="855" w:type="dxa"/>
            <w:noWrap/>
            <w:vAlign w:val="center"/>
            <w:hideMark/>
          </w:tcPr>
          <w:p w14:paraId="6E4AA4D8"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9,130</w:t>
            </w:r>
          </w:p>
        </w:tc>
        <w:tc>
          <w:tcPr>
            <w:tcW w:w="856" w:type="dxa"/>
            <w:tcBorders>
              <w:top w:val="nil"/>
              <w:left w:val="nil"/>
              <w:bottom w:val="single" w:sz="12" w:space="0" w:color="auto"/>
              <w:right w:val="single" w:sz="12" w:space="0" w:color="auto"/>
            </w:tcBorders>
            <w:noWrap/>
            <w:vAlign w:val="center"/>
            <w:hideMark/>
          </w:tcPr>
          <w:p w14:paraId="40A2F0E0"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8,694</w:t>
            </w:r>
          </w:p>
        </w:tc>
        <w:tc>
          <w:tcPr>
            <w:tcW w:w="855" w:type="dxa"/>
            <w:tcBorders>
              <w:top w:val="single" w:sz="12" w:space="0" w:color="auto"/>
              <w:left w:val="single" w:sz="12" w:space="0" w:color="auto"/>
            </w:tcBorders>
            <w:noWrap/>
            <w:vAlign w:val="center"/>
            <w:hideMark/>
          </w:tcPr>
          <w:p w14:paraId="45FF8556"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8,503</w:t>
            </w:r>
          </w:p>
        </w:tc>
        <w:tc>
          <w:tcPr>
            <w:tcW w:w="855" w:type="dxa"/>
            <w:noWrap/>
            <w:vAlign w:val="center"/>
          </w:tcPr>
          <w:p w14:paraId="76AB046A" w14:textId="77777777" w:rsidR="00A12E65" w:rsidRPr="007F6332" w:rsidRDefault="00A12E65" w:rsidP="00CE7E91">
            <w:pPr>
              <w:spacing w:after="0" w:line="240" w:lineRule="auto"/>
              <w:ind w:right="-71"/>
              <w:jc w:val="right"/>
              <w:rPr>
                <w:rFonts w:eastAsia="Times New Roman" w:cs="Arial"/>
                <w:color w:val="000000"/>
                <w:szCs w:val="22"/>
                <w:lang w:eastAsia="en-AU"/>
              </w:rPr>
            </w:pPr>
          </w:p>
        </w:tc>
        <w:tc>
          <w:tcPr>
            <w:tcW w:w="855" w:type="dxa"/>
            <w:noWrap/>
            <w:vAlign w:val="center"/>
          </w:tcPr>
          <w:p w14:paraId="19D53DFD" w14:textId="77777777" w:rsidR="00A12E65" w:rsidRPr="007F6332" w:rsidRDefault="00A12E65" w:rsidP="00CE7E91">
            <w:pPr>
              <w:spacing w:after="0" w:line="240" w:lineRule="auto"/>
              <w:ind w:right="-71"/>
              <w:jc w:val="right"/>
              <w:rPr>
                <w:rFonts w:eastAsia="Times New Roman" w:cs="Arial"/>
                <w:color w:val="000000"/>
                <w:szCs w:val="22"/>
                <w:lang w:eastAsia="en-AU"/>
              </w:rPr>
            </w:pPr>
          </w:p>
        </w:tc>
        <w:tc>
          <w:tcPr>
            <w:tcW w:w="856" w:type="dxa"/>
            <w:tcBorders>
              <w:top w:val="nil"/>
              <w:left w:val="nil"/>
              <w:bottom w:val="nil"/>
            </w:tcBorders>
            <w:noWrap/>
            <w:vAlign w:val="center"/>
          </w:tcPr>
          <w:p w14:paraId="24B7C08B" w14:textId="77777777" w:rsidR="00A12E65" w:rsidRPr="007F6332" w:rsidRDefault="00A12E65" w:rsidP="00CE7E91">
            <w:pPr>
              <w:spacing w:after="0" w:line="240" w:lineRule="auto"/>
              <w:ind w:right="-71"/>
              <w:jc w:val="right"/>
              <w:rPr>
                <w:rFonts w:eastAsia="Times New Roman" w:cs="Arial"/>
                <w:color w:val="000000"/>
                <w:szCs w:val="22"/>
                <w:lang w:eastAsia="en-AU"/>
              </w:rPr>
            </w:pPr>
          </w:p>
        </w:tc>
      </w:tr>
      <w:tr w:rsidR="00A12E65" w:rsidRPr="007F6332" w14:paraId="0C061711" w14:textId="77777777" w:rsidTr="00CE7E91">
        <w:trPr>
          <w:trHeight w:val="461"/>
        </w:trPr>
        <w:tc>
          <w:tcPr>
            <w:tcW w:w="1301" w:type="dxa"/>
            <w:tcBorders>
              <w:top w:val="nil"/>
              <w:bottom w:val="nil"/>
              <w:right w:val="dashed" w:sz="8" w:space="0" w:color="auto"/>
            </w:tcBorders>
            <w:shd w:val="clear" w:color="auto" w:fill="BFBFBF" w:themeFill="background1" w:themeFillShade="BF"/>
            <w:noWrap/>
            <w:vAlign w:val="center"/>
            <w:hideMark/>
          </w:tcPr>
          <w:p w14:paraId="30FF2422" w14:textId="42C24B18" w:rsidR="00A12E65" w:rsidRPr="007F6332" w:rsidRDefault="00A12E65" w:rsidP="006C7E97">
            <w:pPr>
              <w:spacing w:after="0" w:line="240" w:lineRule="auto"/>
              <w:jc w:val="right"/>
              <w:rPr>
                <w:rFonts w:eastAsia="Times New Roman" w:cs="Arial"/>
                <w:b/>
                <w:bCs/>
                <w:szCs w:val="22"/>
                <w:lang w:eastAsia="en-AU"/>
              </w:rPr>
            </w:pPr>
            <w:r w:rsidRPr="007F6332">
              <w:rPr>
                <w:rFonts w:eastAsia="Times New Roman" w:cs="Arial"/>
                <w:b/>
                <w:bCs/>
                <w:szCs w:val="22"/>
                <w:lang w:eastAsia="en-AU"/>
              </w:rPr>
              <w:t>2017</w:t>
            </w:r>
            <w:r w:rsidR="001D73DF" w:rsidRPr="007F6332">
              <w:rPr>
                <w:rFonts w:eastAsia="Times New Roman" w:cs="Arial"/>
                <w:b/>
                <w:bCs/>
                <w:szCs w:val="22"/>
                <w:lang w:eastAsia="en-AU"/>
              </w:rPr>
              <w:t>-</w:t>
            </w:r>
            <w:r w:rsidRPr="007F6332">
              <w:rPr>
                <w:rFonts w:eastAsia="Times New Roman" w:cs="Arial"/>
                <w:b/>
                <w:bCs/>
                <w:szCs w:val="22"/>
                <w:lang w:eastAsia="en-AU"/>
              </w:rPr>
              <w:t>18</w:t>
            </w:r>
          </w:p>
        </w:tc>
        <w:tc>
          <w:tcPr>
            <w:tcW w:w="855" w:type="dxa"/>
            <w:tcBorders>
              <w:left w:val="dashed" w:sz="8" w:space="0" w:color="auto"/>
            </w:tcBorders>
            <w:shd w:val="clear" w:color="auto" w:fill="BFBFBF" w:themeFill="background1" w:themeFillShade="BF"/>
            <w:noWrap/>
            <w:vAlign w:val="center"/>
            <w:hideMark/>
          </w:tcPr>
          <w:p w14:paraId="471A03B8"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10,932</w:t>
            </w:r>
          </w:p>
        </w:tc>
        <w:tc>
          <w:tcPr>
            <w:tcW w:w="855" w:type="dxa"/>
            <w:shd w:val="clear" w:color="auto" w:fill="BFBFBF" w:themeFill="background1" w:themeFillShade="BF"/>
            <w:noWrap/>
            <w:vAlign w:val="center"/>
            <w:hideMark/>
          </w:tcPr>
          <w:p w14:paraId="4C0D7BBD"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9,191</w:t>
            </w:r>
          </w:p>
        </w:tc>
        <w:tc>
          <w:tcPr>
            <w:tcW w:w="855" w:type="dxa"/>
            <w:shd w:val="clear" w:color="auto" w:fill="BFBFBF" w:themeFill="background1" w:themeFillShade="BF"/>
            <w:noWrap/>
            <w:vAlign w:val="center"/>
            <w:hideMark/>
          </w:tcPr>
          <w:p w14:paraId="3C50EFF5"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8,509</w:t>
            </w:r>
          </w:p>
        </w:tc>
        <w:tc>
          <w:tcPr>
            <w:tcW w:w="855" w:type="dxa"/>
            <w:tcBorders>
              <w:top w:val="nil"/>
              <w:left w:val="nil"/>
              <w:bottom w:val="single" w:sz="12" w:space="0" w:color="auto"/>
              <w:right w:val="single" w:sz="12" w:space="0" w:color="auto"/>
            </w:tcBorders>
            <w:shd w:val="clear" w:color="auto" w:fill="BFBFBF" w:themeFill="background1" w:themeFillShade="BF"/>
            <w:noWrap/>
            <w:vAlign w:val="center"/>
            <w:hideMark/>
          </w:tcPr>
          <w:p w14:paraId="08124BDF"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8,049</w:t>
            </w:r>
          </w:p>
        </w:tc>
        <w:tc>
          <w:tcPr>
            <w:tcW w:w="856" w:type="dxa"/>
            <w:tcBorders>
              <w:top w:val="single" w:sz="12" w:space="0" w:color="auto"/>
              <w:left w:val="single" w:sz="12" w:space="0" w:color="auto"/>
            </w:tcBorders>
            <w:shd w:val="clear" w:color="auto" w:fill="BFBFBF" w:themeFill="background1" w:themeFillShade="BF"/>
            <w:noWrap/>
            <w:vAlign w:val="center"/>
            <w:hideMark/>
          </w:tcPr>
          <w:p w14:paraId="40F55086"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7,636</w:t>
            </w:r>
          </w:p>
        </w:tc>
        <w:tc>
          <w:tcPr>
            <w:tcW w:w="855" w:type="dxa"/>
            <w:shd w:val="clear" w:color="auto" w:fill="BFBFBF" w:themeFill="background1" w:themeFillShade="BF"/>
            <w:noWrap/>
            <w:vAlign w:val="center"/>
          </w:tcPr>
          <w:p w14:paraId="1E1F0C75" w14:textId="77777777" w:rsidR="00A12E65" w:rsidRPr="007F6332" w:rsidRDefault="00A12E65" w:rsidP="00CE7E91">
            <w:pPr>
              <w:spacing w:after="0" w:line="240" w:lineRule="auto"/>
              <w:ind w:right="-71"/>
              <w:jc w:val="right"/>
              <w:rPr>
                <w:rFonts w:eastAsia="Times New Roman" w:cs="Arial"/>
                <w:color w:val="000000"/>
                <w:szCs w:val="22"/>
                <w:lang w:eastAsia="en-AU"/>
              </w:rPr>
            </w:pPr>
          </w:p>
        </w:tc>
        <w:tc>
          <w:tcPr>
            <w:tcW w:w="855" w:type="dxa"/>
            <w:shd w:val="clear" w:color="auto" w:fill="BFBFBF" w:themeFill="background1" w:themeFillShade="BF"/>
            <w:noWrap/>
            <w:vAlign w:val="center"/>
          </w:tcPr>
          <w:p w14:paraId="282DADEF" w14:textId="77777777" w:rsidR="00A12E65" w:rsidRPr="007F6332" w:rsidRDefault="00A12E65" w:rsidP="00CE7E91">
            <w:pPr>
              <w:spacing w:after="0" w:line="240" w:lineRule="auto"/>
              <w:ind w:right="-71"/>
              <w:jc w:val="right"/>
              <w:rPr>
                <w:rFonts w:eastAsia="Times New Roman" w:cs="Arial"/>
                <w:color w:val="000000"/>
                <w:szCs w:val="22"/>
                <w:lang w:eastAsia="en-AU"/>
              </w:rPr>
            </w:pPr>
          </w:p>
        </w:tc>
        <w:tc>
          <w:tcPr>
            <w:tcW w:w="855" w:type="dxa"/>
            <w:shd w:val="clear" w:color="auto" w:fill="BFBFBF" w:themeFill="background1" w:themeFillShade="BF"/>
            <w:noWrap/>
            <w:vAlign w:val="center"/>
          </w:tcPr>
          <w:p w14:paraId="7B7683F6" w14:textId="77777777" w:rsidR="00A12E65" w:rsidRPr="007F6332" w:rsidRDefault="00A12E65" w:rsidP="00CE7E91">
            <w:pPr>
              <w:spacing w:after="0" w:line="240" w:lineRule="auto"/>
              <w:ind w:right="-71"/>
              <w:jc w:val="right"/>
              <w:rPr>
                <w:rFonts w:eastAsia="Times New Roman" w:cs="Arial"/>
                <w:color w:val="000000"/>
                <w:szCs w:val="22"/>
                <w:lang w:eastAsia="en-AU"/>
              </w:rPr>
            </w:pPr>
          </w:p>
        </w:tc>
        <w:tc>
          <w:tcPr>
            <w:tcW w:w="856" w:type="dxa"/>
            <w:tcBorders>
              <w:top w:val="nil"/>
              <w:left w:val="nil"/>
              <w:bottom w:val="nil"/>
            </w:tcBorders>
            <w:shd w:val="clear" w:color="auto" w:fill="BFBFBF" w:themeFill="background1" w:themeFillShade="BF"/>
            <w:noWrap/>
            <w:vAlign w:val="center"/>
          </w:tcPr>
          <w:p w14:paraId="0CB161EA" w14:textId="77777777" w:rsidR="00A12E65" w:rsidRPr="007F6332" w:rsidRDefault="00A12E65" w:rsidP="00CE7E91">
            <w:pPr>
              <w:spacing w:after="0" w:line="240" w:lineRule="auto"/>
              <w:ind w:right="-71"/>
              <w:jc w:val="right"/>
              <w:rPr>
                <w:rFonts w:eastAsia="Times New Roman" w:cs="Arial"/>
                <w:color w:val="000000"/>
                <w:szCs w:val="22"/>
                <w:lang w:eastAsia="en-AU"/>
              </w:rPr>
            </w:pPr>
          </w:p>
        </w:tc>
      </w:tr>
      <w:tr w:rsidR="00A12E65" w:rsidRPr="007F6332" w14:paraId="0A7B35ED" w14:textId="77777777" w:rsidTr="00CE7E91">
        <w:trPr>
          <w:trHeight w:val="461"/>
        </w:trPr>
        <w:tc>
          <w:tcPr>
            <w:tcW w:w="1301" w:type="dxa"/>
            <w:tcBorders>
              <w:top w:val="nil"/>
              <w:bottom w:val="nil"/>
              <w:right w:val="dashed" w:sz="8" w:space="0" w:color="auto"/>
            </w:tcBorders>
            <w:noWrap/>
            <w:vAlign w:val="center"/>
            <w:hideMark/>
          </w:tcPr>
          <w:p w14:paraId="60AF9E79" w14:textId="41AD0D24" w:rsidR="00A12E65" w:rsidRPr="007F6332" w:rsidRDefault="00A12E65" w:rsidP="006C7E97">
            <w:pPr>
              <w:spacing w:after="0" w:line="240" w:lineRule="auto"/>
              <w:jc w:val="right"/>
              <w:rPr>
                <w:rFonts w:eastAsia="Times New Roman" w:cs="Arial"/>
                <w:b/>
                <w:bCs/>
                <w:szCs w:val="22"/>
                <w:lang w:eastAsia="en-AU"/>
              </w:rPr>
            </w:pPr>
            <w:r w:rsidRPr="007F6332">
              <w:rPr>
                <w:rFonts w:eastAsia="Times New Roman" w:cs="Arial"/>
                <w:b/>
                <w:bCs/>
                <w:szCs w:val="22"/>
                <w:lang w:eastAsia="en-AU"/>
              </w:rPr>
              <w:t>2018</w:t>
            </w:r>
            <w:r w:rsidR="001D73DF" w:rsidRPr="007F6332">
              <w:rPr>
                <w:rFonts w:eastAsia="Times New Roman" w:cs="Arial"/>
                <w:b/>
                <w:bCs/>
                <w:szCs w:val="22"/>
                <w:lang w:eastAsia="en-AU"/>
              </w:rPr>
              <w:t>-</w:t>
            </w:r>
            <w:r w:rsidRPr="007F6332">
              <w:rPr>
                <w:rFonts w:eastAsia="Times New Roman" w:cs="Arial"/>
                <w:b/>
                <w:bCs/>
                <w:szCs w:val="22"/>
                <w:lang w:eastAsia="en-AU"/>
              </w:rPr>
              <w:t>19</w:t>
            </w:r>
          </w:p>
        </w:tc>
        <w:tc>
          <w:tcPr>
            <w:tcW w:w="855" w:type="dxa"/>
            <w:tcBorders>
              <w:left w:val="dashed" w:sz="8" w:space="0" w:color="auto"/>
            </w:tcBorders>
            <w:noWrap/>
            <w:vAlign w:val="center"/>
            <w:hideMark/>
          </w:tcPr>
          <w:p w14:paraId="4C5F63BE"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11,632</w:t>
            </w:r>
          </w:p>
        </w:tc>
        <w:tc>
          <w:tcPr>
            <w:tcW w:w="855" w:type="dxa"/>
            <w:noWrap/>
            <w:vAlign w:val="center"/>
            <w:hideMark/>
          </w:tcPr>
          <w:p w14:paraId="02825D6C"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9,319</w:t>
            </w:r>
          </w:p>
        </w:tc>
        <w:tc>
          <w:tcPr>
            <w:tcW w:w="855" w:type="dxa"/>
            <w:tcBorders>
              <w:top w:val="nil"/>
              <w:left w:val="nil"/>
              <w:bottom w:val="single" w:sz="12" w:space="0" w:color="auto"/>
              <w:right w:val="single" w:sz="12" w:space="0" w:color="auto"/>
            </w:tcBorders>
            <w:noWrap/>
            <w:vAlign w:val="center"/>
            <w:hideMark/>
          </w:tcPr>
          <w:p w14:paraId="5E46B334"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8,411</w:t>
            </w:r>
          </w:p>
        </w:tc>
        <w:tc>
          <w:tcPr>
            <w:tcW w:w="855" w:type="dxa"/>
            <w:tcBorders>
              <w:top w:val="single" w:sz="12" w:space="0" w:color="auto"/>
              <w:left w:val="single" w:sz="12" w:space="0" w:color="auto"/>
            </w:tcBorders>
            <w:noWrap/>
            <w:vAlign w:val="center"/>
            <w:hideMark/>
          </w:tcPr>
          <w:p w14:paraId="5955A9DC" w14:textId="77777777" w:rsidR="00A12E65" w:rsidRPr="007F6332" w:rsidRDefault="00A12E65" w:rsidP="00CE7E91">
            <w:pPr>
              <w:spacing w:after="0" w:line="240" w:lineRule="auto"/>
              <w:ind w:right="-71"/>
              <w:jc w:val="right"/>
              <w:rPr>
                <w:rFonts w:eastAsia="Times New Roman" w:cs="Arial"/>
                <w:color w:val="000000"/>
                <w:szCs w:val="22"/>
                <w:lang w:eastAsia="en-AU"/>
              </w:rPr>
            </w:pPr>
            <w:r w:rsidRPr="007F6332">
              <w:rPr>
                <w:rFonts w:cs="Arial"/>
                <w:color w:val="000000"/>
                <w:szCs w:val="22"/>
              </w:rPr>
              <w:t>8,304</w:t>
            </w:r>
          </w:p>
        </w:tc>
        <w:tc>
          <w:tcPr>
            <w:tcW w:w="856" w:type="dxa"/>
            <w:noWrap/>
            <w:vAlign w:val="center"/>
            <w:hideMark/>
          </w:tcPr>
          <w:p w14:paraId="466230D7" w14:textId="77777777" w:rsidR="00A12E65" w:rsidRPr="007F6332" w:rsidRDefault="00A12E65" w:rsidP="00CE7E91">
            <w:pPr>
              <w:ind w:right="-71"/>
              <w:rPr>
                <w:rFonts w:eastAsia="Times New Roman" w:cs="Arial"/>
                <w:color w:val="000000"/>
                <w:szCs w:val="22"/>
                <w:lang w:eastAsia="en-AU"/>
              </w:rPr>
            </w:pPr>
          </w:p>
        </w:tc>
        <w:tc>
          <w:tcPr>
            <w:tcW w:w="855" w:type="dxa"/>
            <w:noWrap/>
            <w:vAlign w:val="center"/>
          </w:tcPr>
          <w:p w14:paraId="3FF892BB" w14:textId="77777777" w:rsidR="00A12E65" w:rsidRPr="007F6332" w:rsidRDefault="00A12E65" w:rsidP="00CE7E91">
            <w:pPr>
              <w:spacing w:after="0" w:line="240" w:lineRule="auto"/>
              <w:ind w:right="-71"/>
              <w:jc w:val="right"/>
              <w:rPr>
                <w:rFonts w:eastAsia="Times New Roman" w:cs="Arial"/>
                <w:color w:val="000000"/>
                <w:szCs w:val="22"/>
                <w:lang w:eastAsia="en-AU"/>
              </w:rPr>
            </w:pPr>
          </w:p>
        </w:tc>
        <w:tc>
          <w:tcPr>
            <w:tcW w:w="855" w:type="dxa"/>
            <w:noWrap/>
            <w:vAlign w:val="center"/>
          </w:tcPr>
          <w:p w14:paraId="3E21D59E" w14:textId="77777777" w:rsidR="00A12E65" w:rsidRPr="007F6332" w:rsidRDefault="00A12E65" w:rsidP="00CE7E91">
            <w:pPr>
              <w:spacing w:after="0" w:line="240" w:lineRule="auto"/>
              <w:ind w:right="-71"/>
              <w:jc w:val="right"/>
              <w:rPr>
                <w:rFonts w:eastAsia="Times New Roman" w:cs="Arial"/>
                <w:color w:val="000000"/>
                <w:szCs w:val="22"/>
                <w:lang w:eastAsia="en-AU"/>
              </w:rPr>
            </w:pPr>
          </w:p>
        </w:tc>
        <w:tc>
          <w:tcPr>
            <w:tcW w:w="855" w:type="dxa"/>
            <w:noWrap/>
            <w:vAlign w:val="center"/>
          </w:tcPr>
          <w:p w14:paraId="330CE564" w14:textId="77777777" w:rsidR="00A12E65" w:rsidRPr="007F6332" w:rsidRDefault="00A12E65" w:rsidP="00CE7E91">
            <w:pPr>
              <w:spacing w:after="0" w:line="240" w:lineRule="auto"/>
              <w:ind w:right="-71"/>
              <w:jc w:val="right"/>
              <w:rPr>
                <w:rFonts w:eastAsia="Times New Roman" w:cs="Arial"/>
                <w:color w:val="000000"/>
                <w:szCs w:val="22"/>
                <w:lang w:eastAsia="en-AU"/>
              </w:rPr>
            </w:pPr>
          </w:p>
        </w:tc>
        <w:tc>
          <w:tcPr>
            <w:tcW w:w="856" w:type="dxa"/>
            <w:tcBorders>
              <w:top w:val="nil"/>
              <w:left w:val="nil"/>
              <w:bottom w:val="nil"/>
            </w:tcBorders>
            <w:noWrap/>
            <w:vAlign w:val="center"/>
          </w:tcPr>
          <w:p w14:paraId="10C902C0" w14:textId="77777777" w:rsidR="00A12E65" w:rsidRPr="007F6332" w:rsidRDefault="00A12E65" w:rsidP="00CE7E91">
            <w:pPr>
              <w:spacing w:after="0" w:line="240" w:lineRule="auto"/>
              <w:ind w:right="-71"/>
              <w:jc w:val="right"/>
              <w:rPr>
                <w:rFonts w:eastAsia="Times New Roman" w:cs="Arial"/>
                <w:color w:val="000000"/>
                <w:szCs w:val="22"/>
                <w:lang w:eastAsia="en-AU"/>
              </w:rPr>
            </w:pPr>
          </w:p>
        </w:tc>
      </w:tr>
      <w:tr w:rsidR="00A12E65" w:rsidRPr="007F6332" w14:paraId="3E5F5828" w14:textId="77777777" w:rsidTr="00CE7E91">
        <w:trPr>
          <w:trHeight w:val="461"/>
        </w:trPr>
        <w:tc>
          <w:tcPr>
            <w:tcW w:w="1301" w:type="dxa"/>
            <w:tcBorders>
              <w:top w:val="nil"/>
              <w:bottom w:val="nil"/>
              <w:right w:val="dashed" w:sz="8" w:space="0" w:color="auto"/>
            </w:tcBorders>
            <w:shd w:val="clear" w:color="auto" w:fill="BFBFBF" w:themeFill="background1" w:themeFillShade="BF"/>
            <w:noWrap/>
            <w:vAlign w:val="center"/>
            <w:hideMark/>
          </w:tcPr>
          <w:p w14:paraId="33D08516" w14:textId="401D01BD" w:rsidR="00A12E65" w:rsidRPr="007F6332" w:rsidRDefault="00A12E65" w:rsidP="006C7E97">
            <w:pPr>
              <w:spacing w:after="0" w:line="240" w:lineRule="auto"/>
              <w:jc w:val="right"/>
              <w:rPr>
                <w:rFonts w:eastAsia="Times New Roman" w:cs="Arial"/>
                <w:b/>
                <w:bCs/>
                <w:szCs w:val="22"/>
                <w:lang w:eastAsia="en-AU"/>
              </w:rPr>
            </w:pPr>
            <w:r w:rsidRPr="007F6332">
              <w:rPr>
                <w:rFonts w:eastAsia="Times New Roman" w:cs="Arial"/>
                <w:b/>
                <w:bCs/>
                <w:szCs w:val="22"/>
                <w:lang w:eastAsia="en-AU"/>
              </w:rPr>
              <w:t>2019</w:t>
            </w:r>
            <w:r w:rsidR="001D73DF" w:rsidRPr="007F6332">
              <w:rPr>
                <w:rFonts w:eastAsia="Times New Roman" w:cs="Arial"/>
                <w:b/>
                <w:bCs/>
                <w:szCs w:val="22"/>
                <w:lang w:eastAsia="en-AU"/>
              </w:rPr>
              <w:t>-</w:t>
            </w:r>
            <w:r w:rsidRPr="007F6332">
              <w:rPr>
                <w:rFonts w:eastAsia="Times New Roman" w:cs="Arial"/>
                <w:b/>
                <w:bCs/>
                <w:szCs w:val="22"/>
                <w:lang w:eastAsia="en-AU"/>
              </w:rPr>
              <w:t>20</w:t>
            </w:r>
          </w:p>
        </w:tc>
        <w:tc>
          <w:tcPr>
            <w:tcW w:w="855" w:type="dxa"/>
            <w:tcBorders>
              <w:left w:val="dashed" w:sz="8" w:space="0" w:color="auto"/>
            </w:tcBorders>
            <w:shd w:val="clear" w:color="auto" w:fill="BFBFBF" w:themeFill="background1" w:themeFillShade="BF"/>
            <w:noWrap/>
            <w:vAlign w:val="center"/>
            <w:hideMark/>
          </w:tcPr>
          <w:p w14:paraId="618E7B7A" w14:textId="77777777" w:rsidR="00A12E65" w:rsidRPr="007F6332" w:rsidRDefault="00A12E65" w:rsidP="00CE7E91">
            <w:pPr>
              <w:ind w:right="-71"/>
              <w:rPr>
                <w:rFonts w:eastAsia="Times New Roman" w:cs="Arial"/>
                <w:szCs w:val="22"/>
                <w:lang w:eastAsia="en-AU"/>
              </w:rPr>
            </w:pPr>
          </w:p>
        </w:tc>
        <w:tc>
          <w:tcPr>
            <w:tcW w:w="855" w:type="dxa"/>
            <w:tcBorders>
              <w:top w:val="nil"/>
              <w:left w:val="nil"/>
              <w:bottom w:val="single" w:sz="12" w:space="0" w:color="auto"/>
              <w:right w:val="single" w:sz="12" w:space="0" w:color="auto"/>
            </w:tcBorders>
            <w:shd w:val="clear" w:color="auto" w:fill="BFBFBF" w:themeFill="background1" w:themeFillShade="BF"/>
            <w:noWrap/>
            <w:vAlign w:val="center"/>
            <w:hideMark/>
          </w:tcPr>
          <w:p w14:paraId="3223D309" w14:textId="77777777" w:rsidR="00A12E65" w:rsidRPr="007F6332" w:rsidRDefault="00A12E65" w:rsidP="00CE7E91">
            <w:pPr>
              <w:spacing w:after="0" w:line="240" w:lineRule="auto"/>
              <w:ind w:right="-71"/>
              <w:rPr>
                <w:rFonts w:eastAsia="Times New Roman" w:cs="Arial"/>
                <w:color w:val="000000"/>
                <w:szCs w:val="22"/>
                <w:lang w:eastAsia="en-AU"/>
              </w:rPr>
            </w:pPr>
            <w:r w:rsidRPr="007F6332">
              <w:rPr>
                <w:rFonts w:cs="Arial"/>
                <w:color w:val="000000"/>
                <w:szCs w:val="22"/>
              </w:rPr>
              <w:t> </w:t>
            </w:r>
          </w:p>
        </w:tc>
        <w:tc>
          <w:tcPr>
            <w:tcW w:w="855" w:type="dxa"/>
            <w:tcBorders>
              <w:top w:val="single" w:sz="12" w:space="0" w:color="auto"/>
              <w:left w:val="single" w:sz="12" w:space="0" w:color="auto"/>
            </w:tcBorders>
            <w:shd w:val="clear" w:color="auto" w:fill="BFBFBF" w:themeFill="background1" w:themeFillShade="BF"/>
            <w:noWrap/>
            <w:vAlign w:val="center"/>
            <w:hideMark/>
          </w:tcPr>
          <w:p w14:paraId="2363C056" w14:textId="77777777" w:rsidR="00A12E65" w:rsidRPr="007F6332" w:rsidRDefault="00A12E65" w:rsidP="00CE7E91">
            <w:pPr>
              <w:ind w:right="-71"/>
              <w:rPr>
                <w:rFonts w:eastAsia="Times New Roman" w:cs="Arial"/>
                <w:color w:val="000000"/>
                <w:szCs w:val="22"/>
                <w:lang w:eastAsia="en-AU"/>
              </w:rPr>
            </w:pPr>
          </w:p>
        </w:tc>
        <w:tc>
          <w:tcPr>
            <w:tcW w:w="855" w:type="dxa"/>
            <w:shd w:val="clear" w:color="auto" w:fill="BFBFBF" w:themeFill="background1" w:themeFillShade="BF"/>
            <w:noWrap/>
            <w:vAlign w:val="center"/>
            <w:hideMark/>
          </w:tcPr>
          <w:p w14:paraId="44D66255" w14:textId="77777777" w:rsidR="00A12E65" w:rsidRPr="007F6332" w:rsidRDefault="00A12E65" w:rsidP="00CE7E91">
            <w:pPr>
              <w:spacing w:after="0"/>
              <w:ind w:right="-71"/>
              <w:rPr>
                <w:rFonts w:cs="Arial"/>
                <w:szCs w:val="22"/>
                <w:lang w:eastAsia="en-AU"/>
              </w:rPr>
            </w:pPr>
          </w:p>
        </w:tc>
        <w:tc>
          <w:tcPr>
            <w:tcW w:w="856" w:type="dxa"/>
            <w:shd w:val="clear" w:color="auto" w:fill="BFBFBF" w:themeFill="background1" w:themeFillShade="BF"/>
            <w:noWrap/>
            <w:vAlign w:val="center"/>
            <w:hideMark/>
          </w:tcPr>
          <w:p w14:paraId="6F872E78" w14:textId="77777777" w:rsidR="00A12E65" w:rsidRPr="007F6332" w:rsidRDefault="00A12E65" w:rsidP="00CE7E91">
            <w:pPr>
              <w:spacing w:after="0"/>
              <w:ind w:right="-71"/>
              <w:rPr>
                <w:rFonts w:cs="Arial"/>
                <w:szCs w:val="22"/>
                <w:lang w:eastAsia="en-AU"/>
              </w:rPr>
            </w:pPr>
          </w:p>
        </w:tc>
        <w:tc>
          <w:tcPr>
            <w:tcW w:w="855" w:type="dxa"/>
            <w:shd w:val="clear" w:color="auto" w:fill="BFBFBF" w:themeFill="background1" w:themeFillShade="BF"/>
            <w:noWrap/>
            <w:vAlign w:val="center"/>
            <w:hideMark/>
          </w:tcPr>
          <w:p w14:paraId="300E9866" w14:textId="77777777" w:rsidR="00A12E65" w:rsidRPr="007F6332" w:rsidRDefault="00A12E65" w:rsidP="00CE7E91">
            <w:pPr>
              <w:spacing w:after="0"/>
              <w:ind w:right="-71"/>
              <w:rPr>
                <w:rFonts w:cs="Arial"/>
                <w:szCs w:val="22"/>
                <w:lang w:eastAsia="en-AU"/>
              </w:rPr>
            </w:pPr>
          </w:p>
        </w:tc>
        <w:tc>
          <w:tcPr>
            <w:tcW w:w="855" w:type="dxa"/>
            <w:shd w:val="clear" w:color="auto" w:fill="BFBFBF" w:themeFill="background1" w:themeFillShade="BF"/>
            <w:noWrap/>
            <w:vAlign w:val="center"/>
            <w:hideMark/>
          </w:tcPr>
          <w:p w14:paraId="3AF93CA0" w14:textId="77777777" w:rsidR="00A12E65" w:rsidRPr="007F6332" w:rsidRDefault="00A12E65" w:rsidP="00CE7E91">
            <w:pPr>
              <w:spacing w:after="0"/>
              <w:ind w:right="-71"/>
              <w:rPr>
                <w:rFonts w:cs="Arial"/>
                <w:szCs w:val="22"/>
                <w:lang w:eastAsia="en-AU"/>
              </w:rPr>
            </w:pPr>
          </w:p>
        </w:tc>
        <w:tc>
          <w:tcPr>
            <w:tcW w:w="855" w:type="dxa"/>
            <w:shd w:val="clear" w:color="auto" w:fill="BFBFBF" w:themeFill="background1" w:themeFillShade="BF"/>
            <w:noWrap/>
            <w:vAlign w:val="center"/>
            <w:hideMark/>
          </w:tcPr>
          <w:p w14:paraId="0697891D" w14:textId="77777777" w:rsidR="00A12E65" w:rsidRPr="007F6332" w:rsidRDefault="00A12E65" w:rsidP="00CE7E91">
            <w:pPr>
              <w:spacing w:after="0"/>
              <w:ind w:right="-71"/>
              <w:rPr>
                <w:rFonts w:cs="Arial"/>
                <w:szCs w:val="22"/>
                <w:lang w:eastAsia="en-AU"/>
              </w:rPr>
            </w:pPr>
          </w:p>
        </w:tc>
        <w:tc>
          <w:tcPr>
            <w:tcW w:w="856" w:type="dxa"/>
            <w:tcBorders>
              <w:top w:val="nil"/>
              <w:left w:val="nil"/>
              <w:bottom w:val="nil"/>
            </w:tcBorders>
            <w:shd w:val="clear" w:color="auto" w:fill="BFBFBF" w:themeFill="background1" w:themeFillShade="BF"/>
            <w:noWrap/>
            <w:vAlign w:val="center"/>
            <w:hideMark/>
          </w:tcPr>
          <w:p w14:paraId="7E73DFD8" w14:textId="77777777" w:rsidR="00A12E65" w:rsidRPr="007F6332" w:rsidRDefault="00A12E65" w:rsidP="00CE7E91">
            <w:pPr>
              <w:spacing w:after="0"/>
              <w:ind w:right="-71"/>
              <w:rPr>
                <w:rFonts w:cs="Arial"/>
                <w:szCs w:val="22"/>
                <w:lang w:eastAsia="en-AU"/>
              </w:rPr>
            </w:pPr>
          </w:p>
        </w:tc>
      </w:tr>
      <w:tr w:rsidR="00A12E65" w:rsidRPr="007F6332" w14:paraId="7E81D78C" w14:textId="77777777" w:rsidTr="00C1755E">
        <w:trPr>
          <w:trHeight w:val="461"/>
        </w:trPr>
        <w:tc>
          <w:tcPr>
            <w:tcW w:w="1301" w:type="dxa"/>
            <w:tcBorders>
              <w:top w:val="nil"/>
              <w:bottom w:val="single" w:sz="4" w:space="0" w:color="auto"/>
              <w:right w:val="dashed" w:sz="8" w:space="0" w:color="auto"/>
            </w:tcBorders>
            <w:shd w:val="clear" w:color="auto" w:fill="B499B7"/>
            <w:noWrap/>
            <w:vAlign w:val="center"/>
            <w:hideMark/>
          </w:tcPr>
          <w:p w14:paraId="6AC5C594" w14:textId="03A2C38A" w:rsidR="00A12E65" w:rsidRPr="007F6332" w:rsidRDefault="00A12E65" w:rsidP="006C7E97">
            <w:pPr>
              <w:spacing w:after="0" w:line="240" w:lineRule="auto"/>
              <w:jc w:val="right"/>
              <w:rPr>
                <w:rFonts w:eastAsia="Times New Roman" w:cs="Arial"/>
                <w:b/>
                <w:bCs/>
                <w:szCs w:val="22"/>
                <w:lang w:eastAsia="en-AU"/>
              </w:rPr>
            </w:pPr>
            <w:r w:rsidRPr="007F6332">
              <w:rPr>
                <w:rFonts w:eastAsia="Times New Roman" w:cs="Arial"/>
                <w:b/>
                <w:bCs/>
                <w:szCs w:val="22"/>
                <w:lang w:eastAsia="en-AU"/>
              </w:rPr>
              <w:t>2020</w:t>
            </w:r>
            <w:r w:rsidR="001D73DF" w:rsidRPr="007F6332">
              <w:rPr>
                <w:rFonts w:eastAsia="Times New Roman" w:cs="Arial"/>
                <w:b/>
                <w:bCs/>
                <w:szCs w:val="22"/>
                <w:lang w:eastAsia="en-AU"/>
              </w:rPr>
              <w:t>-</w:t>
            </w:r>
            <w:r w:rsidRPr="007F6332">
              <w:rPr>
                <w:rFonts w:eastAsia="Times New Roman" w:cs="Arial"/>
                <w:b/>
                <w:bCs/>
                <w:szCs w:val="22"/>
                <w:lang w:eastAsia="en-AU"/>
              </w:rPr>
              <w:t>21</w:t>
            </w:r>
          </w:p>
        </w:tc>
        <w:tc>
          <w:tcPr>
            <w:tcW w:w="855" w:type="dxa"/>
            <w:tcBorders>
              <w:top w:val="nil"/>
              <w:left w:val="dashed" w:sz="8" w:space="0" w:color="auto"/>
              <w:bottom w:val="single" w:sz="4" w:space="0" w:color="auto"/>
              <w:right w:val="single" w:sz="12" w:space="0" w:color="auto"/>
            </w:tcBorders>
            <w:shd w:val="clear" w:color="auto" w:fill="B499B7"/>
            <w:noWrap/>
            <w:vAlign w:val="center"/>
            <w:hideMark/>
          </w:tcPr>
          <w:p w14:paraId="4039B0CF" w14:textId="77777777" w:rsidR="00A12E65" w:rsidRPr="007F6332" w:rsidRDefault="00A12E65" w:rsidP="00CE7E91">
            <w:pPr>
              <w:spacing w:after="0" w:line="240" w:lineRule="auto"/>
              <w:ind w:right="-71"/>
              <w:rPr>
                <w:rFonts w:eastAsia="Times New Roman" w:cs="Arial"/>
                <w:color w:val="000000"/>
                <w:szCs w:val="22"/>
                <w:lang w:eastAsia="en-AU"/>
              </w:rPr>
            </w:pPr>
            <w:r w:rsidRPr="007F6332">
              <w:rPr>
                <w:rFonts w:cs="Arial"/>
                <w:color w:val="000000"/>
                <w:szCs w:val="22"/>
              </w:rPr>
              <w:t> </w:t>
            </w:r>
          </w:p>
        </w:tc>
        <w:tc>
          <w:tcPr>
            <w:tcW w:w="855" w:type="dxa"/>
            <w:tcBorders>
              <w:top w:val="single" w:sz="12" w:space="0" w:color="auto"/>
              <w:left w:val="single" w:sz="12" w:space="0" w:color="auto"/>
              <w:bottom w:val="single" w:sz="4" w:space="0" w:color="auto"/>
              <w:right w:val="nil"/>
            </w:tcBorders>
            <w:shd w:val="clear" w:color="auto" w:fill="B499B7"/>
            <w:noWrap/>
            <w:vAlign w:val="center"/>
            <w:hideMark/>
          </w:tcPr>
          <w:p w14:paraId="0040BA5D" w14:textId="77777777" w:rsidR="00A12E65" w:rsidRPr="007F6332" w:rsidRDefault="00A12E65" w:rsidP="00CE7E91">
            <w:pPr>
              <w:ind w:right="-71"/>
              <w:rPr>
                <w:rFonts w:eastAsia="Times New Roman" w:cs="Arial"/>
                <w:color w:val="000000"/>
                <w:szCs w:val="22"/>
                <w:lang w:eastAsia="en-AU"/>
              </w:rPr>
            </w:pPr>
          </w:p>
        </w:tc>
        <w:tc>
          <w:tcPr>
            <w:tcW w:w="855" w:type="dxa"/>
            <w:tcBorders>
              <w:top w:val="nil"/>
              <w:left w:val="nil"/>
              <w:bottom w:val="single" w:sz="4" w:space="0" w:color="auto"/>
              <w:right w:val="nil"/>
            </w:tcBorders>
            <w:shd w:val="clear" w:color="auto" w:fill="B499B7"/>
            <w:noWrap/>
            <w:vAlign w:val="center"/>
            <w:hideMark/>
          </w:tcPr>
          <w:p w14:paraId="4E3A2800" w14:textId="77777777" w:rsidR="00A12E65" w:rsidRPr="007F6332" w:rsidRDefault="00A12E65" w:rsidP="00CE7E91">
            <w:pPr>
              <w:spacing w:after="0"/>
              <w:ind w:right="-71"/>
              <w:rPr>
                <w:rFonts w:cs="Arial"/>
                <w:szCs w:val="22"/>
                <w:lang w:eastAsia="en-AU"/>
              </w:rPr>
            </w:pPr>
          </w:p>
        </w:tc>
        <w:tc>
          <w:tcPr>
            <w:tcW w:w="855" w:type="dxa"/>
            <w:tcBorders>
              <w:top w:val="nil"/>
              <w:left w:val="nil"/>
              <w:bottom w:val="single" w:sz="4" w:space="0" w:color="auto"/>
              <w:right w:val="nil"/>
            </w:tcBorders>
            <w:shd w:val="clear" w:color="auto" w:fill="B499B7"/>
            <w:noWrap/>
            <w:vAlign w:val="center"/>
            <w:hideMark/>
          </w:tcPr>
          <w:p w14:paraId="281D53E8" w14:textId="77777777" w:rsidR="00A12E65" w:rsidRPr="007F6332" w:rsidRDefault="00A12E65" w:rsidP="00CE7E91">
            <w:pPr>
              <w:spacing w:after="0"/>
              <w:ind w:right="-71"/>
              <w:rPr>
                <w:rFonts w:cs="Arial"/>
                <w:szCs w:val="22"/>
                <w:lang w:eastAsia="en-AU"/>
              </w:rPr>
            </w:pPr>
          </w:p>
        </w:tc>
        <w:tc>
          <w:tcPr>
            <w:tcW w:w="856" w:type="dxa"/>
            <w:tcBorders>
              <w:top w:val="nil"/>
              <w:left w:val="nil"/>
              <w:bottom w:val="single" w:sz="4" w:space="0" w:color="auto"/>
              <w:right w:val="nil"/>
            </w:tcBorders>
            <w:shd w:val="clear" w:color="auto" w:fill="B499B7"/>
            <w:noWrap/>
            <w:vAlign w:val="center"/>
            <w:hideMark/>
          </w:tcPr>
          <w:p w14:paraId="0828AD39" w14:textId="77777777" w:rsidR="00A12E65" w:rsidRPr="007F6332" w:rsidRDefault="00A12E65" w:rsidP="00CE7E91">
            <w:pPr>
              <w:spacing w:after="0"/>
              <w:ind w:right="-71"/>
              <w:rPr>
                <w:rFonts w:cs="Arial"/>
                <w:szCs w:val="22"/>
                <w:lang w:eastAsia="en-AU"/>
              </w:rPr>
            </w:pPr>
          </w:p>
        </w:tc>
        <w:tc>
          <w:tcPr>
            <w:tcW w:w="855" w:type="dxa"/>
            <w:tcBorders>
              <w:top w:val="nil"/>
              <w:left w:val="nil"/>
              <w:bottom w:val="single" w:sz="4" w:space="0" w:color="auto"/>
              <w:right w:val="nil"/>
            </w:tcBorders>
            <w:shd w:val="clear" w:color="auto" w:fill="B499B7"/>
            <w:noWrap/>
            <w:vAlign w:val="center"/>
            <w:hideMark/>
          </w:tcPr>
          <w:p w14:paraId="1B8A1131" w14:textId="77777777" w:rsidR="00A12E65" w:rsidRPr="007F6332" w:rsidRDefault="00A12E65" w:rsidP="00CE7E91">
            <w:pPr>
              <w:spacing w:after="0"/>
              <w:ind w:right="-71"/>
              <w:rPr>
                <w:rFonts w:cs="Arial"/>
                <w:szCs w:val="22"/>
                <w:lang w:eastAsia="en-AU"/>
              </w:rPr>
            </w:pPr>
          </w:p>
        </w:tc>
        <w:tc>
          <w:tcPr>
            <w:tcW w:w="855" w:type="dxa"/>
            <w:tcBorders>
              <w:top w:val="nil"/>
              <w:left w:val="nil"/>
              <w:bottom w:val="single" w:sz="4" w:space="0" w:color="auto"/>
              <w:right w:val="nil"/>
            </w:tcBorders>
            <w:shd w:val="clear" w:color="auto" w:fill="B499B7"/>
            <w:noWrap/>
            <w:vAlign w:val="center"/>
            <w:hideMark/>
          </w:tcPr>
          <w:p w14:paraId="1AC24218" w14:textId="77777777" w:rsidR="00A12E65" w:rsidRPr="007F6332" w:rsidRDefault="00A12E65" w:rsidP="00CE7E91">
            <w:pPr>
              <w:spacing w:after="0"/>
              <w:ind w:right="-71"/>
              <w:rPr>
                <w:rFonts w:cs="Arial"/>
                <w:szCs w:val="22"/>
                <w:lang w:eastAsia="en-AU"/>
              </w:rPr>
            </w:pPr>
          </w:p>
        </w:tc>
        <w:tc>
          <w:tcPr>
            <w:tcW w:w="855" w:type="dxa"/>
            <w:tcBorders>
              <w:top w:val="nil"/>
              <w:left w:val="nil"/>
              <w:bottom w:val="single" w:sz="4" w:space="0" w:color="auto"/>
              <w:right w:val="nil"/>
            </w:tcBorders>
            <w:shd w:val="clear" w:color="auto" w:fill="B499B7"/>
            <w:noWrap/>
            <w:vAlign w:val="center"/>
            <w:hideMark/>
          </w:tcPr>
          <w:p w14:paraId="296E5C86" w14:textId="77777777" w:rsidR="00A12E65" w:rsidRPr="007F6332" w:rsidRDefault="00A12E65" w:rsidP="00CE7E91">
            <w:pPr>
              <w:spacing w:after="0"/>
              <w:ind w:right="-71"/>
              <w:rPr>
                <w:rFonts w:cs="Arial"/>
                <w:szCs w:val="22"/>
                <w:lang w:eastAsia="en-AU"/>
              </w:rPr>
            </w:pPr>
          </w:p>
        </w:tc>
        <w:tc>
          <w:tcPr>
            <w:tcW w:w="856" w:type="dxa"/>
            <w:tcBorders>
              <w:top w:val="nil"/>
              <w:left w:val="nil"/>
              <w:bottom w:val="single" w:sz="4" w:space="0" w:color="auto"/>
            </w:tcBorders>
            <w:shd w:val="clear" w:color="auto" w:fill="B499B7"/>
            <w:noWrap/>
            <w:vAlign w:val="center"/>
            <w:hideMark/>
          </w:tcPr>
          <w:p w14:paraId="09E0574D" w14:textId="77777777" w:rsidR="00A12E65" w:rsidRPr="007F6332" w:rsidRDefault="00A12E65" w:rsidP="00CE7E91">
            <w:pPr>
              <w:spacing w:after="0"/>
              <w:ind w:right="-71"/>
              <w:rPr>
                <w:rFonts w:cs="Arial"/>
                <w:szCs w:val="22"/>
                <w:lang w:eastAsia="en-AU"/>
              </w:rPr>
            </w:pPr>
          </w:p>
        </w:tc>
      </w:tr>
    </w:tbl>
    <w:p w14:paraId="18146FA2" w14:textId="477F4222" w:rsidR="00A12E65" w:rsidRPr="007F6332" w:rsidRDefault="002D1BC3" w:rsidP="00EF6B24">
      <w:pPr>
        <w:pStyle w:val="FiguresandTablesHeading5"/>
      </w:pPr>
      <w:r w:rsidRPr="007F6332">
        <w:t xml:space="preserve">Table J.3: </w:t>
      </w:r>
      <w:r w:rsidR="00A12E65" w:rsidRPr="007F6332">
        <w:t>Weighted average payments by cohort</w:t>
      </w:r>
    </w:p>
    <w:tbl>
      <w:tblPr>
        <w:tblW w:w="8993" w:type="dxa"/>
        <w:tblLayout w:type="fixed"/>
        <w:tblLook w:val="04A0" w:firstRow="1" w:lastRow="0" w:firstColumn="1" w:lastColumn="0" w:noHBand="0" w:noVBand="1"/>
      </w:tblPr>
      <w:tblGrid>
        <w:gridCol w:w="2109"/>
        <w:gridCol w:w="2294"/>
        <w:gridCol w:w="2295"/>
        <w:gridCol w:w="2295"/>
      </w:tblGrid>
      <w:tr w:rsidR="00A12E65" w:rsidRPr="007F6332" w14:paraId="7CF2D692" w14:textId="77777777" w:rsidTr="00F26AC5">
        <w:trPr>
          <w:trHeight w:val="529"/>
        </w:trPr>
        <w:tc>
          <w:tcPr>
            <w:tcW w:w="2109" w:type="dxa"/>
            <w:tcBorders>
              <w:bottom w:val="single" w:sz="8" w:space="0" w:color="auto"/>
              <w:right w:val="nil"/>
            </w:tcBorders>
            <w:shd w:val="clear" w:color="000000" w:fill="6B2976"/>
            <w:noWrap/>
            <w:vAlign w:val="center"/>
            <w:hideMark/>
          </w:tcPr>
          <w:p w14:paraId="630B4B27" w14:textId="77777777" w:rsidR="00A12E65" w:rsidRPr="007F6332" w:rsidRDefault="00A12E65" w:rsidP="006C7E97">
            <w:pPr>
              <w:spacing w:after="0" w:line="240" w:lineRule="auto"/>
              <w:rPr>
                <w:rFonts w:eastAsia="Times New Roman" w:cs="Arial"/>
                <w:b/>
                <w:bCs/>
                <w:color w:val="FFFFFF"/>
                <w:szCs w:val="22"/>
                <w:lang w:eastAsia="en-AU"/>
              </w:rPr>
            </w:pPr>
          </w:p>
        </w:tc>
        <w:tc>
          <w:tcPr>
            <w:tcW w:w="2294" w:type="dxa"/>
            <w:tcBorders>
              <w:left w:val="nil"/>
              <w:bottom w:val="single" w:sz="8" w:space="0" w:color="auto"/>
              <w:right w:val="nil"/>
            </w:tcBorders>
            <w:shd w:val="clear" w:color="000000" w:fill="6B2976"/>
            <w:noWrap/>
            <w:vAlign w:val="center"/>
            <w:hideMark/>
          </w:tcPr>
          <w:p w14:paraId="434F04F0" w14:textId="77777777" w:rsidR="00A12E65" w:rsidRPr="007F6332" w:rsidRDefault="00A12E65"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2020-21</w:t>
            </w:r>
          </w:p>
        </w:tc>
        <w:tc>
          <w:tcPr>
            <w:tcW w:w="2295" w:type="dxa"/>
            <w:tcBorders>
              <w:left w:val="nil"/>
              <w:bottom w:val="single" w:sz="8" w:space="0" w:color="auto"/>
              <w:right w:val="nil"/>
            </w:tcBorders>
            <w:shd w:val="clear" w:color="000000" w:fill="6B2976"/>
            <w:noWrap/>
            <w:vAlign w:val="center"/>
            <w:hideMark/>
          </w:tcPr>
          <w:p w14:paraId="497D48FF" w14:textId="77777777" w:rsidR="00A12E65" w:rsidRPr="007F6332" w:rsidRDefault="00A12E65"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2021-22</w:t>
            </w:r>
          </w:p>
        </w:tc>
        <w:tc>
          <w:tcPr>
            <w:tcW w:w="2295" w:type="dxa"/>
            <w:tcBorders>
              <w:left w:val="nil"/>
              <w:bottom w:val="single" w:sz="8" w:space="0" w:color="auto"/>
            </w:tcBorders>
            <w:shd w:val="clear" w:color="000000" w:fill="6B2976"/>
            <w:noWrap/>
            <w:vAlign w:val="center"/>
            <w:hideMark/>
          </w:tcPr>
          <w:p w14:paraId="6666485C" w14:textId="77777777" w:rsidR="00A12E65" w:rsidRPr="007F6332" w:rsidRDefault="00A12E65"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2022-23</w:t>
            </w:r>
          </w:p>
        </w:tc>
      </w:tr>
      <w:tr w:rsidR="00A12E65" w:rsidRPr="007F6332" w14:paraId="398F1D1C" w14:textId="77777777" w:rsidTr="00F26AC5">
        <w:trPr>
          <w:trHeight w:val="511"/>
        </w:trPr>
        <w:tc>
          <w:tcPr>
            <w:tcW w:w="2109" w:type="dxa"/>
            <w:tcBorders>
              <w:top w:val="nil"/>
              <w:bottom w:val="nil"/>
              <w:right w:val="nil"/>
            </w:tcBorders>
            <w:shd w:val="clear" w:color="000000" w:fill="FFFFFF"/>
            <w:noWrap/>
            <w:vAlign w:val="center"/>
            <w:hideMark/>
          </w:tcPr>
          <w:p w14:paraId="0B1EA77D" w14:textId="77777777" w:rsidR="00A12E65" w:rsidRPr="007F6332" w:rsidRDefault="00A12E65"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All</w:t>
            </w:r>
          </w:p>
        </w:tc>
        <w:tc>
          <w:tcPr>
            <w:tcW w:w="2294" w:type="dxa"/>
            <w:tcBorders>
              <w:top w:val="nil"/>
              <w:left w:val="nil"/>
              <w:bottom w:val="nil"/>
              <w:right w:val="nil"/>
            </w:tcBorders>
            <w:shd w:val="clear" w:color="000000" w:fill="FFFFFF"/>
            <w:noWrap/>
            <w:vAlign w:val="bottom"/>
            <w:hideMark/>
          </w:tcPr>
          <w:p w14:paraId="320C110C" w14:textId="77777777" w:rsidR="00A12E65" w:rsidRPr="007F6332" w:rsidRDefault="00A12E65"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41,700 </w:t>
            </w:r>
          </w:p>
        </w:tc>
        <w:tc>
          <w:tcPr>
            <w:tcW w:w="2295" w:type="dxa"/>
            <w:tcBorders>
              <w:top w:val="nil"/>
              <w:left w:val="nil"/>
              <w:bottom w:val="nil"/>
              <w:right w:val="nil"/>
            </w:tcBorders>
            <w:shd w:val="clear" w:color="000000" w:fill="FFFFFF"/>
            <w:noWrap/>
            <w:vAlign w:val="bottom"/>
            <w:hideMark/>
          </w:tcPr>
          <w:p w14:paraId="13F6BA66" w14:textId="77777777" w:rsidR="00A12E65" w:rsidRPr="007F6332" w:rsidRDefault="00A12E65"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39,900 </w:t>
            </w:r>
          </w:p>
        </w:tc>
        <w:tc>
          <w:tcPr>
            <w:tcW w:w="2295" w:type="dxa"/>
            <w:tcBorders>
              <w:top w:val="nil"/>
              <w:left w:val="nil"/>
              <w:bottom w:val="nil"/>
            </w:tcBorders>
            <w:shd w:val="clear" w:color="000000" w:fill="FFFFFF"/>
            <w:noWrap/>
            <w:vAlign w:val="bottom"/>
            <w:hideMark/>
          </w:tcPr>
          <w:p w14:paraId="7B59A801" w14:textId="77777777" w:rsidR="00A12E65" w:rsidRPr="007F6332" w:rsidRDefault="00A12E65"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39,600 </w:t>
            </w:r>
          </w:p>
        </w:tc>
      </w:tr>
      <w:tr w:rsidR="00A12E65" w:rsidRPr="007F6332" w14:paraId="6CDC36A6" w14:textId="77777777" w:rsidTr="00F26AC5">
        <w:trPr>
          <w:trHeight w:val="529"/>
        </w:trPr>
        <w:tc>
          <w:tcPr>
            <w:tcW w:w="2109" w:type="dxa"/>
            <w:tcBorders>
              <w:top w:val="nil"/>
              <w:bottom w:val="single" w:sz="8" w:space="0" w:color="auto"/>
              <w:right w:val="nil"/>
            </w:tcBorders>
            <w:shd w:val="clear" w:color="auto" w:fill="B499B7"/>
            <w:noWrap/>
            <w:vAlign w:val="center"/>
            <w:hideMark/>
          </w:tcPr>
          <w:p w14:paraId="425C80A1" w14:textId="77777777" w:rsidR="00A12E65" w:rsidRPr="007F6332" w:rsidRDefault="00A12E65"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Recent Entrants</w:t>
            </w:r>
          </w:p>
        </w:tc>
        <w:tc>
          <w:tcPr>
            <w:tcW w:w="2294" w:type="dxa"/>
            <w:tcBorders>
              <w:top w:val="nil"/>
              <w:left w:val="nil"/>
              <w:bottom w:val="single" w:sz="8" w:space="0" w:color="auto"/>
              <w:right w:val="nil"/>
            </w:tcBorders>
            <w:shd w:val="clear" w:color="auto" w:fill="B499B7"/>
            <w:noWrap/>
            <w:vAlign w:val="bottom"/>
            <w:hideMark/>
          </w:tcPr>
          <w:p w14:paraId="71BF88F0" w14:textId="77777777" w:rsidR="00A12E65" w:rsidRPr="007F6332" w:rsidRDefault="00A12E65"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34,700 </w:t>
            </w:r>
          </w:p>
        </w:tc>
        <w:tc>
          <w:tcPr>
            <w:tcW w:w="2295" w:type="dxa"/>
            <w:tcBorders>
              <w:top w:val="nil"/>
              <w:left w:val="nil"/>
              <w:bottom w:val="single" w:sz="8" w:space="0" w:color="auto"/>
              <w:right w:val="nil"/>
            </w:tcBorders>
            <w:shd w:val="clear" w:color="auto" w:fill="B499B7"/>
            <w:noWrap/>
            <w:vAlign w:val="bottom"/>
            <w:hideMark/>
          </w:tcPr>
          <w:p w14:paraId="5BF540F8" w14:textId="77777777" w:rsidR="00A12E65" w:rsidRPr="007F6332" w:rsidRDefault="00A12E65"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33,900 </w:t>
            </w:r>
          </w:p>
        </w:tc>
        <w:tc>
          <w:tcPr>
            <w:tcW w:w="2295" w:type="dxa"/>
            <w:tcBorders>
              <w:top w:val="nil"/>
              <w:left w:val="nil"/>
              <w:bottom w:val="single" w:sz="8" w:space="0" w:color="auto"/>
            </w:tcBorders>
            <w:shd w:val="clear" w:color="auto" w:fill="B499B7"/>
            <w:noWrap/>
            <w:vAlign w:val="bottom"/>
            <w:hideMark/>
          </w:tcPr>
          <w:p w14:paraId="6ACA4594" w14:textId="77777777" w:rsidR="00A12E65" w:rsidRPr="007F6332" w:rsidRDefault="00A12E65"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xml:space="preserve">                  34,200 </w:t>
            </w:r>
          </w:p>
        </w:tc>
      </w:tr>
    </w:tbl>
    <w:p w14:paraId="6BBF2BCD" w14:textId="6BAB0FA9" w:rsidR="00A12E65" w:rsidRPr="007F6332" w:rsidRDefault="00A12E65" w:rsidP="00A12E65">
      <w:pPr>
        <w:pStyle w:val="FSRHeading4"/>
        <w:rPr>
          <w:rFonts w:cs="Arial"/>
        </w:rPr>
      </w:pPr>
      <w:r w:rsidRPr="007F6332">
        <w:rPr>
          <w:rFonts w:cs="Arial"/>
        </w:rPr>
        <w:t>Young</w:t>
      </w:r>
      <w:r w:rsidR="00494F88" w:rsidRPr="007F6332">
        <w:rPr>
          <w:rFonts w:cs="Arial"/>
        </w:rPr>
        <w:t>er</w:t>
      </w:r>
      <w:r w:rsidRPr="007F6332">
        <w:rPr>
          <w:rFonts w:cs="Arial"/>
        </w:rPr>
        <w:t xml:space="preserve"> </w:t>
      </w:r>
      <w:r w:rsidR="00494F88" w:rsidRPr="007F6332">
        <w:rPr>
          <w:rFonts w:cs="Arial"/>
        </w:rPr>
        <w:t xml:space="preserve">People </w:t>
      </w:r>
      <w:r w:rsidRPr="007F6332">
        <w:rPr>
          <w:rFonts w:cs="Arial"/>
        </w:rPr>
        <w:t>in Residential Aged Care</w:t>
      </w:r>
    </w:p>
    <w:p w14:paraId="20004FCF" w14:textId="531EEB80" w:rsidR="00A12E65" w:rsidRPr="007F6332" w:rsidRDefault="00A12E65" w:rsidP="00EF6B24">
      <w:pPr>
        <w:rPr>
          <w:b/>
        </w:rPr>
      </w:pPr>
      <w:r w:rsidRPr="007F6332">
        <w:t>Supports for Young</w:t>
      </w:r>
      <w:r w:rsidR="00494F88" w:rsidRPr="007F6332">
        <w:t>er</w:t>
      </w:r>
      <w:r w:rsidRPr="007F6332">
        <w:t xml:space="preserve"> </w:t>
      </w:r>
      <w:r w:rsidR="00494F88" w:rsidRPr="007F6332">
        <w:t xml:space="preserve">People </w:t>
      </w:r>
      <w:r w:rsidRPr="007F6332">
        <w:t>in Residential Aged Care (YPIRAC) are currently being met through the aged care system. These payments may be irregular. To avoid distortions in our modelling, payments relating to Y</w:t>
      </w:r>
      <w:r w:rsidR="00494F88" w:rsidRPr="007F6332">
        <w:t>PI</w:t>
      </w:r>
      <w:r w:rsidRPr="007F6332">
        <w:t>RAC have been excluded from the payment experience and, hence, the resulting base average payment assumptions. However, an explicit and separate allowance is made to reflect Y</w:t>
      </w:r>
      <w:r w:rsidR="00494F88" w:rsidRPr="007F6332">
        <w:t>PI</w:t>
      </w:r>
      <w:r w:rsidRPr="007F6332">
        <w:t>RAC payments in our model.</w:t>
      </w:r>
    </w:p>
    <w:p w14:paraId="47028740" w14:textId="77777777" w:rsidR="00A12E65" w:rsidRPr="007F6332" w:rsidRDefault="00A12E65" w:rsidP="00A12E65">
      <w:pPr>
        <w:pStyle w:val="FSRHeading4"/>
        <w:pageBreakBefore/>
        <w:rPr>
          <w:rFonts w:cs="Arial"/>
        </w:rPr>
      </w:pPr>
      <w:bookmarkStart w:id="328" w:name="_Hlk152343794"/>
      <w:r w:rsidRPr="007F6332">
        <w:rPr>
          <w:rFonts w:cs="Arial"/>
        </w:rPr>
        <w:lastRenderedPageBreak/>
        <w:t>The distribution of Scheme expenses is highly skewed</w:t>
      </w:r>
    </w:p>
    <w:p w14:paraId="470B6DED" w14:textId="643D75F3" w:rsidR="00A12E65" w:rsidRPr="007F6332" w:rsidRDefault="00A12E65" w:rsidP="00A12E65">
      <w:pPr>
        <w:pStyle w:val="FSRnormal"/>
        <w:rPr>
          <w:rFonts w:cs="Arial"/>
        </w:rPr>
      </w:pPr>
      <w:r w:rsidRPr="007F6332">
        <w:rPr>
          <w:rFonts w:cs="Arial"/>
        </w:rPr>
        <w:t>The Scheme supports participants with a diverse range of needs. Of the payments over the 12 months to 30 June 2023 to mature participants</w:t>
      </w:r>
      <w:r w:rsidRPr="007F6332">
        <w:rPr>
          <w:rStyle w:val="FootnoteReference"/>
          <w:rFonts w:cs="Arial"/>
        </w:rPr>
        <w:footnoteReference w:id="184"/>
      </w:r>
      <w:r w:rsidRPr="007F6332">
        <w:rPr>
          <w:rFonts w:cs="Arial"/>
        </w:rPr>
        <w:t xml:space="preserve">, 52% </w:t>
      </w:r>
      <w:r w:rsidR="00D73C85" w:rsidRPr="007F6332">
        <w:rPr>
          <w:rFonts w:cs="Arial"/>
        </w:rPr>
        <w:t xml:space="preserve">of payments </w:t>
      </w:r>
      <w:r w:rsidRPr="007F6332">
        <w:rPr>
          <w:rFonts w:cs="Arial"/>
        </w:rPr>
        <w:t xml:space="preserve">(similar to </w:t>
      </w:r>
      <w:r w:rsidR="00494F88" w:rsidRPr="007F6332">
        <w:rPr>
          <w:rFonts w:cs="Arial"/>
        </w:rPr>
        <w:t xml:space="preserve">the previous </w:t>
      </w:r>
      <w:r w:rsidRPr="007F6332">
        <w:rPr>
          <w:rFonts w:cs="Arial"/>
        </w:rPr>
        <w:t>review) related to the top 10%</w:t>
      </w:r>
      <w:r w:rsidRPr="007F6332">
        <w:rPr>
          <w:rStyle w:val="FootnoteReference"/>
          <w:rFonts w:cs="Arial"/>
        </w:rPr>
        <w:footnoteReference w:id="185"/>
      </w:r>
      <w:r w:rsidRPr="007F6332">
        <w:rPr>
          <w:rFonts w:cs="Arial"/>
        </w:rPr>
        <w:t xml:space="preserve"> of participants when ranked by payment over the period. Conversely, the bottom 40%</w:t>
      </w:r>
      <w:r w:rsidRPr="007F6332">
        <w:rPr>
          <w:rStyle w:val="FootnoteReference"/>
          <w:rFonts w:cs="Arial"/>
        </w:rPr>
        <w:footnoteReference w:id="186"/>
      </w:r>
      <w:r w:rsidRPr="007F6332">
        <w:rPr>
          <w:rFonts w:cs="Arial"/>
        </w:rPr>
        <w:t xml:space="preserve"> (similar to </w:t>
      </w:r>
      <w:r w:rsidR="00494F88" w:rsidRPr="007F6332">
        <w:rPr>
          <w:rFonts w:cs="Arial"/>
        </w:rPr>
        <w:t xml:space="preserve">the </w:t>
      </w:r>
      <w:r w:rsidRPr="007F6332">
        <w:rPr>
          <w:rFonts w:cs="Arial"/>
        </w:rPr>
        <w:t xml:space="preserve">previous review) of participants represent 5% of payments made </w:t>
      </w:r>
      <w:r w:rsidR="002D1BC3" w:rsidRPr="007F6332">
        <w:rPr>
          <w:rFonts w:cs="Arial"/>
        </w:rPr>
        <w:t>(Figure J.1</w:t>
      </w:r>
      <w:r w:rsidRPr="007F6332">
        <w:rPr>
          <w:rFonts w:cs="Arial"/>
        </w:rPr>
        <w:t>).</w:t>
      </w:r>
    </w:p>
    <w:p w14:paraId="1378944D" w14:textId="088D3A8C" w:rsidR="009C4D5C" w:rsidRPr="007F6332" w:rsidRDefault="009C4D5C" w:rsidP="00EF6B24">
      <w:pPr>
        <w:pStyle w:val="FiguresandTablesHeading5"/>
      </w:pPr>
      <w:r w:rsidRPr="007F6332">
        <w:t>Figure J.1: Average payment and cumulative percentage of Scheme expenses by ventile (5% band)</w:t>
      </w:r>
    </w:p>
    <w:bookmarkEnd w:id="328"/>
    <w:p w14:paraId="1DF669BB" w14:textId="08BAE6D4" w:rsidR="00A12E65" w:rsidRPr="007F6332" w:rsidRDefault="006B7636" w:rsidP="009C4D5C">
      <w:pPr>
        <w:rPr>
          <w:rFonts w:cs="Arial"/>
        </w:rPr>
      </w:pPr>
      <w:r>
        <w:rPr>
          <w:rFonts w:cs="Arial"/>
          <w:noProof/>
        </w:rPr>
        <w:drawing>
          <wp:inline distT="0" distB="0" distL="0" distR="0" wp14:anchorId="068C27B8" wp14:editId="4F0783B6">
            <wp:extent cx="5821579" cy="2674620"/>
            <wp:effectExtent l="0" t="0" r="8255" b="0"/>
            <wp:docPr id="1300351776" name="Picture 1" descr="This graph presents mature participants ordered into ventiles based on their total payments over the twelve months to 30 June 2023.&#10;Average payments and cumulative payment percentages are as follows:&#10;Ventile 1: Average payments &lt;100,000. Cumulative payment percentage 0%.&#10;Ventile 2: Average payments &lt;100,000. Cumulative payment percentage 0%.&#10;Ventile 3: Average payments &lt;100,000. Cumulative payment percentage 1%.&#10;Ventile 4: Average payments &lt;100,000. Cumulative payment percentage 1%.&#10;Ventile 5: Average payments &lt;100,000. Cumulative payment percentage 2%.&#10;Ventile 6: Average payments &lt;100,000. Cumulative payment percentage 3%.&#10;Ventile 7: Average payments &lt;100,000. Cumulative payment percentage 4%.&#10;Ventile 8: Average payments &lt;100,000. Cumulative payment percentage 5%.&#10;Ventile 9: Average payments &lt;100,000. Cumulative payment percentage 6%.&#10;Ventile 10: Average payments &lt;100,000. Cumulative payment percentage 8%.&#10;Ventile 11: Average payments &lt;100,000. Cumulative payment percentage 10%.&#10;Ventile 12: Average payments &lt;100,000. Cumulative payment percentage 13%.&#10;Ventile 13: Average payments &lt;100,000. Cumulative payment percentage 16%.&#10;Ventile 14: Average payments &lt;100,000. Cumulative payment percentage 19%.&#10;Ventile 15: Average payments &lt;100,000. Cumulative payment percentage 23%.&#10;Ventile 16: Average payments &lt;100,000. Cumulative payment percentage 29%.&#10;Ventile 17: Average payments between 100,000 and 200,000. Cumulative payment percentage 37%.&#10;Ventile 18: Average payments between 100,000 and 200,000. Cumulative payment percentage 47%.&#10;Ventile 19: Average payments between 200,000 and 300,000. Cumulative payment percentage 65%.&#10;Ventile 20: Average payments between 500,000 and 600,000. Cumulative payment percent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51776" name="Picture 1" descr="This graph presents mature participants ordered into ventiles based on their total payments over the twelve months to 30 June 2023.&#10;Average payments and cumulative payment percentages are as follows:&#10;Ventile 1: Average payments &lt;100,000. Cumulative payment percentage 0%.&#10;Ventile 2: Average payments &lt;100,000. Cumulative payment percentage 0%.&#10;Ventile 3: Average payments &lt;100,000. Cumulative payment percentage 1%.&#10;Ventile 4: Average payments &lt;100,000. Cumulative payment percentage 1%.&#10;Ventile 5: Average payments &lt;100,000. Cumulative payment percentage 2%.&#10;Ventile 6: Average payments &lt;100,000. Cumulative payment percentage 3%.&#10;Ventile 7: Average payments &lt;100,000. Cumulative payment percentage 4%.&#10;Ventile 8: Average payments &lt;100,000. Cumulative payment percentage 5%.&#10;Ventile 9: Average payments &lt;100,000. Cumulative payment percentage 6%.&#10;Ventile 10: Average payments &lt;100,000. Cumulative payment percentage 8%.&#10;Ventile 11: Average payments &lt;100,000. Cumulative payment percentage 10%.&#10;Ventile 12: Average payments &lt;100,000. Cumulative payment percentage 13%.&#10;Ventile 13: Average payments &lt;100,000. Cumulative payment percentage 16%.&#10;Ventile 14: Average payments &lt;100,000. Cumulative payment percentage 19%.&#10;Ventile 15: Average payments &lt;100,000. Cumulative payment percentage 23%.&#10;Ventile 16: Average payments &lt;100,000. Cumulative payment percentage 29%.&#10;Ventile 17: Average payments between 100,000 and 200,000. Cumulative payment percentage 37%.&#10;Ventile 18: Average payments between 100,000 and 200,000. Cumulative payment percentage 47%.&#10;Ventile 19: Average payments between 200,000 and 300,000. Cumulative payment percentage 65%.&#10;Ventile 20: Average payments between 500,000 and 600,000. Cumulative payment percentage 10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831962" cy="2679390"/>
                    </a:xfrm>
                    <a:prstGeom prst="rect">
                      <a:avLst/>
                    </a:prstGeom>
                    <a:noFill/>
                  </pic:spPr>
                </pic:pic>
              </a:graphicData>
            </a:graphic>
          </wp:inline>
        </w:drawing>
      </w:r>
    </w:p>
    <w:p w14:paraId="3DC7B1C0" w14:textId="77777777" w:rsidR="009C4D5C" w:rsidRPr="007F6332" w:rsidRDefault="009C4D5C">
      <w:pPr>
        <w:spacing w:line="276" w:lineRule="auto"/>
        <w:rPr>
          <w:rFonts w:cs="Arial"/>
          <w:lang w:val="en-AU"/>
        </w:rPr>
      </w:pPr>
      <w:bookmarkStart w:id="329" w:name="_Hlk152343832"/>
      <w:r w:rsidRPr="007F6332">
        <w:rPr>
          <w:rFonts w:cs="Arial"/>
        </w:rPr>
        <w:br w:type="page"/>
      </w:r>
    </w:p>
    <w:p w14:paraId="1142DDBD" w14:textId="6361E629" w:rsidR="00A12E65" w:rsidRPr="007F6332" w:rsidRDefault="00A12E65" w:rsidP="00A12E65">
      <w:pPr>
        <w:pStyle w:val="FSRnormal"/>
        <w:rPr>
          <w:rFonts w:cs="Arial"/>
        </w:rPr>
      </w:pPr>
      <w:r w:rsidRPr="007F6332">
        <w:rPr>
          <w:rFonts w:cs="Arial"/>
        </w:rPr>
        <w:lastRenderedPageBreak/>
        <w:t>This distribution does not vary greatly even when removing the impact of participants with SIL (who have far higher payments on average). 46% of payments are made in respect of the top 10% of participants without SIL, whilst only 7% are made in respect of the bottom 40% of participants without SIL</w:t>
      </w:r>
      <w:r w:rsidR="002D1BC3" w:rsidRPr="007F6332">
        <w:rPr>
          <w:rFonts w:cs="Arial"/>
        </w:rPr>
        <w:t xml:space="preserve"> (Figure J.2).</w:t>
      </w:r>
    </w:p>
    <w:p w14:paraId="193ECFDD" w14:textId="77777777" w:rsidR="009C4D5C" w:rsidRPr="007F6332" w:rsidRDefault="009C4D5C" w:rsidP="00EF6B24">
      <w:pPr>
        <w:pStyle w:val="FiguresandTablesHeading5"/>
      </w:pPr>
      <w:r w:rsidRPr="007F6332">
        <w:t>Figure J.2: Average payment and cumulative percentage of Scheme expenses by ventiles (5% band) – participants without SIL only</w:t>
      </w:r>
    </w:p>
    <w:p w14:paraId="4F76C731" w14:textId="699FB65F" w:rsidR="00A6600A" w:rsidRPr="007F6332" w:rsidRDefault="006B7636" w:rsidP="00A6600A">
      <w:pPr>
        <w:rPr>
          <w:rFonts w:cs="Arial"/>
        </w:rPr>
      </w:pPr>
      <w:r>
        <w:rPr>
          <w:rFonts w:cs="Arial"/>
          <w:noProof/>
        </w:rPr>
        <w:drawing>
          <wp:inline distT="0" distB="0" distL="0" distR="0" wp14:anchorId="4C4FD41F" wp14:editId="232CAFCC">
            <wp:extent cx="5763069" cy="2758440"/>
            <wp:effectExtent l="0" t="0" r="9525" b="3810"/>
            <wp:docPr id="1843954782" name="Picture 2" descr="This graph presents mature participants ordered into ventiles based on their total payments over the twelve months to 30 June 2023, for participants without SIL supports.&#10;Average payments and cumulative payment percentages are as follows:&#10;Ventile 1: Average payments &lt;50,000. Cumulative payment percentage 0%.&#10;Ventile 2: Average payments &lt;50,000. Cumulative payment percentage 0%.&#10;Ventile 3: Average payments &lt;50,000. Cumulative payment percentage 1%.&#10;Ventile 4: Average payments &lt;50,000. Cumulative payment percentage 2%.&#10;Ventile 5: Average payments &lt;50,000. Cumulative payment percentage 3%.&#10;Ventile 6: Average payments &lt;50,000. Cumulative payment percentage 4%.&#10;Ventile 7: Average payments &lt;50,000. Cumulative payment percentage 5%.&#10;Ventile 8: Average payments &lt;50,000. Cumulative payment percentage 7%.&#10;Ventile 9: Average payments &lt;50,000. Cumulative payment percentage 9%.&#10;Ventile 10: Average payments &lt;50,000. Cumulative payment percentage 11%.&#10;Ventile 11: Average payments &lt;50,000. Cumulative payment percentage 13%.&#10;Ventile 12: Average payments &lt;50,000. Cumulative payment percentage 16%.&#10;Ventile 13: Average payments &lt;50,000. Cumulative payment percentage 20%.&#10;Ventile 14: Average payments &lt;50,000. Cumulative payment percentage 24%.&#10;Ventile 15: Average payments between 50,000 and 100,000. Cumulative payment percentage 30%.&#10;Ventile 16: Average payments between 50,000 and 100,000. Cumulative payment percentage 36%.&#10;Ventile 17: Average payments between 50,000 and 100,000. Cumulative payment percentage 44%.&#10;Ventile 18: Average payments between 100,000 and 150,000. Cumulative payment percentage 54%.&#10;Ventile 19: Average payments between 100,000 and 150,000. Cumulative payment percentage 68%.&#10;Ventile 20: Average payments between 300,000 and 350,000. Cumulative payment percent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54782" name="Picture 2" descr="This graph presents mature participants ordered into ventiles based on their total payments over the twelve months to 30 June 2023, for participants without SIL supports.&#10;Average payments and cumulative payment percentages are as follows:&#10;Ventile 1: Average payments &lt;50,000. Cumulative payment percentage 0%.&#10;Ventile 2: Average payments &lt;50,000. Cumulative payment percentage 0%.&#10;Ventile 3: Average payments &lt;50,000. Cumulative payment percentage 1%.&#10;Ventile 4: Average payments &lt;50,000. Cumulative payment percentage 2%.&#10;Ventile 5: Average payments &lt;50,000. Cumulative payment percentage 3%.&#10;Ventile 6: Average payments &lt;50,000. Cumulative payment percentage 4%.&#10;Ventile 7: Average payments &lt;50,000. Cumulative payment percentage 5%.&#10;Ventile 8: Average payments &lt;50,000. Cumulative payment percentage 7%.&#10;Ventile 9: Average payments &lt;50,000. Cumulative payment percentage 9%.&#10;Ventile 10: Average payments &lt;50,000. Cumulative payment percentage 11%.&#10;Ventile 11: Average payments &lt;50,000. Cumulative payment percentage 13%.&#10;Ventile 12: Average payments &lt;50,000. Cumulative payment percentage 16%.&#10;Ventile 13: Average payments &lt;50,000. Cumulative payment percentage 20%.&#10;Ventile 14: Average payments &lt;50,000. Cumulative payment percentage 24%.&#10;Ventile 15: Average payments between 50,000 and 100,000. Cumulative payment percentage 30%.&#10;Ventile 16: Average payments between 50,000 and 100,000. Cumulative payment percentage 36%.&#10;Ventile 17: Average payments between 50,000 and 100,000. Cumulative payment percentage 44%.&#10;Ventile 18: Average payments between 100,000 and 150,000. Cumulative payment percentage 54%.&#10;Ventile 19: Average payments between 100,000 and 150,000. Cumulative payment percentage 68%.&#10;Ventile 20: Average payments between 300,000 and 350,000. Cumulative payment percentage 10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74938" cy="2764121"/>
                    </a:xfrm>
                    <a:prstGeom prst="rect">
                      <a:avLst/>
                    </a:prstGeom>
                    <a:noFill/>
                  </pic:spPr>
                </pic:pic>
              </a:graphicData>
            </a:graphic>
          </wp:inline>
        </w:drawing>
      </w:r>
    </w:p>
    <w:bookmarkEnd w:id="329"/>
    <w:p w14:paraId="0919C9D4" w14:textId="0FC5B1A0" w:rsidR="00A12E65" w:rsidRPr="007F6332" w:rsidRDefault="009C4D5C" w:rsidP="009C4D5C">
      <w:pPr>
        <w:pStyle w:val="FSRnormal"/>
        <w:rPr>
          <w:rFonts w:cs="Arial"/>
        </w:rPr>
      </w:pPr>
      <w:r w:rsidRPr="007F6332">
        <w:rPr>
          <w:rFonts w:cs="Arial"/>
        </w:rPr>
        <w:t>T</w:t>
      </w:r>
      <w:r w:rsidR="00A12E65" w:rsidRPr="007F6332">
        <w:rPr>
          <w:rFonts w:cs="Arial"/>
        </w:rPr>
        <w:t>hese observations are common in long-tail insurance schemes, and understanding these trends assist with monitoring Scheme sustainability.</w:t>
      </w:r>
    </w:p>
    <w:p w14:paraId="38A6110D" w14:textId="79814B7B" w:rsidR="00A12E65" w:rsidRPr="007F6332" w:rsidRDefault="00A12E65">
      <w:pPr>
        <w:spacing w:line="276" w:lineRule="auto"/>
        <w:rPr>
          <w:rFonts w:cs="Arial"/>
          <w:color w:val="6A2875"/>
          <w:sz w:val="30"/>
          <w:szCs w:val="30"/>
        </w:rPr>
      </w:pPr>
      <w:r w:rsidRPr="007F6332">
        <w:rPr>
          <w:rFonts w:cs="Arial"/>
        </w:rPr>
        <w:br w:type="page"/>
      </w:r>
    </w:p>
    <w:p w14:paraId="58975E0A" w14:textId="3C1CC60C" w:rsidR="00DC4E1A" w:rsidRPr="000851B7" w:rsidRDefault="00D64B63" w:rsidP="000851B7">
      <w:pPr>
        <w:pStyle w:val="FSRHeading3"/>
      </w:pPr>
      <w:bookmarkStart w:id="330" w:name="_Toc152615028"/>
      <w:bookmarkStart w:id="331" w:name="_Toc118460230"/>
      <w:r w:rsidRPr="000851B7">
        <w:lastRenderedPageBreak/>
        <w:t>Appendix K</w:t>
      </w:r>
      <w:r w:rsidRPr="000851B7">
        <w:tab/>
      </w:r>
      <w:r w:rsidR="00287FA3" w:rsidRPr="000851B7">
        <w:t>Projections – Plan budgets</w:t>
      </w:r>
      <w:bookmarkEnd w:id="330"/>
    </w:p>
    <w:p w14:paraId="5ED33BB6" w14:textId="795B1B05" w:rsidR="00287FA3" w:rsidRPr="007F6332" w:rsidRDefault="00287FA3" w:rsidP="00287FA3">
      <w:pPr>
        <w:pStyle w:val="FSRnormal"/>
        <w:rPr>
          <w:rFonts w:cs="Arial"/>
          <w:szCs w:val="22"/>
        </w:rPr>
      </w:pPr>
      <w:r w:rsidRPr="007F6332">
        <w:rPr>
          <w:rFonts w:eastAsia="Times New Roman" w:cs="Arial"/>
          <w:szCs w:val="22"/>
          <w:lang w:eastAsia="en-AU"/>
        </w:rPr>
        <w:t xml:space="preserve">Table </w:t>
      </w:r>
      <w:r w:rsidR="000E5BDD" w:rsidRPr="007F6332">
        <w:rPr>
          <w:rFonts w:eastAsia="Times New Roman" w:cs="Arial"/>
          <w:szCs w:val="22"/>
          <w:lang w:eastAsia="en-AU"/>
        </w:rPr>
        <w:t>K</w:t>
      </w:r>
      <w:r w:rsidRPr="007F6332">
        <w:rPr>
          <w:rFonts w:eastAsia="Times New Roman" w:cs="Arial"/>
          <w:szCs w:val="22"/>
          <w:lang w:eastAsia="en-AU"/>
        </w:rPr>
        <w:t xml:space="preserve">.1 shows that the </w:t>
      </w:r>
      <w:r w:rsidRPr="007F6332">
        <w:rPr>
          <w:rFonts w:cs="Arial"/>
          <w:szCs w:val="22"/>
        </w:rPr>
        <w:t>disability groups with the highest projected total plan budgets are for those with intellectual disability, autism, psychosocial disability, other neurological, and acquired brain injury. These five groups are expected to account for about 70% of total plan budgets in 2023-24, increasing to 75% by 2032-33. By 2026-27, plan budgets for participants with autism is expected to account for the majority of total plan budgets.</w:t>
      </w:r>
    </w:p>
    <w:p w14:paraId="68A6AAC1" w14:textId="299089BD" w:rsidR="00287FA3" w:rsidRPr="007F6332" w:rsidRDefault="00287FA3" w:rsidP="00EF6B24">
      <w:pPr>
        <w:pStyle w:val="FiguresandTablesHeading4"/>
      </w:pPr>
      <w:r w:rsidRPr="007F6332">
        <w:t xml:space="preserve">Table </w:t>
      </w:r>
      <w:r w:rsidR="000E5BDD" w:rsidRPr="007F6332">
        <w:t>K</w:t>
      </w:r>
      <w:r w:rsidRPr="007F6332">
        <w:t>.1: Projected total plan budgets ($m) by disability group (2023-24 dollars)</w:t>
      </w:r>
    </w:p>
    <w:tbl>
      <w:tblPr>
        <w:tblW w:w="5000" w:type="pct"/>
        <w:tblLook w:val="04A0" w:firstRow="1" w:lastRow="0" w:firstColumn="1" w:lastColumn="0" w:noHBand="0" w:noVBand="1"/>
      </w:tblPr>
      <w:tblGrid>
        <w:gridCol w:w="2797"/>
        <w:gridCol w:w="1243"/>
        <w:gridCol w:w="1242"/>
        <w:gridCol w:w="1184"/>
        <w:gridCol w:w="1292"/>
        <w:gridCol w:w="1292"/>
      </w:tblGrid>
      <w:tr w:rsidR="00287FA3" w:rsidRPr="007F6332" w14:paraId="54EF2A9C" w14:textId="77777777" w:rsidTr="00D02FA6">
        <w:trPr>
          <w:trHeight w:val="227"/>
        </w:trPr>
        <w:tc>
          <w:tcPr>
            <w:tcW w:w="1545" w:type="pct"/>
            <w:tcBorders>
              <w:top w:val="single" w:sz="8" w:space="0" w:color="auto"/>
              <w:left w:val="nil"/>
              <w:bottom w:val="nil"/>
              <w:right w:val="nil"/>
            </w:tcBorders>
            <w:shd w:val="clear" w:color="auto" w:fill="6B2976"/>
            <w:vAlign w:val="center"/>
            <w:hideMark/>
          </w:tcPr>
          <w:p w14:paraId="5CF18EB2" w14:textId="77777777" w:rsidR="00287FA3" w:rsidRPr="007F6332" w:rsidRDefault="00287FA3" w:rsidP="00D02FA6">
            <w:pPr>
              <w:spacing w:after="0" w:line="240" w:lineRule="auto"/>
              <w:rPr>
                <w:rFonts w:eastAsia="Times New Roman" w:cs="Arial"/>
                <w:b/>
                <w:bCs/>
                <w:color w:val="FFFFFF"/>
                <w:szCs w:val="22"/>
                <w:lang w:eastAsia="en-AU"/>
              </w:rPr>
            </w:pPr>
            <w:r w:rsidRPr="007F6332">
              <w:rPr>
                <w:rFonts w:eastAsia="Times New Roman" w:cs="Arial"/>
                <w:b/>
                <w:bCs/>
                <w:color w:val="FFFFFF"/>
                <w:lang w:eastAsia="en-AU"/>
              </w:rPr>
              <w:t>Disability Group ($m) </w:t>
            </w:r>
          </w:p>
        </w:tc>
        <w:tc>
          <w:tcPr>
            <w:tcW w:w="686" w:type="pct"/>
            <w:tcBorders>
              <w:top w:val="single" w:sz="8" w:space="0" w:color="auto"/>
              <w:left w:val="nil"/>
              <w:bottom w:val="nil"/>
              <w:right w:val="nil"/>
            </w:tcBorders>
            <w:shd w:val="clear" w:color="auto" w:fill="6B2976"/>
            <w:vAlign w:val="center"/>
            <w:hideMark/>
          </w:tcPr>
          <w:p w14:paraId="39FC21AD" w14:textId="77777777" w:rsidR="00287FA3" w:rsidRPr="007F6332" w:rsidRDefault="00287FA3" w:rsidP="00D02FA6">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2023-24</w:t>
            </w:r>
          </w:p>
        </w:tc>
        <w:tc>
          <w:tcPr>
            <w:tcW w:w="686" w:type="pct"/>
            <w:tcBorders>
              <w:top w:val="single" w:sz="8" w:space="0" w:color="auto"/>
              <w:left w:val="nil"/>
              <w:bottom w:val="nil"/>
              <w:right w:val="nil"/>
            </w:tcBorders>
            <w:shd w:val="clear" w:color="auto" w:fill="6B2976"/>
            <w:vAlign w:val="center"/>
            <w:hideMark/>
          </w:tcPr>
          <w:p w14:paraId="18A4A99D" w14:textId="77777777" w:rsidR="00287FA3" w:rsidRPr="007F6332" w:rsidRDefault="00287FA3" w:rsidP="00D02FA6">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2024-25</w:t>
            </w:r>
          </w:p>
        </w:tc>
        <w:tc>
          <w:tcPr>
            <w:tcW w:w="654" w:type="pct"/>
            <w:tcBorders>
              <w:top w:val="single" w:sz="8" w:space="0" w:color="auto"/>
              <w:left w:val="nil"/>
              <w:bottom w:val="nil"/>
              <w:right w:val="nil"/>
            </w:tcBorders>
            <w:shd w:val="clear" w:color="auto" w:fill="6B2976"/>
            <w:vAlign w:val="center"/>
            <w:hideMark/>
          </w:tcPr>
          <w:p w14:paraId="000BB59E" w14:textId="77777777" w:rsidR="00287FA3" w:rsidRPr="007F6332" w:rsidRDefault="00287FA3" w:rsidP="00D02FA6">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2025-26</w:t>
            </w:r>
          </w:p>
        </w:tc>
        <w:tc>
          <w:tcPr>
            <w:tcW w:w="714" w:type="pct"/>
            <w:tcBorders>
              <w:top w:val="single" w:sz="8" w:space="0" w:color="auto"/>
              <w:left w:val="nil"/>
              <w:bottom w:val="nil"/>
              <w:right w:val="nil"/>
            </w:tcBorders>
            <w:shd w:val="clear" w:color="auto" w:fill="6B2976"/>
            <w:vAlign w:val="center"/>
            <w:hideMark/>
          </w:tcPr>
          <w:p w14:paraId="5C43301C" w14:textId="77777777" w:rsidR="00287FA3" w:rsidRPr="007F6332" w:rsidRDefault="00287FA3" w:rsidP="00D02FA6">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2026-27</w:t>
            </w:r>
          </w:p>
        </w:tc>
        <w:tc>
          <w:tcPr>
            <w:tcW w:w="714" w:type="pct"/>
            <w:tcBorders>
              <w:top w:val="single" w:sz="8" w:space="0" w:color="auto"/>
              <w:left w:val="nil"/>
              <w:bottom w:val="nil"/>
              <w:right w:val="nil"/>
            </w:tcBorders>
            <w:shd w:val="clear" w:color="auto" w:fill="6B2976"/>
            <w:vAlign w:val="center"/>
            <w:hideMark/>
          </w:tcPr>
          <w:p w14:paraId="1899877B" w14:textId="77777777" w:rsidR="00287FA3" w:rsidRPr="007F6332" w:rsidRDefault="00287FA3" w:rsidP="00D02FA6">
            <w:pPr>
              <w:spacing w:after="0" w:line="240" w:lineRule="auto"/>
              <w:jc w:val="right"/>
              <w:rPr>
                <w:rFonts w:eastAsia="Times New Roman" w:cs="Arial"/>
                <w:b/>
                <w:bCs/>
                <w:color w:val="FFFFFF"/>
                <w:lang w:eastAsia="en-AU"/>
              </w:rPr>
            </w:pPr>
            <w:r w:rsidRPr="007F6332">
              <w:rPr>
                <w:rFonts w:eastAsia="Times New Roman" w:cs="Arial"/>
                <w:b/>
                <w:bCs/>
                <w:color w:val="FFFFFF"/>
                <w:lang w:eastAsia="en-AU"/>
              </w:rPr>
              <w:t>2032-33</w:t>
            </w:r>
          </w:p>
        </w:tc>
      </w:tr>
      <w:tr w:rsidR="00287FA3" w:rsidRPr="007F6332" w14:paraId="57D6B8F4" w14:textId="77777777" w:rsidTr="00D02FA6">
        <w:trPr>
          <w:trHeight w:val="227"/>
        </w:trPr>
        <w:tc>
          <w:tcPr>
            <w:tcW w:w="1545" w:type="pct"/>
            <w:vAlign w:val="center"/>
            <w:hideMark/>
          </w:tcPr>
          <w:p w14:paraId="764293F6"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Acquired Brain Injury</w:t>
            </w:r>
          </w:p>
        </w:tc>
        <w:tc>
          <w:tcPr>
            <w:tcW w:w="686" w:type="pct"/>
            <w:vAlign w:val="center"/>
            <w:hideMark/>
          </w:tcPr>
          <w:p w14:paraId="733336C8"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3,615</w:t>
            </w:r>
          </w:p>
        </w:tc>
        <w:tc>
          <w:tcPr>
            <w:tcW w:w="686" w:type="pct"/>
            <w:vAlign w:val="center"/>
            <w:hideMark/>
          </w:tcPr>
          <w:p w14:paraId="0EC97E96"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4,006</w:t>
            </w:r>
          </w:p>
        </w:tc>
        <w:tc>
          <w:tcPr>
            <w:tcW w:w="654" w:type="pct"/>
            <w:vAlign w:val="center"/>
            <w:hideMark/>
          </w:tcPr>
          <w:p w14:paraId="6309F192"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4,327</w:t>
            </w:r>
          </w:p>
        </w:tc>
        <w:tc>
          <w:tcPr>
            <w:tcW w:w="714" w:type="pct"/>
            <w:vAlign w:val="center"/>
            <w:hideMark/>
          </w:tcPr>
          <w:p w14:paraId="0F8546E8"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4,628</w:t>
            </w:r>
          </w:p>
        </w:tc>
        <w:tc>
          <w:tcPr>
            <w:tcW w:w="714" w:type="pct"/>
            <w:vAlign w:val="center"/>
            <w:hideMark/>
          </w:tcPr>
          <w:p w14:paraId="06FDF618"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6,886</w:t>
            </w:r>
          </w:p>
        </w:tc>
      </w:tr>
      <w:tr w:rsidR="00287FA3" w:rsidRPr="007F6332" w14:paraId="2B21A35C" w14:textId="77777777" w:rsidTr="00D02FA6">
        <w:trPr>
          <w:trHeight w:val="227"/>
        </w:trPr>
        <w:tc>
          <w:tcPr>
            <w:tcW w:w="1545" w:type="pct"/>
            <w:shd w:val="clear" w:color="auto" w:fill="C0C0C0"/>
            <w:vAlign w:val="center"/>
            <w:hideMark/>
          </w:tcPr>
          <w:p w14:paraId="6382585B"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Autism</w:t>
            </w:r>
          </w:p>
        </w:tc>
        <w:tc>
          <w:tcPr>
            <w:tcW w:w="686" w:type="pct"/>
            <w:shd w:val="clear" w:color="auto" w:fill="C0C0C0"/>
            <w:vAlign w:val="center"/>
            <w:hideMark/>
          </w:tcPr>
          <w:p w14:paraId="1A849498"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11,480</w:t>
            </w:r>
          </w:p>
        </w:tc>
        <w:tc>
          <w:tcPr>
            <w:tcW w:w="686" w:type="pct"/>
            <w:shd w:val="clear" w:color="auto" w:fill="C0C0C0"/>
            <w:vAlign w:val="center"/>
            <w:hideMark/>
          </w:tcPr>
          <w:p w14:paraId="6B455685"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13,668</w:t>
            </w:r>
          </w:p>
        </w:tc>
        <w:tc>
          <w:tcPr>
            <w:tcW w:w="654" w:type="pct"/>
            <w:shd w:val="clear" w:color="auto" w:fill="C0C0C0"/>
            <w:vAlign w:val="center"/>
            <w:hideMark/>
          </w:tcPr>
          <w:p w14:paraId="5E151B35"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15,904</w:t>
            </w:r>
          </w:p>
        </w:tc>
        <w:tc>
          <w:tcPr>
            <w:tcW w:w="714" w:type="pct"/>
            <w:shd w:val="clear" w:color="auto" w:fill="C0C0C0"/>
            <w:vAlign w:val="center"/>
            <w:hideMark/>
          </w:tcPr>
          <w:p w14:paraId="6AC1B9DC"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18,309</w:t>
            </w:r>
          </w:p>
        </w:tc>
        <w:tc>
          <w:tcPr>
            <w:tcW w:w="714" w:type="pct"/>
            <w:shd w:val="clear" w:color="auto" w:fill="C0C0C0"/>
            <w:vAlign w:val="center"/>
            <w:hideMark/>
          </w:tcPr>
          <w:p w14:paraId="2504258F"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40,480</w:t>
            </w:r>
          </w:p>
        </w:tc>
      </w:tr>
      <w:tr w:rsidR="00287FA3" w:rsidRPr="007F6332" w14:paraId="2F377BF8" w14:textId="77777777" w:rsidTr="00D02FA6">
        <w:trPr>
          <w:trHeight w:val="227"/>
        </w:trPr>
        <w:tc>
          <w:tcPr>
            <w:tcW w:w="1545" w:type="pct"/>
            <w:vAlign w:val="center"/>
            <w:hideMark/>
          </w:tcPr>
          <w:p w14:paraId="4484D40B"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Cerebral Palsy</w:t>
            </w:r>
          </w:p>
        </w:tc>
        <w:tc>
          <w:tcPr>
            <w:tcW w:w="686" w:type="pct"/>
            <w:vAlign w:val="center"/>
            <w:hideMark/>
          </w:tcPr>
          <w:p w14:paraId="36C778BF"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3,369</w:t>
            </w:r>
          </w:p>
        </w:tc>
        <w:tc>
          <w:tcPr>
            <w:tcW w:w="686" w:type="pct"/>
            <w:vAlign w:val="center"/>
            <w:hideMark/>
          </w:tcPr>
          <w:p w14:paraId="1D700D8F"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3,600</w:t>
            </w:r>
          </w:p>
        </w:tc>
        <w:tc>
          <w:tcPr>
            <w:tcW w:w="654" w:type="pct"/>
            <w:vAlign w:val="center"/>
            <w:hideMark/>
          </w:tcPr>
          <w:p w14:paraId="6EC4D614"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3,811</w:t>
            </w:r>
          </w:p>
        </w:tc>
        <w:tc>
          <w:tcPr>
            <w:tcW w:w="714" w:type="pct"/>
            <w:vAlign w:val="center"/>
            <w:hideMark/>
          </w:tcPr>
          <w:p w14:paraId="1055A0C6"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4,000</w:t>
            </w:r>
          </w:p>
        </w:tc>
        <w:tc>
          <w:tcPr>
            <w:tcW w:w="714" w:type="pct"/>
            <w:vAlign w:val="center"/>
            <w:hideMark/>
          </w:tcPr>
          <w:p w14:paraId="400587CC"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5,527</w:t>
            </w:r>
          </w:p>
        </w:tc>
      </w:tr>
      <w:tr w:rsidR="00287FA3" w:rsidRPr="007F6332" w14:paraId="60CC2E30" w14:textId="77777777" w:rsidTr="00D02FA6">
        <w:trPr>
          <w:trHeight w:val="227"/>
        </w:trPr>
        <w:tc>
          <w:tcPr>
            <w:tcW w:w="1545" w:type="pct"/>
            <w:shd w:val="clear" w:color="auto" w:fill="C0C0C0"/>
            <w:vAlign w:val="center"/>
            <w:hideMark/>
          </w:tcPr>
          <w:p w14:paraId="7E9BB148"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Delay</w:t>
            </w:r>
          </w:p>
        </w:tc>
        <w:tc>
          <w:tcPr>
            <w:tcW w:w="686" w:type="pct"/>
            <w:shd w:val="clear" w:color="auto" w:fill="C0C0C0"/>
            <w:vAlign w:val="center"/>
            <w:hideMark/>
          </w:tcPr>
          <w:p w14:paraId="35ED0F58"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1,835</w:t>
            </w:r>
          </w:p>
        </w:tc>
        <w:tc>
          <w:tcPr>
            <w:tcW w:w="686" w:type="pct"/>
            <w:shd w:val="clear" w:color="auto" w:fill="C0C0C0"/>
            <w:vAlign w:val="center"/>
            <w:hideMark/>
          </w:tcPr>
          <w:p w14:paraId="627263E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1,886</w:t>
            </w:r>
          </w:p>
        </w:tc>
        <w:tc>
          <w:tcPr>
            <w:tcW w:w="654" w:type="pct"/>
            <w:shd w:val="clear" w:color="auto" w:fill="C0C0C0"/>
            <w:vAlign w:val="center"/>
            <w:hideMark/>
          </w:tcPr>
          <w:p w14:paraId="59708DC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1,835</w:t>
            </w:r>
          </w:p>
        </w:tc>
        <w:tc>
          <w:tcPr>
            <w:tcW w:w="714" w:type="pct"/>
            <w:shd w:val="clear" w:color="auto" w:fill="C0C0C0"/>
            <w:vAlign w:val="center"/>
            <w:hideMark/>
          </w:tcPr>
          <w:p w14:paraId="4DFD0AB3"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1,783</w:t>
            </w:r>
          </w:p>
        </w:tc>
        <w:tc>
          <w:tcPr>
            <w:tcW w:w="714" w:type="pct"/>
            <w:shd w:val="clear" w:color="auto" w:fill="C0C0C0"/>
            <w:vAlign w:val="center"/>
            <w:hideMark/>
          </w:tcPr>
          <w:p w14:paraId="7F906052"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2,174</w:t>
            </w:r>
          </w:p>
        </w:tc>
      </w:tr>
      <w:tr w:rsidR="00287FA3" w:rsidRPr="007F6332" w14:paraId="6273E54A" w14:textId="77777777" w:rsidTr="00D02FA6">
        <w:trPr>
          <w:trHeight w:val="227"/>
        </w:trPr>
        <w:tc>
          <w:tcPr>
            <w:tcW w:w="1545" w:type="pct"/>
            <w:vAlign w:val="center"/>
            <w:hideMark/>
          </w:tcPr>
          <w:p w14:paraId="1414BFC8"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Hearing Impairment</w:t>
            </w:r>
          </w:p>
        </w:tc>
        <w:tc>
          <w:tcPr>
            <w:tcW w:w="686" w:type="pct"/>
            <w:vAlign w:val="center"/>
            <w:hideMark/>
          </w:tcPr>
          <w:p w14:paraId="7B0E150C"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466</w:t>
            </w:r>
          </w:p>
        </w:tc>
        <w:tc>
          <w:tcPr>
            <w:tcW w:w="686" w:type="pct"/>
            <w:vAlign w:val="center"/>
            <w:hideMark/>
          </w:tcPr>
          <w:p w14:paraId="664A72C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503</w:t>
            </w:r>
          </w:p>
        </w:tc>
        <w:tc>
          <w:tcPr>
            <w:tcW w:w="654" w:type="pct"/>
            <w:vAlign w:val="center"/>
            <w:hideMark/>
          </w:tcPr>
          <w:p w14:paraId="51233601"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536</w:t>
            </w:r>
          </w:p>
        </w:tc>
        <w:tc>
          <w:tcPr>
            <w:tcW w:w="714" w:type="pct"/>
            <w:vAlign w:val="center"/>
            <w:hideMark/>
          </w:tcPr>
          <w:p w14:paraId="4EDBB727"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575</w:t>
            </w:r>
          </w:p>
        </w:tc>
        <w:tc>
          <w:tcPr>
            <w:tcW w:w="714" w:type="pct"/>
            <w:vAlign w:val="center"/>
            <w:hideMark/>
          </w:tcPr>
          <w:p w14:paraId="5E0E377F"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891</w:t>
            </w:r>
          </w:p>
        </w:tc>
      </w:tr>
      <w:tr w:rsidR="00287FA3" w:rsidRPr="007F6332" w14:paraId="416E6E61" w14:textId="77777777" w:rsidTr="00D02FA6">
        <w:trPr>
          <w:trHeight w:val="227"/>
        </w:trPr>
        <w:tc>
          <w:tcPr>
            <w:tcW w:w="1545" w:type="pct"/>
            <w:shd w:val="clear" w:color="auto" w:fill="C0C0C0"/>
            <w:vAlign w:val="center"/>
            <w:hideMark/>
          </w:tcPr>
          <w:p w14:paraId="13304624"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Intellectual Disability</w:t>
            </w:r>
          </w:p>
        </w:tc>
        <w:tc>
          <w:tcPr>
            <w:tcW w:w="686" w:type="pct"/>
            <w:shd w:val="clear" w:color="auto" w:fill="C0C0C0"/>
            <w:vAlign w:val="center"/>
            <w:hideMark/>
          </w:tcPr>
          <w:p w14:paraId="3DFF8907"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13,968</w:t>
            </w:r>
          </w:p>
        </w:tc>
        <w:tc>
          <w:tcPr>
            <w:tcW w:w="686" w:type="pct"/>
            <w:shd w:val="clear" w:color="auto" w:fill="C0C0C0"/>
            <w:vAlign w:val="center"/>
            <w:hideMark/>
          </w:tcPr>
          <w:p w14:paraId="0F38A2F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15,197</w:t>
            </w:r>
          </w:p>
        </w:tc>
        <w:tc>
          <w:tcPr>
            <w:tcW w:w="654" w:type="pct"/>
            <w:shd w:val="clear" w:color="auto" w:fill="C0C0C0"/>
            <w:vAlign w:val="center"/>
            <w:hideMark/>
          </w:tcPr>
          <w:p w14:paraId="0AD1AEC3"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16,293</w:t>
            </w:r>
          </w:p>
        </w:tc>
        <w:tc>
          <w:tcPr>
            <w:tcW w:w="714" w:type="pct"/>
            <w:shd w:val="clear" w:color="auto" w:fill="C0C0C0"/>
            <w:vAlign w:val="center"/>
            <w:hideMark/>
          </w:tcPr>
          <w:p w14:paraId="292A2311"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17,357</w:t>
            </w:r>
          </w:p>
        </w:tc>
        <w:tc>
          <w:tcPr>
            <w:tcW w:w="714" w:type="pct"/>
            <w:shd w:val="clear" w:color="auto" w:fill="C0C0C0"/>
            <w:vAlign w:val="center"/>
            <w:hideMark/>
          </w:tcPr>
          <w:p w14:paraId="50900DC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25,875</w:t>
            </w:r>
          </w:p>
        </w:tc>
      </w:tr>
      <w:tr w:rsidR="00287FA3" w:rsidRPr="007F6332" w14:paraId="71E22AFA" w14:textId="77777777" w:rsidTr="00D02FA6">
        <w:trPr>
          <w:trHeight w:val="227"/>
        </w:trPr>
        <w:tc>
          <w:tcPr>
            <w:tcW w:w="1545" w:type="pct"/>
            <w:vAlign w:val="center"/>
            <w:hideMark/>
          </w:tcPr>
          <w:p w14:paraId="448D5136"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Multiple Sclerosis</w:t>
            </w:r>
          </w:p>
        </w:tc>
        <w:tc>
          <w:tcPr>
            <w:tcW w:w="686" w:type="pct"/>
            <w:vAlign w:val="center"/>
            <w:hideMark/>
          </w:tcPr>
          <w:p w14:paraId="7C715383"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1,415</w:t>
            </w:r>
          </w:p>
        </w:tc>
        <w:tc>
          <w:tcPr>
            <w:tcW w:w="686" w:type="pct"/>
            <w:vAlign w:val="center"/>
            <w:hideMark/>
          </w:tcPr>
          <w:p w14:paraId="229DD30F"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1,549</w:t>
            </w:r>
          </w:p>
        </w:tc>
        <w:tc>
          <w:tcPr>
            <w:tcW w:w="654" w:type="pct"/>
            <w:vAlign w:val="center"/>
            <w:hideMark/>
          </w:tcPr>
          <w:p w14:paraId="1BB6B3B4"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1,663</w:t>
            </w:r>
          </w:p>
        </w:tc>
        <w:tc>
          <w:tcPr>
            <w:tcW w:w="714" w:type="pct"/>
            <w:vAlign w:val="center"/>
            <w:hideMark/>
          </w:tcPr>
          <w:p w14:paraId="4B18BE48"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1,770</w:t>
            </w:r>
          </w:p>
        </w:tc>
        <w:tc>
          <w:tcPr>
            <w:tcW w:w="714" w:type="pct"/>
            <w:vAlign w:val="center"/>
            <w:hideMark/>
          </w:tcPr>
          <w:p w14:paraId="0F48AB59"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2,548</w:t>
            </w:r>
          </w:p>
        </w:tc>
      </w:tr>
      <w:tr w:rsidR="00287FA3" w:rsidRPr="007F6332" w14:paraId="4208AAF4" w14:textId="77777777" w:rsidTr="00D02FA6">
        <w:trPr>
          <w:trHeight w:val="227"/>
        </w:trPr>
        <w:tc>
          <w:tcPr>
            <w:tcW w:w="1545" w:type="pct"/>
            <w:shd w:val="clear" w:color="auto" w:fill="C0C0C0"/>
            <w:vAlign w:val="center"/>
            <w:hideMark/>
          </w:tcPr>
          <w:p w14:paraId="0C97BB20"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Other</w:t>
            </w:r>
          </w:p>
        </w:tc>
        <w:tc>
          <w:tcPr>
            <w:tcW w:w="686" w:type="pct"/>
            <w:shd w:val="clear" w:color="auto" w:fill="C0C0C0"/>
            <w:vAlign w:val="center"/>
            <w:hideMark/>
          </w:tcPr>
          <w:p w14:paraId="33F2694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1,041</w:t>
            </w:r>
          </w:p>
        </w:tc>
        <w:tc>
          <w:tcPr>
            <w:tcW w:w="686" w:type="pct"/>
            <w:shd w:val="clear" w:color="auto" w:fill="C0C0C0"/>
            <w:vAlign w:val="center"/>
            <w:hideMark/>
          </w:tcPr>
          <w:p w14:paraId="75BEB564"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1,257</w:t>
            </w:r>
          </w:p>
        </w:tc>
        <w:tc>
          <w:tcPr>
            <w:tcW w:w="654" w:type="pct"/>
            <w:shd w:val="clear" w:color="auto" w:fill="C0C0C0"/>
            <w:vAlign w:val="center"/>
            <w:hideMark/>
          </w:tcPr>
          <w:p w14:paraId="3041B849"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1,439</w:t>
            </w:r>
          </w:p>
        </w:tc>
        <w:tc>
          <w:tcPr>
            <w:tcW w:w="714" w:type="pct"/>
            <w:shd w:val="clear" w:color="auto" w:fill="C0C0C0"/>
            <w:vAlign w:val="center"/>
            <w:hideMark/>
          </w:tcPr>
          <w:p w14:paraId="6447A534"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1,606</w:t>
            </w:r>
          </w:p>
        </w:tc>
        <w:tc>
          <w:tcPr>
            <w:tcW w:w="714" w:type="pct"/>
            <w:shd w:val="clear" w:color="auto" w:fill="C0C0C0"/>
            <w:vAlign w:val="center"/>
            <w:hideMark/>
          </w:tcPr>
          <w:p w14:paraId="2B99B02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2,857</w:t>
            </w:r>
          </w:p>
        </w:tc>
      </w:tr>
      <w:tr w:rsidR="00287FA3" w:rsidRPr="007F6332" w14:paraId="3B1395AA" w14:textId="77777777" w:rsidTr="00D02FA6">
        <w:trPr>
          <w:trHeight w:val="227"/>
        </w:trPr>
        <w:tc>
          <w:tcPr>
            <w:tcW w:w="1545" w:type="pct"/>
            <w:vAlign w:val="center"/>
            <w:hideMark/>
          </w:tcPr>
          <w:p w14:paraId="61932F1A"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Other Neurological</w:t>
            </w:r>
          </w:p>
        </w:tc>
        <w:tc>
          <w:tcPr>
            <w:tcW w:w="686" w:type="pct"/>
            <w:vAlign w:val="center"/>
            <w:hideMark/>
          </w:tcPr>
          <w:p w14:paraId="6682D7D4"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4,017</w:t>
            </w:r>
          </w:p>
        </w:tc>
        <w:tc>
          <w:tcPr>
            <w:tcW w:w="686" w:type="pct"/>
            <w:vAlign w:val="center"/>
            <w:hideMark/>
          </w:tcPr>
          <w:p w14:paraId="449EC29F"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4,329</w:t>
            </w:r>
          </w:p>
        </w:tc>
        <w:tc>
          <w:tcPr>
            <w:tcW w:w="654" w:type="pct"/>
            <w:vAlign w:val="center"/>
            <w:hideMark/>
          </w:tcPr>
          <w:p w14:paraId="199D291A"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4,555</w:t>
            </w:r>
          </w:p>
        </w:tc>
        <w:tc>
          <w:tcPr>
            <w:tcW w:w="714" w:type="pct"/>
            <w:vAlign w:val="center"/>
            <w:hideMark/>
          </w:tcPr>
          <w:p w14:paraId="3D3E8E08"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4,738</w:t>
            </w:r>
          </w:p>
        </w:tc>
        <w:tc>
          <w:tcPr>
            <w:tcW w:w="714" w:type="pct"/>
            <w:vAlign w:val="center"/>
            <w:hideMark/>
          </w:tcPr>
          <w:p w14:paraId="23DB9C9A"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6,123</w:t>
            </w:r>
          </w:p>
        </w:tc>
      </w:tr>
      <w:tr w:rsidR="00287FA3" w:rsidRPr="007F6332" w14:paraId="416459DD" w14:textId="77777777" w:rsidTr="00D02FA6">
        <w:trPr>
          <w:trHeight w:val="227"/>
        </w:trPr>
        <w:tc>
          <w:tcPr>
            <w:tcW w:w="1545" w:type="pct"/>
            <w:shd w:val="clear" w:color="auto" w:fill="C0C0C0"/>
            <w:vAlign w:val="center"/>
            <w:hideMark/>
          </w:tcPr>
          <w:p w14:paraId="79616CCD"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Other Physical</w:t>
            </w:r>
          </w:p>
        </w:tc>
        <w:tc>
          <w:tcPr>
            <w:tcW w:w="686" w:type="pct"/>
            <w:shd w:val="clear" w:color="auto" w:fill="C0C0C0"/>
            <w:vAlign w:val="center"/>
            <w:hideMark/>
          </w:tcPr>
          <w:p w14:paraId="2997F0B5"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1,813</w:t>
            </w:r>
          </w:p>
        </w:tc>
        <w:tc>
          <w:tcPr>
            <w:tcW w:w="686" w:type="pct"/>
            <w:shd w:val="clear" w:color="auto" w:fill="C0C0C0"/>
            <w:vAlign w:val="center"/>
            <w:hideMark/>
          </w:tcPr>
          <w:p w14:paraId="44FA0986"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1,918</w:t>
            </w:r>
          </w:p>
        </w:tc>
        <w:tc>
          <w:tcPr>
            <w:tcW w:w="654" w:type="pct"/>
            <w:shd w:val="clear" w:color="auto" w:fill="C0C0C0"/>
            <w:vAlign w:val="center"/>
            <w:hideMark/>
          </w:tcPr>
          <w:p w14:paraId="474C353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2,000</w:t>
            </w:r>
          </w:p>
        </w:tc>
        <w:tc>
          <w:tcPr>
            <w:tcW w:w="714" w:type="pct"/>
            <w:shd w:val="clear" w:color="auto" w:fill="C0C0C0"/>
            <w:vAlign w:val="center"/>
            <w:hideMark/>
          </w:tcPr>
          <w:p w14:paraId="51A36403"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2,073</w:t>
            </w:r>
          </w:p>
        </w:tc>
        <w:tc>
          <w:tcPr>
            <w:tcW w:w="714" w:type="pct"/>
            <w:shd w:val="clear" w:color="auto" w:fill="C0C0C0"/>
            <w:vAlign w:val="center"/>
            <w:hideMark/>
          </w:tcPr>
          <w:p w14:paraId="0440B4CA"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2,678</w:t>
            </w:r>
          </w:p>
        </w:tc>
      </w:tr>
      <w:tr w:rsidR="00287FA3" w:rsidRPr="007F6332" w14:paraId="1F60AA88" w14:textId="77777777" w:rsidTr="00D02FA6">
        <w:trPr>
          <w:trHeight w:val="227"/>
        </w:trPr>
        <w:tc>
          <w:tcPr>
            <w:tcW w:w="1545" w:type="pct"/>
            <w:vAlign w:val="center"/>
            <w:hideMark/>
          </w:tcPr>
          <w:p w14:paraId="41D83AC4"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Other Sensory Speech</w:t>
            </w:r>
          </w:p>
        </w:tc>
        <w:tc>
          <w:tcPr>
            <w:tcW w:w="686" w:type="pct"/>
            <w:vAlign w:val="center"/>
            <w:hideMark/>
          </w:tcPr>
          <w:p w14:paraId="1F5355FC"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35</w:t>
            </w:r>
          </w:p>
        </w:tc>
        <w:tc>
          <w:tcPr>
            <w:tcW w:w="686" w:type="pct"/>
            <w:vAlign w:val="center"/>
            <w:hideMark/>
          </w:tcPr>
          <w:p w14:paraId="5B1663C9"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32</w:t>
            </w:r>
          </w:p>
        </w:tc>
        <w:tc>
          <w:tcPr>
            <w:tcW w:w="654" w:type="pct"/>
            <w:vAlign w:val="center"/>
            <w:hideMark/>
          </w:tcPr>
          <w:p w14:paraId="04FEFB8D"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30</w:t>
            </w:r>
          </w:p>
        </w:tc>
        <w:tc>
          <w:tcPr>
            <w:tcW w:w="714" w:type="pct"/>
            <w:vAlign w:val="center"/>
            <w:hideMark/>
          </w:tcPr>
          <w:p w14:paraId="4505086B"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29</w:t>
            </w:r>
          </w:p>
        </w:tc>
        <w:tc>
          <w:tcPr>
            <w:tcW w:w="714" w:type="pct"/>
            <w:vAlign w:val="center"/>
            <w:hideMark/>
          </w:tcPr>
          <w:p w14:paraId="6D20D38D"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30</w:t>
            </w:r>
          </w:p>
        </w:tc>
      </w:tr>
      <w:tr w:rsidR="00287FA3" w:rsidRPr="007F6332" w14:paraId="78CBBD07" w14:textId="77777777" w:rsidTr="00D02FA6">
        <w:trPr>
          <w:trHeight w:val="227"/>
        </w:trPr>
        <w:tc>
          <w:tcPr>
            <w:tcW w:w="1545" w:type="pct"/>
            <w:shd w:val="clear" w:color="auto" w:fill="C0C0C0"/>
            <w:vAlign w:val="center"/>
            <w:hideMark/>
          </w:tcPr>
          <w:p w14:paraId="5A7AE2DF"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Psychosocial disability</w:t>
            </w:r>
          </w:p>
        </w:tc>
        <w:tc>
          <w:tcPr>
            <w:tcW w:w="686" w:type="pct"/>
            <w:shd w:val="clear" w:color="auto" w:fill="C0C0C0"/>
            <w:vAlign w:val="center"/>
            <w:hideMark/>
          </w:tcPr>
          <w:p w14:paraId="375E5915"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6,713</w:t>
            </w:r>
          </w:p>
        </w:tc>
        <w:tc>
          <w:tcPr>
            <w:tcW w:w="686" w:type="pct"/>
            <w:shd w:val="clear" w:color="auto" w:fill="C0C0C0"/>
            <w:vAlign w:val="center"/>
            <w:hideMark/>
          </w:tcPr>
          <w:p w14:paraId="398C4CD3"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7,488</w:t>
            </w:r>
          </w:p>
        </w:tc>
        <w:tc>
          <w:tcPr>
            <w:tcW w:w="654" w:type="pct"/>
            <w:shd w:val="clear" w:color="auto" w:fill="C0C0C0"/>
            <w:vAlign w:val="center"/>
            <w:hideMark/>
          </w:tcPr>
          <w:p w14:paraId="566C1E75"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8,055</w:t>
            </w:r>
          </w:p>
        </w:tc>
        <w:tc>
          <w:tcPr>
            <w:tcW w:w="714" w:type="pct"/>
            <w:shd w:val="clear" w:color="auto" w:fill="C0C0C0"/>
            <w:vAlign w:val="center"/>
            <w:hideMark/>
          </w:tcPr>
          <w:p w14:paraId="0CD94640"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8,696</w:t>
            </w:r>
          </w:p>
        </w:tc>
        <w:tc>
          <w:tcPr>
            <w:tcW w:w="714" w:type="pct"/>
            <w:shd w:val="clear" w:color="auto" w:fill="C0C0C0"/>
            <w:vAlign w:val="center"/>
            <w:hideMark/>
          </w:tcPr>
          <w:p w14:paraId="0668AD44"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13,615</w:t>
            </w:r>
          </w:p>
        </w:tc>
      </w:tr>
      <w:tr w:rsidR="00287FA3" w:rsidRPr="007F6332" w14:paraId="6F2EF439" w14:textId="77777777" w:rsidTr="00D02FA6">
        <w:trPr>
          <w:trHeight w:val="227"/>
        </w:trPr>
        <w:tc>
          <w:tcPr>
            <w:tcW w:w="1545" w:type="pct"/>
            <w:vAlign w:val="center"/>
            <w:hideMark/>
          </w:tcPr>
          <w:p w14:paraId="3B1F9FA4"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Spinal Cord Injury</w:t>
            </w:r>
          </w:p>
        </w:tc>
        <w:tc>
          <w:tcPr>
            <w:tcW w:w="686" w:type="pct"/>
            <w:vAlign w:val="center"/>
            <w:hideMark/>
          </w:tcPr>
          <w:p w14:paraId="473C3836"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1,193</w:t>
            </w:r>
          </w:p>
        </w:tc>
        <w:tc>
          <w:tcPr>
            <w:tcW w:w="686" w:type="pct"/>
            <w:vAlign w:val="center"/>
            <w:hideMark/>
          </w:tcPr>
          <w:p w14:paraId="6C453D17"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1,317</w:t>
            </w:r>
          </w:p>
        </w:tc>
        <w:tc>
          <w:tcPr>
            <w:tcW w:w="654" w:type="pct"/>
            <w:vAlign w:val="center"/>
            <w:hideMark/>
          </w:tcPr>
          <w:p w14:paraId="37459484"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1,429</w:t>
            </w:r>
          </w:p>
        </w:tc>
        <w:tc>
          <w:tcPr>
            <w:tcW w:w="714" w:type="pct"/>
            <w:vAlign w:val="center"/>
            <w:hideMark/>
          </w:tcPr>
          <w:p w14:paraId="035F5ADB"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1,533</w:t>
            </w:r>
          </w:p>
        </w:tc>
        <w:tc>
          <w:tcPr>
            <w:tcW w:w="714" w:type="pct"/>
            <w:vAlign w:val="center"/>
            <w:hideMark/>
          </w:tcPr>
          <w:p w14:paraId="7C2D414C"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2,346</w:t>
            </w:r>
          </w:p>
        </w:tc>
      </w:tr>
      <w:tr w:rsidR="00287FA3" w:rsidRPr="007F6332" w14:paraId="39DDCDD1" w14:textId="77777777" w:rsidTr="00D02FA6">
        <w:trPr>
          <w:trHeight w:val="227"/>
        </w:trPr>
        <w:tc>
          <w:tcPr>
            <w:tcW w:w="1545" w:type="pct"/>
            <w:shd w:val="clear" w:color="auto" w:fill="C0C0C0"/>
            <w:vAlign w:val="center"/>
            <w:hideMark/>
          </w:tcPr>
          <w:p w14:paraId="775C1308"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Stroke</w:t>
            </w:r>
          </w:p>
        </w:tc>
        <w:tc>
          <w:tcPr>
            <w:tcW w:w="686" w:type="pct"/>
            <w:shd w:val="clear" w:color="auto" w:fill="C0C0C0"/>
            <w:vAlign w:val="center"/>
            <w:hideMark/>
          </w:tcPr>
          <w:p w14:paraId="22532281"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1,642</w:t>
            </w:r>
          </w:p>
        </w:tc>
        <w:tc>
          <w:tcPr>
            <w:tcW w:w="686" w:type="pct"/>
            <w:shd w:val="clear" w:color="auto" w:fill="C0C0C0"/>
            <w:vAlign w:val="center"/>
            <w:hideMark/>
          </w:tcPr>
          <w:p w14:paraId="6A5F676F"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1,874</w:t>
            </w:r>
          </w:p>
        </w:tc>
        <w:tc>
          <w:tcPr>
            <w:tcW w:w="654" w:type="pct"/>
            <w:shd w:val="clear" w:color="auto" w:fill="C0C0C0"/>
            <w:vAlign w:val="center"/>
            <w:hideMark/>
          </w:tcPr>
          <w:p w14:paraId="690FEC7B"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2,072</w:t>
            </w:r>
          </w:p>
        </w:tc>
        <w:tc>
          <w:tcPr>
            <w:tcW w:w="714" w:type="pct"/>
            <w:shd w:val="clear" w:color="auto" w:fill="C0C0C0"/>
            <w:vAlign w:val="center"/>
            <w:hideMark/>
          </w:tcPr>
          <w:p w14:paraId="22F01EC0"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2,251</w:t>
            </w:r>
          </w:p>
        </w:tc>
        <w:tc>
          <w:tcPr>
            <w:tcW w:w="714" w:type="pct"/>
            <w:shd w:val="clear" w:color="auto" w:fill="C0C0C0"/>
            <w:vAlign w:val="center"/>
            <w:hideMark/>
          </w:tcPr>
          <w:p w14:paraId="70D86D16"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3,506</w:t>
            </w:r>
          </w:p>
        </w:tc>
      </w:tr>
      <w:tr w:rsidR="00287FA3" w:rsidRPr="007F6332" w14:paraId="2DD868A8" w14:textId="77777777" w:rsidTr="00D02FA6">
        <w:trPr>
          <w:trHeight w:val="227"/>
        </w:trPr>
        <w:tc>
          <w:tcPr>
            <w:tcW w:w="1545" w:type="pct"/>
            <w:vAlign w:val="center"/>
            <w:hideMark/>
          </w:tcPr>
          <w:p w14:paraId="0D2DA944" w14:textId="77777777" w:rsidR="00287FA3" w:rsidRPr="007F6332" w:rsidRDefault="00287FA3" w:rsidP="00D02FA6">
            <w:pPr>
              <w:spacing w:after="0" w:line="240" w:lineRule="auto"/>
              <w:rPr>
                <w:rFonts w:eastAsia="Times New Roman" w:cs="Arial"/>
                <w:color w:val="000000"/>
                <w:lang w:eastAsia="en-AU"/>
              </w:rPr>
            </w:pPr>
            <w:r w:rsidRPr="007F6332">
              <w:rPr>
                <w:rFonts w:eastAsia="Times New Roman" w:cs="Arial"/>
                <w:color w:val="000000"/>
                <w:lang w:eastAsia="en-AU"/>
              </w:rPr>
              <w:t>Visual Impairment</w:t>
            </w:r>
          </w:p>
        </w:tc>
        <w:tc>
          <w:tcPr>
            <w:tcW w:w="686" w:type="pct"/>
            <w:vAlign w:val="center"/>
            <w:hideMark/>
          </w:tcPr>
          <w:p w14:paraId="2BC33D1E"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580</w:t>
            </w:r>
          </w:p>
        </w:tc>
        <w:tc>
          <w:tcPr>
            <w:tcW w:w="686" w:type="pct"/>
            <w:vAlign w:val="center"/>
            <w:hideMark/>
          </w:tcPr>
          <w:p w14:paraId="7C0C7033"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630</w:t>
            </w:r>
          </w:p>
        </w:tc>
        <w:tc>
          <w:tcPr>
            <w:tcW w:w="654" w:type="pct"/>
            <w:vAlign w:val="center"/>
            <w:hideMark/>
          </w:tcPr>
          <w:p w14:paraId="04395F99"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675</w:t>
            </w:r>
          </w:p>
        </w:tc>
        <w:tc>
          <w:tcPr>
            <w:tcW w:w="714" w:type="pct"/>
            <w:vAlign w:val="center"/>
            <w:hideMark/>
          </w:tcPr>
          <w:p w14:paraId="281528DB"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718</w:t>
            </w:r>
          </w:p>
        </w:tc>
        <w:tc>
          <w:tcPr>
            <w:tcW w:w="714" w:type="pct"/>
            <w:vAlign w:val="center"/>
            <w:hideMark/>
          </w:tcPr>
          <w:p w14:paraId="4ECD1CD8" w14:textId="77777777" w:rsidR="00287FA3" w:rsidRPr="007F6332" w:rsidRDefault="00287FA3" w:rsidP="00D02FA6">
            <w:pPr>
              <w:spacing w:after="0" w:line="240" w:lineRule="auto"/>
              <w:jc w:val="right"/>
              <w:rPr>
                <w:rFonts w:eastAsia="Times New Roman" w:cs="Arial"/>
                <w:color w:val="000000"/>
                <w:lang w:eastAsia="en-AU"/>
              </w:rPr>
            </w:pPr>
            <w:r w:rsidRPr="007F6332">
              <w:rPr>
                <w:rFonts w:eastAsia="Times New Roman" w:cs="Arial"/>
                <w:color w:val="000000"/>
                <w:lang w:eastAsia="en-AU"/>
              </w:rPr>
              <w:t>1,051</w:t>
            </w:r>
          </w:p>
        </w:tc>
      </w:tr>
      <w:tr w:rsidR="00287FA3" w:rsidRPr="007F6332" w14:paraId="3A4A96D5" w14:textId="77777777" w:rsidTr="00C1755E">
        <w:trPr>
          <w:trHeight w:val="227"/>
        </w:trPr>
        <w:tc>
          <w:tcPr>
            <w:tcW w:w="1545" w:type="pct"/>
            <w:tcBorders>
              <w:top w:val="nil"/>
              <w:left w:val="nil"/>
              <w:bottom w:val="single" w:sz="8" w:space="0" w:color="auto"/>
              <w:right w:val="nil"/>
            </w:tcBorders>
            <w:shd w:val="clear" w:color="auto" w:fill="B799B4"/>
            <w:vAlign w:val="center"/>
            <w:hideMark/>
          </w:tcPr>
          <w:p w14:paraId="6233B4DE" w14:textId="77777777" w:rsidR="00287FA3" w:rsidRPr="007F6332" w:rsidRDefault="00287FA3" w:rsidP="00D02FA6">
            <w:pPr>
              <w:spacing w:after="0" w:line="240" w:lineRule="auto"/>
              <w:rPr>
                <w:rFonts w:eastAsia="Times New Roman" w:cs="Arial"/>
                <w:b/>
                <w:bCs/>
                <w:color w:val="000000"/>
                <w:lang w:eastAsia="en-AU"/>
              </w:rPr>
            </w:pPr>
            <w:r w:rsidRPr="007F6332">
              <w:rPr>
                <w:rFonts w:eastAsia="Times New Roman" w:cs="Arial"/>
                <w:b/>
                <w:bCs/>
                <w:color w:val="000000"/>
                <w:lang w:eastAsia="en-AU"/>
              </w:rPr>
              <w:t>Total </w:t>
            </w:r>
          </w:p>
        </w:tc>
        <w:tc>
          <w:tcPr>
            <w:tcW w:w="686" w:type="pct"/>
            <w:tcBorders>
              <w:top w:val="nil"/>
              <w:left w:val="nil"/>
              <w:bottom w:val="single" w:sz="8" w:space="0" w:color="auto"/>
              <w:right w:val="nil"/>
            </w:tcBorders>
            <w:shd w:val="clear" w:color="auto" w:fill="B799B4"/>
            <w:vAlign w:val="center"/>
            <w:hideMark/>
          </w:tcPr>
          <w:p w14:paraId="74AE9F8F" w14:textId="77777777" w:rsidR="00287FA3" w:rsidRPr="007F6332" w:rsidRDefault="00287FA3" w:rsidP="00D02FA6">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53,183</w:t>
            </w:r>
          </w:p>
        </w:tc>
        <w:tc>
          <w:tcPr>
            <w:tcW w:w="686" w:type="pct"/>
            <w:tcBorders>
              <w:top w:val="nil"/>
              <w:left w:val="nil"/>
              <w:bottom w:val="single" w:sz="8" w:space="0" w:color="auto"/>
              <w:right w:val="nil"/>
            </w:tcBorders>
            <w:shd w:val="clear" w:color="auto" w:fill="B799B4"/>
            <w:vAlign w:val="center"/>
            <w:hideMark/>
          </w:tcPr>
          <w:p w14:paraId="6A2C14E7" w14:textId="77777777" w:rsidR="00287FA3" w:rsidRPr="007F6332" w:rsidRDefault="00287FA3" w:rsidP="00D02FA6">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59,253</w:t>
            </w:r>
          </w:p>
        </w:tc>
        <w:tc>
          <w:tcPr>
            <w:tcW w:w="654" w:type="pct"/>
            <w:tcBorders>
              <w:top w:val="nil"/>
              <w:left w:val="nil"/>
              <w:bottom w:val="single" w:sz="8" w:space="0" w:color="auto"/>
              <w:right w:val="nil"/>
            </w:tcBorders>
            <w:shd w:val="clear" w:color="auto" w:fill="B799B4"/>
            <w:vAlign w:val="center"/>
            <w:hideMark/>
          </w:tcPr>
          <w:p w14:paraId="382AC7BF" w14:textId="77777777" w:rsidR="00287FA3" w:rsidRPr="007F6332" w:rsidRDefault="00287FA3" w:rsidP="00D02FA6">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64,623</w:t>
            </w:r>
          </w:p>
        </w:tc>
        <w:tc>
          <w:tcPr>
            <w:tcW w:w="714" w:type="pct"/>
            <w:tcBorders>
              <w:top w:val="nil"/>
              <w:left w:val="nil"/>
              <w:bottom w:val="single" w:sz="8" w:space="0" w:color="auto"/>
              <w:right w:val="nil"/>
            </w:tcBorders>
            <w:shd w:val="clear" w:color="auto" w:fill="B799B4"/>
            <w:vAlign w:val="center"/>
            <w:hideMark/>
          </w:tcPr>
          <w:p w14:paraId="5C3DBE74" w14:textId="77777777" w:rsidR="00287FA3" w:rsidRPr="007F6332" w:rsidRDefault="00287FA3" w:rsidP="00D02FA6">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70,067</w:t>
            </w:r>
          </w:p>
        </w:tc>
        <w:tc>
          <w:tcPr>
            <w:tcW w:w="714" w:type="pct"/>
            <w:tcBorders>
              <w:top w:val="nil"/>
              <w:left w:val="nil"/>
              <w:bottom w:val="single" w:sz="8" w:space="0" w:color="auto"/>
              <w:right w:val="nil"/>
            </w:tcBorders>
            <w:shd w:val="clear" w:color="auto" w:fill="B799B4"/>
            <w:vAlign w:val="center"/>
            <w:hideMark/>
          </w:tcPr>
          <w:p w14:paraId="47C060B3" w14:textId="77777777" w:rsidR="00287FA3" w:rsidRPr="007F6332" w:rsidRDefault="00287FA3" w:rsidP="00D02FA6">
            <w:pPr>
              <w:spacing w:after="0" w:line="240" w:lineRule="auto"/>
              <w:jc w:val="right"/>
              <w:rPr>
                <w:rFonts w:eastAsia="Times New Roman" w:cs="Arial"/>
                <w:b/>
                <w:bCs/>
                <w:color w:val="000000"/>
                <w:lang w:eastAsia="en-AU"/>
              </w:rPr>
            </w:pPr>
            <w:r w:rsidRPr="007F6332">
              <w:rPr>
                <w:rFonts w:eastAsia="Times New Roman" w:cs="Arial"/>
                <w:b/>
                <w:bCs/>
                <w:color w:val="000000"/>
                <w:lang w:eastAsia="en-AU"/>
              </w:rPr>
              <w:t>116,587</w:t>
            </w:r>
          </w:p>
        </w:tc>
      </w:tr>
    </w:tbl>
    <w:p w14:paraId="5A89411E" w14:textId="212CD07B" w:rsidR="00287FA3" w:rsidRPr="007F6332" w:rsidRDefault="00287FA3" w:rsidP="00287FA3">
      <w:pPr>
        <w:pStyle w:val="ParagraphSection"/>
        <w:numPr>
          <w:ilvl w:val="0"/>
          <w:numId w:val="0"/>
        </w:numPr>
        <w:tabs>
          <w:tab w:val="left" w:pos="720"/>
        </w:tabs>
        <w:rPr>
          <w:rFonts w:cs="Arial"/>
          <w:szCs w:val="22"/>
        </w:rPr>
      </w:pPr>
      <w:r w:rsidRPr="007F6332">
        <w:rPr>
          <w:rFonts w:cs="Arial"/>
          <w:szCs w:val="22"/>
        </w:rPr>
        <w:t xml:space="preserve">Table </w:t>
      </w:r>
      <w:r w:rsidR="000E5BDD" w:rsidRPr="007F6332">
        <w:rPr>
          <w:rFonts w:cs="Arial"/>
          <w:szCs w:val="22"/>
        </w:rPr>
        <w:t>K</w:t>
      </w:r>
      <w:r w:rsidRPr="007F6332">
        <w:rPr>
          <w:rFonts w:cs="Arial"/>
          <w:szCs w:val="22"/>
        </w:rPr>
        <w:t>.2 shows the projected plan budgets split by support categories. The distribution of plan budgets remains quite stable over the projection period for most support categories. There is a small increase projected in the Social Community Civic support category and a reduction in the Capacity Building Daily Activities support category.</w:t>
      </w:r>
    </w:p>
    <w:p w14:paraId="5E9410A3" w14:textId="67FC6BBE" w:rsidR="00287FA3" w:rsidRPr="007F6332" w:rsidRDefault="00287FA3" w:rsidP="00EF6B24">
      <w:pPr>
        <w:pStyle w:val="FiguresandTablesHeading4"/>
      </w:pPr>
      <w:r w:rsidRPr="007F6332">
        <w:t xml:space="preserve">Table </w:t>
      </w:r>
      <w:r w:rsidR="000E5BDD" w:rsidRPr="007F6332">
        <w:t>K</w:t>
      </w:r>
      <w:r w:rsidRPr="007F6332">
        <w:t>.2: Projected total plan budgets ($m) by support category (2023-24 dollars)</w:t>
      </w:r>
    </w:p>
    <w:tbl>
      <w:tblPr>
        <w:tblW w:w="5000" w:type="pct"/>
        <w:tblLook w:val="04A0" w:firstRow="1" w:lastRow="0" w:firstColumn="1" w:lastColumn="0" w:noHBand="0" w:noVBand="1"/>
      </w:tblPr>
      <w:tblGrid>
        <w:gridCol w:w="3252"/>
        <w:gridCol w:w="1160"/>
        <w:gridCol w:w="1160"/>
        <w:gridCol w:w="1160"/>
        <w:gridCol w:w="1160"/>
        <w:gridCol w:w="1158"/>
      </w:tblGrid>
      <w:tr w:rsidR="00287FA3" w:rsidRPr="007F6332" w14:paraId="69D524BC" w14:textId="77777777" w:rsidTr="00D02FA6">
        <w:trPr>
          <w:trHeight w:val="227"/>
        </w:trPr>
        <w:tc>
          <w:tcPr>
            <w:tcW w:w="1796" w:type="pct"/>
            <w:tcBorders>
              <w:top w:val="single" w:sz="8" w:space="0" w:color="auto"/>
              <w:left w:val="nil"/>
              <w:bottom w:val="nil"/>
              <w:right w:val="nil"/>
            </w:tcBorders>
            <w:shd w:val="clear" w:color="auto" w:fill="6B2976"/>
            <w:vAlign w:val="center"/>
            <w:hideMark/>
          </w:tcPr>
          <w:p w14:paraId="714F16E7" w14:textId="77777777" w:rsidR="00287FA3" w:rsidRPr="007F6332" w:rsidRDefault="00287FA3" w:rsidP="00D02FA6">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Support Category ($m)</w:t>
            </w:r>
          </w:p>
        </w:tc>
        <w:tc>
          <w:tcPr>
            <w:tcW w:w="641" w:type="pct"/>
            <w:tcBorders>
              <w:top w:val="single" w:sz="8" w:space="0" w:color="auto"/>
              <w:left w:val="nil"/>
              <w:bottom w:val="nil"/>
              <w:right w:val="nil"/>
            </w:tcBorders>
            <w:shd w:val="clear" w:color="auto" w:fill="6B2976"/>
            <w:vAlign w:val="center"/>
            <w:hideMark/>
          </w:tcPr>
          <w:p w14:paraId="022E8605"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2023-24</w:t>
            </w:r>
          </w:p>
        </w:tc>
        <w:tc>
          <w:tcPr>
            <w:tcW w:w="641" w:type="pct"/>
            <w:tcBorders>
              <w:top w:val="single" w:sz="8" w:space="0" w:color="auto"/>
              <w:left w:val="nil"/>
              <w:bottom w:val="nil"/>
              <w:right w:val="nil"/>
            </w:tcBorders>
            <w:shd w:val="clear" w:color="auto" w:fill="6B2976"/>
            <w:vAlign w:val="center"/>
            <w:hideMark/>
          </w:tcPr>
          <w:p w14:paraId="4DD82916"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641" w:type="pct"/>
            <w:tcBorders>
              <w:top w:val="single" w:sz="8" w:space="0" w:color="auto"/>
              <w:left w:val="nil"/>
              <w:bottom w:val="nil"/>
              <w:right w:val="nil"/>
            </w:tcBorders>
            <w:shd w:val="clear" w:color="auto" w:fill="6B2976"/>
            <w:vAlign w:val="center"/>
            <w:hideMark/>
          </w:tcPr>
          <w:p w14:paraId="78ACFE78"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2025-26</w:t>
            </w:r>
          </w:p>
        </w:tc>
        <w:tc>
          <w:tcPr>
            <w:tcW w:w="641" w:type="pct"/>
            <w:tcBorders>
              <w:top w:val="single" w:sz="8" w:space="0" w:color="auto"/>
              <w:left w:val="nil"/>
              <w:bottom w:val="nil"/>
              <w:right w:val="nil"/>
            </w:tcBorders>
            <w:shd w:val="clear" w:color="auto" w:fill="6B2976"/>
            <w:vAlign w:val="center"/>
            <w:hideMark/>
          </w:tcPr>
          <w:p w14:paraId="1FAB2B65"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2026-27</w:t>
            </w:r>
          </w:p>
        </w:tc>
        <w:tc>
          <w:tcPr>
            <w:tcW w:w="641" w:type="pct"/>
            <w:tcBorders>
              <w:top w:val="single" w:sz="8" w:space="0" w:color="auto"/>
              <w:left w:val="nil"/>
              <w:bottom w:val="nil"/>
              <w:right w:val="nil"/>
            </w:tcBorders>
            <w:shd w:val="clear" w:color="auto" w:fill="6B2976"/>
            <w:vAlign w:val="center"/>
            <w:hideMark/>
          </w:tcPr>
          <w:p w14:paraId="04AC8774"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2032-33</w:t>
            </w:r>
          </w:p>
        </w:tc>
      </w:tr>
      <w:tr w:rsidR="00287FA3" w:rsidRPr="007F6332" w14:paraId="0ADAC324" w14:textId="77777777" w:rsidTr="00D02FA6">
        <w:trPr>
          <w:trHeight w:val="227"/>
        </w:trPr>
        <w:tc>
          <w:tcPr>
            <w:tcW w:w="1796" w:type="pct"/>
            <w:vAlign w:val="center"/>
            <w:hideMark/>
          </w:tcPr>
          <w:p w14:paraId="30EF37F5"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Consumables</w:t>
            </w:r>
          </w:p>
        </w:tc>
        <w:tc>
          <w:tcPr>
            <w:tcW w:w="641" w:type="pct"/>
            <w:vAlign w:val="center"/>
            <w:hideMark/>
          </w:tcPr>
          <w:p w14:paraId="64428EEA"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1,213</w:t>
            </w:r>
          </w:p>
        </w:tc>
        <w:tc>
          <w:tcPr>
            <w:tcW w:w="641" w:type="pct"/>
            <w:vAlign w:val="center"/>
            <w:hideMark/>
          </w:tcPr>
          <w:p w14:paraId="687189D6"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1,320</w:t>
            </w:r>
          </w:p>
        </w:tc>
        <w:tc>
          <w:tcPr>
            <w:tcW w:w="641" w:type="pct"/>
            <w:vAlign w:val="center"/>
            <w:hideMark/>
          </w:tcPr>
          <w:p w14:paraId="66C1C6F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1,407</w:t>
            </w:r>
          </w:p>
        </w:tc>
        <w:tc>
          <w:tcPr>
            <w:tcW w:w="641" w:type="pct"/>
            <w:vAlign w:val="center"/>
            <w:hideMark/>
          </w:tcPr>
          <w:p w14:paraId="32FB8F2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1,487</w:t>
            </w:r>
          </w:p>
        </w:tc>
        <w:tc>
          <w:tcPr>
            <w:tcW w:w="641" w:type="pct"/>
            <w:vAlign w:val="center"/>
            <w:hideMark/>
          </w:tcPr>
          <w:p w14:paraId="77AEE02B"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2,128</w:t>
            </w:r>
          </w:p>
        </w:tc>
      </w:tr>
      <w:tr w:rsidR="00287FA3" w:rsidRPr="007F6332" w14:paraId="7C37DBF0" w14:textId="77777777" w:rsidTr="00D02FA6">
        <w:trPr>
          <w:trHeight w:val="227"/>
        </w:trPr>
        <w:tc>
          <w:tcPr>
            <w:tcW w:w="1796" w:type="pct"/>
            <w:shd w:val="clear" w:color="auto" w:fill="C0C0C0"/>
            <w:vAlign w:val="center"/>
            <w:hideMark/>
          </w:tcPr>
          <w:p w14:paraId="057CF6C0"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Daily Activities</w:t>
            </w:r>
          </w:p>
        </w:tc>
        <w:tc>
          <w:tcPr>
            <w:tcW w:w="641" w:type="pct"/>
            <w:shd w:val="clear" w:color="auto" w:fill="C0C0C0"/>
            <w:vAlign w:val="center"/>
            <w:hideMark/>
          </w:tcPr>
          <w:p w14:paraId="2612DFD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26,400</w:t>
            </w:r>
          </w:p>
        </w:tc>
        <w:tc>
          <w:tcPr>
            <w:tcW w:w="641" w:type="pct"/>
            <w:shd w:val="clear" w:color="auto" w:fill="C0C0C0"/>
            <w:vAlign w:val="center"/>
            <w:hideMark/>
          </w:tcPr>
          <w:p w14:paraId="3D222EDF"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29,721</w:t>
            </w:r>
          </w:p>
        </w:tc>
        <w:tc>
          <w:tcPr>
            <w:tcW w:w="641" w:type="pct"/>
            <w:shd w:val="clear" w:color="auto" w:fill="C0C0C0"/>
            <w:vAlign w:val="center"/>
            <w:hideMark/>
          </w:tcPr>
          <w:p w14:paraId="636CECD6"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32,926</w:t>
            </w:r>
          </w:p>
        </w:tc>
        <w:tc>
          <w:tcPr>
            <w:tcW w:w="641" w:type="pct"/>
            <w:shd w:val="clear" w:color="auto" w:fill="C0C0C0"/>
            <w:vAlign w:val="center"/>
            <w:hideMark/>
          </w:tcPr>
          <w:p w14:paraId="64C6C70D"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35,707</w:t>
            </w:r>
          </w:p>
        </w:tc>
        <w:tc>
          <w:tcPr>
            <w:tcW w:w="641" w:type="pct"/>
            <w:shd w:val="clear" w:color="auto" w:fill="C0C0C0"/>
            <w:vAlign w:val="center"/>
            <w:hideMark/>
          </w:tcPr>
          <w:p w14:paraId="38CF1A7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59,205</w:t>
            </w:r>
          </w:p>
        </w:tc>
      </w:tr>
      <w:tr w:rsidR="00287FA3" w:rsidRPr="007F6332" w14:paraId="3B61181A" w14:textId="77777777" w:rsidTr="00D02FA6">
        <w:trPr>
          <w:trHeight w:val="227"/>
        </w:trPr>
        <w:tc>
          <w:tcPr>
            <w:tcW w:w="1796" w:type="pct"/>
            <w:vAlign w:val="center"/>
            <w:hideMark/>
          </w:tcPr>
          <w:p w14:paraId="05FD7EAD"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Social Community Civic</w:t>
            </w:r>
          </w:p>
        </w:tc>
        <w:tc>
          <w:tcPr>
            <w:tcW w:w="641" w:type="pct"/>
            <w:vAlign w:val="center"/>
            <w:hideMark/>
          </w:tcPr>
          <w:p w14:paraId="68F1695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11,459</w:t>
            </w:r>
          </w:p>
        </w:tc>
        <w:tc>
          <w:tcPr>
            <w:tcW w:w="641" w:type="pct"/>
            <w:vAlign w:val="center"/>
            <w:hideMark/>
          </w:tcPr>
          <w:p w14:paraId="10624AA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12,928</w:t>
            </w:r>
          </w:p>
        </w:tc>
        <w:tc>
          <w:tcPr>
            <w:tcW w:w="641" w:type="pct"/>
            <w:vAlign w:val="center"/>
            <w:hideMark/>
          </w:tcPr>
          <w:p w14:paraId="25D6B6A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14,485</w:t>
            </w:r>
          </w:p>
        </w:tc>
        <w:tc>
          <w:tcPr>
            <w:tcW w:w="641" w:type="pct"/>
            <w:vAlign w:val="center"/>
            <w:hideMark/>
          </w:tcPr>
          <w:p w14:paraId="392A9B55"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15,936</w:t>
            </w:r>
          </w:p>
        </w:tc>
        <w:tc>
          <w:tcPr>
            <w:tcW w:w="641" w:type="pct"/>
            <w:vAlign w:val="center"/>
            <w:hideMark/>
          </w:tcPr>
          <w:p w14:paraId="3295E43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29,179</w:t>
            </w:r>
          </w:p>
        </w:tc>
      </w:tr>
      <w:tr w:rsidR="00287FA3" w:rsidRPr="007F6332" w14:paraId="75DC690E" w14:textId="77777777" w:rsidTr="00D02FA6">
        <w:trPr>
          <w:trHeight w:val="227"/>
        </w:trPr>
        <w:tc>
          <w:tcPr>
            <w:tcW w:w="1796" w:type="pct"/>
            <w:shd w:val="clear" w:color="auto" w:fill="C0C0C0"/>
            <w:vAlign w:val="center"/>
            <w:hideMark/>
          </w:tcPr>
          <w:p w14:paraId="16E67C88"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Transport</w:t>
            </w:r>
          </w:p>
        </w:tc>
        <w:tc>
          <w:tcPr>
            <w:tcW w:w="641" w:type="pct"/>
            <w:shd w:val="clear" w:color="auto" w:fill="C0C0C0"/>
            <w:vAlign w:val="center"/>
            <w:hideMark/>
          </w:tcPr>
          <w:p w14:paraId="23443424"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955</w:t>
            </w:r>
          </w:p>
        </w:tc>
        <w:tc>
          <w:tcPr>
            <w:tcW w:w="641" w:type="pct"/>
            <w:shd w:val="clear" w:color="auto" w:fill="C0C0C0"/>
            <w:vAlign w:val="center"/>
            <w:hideMark/>
          </w:tcPr>
          <w:p w14:paraId="0A910E8A"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1,065</w:t>
            </w:r>
          </w:p>
        </w:tc>
        <w:tc>
          <w:tcPr>
            <w:tcW w:w="641" w:type="pct"/>
            <w:shd w:val="clear" w:color="auto" w:fill="C0C0C0"/>
            <w:vAlign w:val="center"/>
            <w:hideMark/>
          </w:tcPr>
          <w:p w14:paraId="79E78637"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1,167</w:t>
            </w:r>
          </w:p>
        </w:tc>
        <w:tc>
          <w:tcPr>
            <w:tcW w:w="641" w:type="pct"/>
            <w:shd w:val="clear" w:color="auto" w:fill="C0C0C0"/>
            <w:vAlign w:val="center"/>
            <w:hideMark/>
          </w:tcPr>
          <w:p w14:paraId="4214F42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1,268</w:t>
            </w:r>
          </w:p>
        </w:tc>
        <w:tc>
          <w:tcPr>
            <w:tcW w:w="641" w:type="pct"/>
            <w:shd w:val="clear" w:color="auto" w:fill="C0C0C0"/>
            <w:vAlign w:val="center"/>
            <w:hideMark/>
          </w:tcPr>
          <w:p w14:paraId="38E64B1D"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2,045</w:t>
            </w:r>
          </w:p>
        </w:tc>
      </w:tr>
      <w:tr w:rsidR="00287FA3" w:rsidRPr="007F6332" w14:paraId="589C62CC" w14:textId="77777777" w:rsidTr="00D02FA6">
        <w:trPr>
          <w:trHeight w:val="227"/>
        </w:trPr>
        <w:tc>
          <w:tcPr>
            <w:tcW w:w="1796" w:type="pct"/>
            <w:vAlign w:val="center"/>
            <w:hideMark/>
          </w:tcPr>
          <w:p w14:paraId="23B72FE7"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Assistive Technology</w:t>
            </w:r>
          </w:p>
        </w:tc>
        <w:tc>
          <w:tcPr>
            <w:tcW w:w="641" w:type="pct"/>
            <w:vAlign w:val="center"/>
            <w:hideMark/>
          </w:tcPr>
          <w:p w14:paraId="45B58776"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957</w:t>
            </w:r>
          </w:p>
        </w:tc>
        <w:tc>
          <w:tcPr>
            <w:tcW w:w="641" w:type="pct"/>
            <w:vAlign w:val="center"/>
            <w:hideMark/>
          </w:tcPr>
          <w:p w14:paraId="601A8BD6"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1,026</w:t>
            </w:r>
          </w:p>
        </w:tc>
        <w:tc>
          <w:tcPr>
            <w:tcW w:w="641" w:type="pct"/>
            <w:vAlign w:val="center"/>
            <w:hideMark/>
          </w:tcPr>
          <w:p w14:paraId="7573860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1,081</w:t>
            </w:r>
          </w:p>
        </w:tc>
        <w:tc>
          <w:tcPr>
            <w:tcW w:w="641" w:type="pct"/>
            <w:vAlign w:val="center"/>
            <w:hideMark/>
          </w:tcPr>
          <w:p w14:paraId="6BE8B877"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1,131</w:t>
            </w:r>
          </w:p>
        </w:tc>
        <w:tc>
          <w:tcPr>
            <w:tcW w:w="641" w:type="pct"/>
            <w:vAlign w:val="center"/>
            <w:hideMark/>
          </w:tcPr>
          <w:p w14:paraId="59F9A0D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1,507</w:t>
            </w:r>
          </w:p>
        </w:tc>
      </w:tr>
      <w:tr w:rsidR="00287FA3" w:rsidRPr="007F6332" w14:paraId="2F53C87B" w14:textId="77777777" w:rsidTr="00D02FA6">
        <w:trPr>
          <w:trHeight w:val="227"/>
        </w:trPr>
        <w:tc>
          <w:tcPr>
            <w:tcW w:w="1796" w:type="pct"/>
            <w:shd w:val="clear" w:color="auto" w:fill="C0C0C0"/>
            <w:vAlign w:val="center"/>
            <w:hideMark/>
          </w:tcPr>
          <w:p w14:paraId="02870E45"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Home Modifications</w:t>
            </w:r>
          </w:p>
        </w:tc>
        <w:tc>
          <w:tcPr>
            <w:tcW w:w="641" w:type="pct"/>
            <w:shd w:val="clear" w:color="auto" w:fill="C0C0C0"/>
            <w:vAlign w:val="center"/>
            <w:hideMark/>
          </w:tcPr>
          <w:p w14:paraId="123B1E9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652</w:t>
            </w:r>
          </w:p>
        </w:tc>
        <w:tc>
          <w:tcPr>
            <w:tcW w:w="641" w:type="pct"/>
            <w:shd w:val="clear" w:color="auto" w:fill="C0C0C0"/>
            <w:vAlign w:val="center"/>
            <w:hideMark/>
          </w:tcPr>
          <w:p w14:paraId="0111898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720</w:t>
            </w:r>
          </w:p>
        </w:tc>
        <w:tc>
          <w:tcPr>
            <w:tcW w:w="641" w:type="pct"/>
            <w:shd w:val="clear" w:color="auto" w:fill="C0C0C0"/>
            <w:vAlign w:val="center"/>
            <w:hideMark/>
          </w:tcPr>
          <w:p w14:paraId="18D60ED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769</w:t>
            </w:r>
          </w:p>
        </w:tc>
        <w:tc>
          <w:tcPr>
            <w:tcW w:w="641" w:type="pct"/>
            <w:shd w:val="clear" w:color="auto" w:fill="C0C0C0"/>
            <w:vAlign w:val="center"/>
            <w:hideMark/>
          </w:tcPr>
          <w:p w14:paraId="6704C957"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804</w:t>
            </w:r>
          </w:p>
        </w:tc>
        <w:tc>
          <w:tcPr>
            <w:tcW w:w="641" w:type="pct"/>
            <w:shd w:val="clear" w:color="auto" w:fill="C0C0C0"/>
            <w:vAlign w:val="center"/>
            <w:hideMark/>
          </w:tcPr>
          <w:p w14:paraId="3DACF585"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1,130</w:t>
            </w:r>
          </w:p>
        </w:tc>
      </w:tr>
      <w:tr w:rsidR="00287FA3" w:rsidRPr="007F6332" w14:paraId="6F55F160" w14:textId="77777777" w:rsidTr="00D02FA6">
        <w:trPr>
          <w:trHeight w:val="227"/>
        </w:trPr>
        <w:tc>
          <w:tcPr>
            <w:tcW w:w="1796" w:type="pct"/>
            <w:vAlign w:val="center"/>
            <w:hideMark/>
          </w:tcPr>
          <w:p w14:paraId="3C3EF65E"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CB Choice Control</w:t>
            </w:r>
          </w:p>
        </w:tc>
        <w:tc>
          <w:tcPr>
            <w:tcW w:w="641" w:type="pct"/>
            <w:vAlign w:val="center"/>
            <w:hideMark/>
          </w:tcPr>
          <w:p w14:paraId="567E4C43"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561</w:t>
            </w:r>
          </w:p>
        </w:tc>
        <w:tc>
          <w:tcPr>
            <w:tcW w:w="641" w:type="pct"/>
            <w:vAlign w:val="center"/>
            <w:hideMark/>
          </w:tcPr>
          <w:p w14:paraId="4640978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580</w:t>
            </w:r>
          </w:p>
        </w:tc>
        <w:tc>
          <w:tcPr>
            <w:tcW w:w="641" w:type="pct"/>
            <w:vAlign w:val="center"/>
            <w:hideMark/>
          </w:tcPr>
          <w:p w14:paraId="37030E0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602</w:t>
            </w:r>
          </w:p>
        </w:tc>
        <w:tc>
          <w:tcPr>
            <w:tcW w:w="641" w:type="pct"/>
            <w:vAlign w:val="center"/>
            <w:hideMark/>
          </w:tcPr>
          <w:p w14:paraId="0B3E34E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653</w:t>
            </w:r>
          </w:p>
        </w:tc>
        <w:tc>
          <w:tcPr>
            <w:tcW w:w="641" w:type="pct"/>
            <w:vAlign w:val="center"/>
            <w:hideMark/>
          </w:tcPr>
          <w:p w14:paraId="6C7F6BC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1,057</w:t>
            </w:r>
          </w:p>
        </w:tc>
      </w:tr>
      <w:tr w:rsidR="00287FA3" w:rsidRPr="007F6332" w14:paraId="4DCE020C" w14:textId="77777777" w:rsidTr="00D02FA6">
        <w:trPr>
          <w:trHeight w:val="227"/>
        </w:trPr>
        <w:tc>
          <w:tcPr>
            <w:tcW w:w="1796" w:type="pct"/>
            <w:shd w:val="clear" w:color="auto" w:fill="C0C0C0"/>
            <w:vAlign w:val="center"/>
            <w:hideMark/>
          </w:tcPr>
          <w:p w14:paraId="4F19F279"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CB Daily Activities</w:t>
            </w:r>
          </w:p>
        </w:tc>
        <w:tc>
          <w:tcPr>
            <w:tcW w:w="641" w:type="pct"/>
            <w:shd w:val="clear" w:color="auto" w:fill="C0C0C0"/>
            <w:vAlign w:val="center"/>
            <w:hideMark/>
          </w:tcPr>
          <w:p w14:paraId="3177FCE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7,699</w:t>
            </w:r>
          </w:p>
        </w:tc>
        <w:tc>
          <w:tcPr>
            <w:tcW w:w="641" w:type="pct"/>
            <w:shd w:val="clear" w:color="auto" w:fill="C0C0C0"/>
            <w:vAlign w:val="center"/>
            <w:hideMark/>
          </w:tcPr>
          <w:p w14:paraId="632CECF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8,212</w:t>
            </w:r>
          </w:p>
        </w:tc>
        <w:tc>
          <w:tcPr>
            <w:tcW w:w="641" w:type="pct"/>
            <w:shd w:val="clear" w:color="auto" w:fill="C0C0C0"/>
            <w:vAlign w:val="center"/>
            <w:hideMark/>
          </w:tcPr>
          <w:p w14:paraId="4D8AFC5F"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8,794</w:t>
            </w:r>
          </w:p>
        </w:tc>
        <w:tc>
          <w:tcPr>
            <w:tcW w:w="641" w:type="pct"/>
            <w:shd w:val="clear" w:color="auto" w:fill="C0C0C0"/>
            <w:vAlign w:val="center"/>
            <w:hideMark/>
          </w:tcPr>
          <w:p w14:paraId="6800970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9,328</w:t>
            </w:r>
          </w:p>
        </w:tc>
        <w:tc>
          <w:tcPr>
            <w:tcW w:w="641" w:type="pct"/>
            <w:shd w:val="clear" w:color="auto" w:fill="C0C0C0"/>
            <w:vAlign w:val="center"/>
            <w:hideMark/>
          </w:tcPr>
          <w:p w14:paraId="79AF1BE4"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13,728</w:t>
            </w:r>
          </w:p>
        </w:tc>
      </w:tr>
      <w:tr w:rsidR="00287FA3" w:rsidRPr="007F6332" w14:paraId="578371A9" w14:textId="77777777" w:rsidTr="00D02FA6">
        <w:trPr>
          <w:trHeight w:val="227"/>
        </w:trPr>
        <w:tc>
          <w:tcPr>
            <w:tcW w:w="1796" w:type="pct"/>
            <w:vAlign w:val="center"/>
            <w:hideMark/>
          </w:tcPr>
          <w:p w14:paraId="733168E3"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CB Employment</w:t>
            </w:r>
          </w:p>
        </w:tc>
        <w:tc>
          <w:tcPr>
            <w:tcW w:w="641" w:type="pct"/>
            <w:vAlign w:val="center"/>
            <w:hideMark/>
          </w:tcPr>
          <w:p w14:paraId="4991C73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334</w:t>
            </w:r>
          </w:p>
        </w:tc>
        <w:tc>
          <w:tcPr>
            <w:tcW w:w="641" w:type="pct"/>
            <w:vAlign w:val="center"/>
            <w:hideMark/>
          </w:tcPr>
          <w:p w14:paraId="7893B76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397</w:t>
            </w:r>
          </w:p>
        </w:tc>
        <w:tc>
          <w:tcPr>
            <w:tcW w:w="641" w:type="pct"/>
            <w:vAlign w:val="center"/>
            <w:hideMark/>
          </w:tcPr>
          <w:p w14:paraId="55EF0BD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469</w:t>
            </w:r>
          </w:p>
        </w:tc>
        <w:tc>
          <w:tcPr>
            <w:tcW w:w="641" w:type="pct"/>
            <w:vAlign w:val="center"/>
            <w:hideMark/>
          </w:tcPr>
          <w:p w14:paraId="4EA6C81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552</w:t>
            </w:r>
          </w:p>
        </w:tc>
        <w:tc>
          <w:tcPr>
            <w:tcW w:w="641" w:type="pct"/>
            <w:vAlign w:val="center"/>
            <w:hideMark/>
          </w:tcPr>
          <w:p w14:paraId="6F562983"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1,243</w:t>
            </w:r>
          </w:p>
        </w:tc>
      </w:tr>
      <w:tr w:rsidR="00287FA3" w:rsidRPr="007F6332" w14:paraId="52A604C4" w14:textId="77777777" w:rsidTr="00D02FA6">
        <w:trPr>
          <w:trHeight w:val="227"/>
        </w:trPr>
        <w:tc>
          <w:tcPr>
            <w:tcW w:w="1796" w:type="pct"/>
            <w:shd w:val="clear" w:color="auto" w:fill="C0C0C0"/>
            <w:vAlign w:val="center"/>
            <w:hideMark/>
          </w:tcPr>
          <w:p w14:paraId="68AC4FF6"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CB Health Wellbeing</w:t>
            </w:r>
          </w:p>
        </w:tc>
        <w:tc>
          <w:tcPr>
            <w:tcW w:w="641" w:type="pct"/>
            <w:shd w:val="clear" w:color="auto" w:fill="C0C0C0"/>
            <w:vAlign w:val="center"/>
            <w:hideMark/>
          </w:tcPr>
          <w:p w14:paraId="35847BF7"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79</w:t>
            </w:r>
          </w:p>
        </w:tc>
        <w:tc>
          <w:tcPr>
            <w:tcW w:w="641" w:type="pct"/>
            <w:shd w:val="clear" w:color="auto" w:fill="C0C0C0"/>
            <w:vAlign w:val="center"/>
            <w:hideMark/>
          </w:tcPr>
          <w:p w14:paraId="36948647"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85</w:t>
            </w:r>
          </w:p>
        </w:tc>
        <w:tc>
          <w:tcPr>
            <w:tcW w:w="641" w:type="pct"/>
            <w:shd w:val="clear" w:color="auto" w:fill="C0C0C0"/>
            <w:vAlign w:val="center"/>
            <w:hideMark/>
          </w:tcPr>
          <w:p w14:paraId="7AF0199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90</w:t>
            </w:r>
          </w:p>
        </w:tc>
        <w:tc>
          <w:tcPr>
            <w:tcW w:w="641" w:type="pct"/>
            <w:shd w:val="clear" w:color="auto" w:fill="C0C0C0"/>
            <w:vAlign w:val="center"/>
            <w:hideMark/>
          </w:tcPr>
          <w:p w14:paraId="6811F6B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96</w:t>
            </w:r>
          </w:p>
        </w:tc>
        <w:tc>
          <w:tcPr>
            <w:tcW w:w="641" w:type="pct"/>
            <w:shd w:val="clear" w:color="auto" w:fill="C0C0C0"/>
            <w:vAlign w:val="center"/>
            <w:hideMark/>
          </w:tcPr>
          <w:p w14:paraId="1431B97F"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136</w:t>
            </w:r>
          </w:p>
        </w:tc>
      </w:tr>
      <w:tr w:rsidR="00287FA3" w:rsidRPr="007F6332" w14:paraId="29C8F179" w14:textId="77777777" w:rsidTr="00D02FA6">
        <w:trPr>
          <w:trHeight w:val="227"/>
        </w:trPr>
        <w:tc>
          <w:tcPr>
            <w:tcW w:w="1796" w:type="pct"/>
            <w:vAlign w:val="center"/>
            <w:hideMark/>
          </w:tcPr>
          <w:p w14:paraId="4611C5EB"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CB Home Living</w:t>
            </w:r>
          </w:p>
        </w:tc>
        <w:tc>
          <w:tcPr>
            <w:tcW w:w="641" w:type="pct"/>
            <w:vAlign w:val="center"/>
            <w:hideMark/>
          </w:tcPr>
          <w:p w14:paraId="32E2A5B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w:t>
            </w:r>
          </w:p>
        </w:tc>
        <w:tc>
          <w:tcPr>
            <w:tcW w:w="641" w:type="pct"/>
            <w:vAlign w:val="center"/>
            <w:hideMark/>
          </w:tcPr>
          <w:p w14:paraId="3BFCDD36"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w:t>
            </w:r>
          </w:p>
        </w:tc>
        <w:tc>
          <w:tcPr>
            <w:tcW w:w="641" w:type="pct"/>
            <w:vAlign w:val="center"/>
            <w:hideMark/>
          </w:tcPr>
          <w:p w14:paraId="6EBF382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w:t>
            </w:r>
          </w:p>
        </w:tc>
        <w:tc>
          <w:tcPr>
            <w:tcW w:w="641" w:type="pct"/>
            <w:vAlign w:val="center"/>
            <w:hideMark/>
          </w:tcPr>
          <w:p w14:paraId="38D9503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w:t>
            </w:r>
          </w:p>
        </w:tc>
        <w:tc>
          <w:tcPr>
            <w:tcW w:w="641" w:type="pct"/>
            <w:vAlign w:val="center"/>
            <w:hideMark/>
          </w:tcPr>
          <w:p w14:paraId="03E60135"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w:t>
            </w:r>
          </w:p>
        </w:tc>
      </w:tr>
      <w:tr w:rsidR="00287FA3" w:rsidRPr="007F6332" w14:paraId="3D9D6EF1" w14:textId="77777777" w:rsidTr="00D02FA6">
        <w:trPr>
          <w:trHeight w:val="227"/>
        </w:trPr>
        <w:tc>
          <w:tcPr>
            <w:tcW w:w="1796" w:type="pct"/>
            <w:shd w:val="clear" w:color="auto" w:fill="C0C0C0"/>
            <w:vAlign w:val="center"/>
            <w:hideMark/>
          </w:tcPr>
          <w:p w14:paraId="1CE470AC"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CB Lifelong Learning</w:t>
            </w:r>
          </w:p>
        </w:tc>
        <w:tc>
          <w:tcPr>
            <w:tcW w:w="641" w:type="pct"/>
            <w:shd w:val="clear" w:color="auto" w:fill="C0C0C0"/>
            <w:vAlign w:val="center"/>
            <w:hideMark/>
          </w:tcPr>
          <w:p w14:paraId="02C3356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w:t>
            </w:r>
          </w:p>
        </w:tc>
        <w:tc>
          <w:tcPr>
            <w:tcW w:w="641" w:type="pct"/>
            <w:shd w:val="clear" w:color="auto" w:fill="C0C0C0"/>
            <w:vAlign w:val="center"/>
            <w:hideMark/>
          </w:tcPr>
          <w:p w14:paraId="15E5604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w:t>
            </w:r>
          </w:p>
        </w:tc>
        <w:tc>
          <w:tcPr>
            <w:tcW w:w="641" w:type="pct"/>
            <w:shd w:val="clear" w:color="auto" w:fill="C0C0C0"/>
            <w:vAlign w:val="center"/>
            <w:hideMark/>
          </w:tcPr>
          <w:p w14:paraId="1BAA664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w:t>
            </w:r>
          </w:p>
        </w:tc>
        <w:tc>
          <w:tcPr>
            <w:tcW w:w="641" w:type="pct"/>
            <w:shd w:val="clear" w:color="auto" w:fill="C0C0C0"/>
            <w:vAlign w:val="center"/>
            <w:hideMark/>
          </w:tcPr>
          <w:p w14:paraId="7323436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w:t>
            </w:r>
          </w:p>
        </w:tc>
        <w:tc>
          <w:tcPr>
            <w:tcW w:w="641" w:type="pct"/>
            <w:shd w:val="clear" w:color="auto" w:fill="C0C0C0"/>
            <w:vAlign w:val="center"/>
            <w:hideMark/>
          </w:tcPr>
          <w:p w14:paraId="2ADEBA4A"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w:t>
            </w:r>
          </w:p>
        </w:tc>
      </w:tr>
      <w:tr w:rsidR="00287FA3" w:rsidRPr="007F6332" w14:paraId="1888C0E3" w14:textId="77777777" w:rsidTr="00D02FA6">
        <w:trPr>
          <w:trHeight w:val="227"/>
        </w:trPr>
        <w:tc>
          <w:tcPr>
            <w:tcW w:w="1796" w:type="pct"/>
            <w:vAlign w:val="center"/>
            <w:hideMark/>
          </w:tcPr>
          <w:p w14:paraId="5BB5E705"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CB Relationships</w:t>
            </w:r>
          </w:p>
        </w:tc>
        <w:tc>
          <w:tcPr>
            <w:tcW w:w="641" w:type="pct"/>
            <w:vAlign w:val="center"/>
            <w:hideMark/>
          </w:tcPr>
          <w:p w14:paraId="6C6C91F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1,068</w:t>
            </w:r>
          </w:p>
        </w:tc>
        <w:tc>
          <w:tcPr>
            <w:tcW w:w="641" w:type="pct"/>
            <w:vAlign w:val="center"/>
            <w:hideMark/>
          </w:tcPr>
          <w:p w14:paraId="1C299BB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1,202</w:t>
            </w:r>
          </w:p>
        </w:tc>
        <w:tc>
          <w:tcPr>
            <w:tcW w:w="641" w:type="pct"/>
            <w:vAlign w:val="center"/>
            <w:hideMark/>
          </w:tcPr>
          <w:p w14:paraId="03465D5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1,318</w:t>
            </w:r>
          </w:p>
        </w:tc>
        <w:tc>
          <w:tcPr>
            <w:tcW w:w="641" w:type="pct"/>
            <w:vAlign w:val="center"/>
            <w:hideMark/>
          </w:tcPr>
          <w:p w14:paraId="3D76D6F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1,427</w:t>
            </w:r>
          </w:p>
        </w:tc>
        <w:tc>
          <w:tcPr>
            <w:tcW w:w="641" w:type="pct"/>
            <w:vAlign w:val="center"/>
            <w:hideMark/>
          </w:tcPr>
          <w:p w14:paraId="1321F38A"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2,209</w:t>
            </w:r>
          </w:p>
        </w:tc>
      </w:tr>
      <w:tr w:rsidR="00287FA3" w:rsidRPr="007F6332" w14:paraId="5305014A" w14:textId="77777777" w:rsidTr="00D02FA6">
        <w:trPr>
          <w:trHeight w:val="227"/>
        </w:trPr>
        <w:tc>
          <w:tcPr>
            <w:tcW w:w="1796" w:type="pct"/>
            <w:shd w:val="clear" w:color="auto" w:fill="C0C0C0"/>
            <w:vAlign w:val="center"/>
            <w:hideMark/>
          </w:tcPr>
          <w:p w14:paraId="515C9071"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CB Social Community Civic</w:t>
            </w:r>
          </w:p>
        </w:tc>
        <w:tc>
          <w:tcPr>
            <w:tcW w:w="641" w:type="pct"/>
            <w:shd w:val="clear" w:color="auto" w:fill="C0C0C0"/>
            <w:vAlign w:val="center"/>
            <w:hideMark/>
          </w:tcPr>
          <w:p w14:paraId="671E1FE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459</w:t>
            </w:r>
          </w:p>
        </w:tc>
        <w:tc>
          <w:tcPr>
            <w:tcW w:w="641" w:type="pct"/>
            <w:shd w:val="clear" w:color="auto" w:fill="C0C0C0"/>
            <w:vAlign w:val="center"/>
            <w:hideMark/>
          </w:tcPr>
          <w:p w14:paraId="09BBE85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543</w:t>
            </w:r>
          </w:p>
        </w:tc>
        <w:tc>
          <w:tcPr>
            <w:tcW w:w="641" w:type="pct"/>
            <w:shd w:val="clear" w:color="auto" w:fill="C0C0C0"/>
            <w:vAlign w:val="center"/>
            <w:hideMark/>
          </w:tcPr>
          <w:p w14:paraId="08CD4D9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634</w:t>
            </w:r>
          </w:p>
        </w:tc>
        <w:tc>
          <w:tcPr>
            <w:tcW w:w="641" w:type="pct"/>
            <w:shd w:val="clear" w:color="auto" w:fill="C0C0C0"/>
            <w:vAlign w:val="center"/>
            <w:hideMark/>
          </w:tcPr>
          <w:p w14:paraId="47274B1D"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724</w:t>
            </w:r>
          </w:p>
        </w:tc>
        <w:tc>
          <w:tcPr>
            <w:tcW w:w="641" w:type="pct"/>
            <w:shd w:val="clear" w:color="auto" w:fill="C0C0C0"/>
            <w:vAlign w:val="center"/>
            <w:hideMark/>
          </w:tcPr>
          <w:p w14:paraId="49797186"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1,501</w:t>
            </w:r>
          </w:p>
        </w:tc>
      </w:tr>
      <w:tr w:rsidR="00287FA3" w:rsidRPr="007F6332" w14:paraId="4AB20BA5" w14:textId="77777777" w:rsidTr="00D02FA6">
        <w:trPr>
          <w:trHeight w:val="227"/>
        </w:trPr>
        <w:tc>
          <w:tcPr>
            <w:tcW w:w="1796" w:type="pct"/>
            <w:vAlign w:val="center"/>
            <w:hideMark/>
          </w:tcPr>
          <w:p w14:paraId="020F4509"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Support Coordination</w:t>
            </w:r>
          </w:p>
        </w:tc>
        <w:tc>
          <w:tcPr>
            <w:tcW w:w="641" w:type="pct"/>
            <w:vAlign w:val="center"/>
            <w:hideMark/>
          </w:tcPr>
          <w:p w14:paraId="1ED812E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1,343</w:t>
            </w:r>
          </w:p>
        </w:tc>
        <w:tc>
          <w:tcPr>
            <w:tcW w:w="641" w:type="pct"/>
            <w:vAlign w:val="center"/>
            <w:hideMark/>
          </w:tcPr>
          <w:p w14:paraId="62592CD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1,451</w:t>
            </w:r>
          </w:p>
        </w:tc>
        <w:tc>
          <w:tcPr>
            <w:tcW w:w="641" w:type="pct"/>
            <w:vAlign w:val="center"/>
            <w:hideMark/>
          </w:tcPr>
          <w:p w14:paraId="121907B3"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879</w:t>
            </w:r>
          </w:p>
        </w:tc>
        <w:tc>
          <w:tcPr>
            <w:tcW w:w="641" w:type="pct"/>
            <w:vAlign w:val="center"/>
            <w:hideMark/>
          </w:tcPr>
          <w:p w14:paraId="6549133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950</w:t>
            </w:r>
          </w:p>
        </w:tc>
        <w:tc>
          <w:tcPr>
            <w:tcW w:w="641" w:type="pct"/>
            <w:vAlign w:val="center"/>
            <w:hideMark/>
          </w:tcPr>
          <w:p w14:paraId="3F73709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1,513</w:t>
            </w:r>
          </w:p>
        </w:tc>
      </w:tr>
      <w:tr w:rsidR="00287FA3" w:rsidRPr="007F6332" w14:paraId="583AD799" w14:textId="77777777" w:rsidTr="00C1755E">
        <w:trPr>
          <w:trHeight w:val="227"/>
        </w:trPr>
        <w:tc>
          <w:tcPr>
            <w:tcW w:w="1796" w:type="pct"/>
            <w:tcBorders>
              <w:top w:val="nil"/>
              <w:left w:val="nil"/>
              <w:bottom w:val="single" w:sz="8" w:space="0" w:color="auto"/>
              <w:right w:val="nil"/>
            </w:tcBorders>
            <w:shd w:val="clear" w:color="auto" w:fill="B799B4"/>
            <w:vAlign w:val="center"/>
            <w:hideMark/>
          </w:tcPr>
          <w:p w14:paraId="2B758FC9" w14:textId="77777777"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w:t>
            </w:r>
          </w:p>
        </w:tc>
        <w:tc>
          <w:tcPr>
            <w:tcW w:w="641" w:type="pct"/>
            <w:tcBorders>
              <w:top w:val="nil"/>
              <w:left w:val="nil"/>
              <w:bottom w:val="single" w:sz="8" w:space="0" w:color="auto"/>
              <w:right w:val="nil"/>
            </w:tcBorders>
            <w:shd w:val="clear" w:color="auto" w:fill="B799B4"/>
            <w:vAlign w:val="center"/>
            <w:hideMark/>
          </w:tcPr>
          <w:p w14:paraId="5819D980"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53,183</w:t>
            </w:r>
          </w:p>
        </w:tc>
        <w:tc>
          <w:tcPr>
            <w:tcW w:w="641" w:type="pct"/>
            <w:tcBorders>
              <w:top w:val="nil"/>
              <w:left w:val="nil"/>
              <w:bottom w:val="single" w:sz="8" w:space="0" w:color="auto"/>
              <w:right w:val="nil"/>
            </w:tcBorders>
            <w:shd w:val="clear" w:color="auto" w:fill="B799B4"/>
            <w:vAlign w:val="center"/>
            <w:hideMark/>
          </w:tcPr>
          <w:p w14:paraId="72B9E847"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59,253</w:t>
            </w:r>
          </w:p>
        </w:tc>
        <w:tc>
          <w:tcPr>
            <w:tcW w:w="641" w:type="pct"/>
            <w:tcBorders>
              <w:top w:val="nil"/>
              <w:left w:val="nil"/>
              <w:bottom w:val="single" w:sz="8" w:space="0" w:color="auto"/>
              <w:right w:val="nil"/>
            </w:tcBorders>
            <w:shd w:val="clear" w:color="auto" w:fill="B799B4"/>
            <w:vAlign w:val="center"/>
            <w:hideMark/>
          </w:tcPr>
          <w:p w14:paraId="6110D165"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64,623</w:t>
            </w:r>
          </w:p>
        </w:tc>
        <w:tc>
          <w:tcPr>
            <w:tcW w:w="641" w:type="pct"/>
            <w:tcBorders>
              <w:top w:val="nil"/>
              <w:left w:val="nil"/>
              <w:bottom w:val="single" w:sz="8" w:space="0" w:color="auto"/>
              <w:right w:val="nil"/>
            </w:tcBorders>
            <w:shd w:val="clear" w:color="auto" w:fill="B799B4"/>
            <w:vAlign w:val="center"/>
            <w:hideMark/>
          </w:tcPr>
          <w:p w14:paraId="5D3DF538"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70,067</w:t>
            </w:r>
          </w:p>
        </w:tc>
        <w:tc>
          <w:tcPr>
            <w:tcW w:w="641" w:type="pct"/>
            <w:tcBorders>
              <w:top w:val="nil"/>
              <w:left w:val="nil"/>
              <w:bottom w:val="single" w:sz="8" w:space="0" w:color="auto"/>
              <w:right w:val="nil"/>
            </w:tcBorders>
            <w:shd w:val="clear" w:color="auto" w:fill="B799B4"/>
            <w:vAlign w:val="center"/>
            <w:hideMark/>
          </w:tcPr>
          <w:p w14:paraId="2CF543E8"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116,587</w:t>
            </w:r>
          </w:p>
        </w:tc>
      </w:tr>
    </w:tbl>
    <w:p w14:paraId="1F9E1D82" w14:textId="360925AE" w:rsidR="00C55AC0" w:rsidRPr="007F6332" w:rsidRDefault="007A7CBF" w:rsidP="008B34A8">
      <w:pPr>
        <w:pStyle w:val="FSRHeading3"/>
      </w:pPr>
      <w:bookmarkStart w:id="332" w:name="_Toc152615029"/>
      <w:r w:rsidRPr="007F6332">
        <w:rPr>
          <w:rStyle w:val="Emphasis"/>
          <w:rFonts w:cs="Arial"/>
          <w:b w:val="0"/>
          <w:bCs w:val="0"/>
          <w:iCs w:val="0"/>
          <w:color w:val="6A2875"/>
          <w:spacing w:val="0"/>
          <w:sz w:val="30"/>
        </w:rPr>
        <w:lastRenderedPageBreak/>
        <w:t xml:space="preserve">Appendix </w:t>
      </w:r>
      <w:r w:rsidR="00D64B63" w:rsidRPr="007F6332">
        <w:rPr>
          <w:rStyle w:val="Emphasis"/>
          <w:rFonts w:cs="Arial"/>
          <w:b w:val="0"/>
          <w:bCs w:val="0"/>
          <w:iCs w:val="0"/>
          <w:color w:val="6A2875"/>
          <w:spacing w:val="0"/>
          <w:sz w:val="30"/>
        </w:rPr>
        <w:t>L</w:t>
      </w:r>
      <w:bookmarkEnd w:id="331"/>
      <w:r w:rsidR="00C55AC0" w:rsidRPr="007F6332">
        <w:rPr>
          <w:rStyle w:val="Emphasis"/>
          <w:rFonts w:cs="Arial"/>
          <w:b w:val="0"/>
          <w:bCs w:val="0"/>
          <w:iCs w:val="0"/>
          <w:color w:val="6A2875"/>
          <w:spacing w:val="0"/>
          <w:sz w:val="30"/>
        </w:rPr>
        <w:tab/>
      </w:r>
      <w:r w:rsidR="009028ED" w:rsidRPr="007F6332">
        <w:t>Scenario analysis from previous AFSRs</w:t>
      </w:r>
      <w:bookmarkEnd w:id="332"/>
    </w:p>
    <w:p w14:paraId="1BCBAD5C" w14:textId="77777777" w:rsidR="009028ED" w:rsidRPr="007F6332" w:rsidRDefault="009028ED" w:rsidP="009028ED">
      <w:pPr>
        <w:pStyle w:val="FSRnormal"/>
        <w:rPr>
          <w:rFonts w:cs="Arial"/>
        </w:rPr>
      </w:pPr>
      <w:r w:rsidRPr="007F6332">
        <w:rPr>
          <w:rFonts w:cs="Arial"/>
        </w:rPr>
        <w:t xml:space="preserve">This section summarises the results of projection scenarios considered in historic Annual Financial Sustainability Report projections since 2016-17. These scenarios assist in understanding the range of plausible projections based on reasonable alternative assumptions. </w:t>
      </w:r>
    </w:p>
    <w:p w14:paraId="6FC656B8" w14:textId="77777777" w:rsidR="009028ED" w:rsidRPr="007F6332" w:rsidRDefault="009028ED" w:rsidP="009028ED">
      <w:pPr>
        <w:pStyle w:val="FSRHeading4"/>
        <w:rPr>
          <w:rFonts w:cs="Arial"/>
        </w:rPr>
      </w:pPr>
      <w:r w:rsidRPr="007F6332">
        <w:rPr>
          <w:rFonts w:cs="Arial"/>
        </w:rPr>
        <w:t>Note on terminology and term of projection</w:t>
      </w:r>
    </w:p>
    <w:p w14:paraId="26F9C8CE" w14:textId="77777777" w:rsidR="009028ED" w:rsidRPr="007F6332" w:rsidRDefault="009028ED" w:rsidP="009028ED">
      <w:pPr>
        <w:pStyle w:val="FSRnormal"/>
        <w:rPr>
          <w:rFonts w:cs="Arial"/>
        </w:rPr>
      </w:pPr>
      <w:r w:rsidRPr="007F6332">
        <w:rPr>
          <w:rFonts w:cs="Arial"/>
        </w:rPr>
        <w:t>There have been several changes in terminology in the 2022-23 AFSR compared with previous AFSRs. In this appendix, the original terminology has been used. In particular:</w:t>
      </w:r>
    </w:p>
    <w:p w14:paraId="57995955" w14:textId="0F11AE27" w:rsidR="009028ED" w:rsidRPr="007F6332" w:rsidRDefault="009028ED" w:rsidP="00CE7E91">
      <w:pPr>
        <w:pStyle w:val="FSRlist"/>
        <w:numPr>
          <w:ilvl w:val="0"/>
          <w:numId w:val="27"/>
        </w:numPr>
        <w:rPr>
          <w:rFonts w:cs="Arial"/>
        </w:rPr>
      </w:pPr>
      <w:r w:rsidRPr="007F6332">
        <w:rPr>
          <w:rFonts w:cs="Arial"/>
        </w:rPr>
        <w:t xml:space="preserve">Scheme expenses were previously referred to as ‘Total participant </w:t>
      </w:r>
      <w:r w:rsidR="00F27331" w:rsidRPr="007F6332">
        <w:rPr>
          <w:rFonts w:cs="Arial"/>
        </w:rPr>
        <w:t>costs.</w:t>
      </w:r>
    </w:p>
    <w:p w14:paraId="3104EB32" w14:textId="698BEE21" w:rsidR="009028ED" w:rsidRPr="007F6332" w:rsidRDefault="009028ED" w:rsidP="00CE7E91">
      <w:pPr>
        <w:pStyle w:val="FSRlist"/>
        <w:numPr>
          <w:ilvl w:val="0"/>
          <w:numId w:val="27"/>
        </w:numPr>
        <w:rPr>
          <w:rFonts w:cs="Arial"/>
        </w:rPr>
      </w:pPr>
      <w:r w:rsidRPr="007F6332">
        <w:rPr>
          <w:rFonts w:cs="Arial"/>
        </w:rPr>
        <w:t xml:space="preserve">Participants leaving the Scheme were previously referred to as ‘non-mortality </w:t>
      </w:r>
      <w:r w:rsidR="00F27331" w:rsidRPr="007F6332">
        <w:rPr>
          <w:rFonts w:cs="Arial"/>
        </w:rPr>
        <w:t>exits.</w:t>
      </w:r>
      <w:r w:rsidRPr="007F6332">
        <w:rPr>
          <w:rFonts w:cs="Arial"/>
        </w:rPr>
        <w:t xml:space="preserve"> </w:t>
      </w:r>
    </w:p>
    <w:p w14:paraId="24BFA46C" w14:textId="5CAC69BA" w:rsidR="009028ED" w:rsidRPr="007F6332" w:rsidRDefault="009028ED" w:rsidP="00CE7E91">
      <w:pPr>
        <w:pStyle w:val="FSRlist"/>
        <w:numPr>
          <w:ilvl w:val="0"/>
          <w:numId w:val="27"/>
        </w:numPr>
        <w:rPr>
          <w:rFonts w:cs="Arial"/>
        </w:rPr>
      </w:pPr>
      <w:r w:rsidRPr="007F6332">
        <w:rPr>
          <w:rFonts w:cs="Arial"/>
        </w:rPr>
        <w:t>Supported Independent Living (SIL) was previously referred to as Shared Supported Accommodation (SSA</w:t>
      </w:r>
      <w:r w:rsidR="00F27331" w:rsidRPr="007F6332">
        <w:rPr>
          <w:rFonts w:cs="Arial"/>
        </w:rPr>
        <w:t>).</w:t>
      </w:r>
    </w:p>
    <w:p w14:paraId="6713931B" w14:textId="557FD665" w:rsidR="009028ED" w:rsidRPr="007F6332" w:rsidRDefault="009028ED" w:rsidP="00CE7E91">
      <w:pPr>
        <w:pStyle w:val="FSRlist"/>
        <w:numPr>
          <w:ilvl w:val="0"/>
          <w:numId w:val="27"/>
        </w:numPr>
        <w:rPr>
          <w:rFonts w:cs="Arial"/>
        </w:rPr>
      </w:pPr>
      <w:r w:rsidRPr="007F6332">
        <w:rPr>
          <w:rFonts w:cs="Arial"/>
        </w:rPr>
        <w:t xml:space="preserve">Plan budgets were previously referred to as ‘Committed </w:t>
      </w:r>
      <w:r w:rsidR="00F27331" w:rsidRPr="007F6332">
        <w:rPr>
          <w:rFonts w:cs="Arial"/>
        </w:rPr>
        <w:t>supports.</w:t>
      </w:r>
    </w:p>
    <w:p w14:paraId="74FF64C6" w14:textId="77777777" w:rsidR="009028ED" w:rsidRPr="007F6332" w:rsidRDefault="009028ED" w:rsidP="00CE7E91">
      <w:pPr>
        <w:pStyle w:val="FSRlist"/>
        <w:numPr>
          <w:ilvl w:val="0"/>
          <w:numId w:val="27"/>
        </w:numPr>
        <w:rPr>
          <w:rFonts w:cs="Arial"/>
        </w:rPr>
      </w:pPr>
      <w:r w:rsidRPr="007F6332">
        <w:rPr>
          <w:rFonts w:cs="Arial"/>
        </w:rPr>
        <w:t>Additional growth was previously referred to as ‘Additional inflation’ or ‘Superimposed inflation’.</w:t>
      </w:r>
    </w:p>
    <w:p w14:paraId="04C9E456" w14:textId="5E6421A7" w:rsidR="009028ED" w:rsidRPr="007F6332" w:rsidRDefault="009028ED" w:rsidP="009028ED">
      <w:pPr>
        <w:pStyle w:val="FSRnormal"/>
        <w:rPr>
          <w:rStyle w:val="FSRnormalChar"/>
          <w:rFonts w:cs="Arial"/>
        </w:rPr>
      </w:pPr>
      <w:r w:rsidRPr="007F6332">
        <w:rPr>
          <w:rFonts w:cs="Arial"/>
          <w:bCs/>
        </w:rPr>
        <w:t>It i</w:t>
      </w:r>
      <w:r w:rsidRPr="007F6332">
        <w:rPr>
          <w:rStyle w:val="FSRnormalChar"/>
          <w:rFonts w:cs="Arial"/>
        </w:rPr>
        <w:t>s also important to recognise that the scenarios set out in this appendix include results out to the 2029-30 period. In this AFSR however, results are generally shown out to the 203</w:t>
      </w:r>
      <w:r w:rsidR="00A12E65" w:rsidRPr="007F6332">
        <w:rPr>
          <w:rStyle w:val="FSRnormalChar"/>
          <w:rFonts w:cs="Arial"/>
        </w:rPr>
        <w:t>2</w:t>
      </w:r>
      <w:r w:rsidRPr="007F6332">
        <w:rPr>
          <w:rStyle w:val="FSRnormalChar"/>
          <w:rFonts w:cs="Arial"/>
        </w:rPr>
        <w:t>-3</w:t>
      </w:r>
      <w:r w:rsidR="00A12E65" w:rsidRPr="007F6332">
        <w:rPr>
          <w:rStyle w:val="FSRnormalChar"/>
          <w:rFonts w:cs="Arial"/>
        </w:rPr>
        <w:t>3</w:t>
      </w:r>
      <w:r w:rsidRPr="007F6332">
        <w:rPr>
          <w:rStyle w:val="FSRnormalChar"/>
          <w:rFonts w:cs="Arial"/>
        </w:rPr>
        <w:t xml:space="preserve"> period, and therefore are not directly comparable with the scenario results presented here.</w:t>
      </w:r>
    </w:p>
    <w:p w14:paraId="50497A01" w14:textId="77777777" w:rsidR="009028ED" w:rsidRPr="007F6332" w:rsidRDefault="009028ED" w:rsidP="009028ED">
      <w:pPr>
        <w:rPr>
          <w:rFonts w:eastAsiaTheme="minorHAnsi" w:cs="Arial"/>
          <w:b/>
          <w:color w:val="6B2976"/>
          <w:kern w:val="2"/>
          <w:sz w:val="25"/>
          <w:szCs w:val="22"/>
          <w:lang w:eastAsia="en-US"/>
          <w14:ligatures w14:val="standardContextual"/>
        </w:rPr>
      </w:pPr>
      <w:r w:rsidRPr="007F6332">
        <w:rPr>
          <w:rFonts w:cs="Arial"/>
        </w:rPr>
        <w:br w:type="page"/>
      </w:r>
    </w:p>
    <w:p w14:paraId="2DDA4C22" w14:textId="3E881CA0" w:rsidR="009028ED" w:rsidRPr="007F6332" w:rsidRDefault="009028ED" w:rsidP="00F41A57">
      <w:pPr>
        <w:pStyle w:val="FiguresandTablesHeading5"/>
        <w:rPr>
          <w:rFonts w:eastAsiaTheme="minorHAnsi"/>
          <w:lang w:eastAsia="en-US"/>
        </w:rPr>
      </w:pPr>
      <w:r w:rsidRPr="007F6332">
        <w:rPr>
          <w:rFonts w:eastAsiaTheme="minorHAnsi"/>
          <w:lang w:eastAsia="en-US"/>
        </w:rPr>
        <w:lastRenderedPageBreak/>
        <w:t xml:space="preserve">Table </w:t>
      </w:r>
      <w:r w:rsidR="00A12E65" w:rsidRPr="007F6332">
        <w:rPr>
          <w:rFonts w:eastAsiaTheme="minorHAnsi"/>
          <w:lang w:eastAsia="en-US"/>
        </w:rPr>
        <w:t>L</w:t>
      </w:r>
      <w:r w:rsidRPr="007F6332">
        <w:rPr>
          <w:rFonts w:eastAsiaTheme="minorHAnsi"/>
          <w:lang w:eastAsia="en-US"/>
        </w:rPr>
        <w:t>.1: 2016-17 AFSR scenarios</w:t>
      </w:r>
    </w:p>
    <w:tbl>
      <w:tblPr>
        <w:tblW w:w="9008" w:type="dxa"/>
        <w:tblBorders>
          <w:bottom w:val="single" w:sz="4" w:space="0" w:color="auto"/>
        </w:tblBorders>
        <w:tblLayout w:type="fixed"/>
        <w:tblLook w:val="04A0" w:firstRow="1" w:lastRow="0" w:firstColumn="1" w:lastColumn="0" w:noHBand="0" w:noVBand="1"/>
      </w:tblPr>
      <w:tblGrid>
        <w:gridCol w:w="5954"/>
        <w:gridCol w:w="1018"/>
        <w:gridCol w:w="1018"/>
        <w:gridCol w:w="1018"/>
      </w:tblGrid>
      <w:tr w:rsidR="009028ED" w:rsidRPr="007F6332" w14:paraId="4FD7F3AB" w14:textId="77777777" w:rsidTr="00F26AC5">
        <w:trPr>
          <w:trHeight w:val="300"/>
        </w:trPr>
        <w:tc>
          <w:tcPr>
            <w:tcW w:w="5954" w:type="dxa"/>
            <w:tcBorders>
              <w:bottom w:val="nil"/>
            </w:tcBorders>
            <w:shd w:val="clear" w:color="auto" w:fill="6B2976"/>
            <w:noWrap/>
            <w:vAlign w:val="center"/>
            <w:hideMark/>
          </w:tcPr>
          <w:p w14:paraId="2AA7910A" w14:textId="77777777" w:rsidR="009028ED" w:rsidRPr="007F6332" w:rsidRDefault="009028ED" w:rsidP="006C7E97">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Total participant costs ($m)</w:t>
            </w:r>
          </w:p>
        </w:tc>
        <w:tc>
          <w:tcPr>
            <w:tcW w:w="1018" w:type="dxa"/>
            <w:tcBorders>
              <w:bottom w:val="nil"/>
            </w:tcBorders>
            <w:shd w:val="clear" w:color="auto" w:fill="6B2976"/>
            <w:noWrap/>
            <w:vAlign w:val="center"/>
            <w:hideMark/>
          </w:tcPr>
          <w:p w14:paraId="7973FA8E" w14:textId="77777777" w:rsidR="009028ED" w:rsidRPr="007F6332" w:rsidRDefault="009028ED" w:rsidP="006C7E97">
            <w:pPr>
              <w:spacing w:after="0" w:line="240" w:lineRule="auto"/>
              <w:ind w:left="-95"/>
              <w:jc w:val="right"/>
              <w:rPr>
                <w:rFonts w:eastAsia="Times New Roman" w:cs="Arial"/>
                <w:b/>
                <w:bCs/>
                <w:color w:val="FFFFFF"/>
                <w:szCs w:val="22"/>
                <w:lang w:eastAsia="en-AU"/>
              </w:rPr>
            </w:pPr>
            <w:r w:rsidRPr="007F6332">
              <w:rPr>
                <w:rFonts w:eastAsia="Times New Roman" w:cs="Arial"/>
                <w:b/>
                <w:bCs/>
                <w:color w:val="FFFFFF"/>
                <w:szCs w:val="22"/>
                <w:lang w:eastAsia="en-AU"/>
              </w:rPr>
              <w:t>2019-20</w:t>
            </w:r>
          </w:p>
        </w:tc>
        <w:tc>
          <w:tcPr>
            <w:tcW w:w="1018" w:type="dxa"/>
            <w:tcBorders>
              <w:bottom w:val="nil"/>
            </w:tcBorders>
            <w:shd w:val="clear" w:color="auto" w:fill="6B2976"/>
            <w:noWrap/>
            <w:vAlign w:val="center"/>
            <w:hideMark/>
          </w:tcPr>
          <w:p w14:paraId="71601630" w14:textId="77777777" w:rsidR="009028ED" w:rsidRPr="007F6332" w:rsidRDefault="009028ED" w:rsidP="006C7E97">
            <w:pPr>
              <w:spacing w:after="0" w:line="240" w:lineRule="auto"/>
              <w:ind w:left="-63" w:right="-49"/>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018" w:type="dxa"/>
            <w:tcBorders>
              <w:bottom w:val="nil"/>
            </w:tcBorders>
            <w:shd w:val="clear" w:color="auto" w:fill="6B2976"/>
            <w:noWrap/>
            <w:vAlign w:val="center"/>
            <w:hideMark/>
          </w:tcPr>
          <w:p w14:paraId="0E403257" w14:textId="77777777" w:rsidR="009028ED" w:rsidRPr="007F6332" w:rsidRDefault="009028ED" w:rsidP="006C7E97">
            <w:pPr>
              <w:spacing w:after="0" w:line="240" w:lineRule="auto"/>
              <w:ind w:right="-81"/>
              <w:jc w:val="right"/>
              <w:rPr>
                <w:rFonts w:eastAsia="Times New Roman" w:cs="Arial"/>
                <w:b/>
                <w:bCs/>
                <w:color w:val="FFFFFF"/>
                <w:szCs w:val="22"/>
                <w:lang w:eastAsia="en-AU"/>
              </w:rPr>
            </w:pPr>
            <w:r w:rsidRPr="007F6332">
              <w:rPr>
                <w:rFonts w:eastAsia="Times New Roman" w:cs="Arial"/>
                <w:b/>
                <w:bCs/>
                <w:color w:val="FFFFFF"/>
                <w:szCs w:val="22"/>
                <w:lang w:eastAsia="en-AU"/>
              </w:rPr>
              <w:t>2029-30</w:t>
            </w:r>
          </w:p>
        </w:tc>
      </w:tr>
      <w:tr w:rsidR="009028ED" w:rsidRPr="007F6332" w14:paraId="3E5237BB" w14:textId="77777777" w:rsidTr="00F26AC5">
        <w:trPr>
          <w:trHeight w:val="284"/>
        </w:trPr>
        <w:tc>
          <w:tcPr>
            <w:tcW w:w="5954" w:type="dxa"/>
            <w:tcBorders>
              <w:bottom w:val="nil"/>
            </w:tcBorders>
            <w:shd w:val="clear" w:color="auto" w:fill="B799B4"/>
            <w:noWrap/>
            <w:vAlign w:val="bottom"/>
            <w:hideMark/>
          </w:tcPr>
          <w:p w14:paraId="2AABCC93"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2016-17 Baseline</w:t>
            </w:r>
          </w:p>
        </w:tc>
        <w:tc>
          <w:tcPr>
            <w:tcW w:w="1018" w:type="dxa"/>
            <w:tcBorders>
              <w:bottom w:val="nil"/>
            </w:tcBorders>
            <w:shd w:val="clear" w:color="auto" w:fill="B799B4"/>
            <w:noWrap/>
            <w:vAlign w:val="bottom"/>
            <w:hideMark/>
          </w:tcPr>
          <w:p w14:paraId="1BD3FAFF" w14:textId="77777777" w:rsidR="009028ED" w:rsidRPr="007F6332" w:rsidRDefault="009028ED"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21,240</w:t>
            </w:r>
          </w:p>
        </w:tc>
        <w:tc>
          <w:tcPr>
            <w:tcW w:w="1018" w:type="dxa"/>
            <w:tcBorders>
              <w:bottom w:val="nil"/>
            </w:tcBorders>
            <w:shd w:val="clear" w:color="auto" w:fill="B799B4"/>
            <w:noWrap/>
            <w:vAlign w:val="bottom"/>
            <w:hideMark/>
          </w:tcPr>
          <w:p w14:paraId="2E50C914" w14:textId="77777777" w:rsidR="009028ED" w:rsidRPr="007F6332" w:rsidRDefault="009028ED"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30,492</w:t>
            </w:r>
          </w:p>
        </w:tc>
        <w:tc>
          <w:tcPr>
            <w:tcW w:w="1018" w:type="dxa"/>
            <w:tcBorders>
              <w:bottom w:val="nil"/>
            </w:tcBorders>
            <w:shd w:val="clear" w:color="auto" w:fill="B799B4"/>
            <w:noWrap/>
            <w:vAlign w:val="bottom"/>
            <w:hideMark/>
          </w:tcPr>
          <w:p w14:paraId="6C3EBFD5" w14:textId="77777777" w:rsidR="009028ED" w:rsidRPr="007F6332" w:rsidRDefault="009028ED"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41,783</w:t>
            </w:r>
          </w:p>
        </w:tc>
      </w:tr>
      <w:tr w:rsidR="009028ED" w:rsidRPr="007F6332" w14:paraId="6782ED00" w14:textId="77777777" w:rsidTr="00F26AC5">
        <w:trPr>
          <w:trHeight w:val="284"/>
        </w:trPr>
        <w:tc>
          <w:tcPr>
            <w:tcW w:w="5954" w:type="dxa"/>
            <w:tcBorders>
              <w:bottom w:val="nil"/>
            </w:tcBorders>
            <w:shd w:val="clear" w:color="auto" w:fill="auto"/>
            <w:noWrap/>
            <w:vAlign w:val="bottom"/>
            <w:hideMark/>
          </w:tcPr>
          <w:p w14:paraId="7330C364"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1a. Committed supports + utilisation of 85%</w:t>
            </w:r>
          </w:p>
        </w:tc>
        <w:tc>
          <w:tcPr>
            <w:tcW w:w="1018" w:type="dxa"/>
            <w:tcBorders>
              <w:bottom w:val="nil"/>
            </w:tcBorders>
            <w:shd w:val="clear" w:color="auto" w:fill="auto"/>
            <w:noWrap/>
            <w:vAlign w:val="bottom"/>
            <w:hideMark/>
          </w:tcPr>
          <w:p w14:paraId="30C4D7F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20,436</w:t>
            </w:r>
          </w:p>
        </w:tc>
        <w:tc>
          <w:tcPr>
            <w:tcW w:w="1018" w:type="dxa"/>
            <w:tcBorders>
              <w:bottom w:val="nil"/>
            </w:tcBorders>
            <w:shd w:val="clear" w:color="auto" w:fill="auto"/>
            <w:noWrap/>
            <w:vAlign w:val="bottom"/>
            <w:hideMark/>
          </w:tcPr>
          <w:p w14:paraId="0A9D729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28,943</w:t>
            </w:r>
          </w:p>
        </w:tc>
        <w:tc>
          <w:tcPr>
            <w:tcW w:w="1018" w:type="dxa"/>
            <w:tcBorders>
              <w:bottom w:val="nil"/>
            </w:tcBorders>
            <w:shd w:val="clear" w:color="auto" w:fill="auto"/>
            <w:noWrap/>
            <w:vAlign w:val="bottom"/>
            <w:hideMark/>
          </w:tcPr>
          <w:p w14:paraId="554231F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38,863</w:t>
            </w:r>
          </w:p>
        </w:tc>
      </w:tr>
      <w:tr w:rsidR="009028ED" w:rsidRPr="007F6332" w14:paraId="621EDCDF" w14:textId="77777777" w:rsidTr="00F26AC5">
        <w:trPr>
          <w:trHeight w:val="284"/>
        </w:trPr>
        <w:tc>
          <w:tcPr>
            <w:tcW w:w="5954" w:type="dxa"/>
            <w:tcBorders>
              <w:bottom w:val="nil"/>
            </w:tcBorders>
            <w:shd w:val="clear" w:color="auto" w:fill="auto"/>
            <w:noWrap/>
            <w:vAlign w:val="bottom"/>
            <w:hideMark/>
          </w:tcPr>
          <w:p w14:paraId="24CAFBE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1b. Committed supports + utilisation of 90%</w:t>
            </w:r>
          </w:p>
        </w:tc>
        <w:tc>
          <w:tcPr>
            <w:tcW w:w="1018" w:type="dxa"/>
            <w:tcBorders>
              <w:bottom w:val="nil"/>
            </w:tcBorders>
            <w:shd w:val="clear" w:color="auto" w:fill="auto"/>
            <w:noWrap/>
            <w:vAlign w:val="bottom"/>
            <w:hideMark/>
          </w:tcPr>
          <w:p w14:paraId="1A2EC42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21,638</w:t>
            </w:r>
          </w:p>
        </w:tc>
        <w:tc>
          <w:tcPr>
            <w:tcW w:w="1018" w:type="dxa"/>
            <w:tcBorders>
              <w:bottom w:val="nil"/>
            </w:tcBorders>
            <w:shd w:val="clear" w:color="auto" w:fill="auto"/>
            <w:noWrap/>
            <w:vAlign w:val="bottom"/>
            <w:hideMark/>
          </w:tcPr>
          <w:p w14:paraId="0F26FF7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30,645</w:t>
            </w:r>
          </w:p>
        </w:tc>
        <w:tc>
          <w:tcPr>
            <w:tcW w:w="1018" w:type="dxa"/>
            <w:tcBorders>
              <w:bottom w:val="nil"/>
            </w:tcBorders>
            <w:shd w:val="clear" w:color="auto" w:fill="auto"/>
            <w:noWrap/>
            <w:vAlign w:val="bottom"/>
            <w:hideMark/>
          </w:tcPr>
          <w:p w14:paraId="6622DA5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41,149</w:t>
            </w:r>
          </w:p>
        </w:tc>
      </w:tr>
      <w:tr w:rsidR="009028ED" w:rsidRPr="007F6332" w14:paraId="07C7352F" w14:textId="77777777" w:rsidTr="00F26AC5">
        <w:trPr>
          <w:trHeight w:val="284"/>
        </w:trPr>
        <w:tc>
          <w:tcPr>
            <w:tcW w:w="5954" w:type="dxa"/>
            <w:tcBorders>
              <w:bottom w:val="nil"/>
            </w:tcBorders>
            <w:shd w:val="clear" w:color="auto" w:fill="auto"/>
            <w:noWrap/>
            <w:vAlign w:val="bottom"/>
            <w:hideMark/>
          </w:tcPr>
          <w:p w14:paraId="550C49BA"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1c. Committed supports + utilisation of 100%</w:t>
            </w:r>
          </w:p>
        </w:tc>
        <w:tc>
          <w:tcPr>
            <w:tcW w:w="1018" w:type="dxa"/>
            <w:tcBorders>
              <w:bottom w:val="nil"/>
            </w:tcBorders>
            <w:shd w:val="clear" w:color="auto" w:fill="auto"/>
            <w:noWrap/>
            <w:vAlign w:val="bottom"/>
            <w:hideMark/>
          </w:tcPr>
          <w:p w14:paraId="537541E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24,042</w:t>
            </w:r>
          </w:p>
        </w:tc>
        <w:tc>
          <w:tcPr>
            <w:tcW w:w="1018" w:type="dxa"/>
            <w:tcBorders>
              <w:bottom w:val="nil"/>
            </w:tcBorders>
            <w:shd w:val="clear" w:color="auto" w:fill="auto"/>
            <w:noWrap/>
            <w:vAlign w:val="bottom"/>
            <w:hideMark/>
          </w:tcPr>
          <w:p w14:paraId="546F2DB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34,050</w:t>
            </w:r>
          </w:p>
        </w:tc>
        <w:tc>
          <w:tcPr>
            <w:tcW w:w="1018" w:type="dxa"/>
            <w:tcBorders>
              <w:bottom w:val="nil"/>
            </w:tcBorders>
            <w:shd w:val="clear" w:color="auto" w:fill="auto"/>
            <w:noWrap/>
            <w:vAlign w:val="bottom"/>
            <w:hideMark/>
          </w:tcPr>
          <w:p w14:paraId="483A832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45,721</w:t>
            </w:r>
          </w:p>
        </w:tc>
      </w:tr>
      <w:tr w:rsidR="009028ED" w:rsidRPr="007F6332" w14:paraId="3C25FC2E" w14:textId="77777777" w:rsidTr="00F26AC5">
        <w:trPr>
          <w:trHeight w:val="284"/>
        </w:trPr>
        <w:tc>
          <w:tcPr>
            <w:tcW w:w="5954" w:type="dxa"/>
            <w:tcBorders>
              <w:bottom w:val="nil"/>
            </w:tcBorders>
            <w:shd w:val="clear" w:color="auto" w:fill="A7A9AC"/>
            <w:noWrap/>
            <w:vAlign w:val="bottom"/>
            <w:hideMark/>
          </w:tcPr>
          <w:p w14:paraId="00500BC4"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2a. 1% p.a. superimposed inflation</w:t>
            </w:r>
          </w:p>
        </w:tc>
        <w:tc>
          <w:tcPr>
            <w:tcW w:w="1018" w:type="dxa"/>
            <w:tcBorders>
              <w:bottom w:val="nil"/>
            </w:tcBorders>
            <w:shd w:val="clear" w:color="auto" w:fill="A7A9AC"/>
            <w:noWrap/>
            <w:vAlign w:val="bottom"/>
            <w:hideMark/>
          </w:tcPr>
          <w:p w14:paraId="19E020D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21,756</w:t>
            </w:r>
          </w:p>
        </w:tc>
        <w:tc>
          <w:tcPr>
            <w:tcW w:w="1018" w:type="dxa"/>
            <w:tcBorders>
              <w:bottom w:val="nil"/>
            </w:tcBorders>
            <w:shd w:val="clear" w:color="auto" w:fill="A7A9AC"/>
            <w:noWrap/>
            <w:vAlign w:val="bottom"/>
            <w:hideMark/>
          </w:tcPr>
          <w:p w14:paraId="4657B7C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32,762</w:t>
            </w:r>
          </w:p>
        </w:tc>
        <w:tc>
          <w:tcPr>
            <w:tcW w:w="1018" w:type="dxa"/>
            <w:tcBorders>
              <w:bottom w:val="nil"/>
            </w:tcBorders>
            <w:shd w:val="clear" w:color="auto" w:fill="A7A9AC"/>
            <w:noWrap/>
            <w:vAlign w:val="bottom"/>
            <w:hideMark/>
          </w:tcPr>
          <w:p w14:paraId="2E3180C6"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47,095</w:t>
            </w:r>
          </w:p>
        </w:tc>
      </w:tr>
      <w:tr w:rsidR="009028ED" w:rsidRPr="007F6332" w14:paraId="3690845C" w14:textId="77777777" w:rsidTr="00F26AC5">
        <w:trPr>
          <w:trHeight w:val="284"/>
        </w:trPr>
        <w:tc>
          <w:tcPr>
            <w:tcW w:w="5954" w:type="dxa"/>
            <w:tcBorders>
              <w:bottom w:val="nil"/>
            </w:tcBorders>
            <w:shd w:val="clear" w:color="auto" w:fill="A7A9AC"/>
            <w:noWrap/>
            <w:vAlign w:val="bottom"/>
            <w:hideMark/>
          </w:tcPr>
          <w:p w14:paraId="184838C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2b. 2% p.a. superimposed inflation</w:t>
            </w:r>
          </w:p>
        </w:tc>
        <w:tc>
          <w:tcPr>
            <w:tcW w:w="1018" w:type="dxa"/>
            <w:tcBorders>
              <w:bottom w:val="nil"/>
            </w:tcBorders>
            <w:shd w:val="clear" w:color="auto" w:fill="A7A9AC"/>
            <w:noWrap/>
            <w:vAlign w:val="bottom"/>
            <w:hideMark/>
          </w:tcPr>
          <w:p w14:paraId="25B7938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22,279</w:t>
            </w:r>
          </w:p>
        </w:tc>
        <w:tc>
          <w:tcPr>
            <w:tcW w:w="1018" w:type="dxa"/>
            <w:tcBorders>
              <w:bottom w:val="nil"/>
            </w:tcBorders>
            <w:shd w:val="clear" w:color="auto" w:fill="A7A9AC"/>
            <w:noWrap/>
            <w:vAlign w:val="bottom"/>
            <w:hideMark/>
          </w:tcPr>
          <w:p w14:paraId="0EA4267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35,179</w:t>
            </w:r>
          </w:p>
        </w:tc>
        <w:tc>
          <w:tcPr>
            <w:tcW w:w="1018" w:type="dxa"/>
            <w:tcBorders>
              <w:bottom w:val="nil"/>
            </w:tcBorders>
            <w:shd w:val="clear" w:color="auto" w:fill="A7A9AC"/>
            <w:noWrap/>
            <w:vAlign w:val="bottom"/>
            <w:hideMark/>
          </w:tcPr>
          <w:p w14:paraId="4A65984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53,022</w:t>
            </w:r>
          </w:p>
        </w:tc>
      </w:tr>
      <w:tr w:rsidR="009028ED" w:rsidRPr="007F6332" w14:paraId="460406B9" w14:textId="77777777" w:rsidTr="00F26AC5">
        <w:trPr>
          <w:trHeight w:val="284"/>
        </w:trPr>
        <w:tc>
          <w:tcPr>
            <w:tcW w:w="5954" w:type="dxa"/>
            <w:tcBorders>
              <w:bottom w:val="nil"/>
            </w:tcBorders>
            <w:shd w:val="clear" w:color="auto" w:fill="A7A9AC"/>
            <w:noWrap/>
            <w:vAlign w:val="bottom"/>
            <w:hideMark/>
          </w:tcPr>
          <w:p w14:paraId="613294B6"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Scenario 2c. 10% p.a. superimposed inflation for 2 years </w:t>
            </w:r>
          </w:p>
        </w:tc>
        <w:tc>
          <w:tcPr>
            <w:tcW w:w="1018" w:type="dxa"/>
            <w:tcBorders>
              <w:bottom w:val="nil"/>
            </w:tcBorders>
            <w:shd w:val="clear" w:color="auto" w:fill="A7A9AC"/>
            <w:noWrap/>
            <w:vAlign w:val="bottom"/>
            <w:hideMark/>
          </w:tcPr>
          <w:p w14:paraId="6C7FFB68"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25,509</w:t>
            </w:r>
          </w:p>
        </w:tc>
        <w:tc>
          <w:tcPr>
            <w:tcW w:w="1018" w:type="dxa"/>
            <w:tcBorders>
              <w:bottom w:val="nil"/>
            </w:tcBorders>
            <w:shd w:val="clear" w:color="auto" w:fill="A7A9AC"/>
            <w:noWrap/>
            <w:vAlign w:val="bottom"/>
            <w:hideMark/>
          </w:tcPr>
          <w:p w14:paraId="04DCB73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36,619</w:t>
            </w:r>
          </w:p>
        </w:tc>
        <w:tc>
          <w:tcPr>
            <w:tcW w:w="1018" w:type="dxa"/>
            <w:tcBorders>
              <w:bottom w:val="nil"/>
            </w:tcBorders>
            <w:shd w:val="clear" w:color="auto" w:fill="A7A9AC"/>
            <w:noWrap/>
            <w:vAlign w:val="bottom"/>
            <w:hideMark/>
          </w:tcPr>
          <w:p w14:paraId="226CE11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50,179</w:t>
            </w:r>
          </w:p>
        </w:tc>
      </w:tr>
      <w:tr w:rsidR="009028ED" w:rsidRPr="007F6332" w14:paraId="42A69062" w14:textId="77777777" w:rsidTr="00F26AC5">
        <w:trPr>
          <w:trHeight w:val="284"/>
        </w:trPr>
        <w:tc>
          <w:tcPr>
            <w:tcW w:w="5954" w:type="dxa"/>
            <w:tcBorders>
              <w:bottom w:val="nil"/>
            </w:tcBorders>
            <w:shd w:val="clear" w:color="auto" w:fill="A7A9AC"/>
            <w:noWrap/>
            <w:vAlign w:val="bottom"/>
            <w:hideMark/>
          </w:tcPr>
          <w:p w14:paraId="2382B91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Scenario 2d. 5% p.a. superimposed inflation for 5 years </w:t>
            </w:r>
          </w:p>
        </w:tc>
        <w:tc>
          <w:tcPr>
            <w:tcW w:w="1018" w:type="dxa"/>
            <w:tcBorders>
              <w:bottom w:val="nil"/>
            </w:tcBorders>
            <w:shd w:val="clear" w:color="auto" w:fill="A7A9AC"/>
            <w:noWrap/>
            <w:vAlign w:val="bottom"/>
            <w:hideMark/>
          </w:tcPr>
          <w:p w14:paraId="690408B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23,897</w:t>
            </w:r>
          </w:p>
        </w:tc>
        <w:tc>
          <w:tcPr>
            <w:tcW w:w="1018" w:type="dxa"/>
            <w:tcBorders>
              <w:bottom w:val="nil"/>
            </w:tcBorders>
            <w:shd w:val="clear" w:color="auto" w:fill="A7A9AC"/>
            <w:noWrap/>
            <w:vAlign w:val="bottom"/>
            <w:hideMark/>
          </w:tcPr>
          <w:p w14:paraId="5AD022E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38,551</w:t>
            </w:r>
          </w:p>
        </w:tc>
        <w:tc>
          <w:tcPr>
            <w:tcW w:w="1018" w:type="dxa"/>
            <w:tcBorders>
              <w:bottom w:val="nil"/>
            </w:tcBorders>
            <w:shd w:val="clear" w:color="auto" w:fill="A7A9AC"/>
            <w:noWrap/>
            <w:vAlign w:val="bottom"/>
            <w:hideMark/>
          </w:tcPr>
          <w:p w14:paraId="7DD72B56"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52,826</w:t>
            </w:r>
          </w:p>
        </w:tc>
      </w:tr>
      <w:tr w:rsidR="009028ED" w:rsidRPr="007F6332" w14:paraId="15B7E483" w14:textId="77777777" w:rsidTr="00F26AC5">
        <w:trPr>
          <w:trHeight w:val="284"/>
        </w:trPr>
        <w:tc>
          <w:tcPr>
            <w:tcW w:w="5954" w:type="dxa"/>
            <w:tcBorders>
              <w:bottom w:val="nil"/>
            </w:tcBorders>
            <w:shd w:val="clear" w:color="auto" w:fill="auto"/>
            <w:noWrap/>
            <w:vAlign w:val="bottom"/>
            <w:hideMark/>
          </w:tcPr>
          <w:p w14:paraId="0AFDC91C"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3a. Increase incidence 0 to 18 by 15%</w:t>
            </w:r>
          </w:p>
        </w:tc>
        <w:tc>
          <w:tcPr>
            <w:tcW w:w="1018" w:type="dxa"/>
            <w:tcBorders>
              <w:bottom w:val="nil"/>
            </w:tcBorders>
            <w:shd w:val="clear" w:color="auto" w:fill="auto"/>
            <w:noWrap/>
            <w:vAlign w:val="bottom"/>
            <w:hideMark/>
          </w:tcPr>
          <w:p w14:paraId="4518F1E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22,345</w:t>
            </w:r>
          </w:p>
        </w:tc>
        <w:tc>
          <w:tcPr>
            <w:tcW w:w="1018" w:type="dxa"/>
            <w:tcBorders>
              <w:bottom w:val="nil"/>
            </w:tcBorders>
            <w:shd w:val="clear" w:color="auto" w:fill="auto"/>
            <w:noWrap/>
            <w:vAlign w:val="bottom"/>
            <w:hideMark/>
          </w:tcPr>
          <w:p w14:paraId="6905876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32,201</w:t>
            </w:r>
          </w:p>
        </w:tc>
        <w:tc>
          <w:tcPr>
            <w:tcW w:w="1018" w:type="dxa"/>
            <w:tcBorders>
              <w:bottom w:val="nil"/>
            </w:tcBorders>
            <w:shd w:val="clear" w:color="auto" w:fill="auto"/>
            <w:noWrap/>
            <w:vAlign w:val="bottom"/>
            <w:hideMark/>
          </w:tcPr>
          <w:p w14:paraId="1429769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44,258</w:t>
            </w:r>
          </w:p>
        </w:tc>
      </w:tr>
      <w:tr w:rsidR="009028ED" w:rsidRPr="007F6332" w14:paraId="519B7949" w14:textId="77777777" w:rsidTr="00F26AC5">
        <w:trPr>
          <w:trHeight w:val="284"/>
        </w:trPr>
        <w:tc>
          <w:tcPr>
            <w:tcW w:w="5954" w:type="dxa"/>
            <w:tcBorders>
              <w:bottom w:val="nil"/>
            </w:tcBorders>
            <w:shd w:val="clear" w:color="auto" w:fill="auto"/>
            <w:noWrap/>
            <w:vAlign w:val="bottom"/>
            <w:hideMark/>
          </w:tcPr>
          <w:p w14:paraId="4AC64503"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3b. Reduce incidence 25+ by 5%</w:t>
            </w:r>
          </w:p>
        </w:tc>
        <w:tc>
          <w:tcPr>
            <w:tcW w:w="1018" w:type="dxa"/>
            <w:tcBorders>
              <w:bottom w:val="nil"/>
            </w:tcBorders>
            <w:shd w:val="clear" w:color="auto" w:fill="auto"/>
            <w:noWrap/>
            <w:vAlign w:val="bottom"/>
            <w:hideMark/>
          </w:tcPr>
          <w:p w14:paraId="3352729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20,662</w:t>
            </w:r>
          </w:p>
        </w:tc>
        <w:tc>
          <w:tcPr>
            <w:tcW w:w="1018" w:type="dxa"/>
            <w:tcBorders>
              <w:bottom w:val="nil"/>
            </w:tcBorders>
            <w:shd w:val="clear" w:color="auto" w:fill="auto"/>
            <w:noWrap/>
            <w:vAlign w:val="bottom"/>
            <w:hideMark/>
          </w:tcPr>
          <w:p w14:paraId="7D03A16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29,676</w:t>
            </w:r>
          </w:p>
        </w:tc>
        <w:tc>
          <w:tcPr>
            <w:tcW w:w="1018" w:type="dxa"/>
            <w:tcBorders>
              <w:bottom w:val="nil"/>
            </w:tcBorders>
            <w:shd w:val="clear" w:color="auto" w:fill="auto"/>
            <w:noWrap/>
            <w:vAlign w:val="bottom"/>
            <w:hideMark/>
          </w:tcPr>
          <w:p w14:paraId="0F552C9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40,695</w:t>
            </w:r>
          </w:p>
        </w:tc>
      </w:tr>
      <w:tr w:rsidR="009028ED" w:rsidRPr="007F6332" w14:paraId="3A64AA36" w14:textId="77777777" w:rsidTr="00F26AC5">
        <w:trPr>
          <w:trHeight w:val="284"/>
        </w:trPr>
        <w:tc>
          <w:tcPr>
            <w:tcW w:w="5954" w:type="dxa"/>
            <w:tcBorders>
              <w:bottom w:val="nil"/>
            </w:tcBorders>
            <w:shd w:val="clear" w:color="auto" w:fill="auto"/>
            <w:noWrap/>
            <w:vAlign w:val="bottom"/>
            <w:hideMark/>
          </w:tcPr>
          <w:p w14:paraId="5488D1B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3c. Combination of 3a. and 3b.</w:t>
            </w:r>
          </w:p>
        </w:tc>
        <w:tc>
          <w:tcPr>
            <w:tcW w:w="1018" w:type="dxa"/>
            <w:tcBorders>
              <w:bottom w:val="nil"/>
            </w:tcBorders>
            <w:shd w:val="clear" w:color="auto" w:fill="auto"/>
            <w:noWrap/>
            <w:vAlign w:val="bottom"/>
            <w:hideMark/>
          </w:tcPr>
          <w:p w14:paraId="1FE23E6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21,766</w:t>
            </w:r>
          </w:p>
        </w:tc>
        <w:tc>
          <w:tcPr>
            <w:tcW w:w="1018" w:type="dxa"/>
            <w:tcBorders>
              <w:bottom w:val="nil"/>
            </w:tcBorders>
            <w:shd w:val="clear" w:color="auto" w:fill="auto"/>
            <w:noWrap/>
            <w:vAlign w:val="bottom"/>
            <w:hideMark/>
          </w:tcPr>
          <w:p w14:paraId="45810F5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31,385</w:t>
            </w:r>
          </w:p>
        </w:tc>
        <w:tc>
          <w:tcPr>
            <w:tcW w:w="1018" w:type="dxa"/>
            <w:tcBorders>
              <w:bottom w:val="nil"/>
            </w:tcBorders>
            <w:shd w:val="clear" w:color="auto" w:fill="auto"/>
            <w:noWrap/>
            <w:vAlign w:val="bottom"/>
            <w:hideMark/>
          </w:tcPr>
          <w:p w14:paraId="03359A1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43,171</w:t>
            </w:r>
          </w:p>
        </w:tc>
      </w:tr>
      <w:tr w:rsidR="009028ED" w:rsidRPr="007F6332" w14:paraId="26554353" w14:textId="77777777" w:rsidTr="00F26AC5">
        <w:trPr>
          <w:trHeight w:val="284"/>
        </w:trPr>
        <w:tc>
          <w:tcPr>
            <w:tcW w:w="5954" w:type="dxa"/>
            <w:tcBorders>
              <w:bottom w:val="nil"/>
            </w:tcBorders>
            <w:shd w:val="clear" w:color="auto" w:fill="A7A9AC"/>
            <w:noWrap/>
            <w:vAlign w:val="bottom"/>
            <w:hideMark/>
          </w:tcPr>
          <w:p w14:paraId="42E2B542"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4a. Halve non-mortality exits ages 0 to 64</w:t>
            </w:r>
          </w:p>
        </w:tc>
        <w:tc>
          <w:tcPr>
            <w:tcW w:w="1018" w:type="dxa"/>
            <w:tcBorders>
              <w:bottom w:val="nil"/>
            </w:tcBorders>
            <w:shd w:val="clear" w:color="auto" w:fill="A7A9AC"/>
            <w:noWrap/>
            <w:vAlign w:val="bottom"/>
            <w:hideMark/>
          </w:tcPr>
          <w:p w14:paraId="0E50751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21,240</w:t>
            </w:r>
          </w:p>
        </w:tc>
        <w:tc>
          <w:tcPr>
            <w:tcW w:w="1018" w:type="dxa"/>
            <w:tcBorders>
              <w:bottom w:val="nil"/>
            </w:tcBorders>
            <w:shd w:val="clear" w:color="auto" w:fill="A7A9AC"/>
            <w:noWrap/>
            <w:vAlign w:val="bottom"/>
            <w:hideMark/>
          </w:tcPr>
          <w:p w14:paraId="3FA83A6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31,315</w:t>
            </w:r>
          </w:p>
        </w:tc>
        <w:tc>
          <w:tcPr>
            <w:tcW w:w="1018" w:type="dxa"/>
            <w:tcBorders>
              <w:bottom w:val="nil"/>
            </w:tcBorders>
            <w:shd w:val="clear" w:color="auto" w:fill="A7A9AC"/>
            <w:noWrap/>
            <w:vAlign w:val="bottom"/>
            <w:hideMark/>
          </w:tcPr>
          <w:p w14:paraId="33D5A630"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44,041</w:t>
            </w:r>
          </w:p>
        </w:tc>
      </w:tr>
      <w:tr w:rsidR="009028ED" w:rsidRPr="007F6332" w14:paraId="60272C25" w14:textId="77777777" w:rsidTr="00F26AC5">
        <w:trPr>
          <w:trHeight w:val="284"/>
        </w:trPr>
        <w:tc>
          <w:tcPr>
            <w:tcW w:w="5954" w:type="dxa"/>
            <w:tcBorders>
              <w:bottom w:val="nil"/>
            </w:tcBorders>
            <w:shd w:val="clear" w:color="auto" w:fill="A7A9AC"/>
            <w:noWrap/>
            <w:vAlign w:val="bottom"/>
            <w:hideMark/>
          </w:tcPr>
          <w:p w14:paraId="3004905C"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4b. Double non-mortality exits for ages 65+</w:t>
            </w:r>
          </w:p>
        </w:tc>
        <w:tc>
          <w:tcPr>
            <w:tcW w:w="1018" w:type="dxa"/>
            <w:tcBorders>
              <w:bottom w:val="nil"/>
            </w:tcBorders>
            <w:shd w:val="clear" w:color="auto" w:fill="A7A9AC"/>
            <w:noWrap/>
            <w:vAlign w:val="bottom"/>
            <w:hideMark/>
          </w:tcPr>
          <w:p w14:paraId="3A22DEA8"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21,237</w:t>
            </w:r>
          </w:p>
        </w:tc>
        <w:tc>
          <w:tcPr>
            <w:tcW w:w="1018" w:type="dxa"/>
            <w:tcBorders>
              <w:bottom w:val="nil"/>
            </w:tcBorders>
            <w:shd w:val="clear" w:color="auto" w:fill="A7A9AC"/>
            <w:noWrap/>
            <w:vAlign w:val="bottom"/>
            <w:hideMark/>
          </w:tcPr>
          <w:p w14:paraId="66C4A69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30,434</w:t>
            </w:r>
          </w:p>
        </w:tc>
        <w:tc>
          <w:tcPr>
            <w:tcW w:w="1018" w:type="dxa"/>
            <w:tcBorders>
              <w:bottom w:val="nil"/>
            </w:tcBorders>
            <w:shd w:val="clear" w:color="auto" w:fill="A7A9AC"/>
            <w:noWrap/>
            <w:vAlign w:val="bottom"/>
            <w:hideMark/>
          </w:tcPr>
          <w:p w14:paraId="2137438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41,532</w:t>
            </w:r>
          </w:p>
        </w:tc>
      </w:tr>
      <w:tr w:rsidR="009028ED" w:rsidRPr="007F6332" w14:paraId="7ECC2EE5" w14:textId="77777777" w:rsidTr="00F26AC5">
        <w:trPr>
          <w:trHeight w:val="284"/>
        </w:trPr>
        <w:tc>
          <w:tcPr>
            <w:tcW w:w="5954" w:type="dxa"/>
            <w:tcBorders>
              <w:bottom w:val="nil"/>
            </w:tcBorders>
            <w:shd w:val="clear" w:color="auto" w:fill="A7A9AC"/>
            <w:noWrap/>
            <w:vAlign w:val="bottom"/>
            <w:hideMark/>
          </w:tcPr>
          <w:p w14:paraId="59D582EC"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4c. Increase excess mortality by 50%</w:t>
            </w:r>
          </w:p>
        </w:tc>
        <w:tc>
          <w:tcPr>
            <w:tcW w:w="1018" w:type="dxa"/>
            <w:tcBorders>
              <w:bottom w:val="nil"/>
            </w:tcBorders>
            <w:shd w:val="clear" w:color="auto" w:fill="A7A9AC"/>
            <w:noWrap/>
            <w:vAlign w:val="bottom"/>
            <w:hideMark/>
          </w:tcPr>
          <w:p w14:paraId="6F0C7EC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21,168</w:t>
            </w:r>
          </w:p>
        </w:tc>
        <w:tc>
          <w:tcPr>
            <w:tcW w:w="1018" w:type="dxa"/>
            <w:tcBorders>
              <w:bottom w:val="nil"/>
            </w:tcBorders>
            <w:shd w:val="clear" w:color="auto" w:fill="A7A9AC"/>
            <w:noWrap/>
            <w:vAlign w:val="bottom"/>
            <w:hideMark/>
          </w:tcPr>
          <w:p w14:paraId="4D67CF50"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30,017</w:t>
            </w:r>
          </w:p>
        </w:tc>
        <w:tc>
          <w:tcPr>
            <w:tcW w:w="1018" w:type="dxa"/>
            <w:tcBorders>
              <w:bottom w:val="nil"/>
            </w:tcBorders>
            <w:shd w:val="clear" w:color="auto" w:fill="A7A9AC"/>
            <w:noWrap/>
            <w:vAlign w:val="bottom"/>
            <w:hideMark/>
          </w:tcPr>
          <w:p w14:paraId="22890D3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40,583</w:t>
            </w:r>
          </w:p>
        </w:tc>
      </w:tr>
      <w:tr w:rsidR="009028ED" w:rsidRPr="007F6332" w14:paraId="356770B2" w14:textId="77777777" w:rsidTr="00F26AC5">
        <w:trPr>
          <w:trHeight w:val="284"/>
        </w:trPr>
        <w:tc>
          <w:tcPr>
            <w:tcW w:w="5954" w:type="dxa"/>
            <w:tcBorders>
              <w:bottom w:val="nil"/>
            </w:tcBorders>
            <w:shd w:val="clear" w:color="auto" w:fill="A7A9AC"/>
            <w:noWrap/>
            <w:vAlign w:val="bottom"/>
            <w:hideMark/>
          </w:tcPr>
          <w:p w14:paraId="7A30116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4d. Reduce excess mortality by 50%</w:t>
            </w:r>
          </w:p>
        </w:tc>
        <w:tc>
          <w:tcPr>
            <w:tcW w:w="1018" w:type="dxa"/>
            <w:tcBorders>
              <w:bottom w:val="nil"/>
            </w:tcBorders>
            <w:shd w:val="clear" w:color="auto" w:fill="A7A9AC"/>
            <w:noWrap/>
            <w:vAlign w:val="bottom"/>
            <w:hideMark/>
          </w:tcPr>
          <w:p w14:paraId="2119AE1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21,252</w:t>
            </w:r>
          </w:p>
        </w:tc>
        <w:tc>
          <w:tcPr>
            <w:tcW w:w="1018" w:type="dxa"/>
            <w:tcBorders>
              <w:bottom w:val="nil"/>
            </w:tcBorders>
            <w:shd w:val="clear" w:color="auto" w:fill="A7A9AC"/>
            <w:noWrap/>
            <w:vAlign w:val="bottom"/>
            <w:hideMark/>
          </w:tcPr>
          <w:p w14:paraId="7139397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30,899</w:t>
            </w:r>
          </w:p>
        </w:tc>
        <w:tc>
          <w:tcPr>
            <w:tcW w:w="1018" w:type="dxa"/>
            <w:tcBorders>
              <w:bottom w:val="nil"/>
            </w:tcBorders>
            <w:shd w:val="clear" w:color="auto" w:fill="A7A9AC"/>
            <w:noWrap/>
            <w:vAlign w:val="bottom"/>
            <w:hideMark/>
          </w:tcPr>
          <w:p w14:paraId="3B5E8D8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42,984</w:t>
            </w:r>
          </w:p>
        </w:tc>
      </w:tr>
      <w:tr w:rsidR="009028ED" w:rsidRPr="007F6332" w14:paraId="5E86836B" w14:textId="77777777" w:rsidTr="00F26AC5">
        <w:trPr>
          <w:trHeight w:val="284"/>
        </w:trPr>
        <w:tc>
          <w:tcPr>
            <w:tcW w:w="5954" w:type="dxa"/>
            <w:tcBorders>
              <w:bottom w:val="nil"/>
            </w:tcBorders>
            <w:shd w:val="clear" w:color="auto" w:fill="auto"/>
            <w:noWrap/>
            <w:vAlign w:val="bottom"/>
            <w:hideMark/>
          </w:tcPr>
          <w:p w14:paraId="5C5B268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5a. 5% of new incidence to highest LoF</w:t>
            </w:r>
          </w:p>
        </w:tc>
        <w:tc>
          <w:tcPr>
            <w:tcW w:w="1018" w:type="dxa"/>
            <w:tcBorders>
              <w:bottom w:val="nil"/>
            </w:tcBorders>
            <w:shd w:val="clear" w:color="auto" w:fill="auto"/>
            <w:noWrap/>
            <w:vAlign w:val="bottom"/>
            <w:hideMark/>
          </w:tcPr>
          <w:p w14:paraId="2FE2801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21,240</w:t>
            </w:r>
          </w:p>
        </w:tc>
        <w:tc>
          <w:tcPr>
            <w:tcW w:w="1018" w:type="dxa"/>
            <w:tcBorders>
              <w:bottom w:val="nil"/>
            </w:tcBorders>
            <w:shd w:val="clear" w:color="auto" w:fill="auto"/>
            <w:noWrap/>
            <w:vAlign w:val="bottom"/>
            <w:hideMark/>
          </w:tcPr>
          <w:p w14:paraId="1F587A7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31,154</w:t>
            </w:r>
          </w:p>
        </w:tc>
        <w:tc>
          <w:tcPr>
            <w:tcW w:w="1018" w:type="dxa"/>
            <w:tcBorders>
              <w:bottom w:val="nil"/>
            </w:tcBorders>
            <w:shd w:val="clear" w:color="auto" w:fill="auto"/>
            <w:noWrap/>
            <w:vAlign w:val="bottom"/>
            <w:hideMark/>
          </w:tcPr>
          <w:p w14:paraId="205E58E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43,486</w:t>
            </w:r>
          </w:p>
        </w:tc>
      </w:tr>
      <w:tr w:rsidR="009028ED" w:rsidRPr="007F6332" w14:paraId="0A6E7F66" w14:textId="77777777" w:rsidTr="00F26AC5">
        <w:trPr>
          <w:trHeight w:val="284"/>
        </w:trPr>
        <w:tc>
          <w:tcPr>
            <w:tcW w:w="5954" w:type="dxa"/>
            <w:tcBorders>
              <w:bottom w:val="nil"/>
            </w:tcBorders>
            <w:shd w:val="clear" w:color="auto" w:fill="auto"/>
            <w:noWrap/>
            <w:vAlign w:val="bottom"/>
            <w:hideMark/>
          </w:tcPr>
          <w:p w14:paraId="696C7B5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5b. 5% of starting population to highest LoF</w:t>
            </w:r>
          </w:p>
        </w:tc>
        <w:tc>
          <w:tcPr>
            <w:tcW w:w="1018" w:type="dxa"/>
            <w:tcBorders>
              <w:bottom w:val="nil"/>
            </w:tcBorders>
            <w:shd w:val="clear" w:color="auto" w:fill="auto"/>
            <w:noWrap/>
            <w:vAlign w:val="bottom"/>
            <w:hideMark/>
          </w:tcPr>
          <w:p w14:paraId="01C549F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25,216</w:t>
            </w:r>
          </w:p>
        </w:tc>
        <w:tc>
          <w:tcPr>
            <w:tcW w:w="1018" w:type="dxa"/>
            <w:tcBorders>
              <w:bottom w:val="nil"/>
            </w:tcBorders>
            <w:shd w:val="clear" w:color="auto" w:fill="auto"/>
            <w:noWrap/>
            <w:vAlign w:val="bottom"/>
            <w:hideMark/>
          </w:tcPr>
          <w:p w14:paraId="08B2945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35,449</w:t>
            </w:r>
          </w:p>
        </w:tc>
        <w:tc>
          <w:tcPr>
            <w:tcW w:w="1018" w:type="dxa"/>
            <w:tcBorders>
              <w:bottom w:val="nil"/>
            </w:tcBorders>
            <w:shd w:val="clear" w:color="auto" w:fill="auto"/>
            <w:noWrap/>
            <w:vAlign w:val="bottom"/>
            <w:hideMark/>
          </w:tcPr>
          <w:p w14:paraId="45F2B09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47,576</w:t>
            </w:r>
          </w:p>
        </w:tc>
      </w:tr>
      <w:tr w:rsidR="009028ED" w:rsidRPr="007F6332" w14:paraId="35A88827" w14:textId="77777777" w:rsidTr="00F26AC5">
        <w:trPr>
          <w:trHeight w:val="284"/>
        </w:trPr>
        <w:tc>
          <w:tcPr>
            <w:tcW w:w="5954" w:type="dxa"/>
            <w:tcBorders>
              <w:bottom w:val="nil"/>
            </w:tcBorders>
            <w:shd w:val="clear" w:color="auto" w:fill="auto"/>
            <w:noWrap/>
            <w:vAlign w:val="bottom"/>
            <w:hideMark/>
          </w:tcPr>
          <w:p w14:paraId="4C1A26B9"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5c. Combination of 5a. and 5b.</w:t>
            </w:r>
          </w:p>
        </w:tc>
        <w:tc>
          <w:tcPr>
            <w:tcW w:w="1018" w:type="dxa"/>
            <w:tcBorders>
              <w:bottom w:val="nil"/>
            </w:tcBorders>
            <w:shd w:val="clear" w:color="auto" w:fill="auto"/>
            <w:noWrap/>
            <w:vAlign w:val="bottom"/>
            <w:hideMark/>
          </w:tcPr>
          <w:p w14:paraId="224C69A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25,216</w:t>
            </w:r>
          </w:p>
        </w:tc>
        <w:tc>
          <w:tcPr>
            <w:tcW w:w="1018" w:type="dxa"/>
            <w:tcBorders>
              <w:bottom w:val="nil"/>
            </w:tcBorders>
            <w:shd w:val="clear" w:color="auto" w:fill="auto"/>
            <w:noWrap/>
            <w:vAlign w:val="bottom"/>
            <w:hideMark/>
          </w:tcPr>
          <w:p w14:paraId="687E6C28"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36,112</w:t>
            </w:r>
          </w:p>
        </w:tc>
        <w:tc>
          <w:tcPr>
            <w:tcW w:w="1018" w:type="dxa"/>
            <w:tcBorders>
              <w:bottom w:val="nil"/>
            </w:tcBorders>
            <w:shd w:val="clear" w:color="auto" w:fill="auto"/>
            <w:noWrap/>
            <w:vAlign w:val="bottom"/>
            <w:hideMark/>
          </w:tcPr>
          <w:p w14:paraId="55082CB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49,279</w:t>
            </w:r>
          </w:p>
        </w:tc>
      </w:tr>
      <w:tr w:rsidR="009028ED" w:rsidRPr="007F6332" w14:paraId="14DD27B9" w14:textId="77777777" w:rsidTr="00F26AC5">
        <w:trPr>
          <w:trHeight w:val="284"/>
        </w:trPr>
        <w:tc>
          <w:tcPr>
            <w:tcW w:w="5954" w:type="dxa"/>
            <w:tcBorders>
              <w:bottom w:val="nil"/>
            </w:tcBorders>
            <w:shd w:val="clear" w:color="auto" w:fill="A7A9AC"/>
            <w:noWrap/>
            <w:vAlign w:val="bottom"/>
            <w:hideMark/>
          </w:tcPr>
          <w:p w14:paraId="1D7C1CE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6a. Increase SSA Numbers by 10%</w:t>
            </w:r>
          </w:p>
        </w:tc>
        <w:tc>
          <w:tcPr>
            <w:tcW w:w="1018" w:type="dxa"/>
            <w:tcBorders>
              <w:bottom w:val="nil"/>
            </w:tcBorders>
            <w:shd w:val="clear" w:color="auto" w:fill="A7A9AC"/>
            <w:noWrap/>
            <w:vAlign w:val="bottom"/>
            <w:hideMark/>
          </w:tcPr>
          <w:p w14:paraId="3D6EAB5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20,970</w:t>
            </w:r>
          </w:p>
        </w:tc>
        <w:tc>
          <w:tcPr>
            <w:tcW w:w="1018" w:type="dxa"/>
            <w:tcBorders>
              <w:bottom w:val="nil"/>
            </w:tcBorders>
            <w:shd w:val="clear" w:color="auto" w:fill="A7A9AC"/>
            <w:noWrap/>
            <w:vAlign w:val="bottom"/>
            <w:hideMark/>
          </w:tcPr>
          <w:p w14:paraId="59B0942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29,684</w:t>
            </w:r>
          </w:p>
        </w:tc>
        <w:tc>
          <w:tcPr>
            <w:tcW w:w="1018" w:type="dxa"/>
            <w:tcBorders>
              <w:bottom w:val="nil"/>
            </w:tcBorders>
            <w:shd w:val="clear" w:color="auto" w:fill="A7A9AC"/>
            <w:noWrap/>
            <w:vAlign w:val="bottom"/>
            <w:hideMark/>
          </w:tcPr>
          <w:p w14:paraId="6631858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39,818</w:t>
            </w:r>
          </w:p>
        </w:tc>
      </w:tr>
      <w:tr w:rsidR="009028ED" w:rsidRPr="007F6332" w14:paraId="4EACD67D" w14:textId="77777777" w:rsidTr="00F26AC5">
        <w:trPr>
          <w:trHeight w:val="284"/>
        </w:trPr>
        <w:tc>
          <w:tcPr>
            <w:tcW w:w="5954" w:type="dxa"/>
            <w:tcBorders>
              <w:bottom w:val="nil"/>
            </w:tcBorders>
            <w:shd w:val="clear" w:color="auto" w:fill="A7A9AC"/>
            <w:noWrap/>
            <w:vAlign w:val="bottom"/>
            <w:hideMark/>
          </w:tcPr>
          <w:p w14:paraId="0349B236"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6b. Increase SSA average cost by 25%</w:t>
            </w:r>
          </w:p>
        </w:tc>
        <w:tc>
          <w:tcPr>
            <w:tcW w:w="1018" w:type="dxa"/>
            <w:tcBorders>
              <w:bottom w:val="nil"/>
            </w:tcBorders>
            <w:shd w:val="clear" w:color="auto" w:fill="A7A9AC"/>
            <w:noWrap/>
            <w:vAlign w:val="bottom"/>
            <w:hideMark/>
          </w:tcPr>
          <w:p w14:paraId="3D46787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21,822</w:t>
            </w:r>
          </w:p>
        </w:tc>
        <w:tc>
          <w:tcPr>
            <w:tcW w:w="1018" w:type="dxa"/>
            <w:tcBorders>
              <w:bottom w:val="nil"/>
            </w:tcBorders>
            <w:shd w:val="clear" w:color="auto" w:fill="A7A9AC"/>
            <w:noWrap/>
            <w:vAlign w:val="bottom"/>
            <w:hideMark/>
          </w:tcPr>
          <w:p w14:paraId="5388459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30,939</w:t>
            </w:r>
          </w:p>
        </w:tc>
        <w:tc>
          <w:tcPr>
            <w:tcW w:w="1018" w:type="dxa"/>
            <w:tcBorders>
              <w:bottom w:val="nil"/>
            </w:tcBorders>
            <w:shd w:val="clear" w:color="auto" w:fill="A7A9AC"/>
            <w:noWrap/>
            <w:vAlign w:val="bottom"/>
            <w:hideMark/>
          </w:tcPr>
          <w:p w14:paraId="2DE1E8C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41,570</w:t>
            </w:r>
          </w:p>
        </w:tc>
      </w:tr>
      <w:tr w:rsidR="009028ED" w:rsidRPr="007F6332" w14:paraId="69B57CD6" w14:textId="77777777" w:rsidTr="00F26AC5">
        <w:trPr>
          <w:trHeight w:val="284"/>
        </w:trPr>
        <w:tc>
          <w:tcPr>
            <w:tcW w:w="5954" w:type="dxa"/>
            <w:tcBorders>
              <w:bottom w:val="nil"/>
            </w:tcBorders>
            <w:shd w:val="clear" w:color="auto" w:fill="A7A9AC"/>
            <w:noWrap/>
            <w:vAlign w:val="bottom"/>
            <w:hideMark/>
          </w:tcPr>
          <w:p w14:paraId="57AD6754"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6c. Combination of 6a. and 6b.</w:t>
            </w:r>
          </w:p>
        </w:tc>
        <w:tc>
          <w:tcPr>
            <w:tcW w:w="1018" w:type="dxa"/>
            <w:tcBorders>
              <w:bottom w:val="nil"/>
            </w:tcBorders>
            <w:shd w:val="clear" w:color="auto" w:fill="A7A9AC"/>
            <w:noWrap/>
            <w:vAlign w:val="bottom"/>
            <w:hideMark/>
          </w:tcPr>
          <w:p w14:paraId="3261ED4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22,495</w:t>
            </w:r>
          </w:p>
        </w:tc>
        <w:tc>
          <w:tcPr>
            <w:tcW w:w="1018" w:type="dxa"/>
            <w:tcBorders>
              <w:bottom w:val="nil"/>
            </w:tcBorders>
            <w:shd w:val="clear" w:color="auto" w:fill="A7A9AC"/>
            <w:noWrap/>
            <w:vAlign w:val="bottom"/>
            <w:hideMark/>
          </w:tcPr>
          <w:p w14:paraId="71D804D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31,880</w:t>
            </w:r>
          </w:p>
        </w:tc>
        <w:tc>
          <w:tcPr>
            <w:tcW w:w="1018" w:type="dxa"/>
            <w:tcBorders>
              <w:bottom w:val="nil"/>
            </w:tcBorders>
            <w:shd w:val="clear" w:color="auto" w:fill="A7A9AC"/>
            <w:noWrap/>
            <w:vAlign w:val="bottom"/>
            <w:hideMark/>
          </w:tcPr>
          <w:p w14:paraId="073DD23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42,796</w:t>
            </w:r>
          </w:p>
        </w:tc>
      </w:tr>
      <w:tr w:rsidR="009028ED" w:rsidRPr="007F6332" w14:paraId="234E743B" w14:textId="77777777" w:rsidTr="00F26AC5">
        <w:trPr>
          <w:trHeight w:val="284"/>
        </w:trPr>
        <w:tc>
          <w:tcPr>
            <w:tcW w:w="5954" w:type="dxa"/>
            <w:tcBorders>
              <w:bottom w:val="nil"/>
            </w:tcBorders>
            <w:shd w:val="clear" w:color="auto" w:fill="auto"/>
            <w:noWrap/>
            <w:vAlign w:val="bottom"/>
            <w:hideMark/>
          </w:tcPr>
          <w:p w14:paraId="7283122E" w14:textId="2064A3CD"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Scenario 7a. Remove </w:t>
            </w:r>
            <w:r w:rsidR="00F27331" w:rsidRPr="007F6332">
              <w:rPr>
                <w:rFonts w:eastAsia="Times New Roman" w:cs="Arial"/>
                <w:color w:val="000000"/>
                <w:szCs w:val="22"/>
                <w:lang w:eastAsia="en-AU"/>
              </w:rPr>
              <w:t>age-based</w:t>
            </w:r>
            <w:r w:rsidRPr="007F6332">
              <w:rPr>
                <w:rFonts w:eastAsia="Times New Roman" w:cs="Arial"/>
                <w:color w:val="000000"/>
                <w:szCs w:val="22"/>
                <w:lang w:eastAsia="en-AU"/>
              </w:rPr>
              <w:t xml:space="preserve"> loadings for 65+</w:t>
            </w:r>
          </w:p>
        </w:tc>
        <w:tc>
          <w:tcPr>
            <w:tcW w:w="1018" w:type="dxa"/>
            <w:tcBorders>
              <w:bottom w:val="nil"/>
            </w:tcBorders>
            <w:shd w:val="clear" w:color="auto" w:fill="auto"/>
            <w:noWrap/>
            <w:vAlign w:val="bottom"/>
            <w:hideMark/>
          </w:tcPr>
          <w:p w14:paraId="295D52E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21,176</w:t>
            </w:r>
          </w:p>
        </w:tc>
        <w:tc>
          <w:tcPr>
            <w:tcW w:w="1018" w:type="dxa"/>
            <w:tcBorders>
              <w:bottom w:val="nil"/>
            </w:tcBorders>
            <w:shd w:val="clear" w:color="auto" w:fill="auto"/>
            <w:noWrap/>
            <w:vAlign w:val="bottom"/>
            <w:hideMark/>
          </w:tcPr>
          <w:p w14:paraId="7C41C91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30,068</w:t>
            </w:r>
          </w:p>
        </w:tc>
        <w:tc>
          <w:tcPr>
            <w:tcW w:w="1018" w:type="dxa"/>
            <w:tcBorders>
              <w:bottom w:val="nil"/>
            </w:tcBorders>
            <w:shd w:val="clear" w:color="auto" w:fill="auto"/>
            <w:noWrap/>
            <w:vAlign w:val="bottom"/>
            <w:hideMark/>
          </w:tcPr>
          <w:p w14:paraId="02CD915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40,729</w:t>
            </w:r>
          </w:p>
        </w:tc>
      </w:tr>
      <w:tr w:rsidR="009028ED" w:rsidRPr="007F6332" w14:paraId="5499185F" w14:textId="77777777" w:rsidTr="00F26AC5">
        <w:trPr>
          <w:trHeight w:val="284"/>
        </w:trPr>
        <w:tc>
          <w:tcPr>
            <w:tcW w:w="5954" w:type="dxa"/>
            <w:tcBorders>
              <w:bottom w:val="single" w:sz="4" w:space="0" w:color="auto"/>
            </w:tcBorders>
            <w:shd w:val="clear" w:color="auto" w:fill="A7A9AC"/>
            <w:noWrap/>
            <w:vAlign w:val="bottom"/>
            <w:hideMark/>
          </w:tcPr>
          <w:p w14:paraId="13CDADF1"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10a. Exclude GI/MM from NIIS</w:t>
            </w:r>
          </w:p>
        </w:tc>
        <w:tc>
          <w:tcPr>
            <w:tcW w:w="1018" w:type="dxa"/>
            <w:tcBorders>
              <w:bottom w:val="single" w:sz="4" w:space="0" w:color="auto"/>
            </w:tcBorders>
            <w:shd w:val="clear" w:color="auto" w:fill="A7A9AC"/>
            <w:noWrap/>
            <w:vAlign w:val="bottom"/>
            <w:hideMark/>
          </w:tcPr>
          <w:p w14:paraId="5496AB00"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21,240</w:t>
            </w:r>
          </w:p>
        </w:tc>
        <w:tc>
          <w:tcPr>
            <w:tcW w:w="1018" w:type="dxa"/>
            <w:tcBorders>
              <w:bottom w:val="single" w:sz="4" w:space="0" w:color="auto"/>
            </w:tcBorders>
            <w:shd w:val="clear" w:color="auto" w:fill="A7A9AC"/>
            <w:noWrap/>
            <w:vAlign w:val="bottom"/>
            <w:hideMark/>
          </w:tcPr>
          <w:p w14:paraId="332AFE8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30,492</w:t>
            </w:r>
          </w:p>
        </w:tc>
        <w:tc>
          <w:tcPr>
            <w:tcW w:w="1018" w:type="dxa"/>
            <w:tcBorders>
              <w:bottom w:val="single" w:sz="4" w:space="0" w:color="auto"/>
            </w:tcBorders>
            <w:shd w:val="clear" w:color="auto" w:fill="A7A9AC"/>
            <w:noWrap/>
            <w:vAlign w:val="bottom"/>
            <w:hideMark/>
          </w:tcPr>
          <w:p w14:paraId="137397F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41,783</w:t>
            </w:r>
          </w:p>
        </w:tc>
      </w:tr>
    </w:tbl>
    <w:p w14:paraId="1048DF36" w14:textId="65FBD498" w:rsidR="009028ED" w:rsidRPr="007F6332" w:rsidRDefault="009028ED" w:rsidP="00F41A57">
      <w:pPr>
        <w:pStyle w:val="FiguresandTablesHeading5"/>
        <w:rPr>
          <w:rFonts w:eastAsiaTheme="minorHAnsi"/>
          <w:lang w:eastAsia="en-US"/>
        </w:rPr>
      </w:pPr>
      <w:r w:rsidRPr="007F6332">
        <w:rPr>
          <w:rFonts w:eastAsiaTheme="minorHAnsi"/>
          <w:lang w:eastAsia="en-US"/>
        </w:rPr>
        <w:t xml:space="preserve">Table </w:t>
      </w:r>
      <w:r w:rsidR="00A12E65" w:rsidRPr="007F6332">
        <w:rPr>
          <w:rFonts w:eastAsiaTheme="minorHAnsi"/>
          <w:lang w:eastAsia="en-US"/>
        </w:rPr>
        <w:t>L</w:t>
      </w:r>
      <w:r w:rsidRPr="007F6332">
        <w:rPr>
          <w:rFonts w:eastAsiaTheme="minorHAnsi"/>
          <w:lang w:eastAsia="en-US"/>
        </w:rPr>
        <w:t>.2: 2017-18 AFSR scenarios</w:t>
      </w:r>
    </w:p>
    <w:tbl>
      <w:tblPr>
        <w:tblW w:w="9049" w:type="dxa"/>
        <w:tblLook w:val="04A0" w:firstRow="1" w:lastRow="0" w:firstColumn="1" w:lastColumn="0" w:noHBand="0" w:noVBand="1"/>
      </w:tblPr>
      <w:tblGrid>
        <w:gridCol w:w="461"/>
        <w:gridCol w:w="5493"/>
        <w:gridCol w:w="283"/>
        <w:gridCol w:w="138"/>
        <w:gridCol w:w="785"/>
        <w:gridCol w:w="889"/>
        <w:gridCol w:w="111"/>
        <w:gridCol w:w="889"/>
      </w:tblGrid>
      <w:tr w:rsidR="009028ED" w:rsidRPr="007F6332" w14:paraId="2559FB47" w14:textId="77777777" w:rsidTr="00F26AC5">
        <w:trPr>
          <w:trHeight w:val="284"/>
        </w:trPr>
        <w:tc>
          <w:tcPr>
            <w:tcW w:w="5954" w:type="dxa"/>
            <w:gridSpan w:val="2"/>
            <w:shd w:val="clear" w:color="auto" w:fill="6B2976"/>
            <w:noWrap/>
            <w:vAlign w:val="center"/>
            <w:hideMark/>
          </w:tcPr>
          <w:p w14:paraId="56A7E745" w14:textId="77777777" w:rsidR="009028ED" w:rsidRPr="007F6332" w:rsidRDefault="009028ED" w:rsidP="006C7E97">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Total participant costs ($m)</w:t>
            </w:r>
          </w:p>
        </w:tc>
        <w:tc>
          <w:tcPr>
            <w:tcW w:w="1206" w:type="dxa"/>
            <w:gridSpan w:val="3"/>
            <w:shd w:val="clear" w:color="auto" w:fill="6B2976"/>
            <w:noWrap/>
            <w:vAlign w:val="center"/>
            <w:hideMark/>
          </w:tcPr>
          <w:p w14:paraId="026014F1" w14:textId="77777777" w:rsidR="009028ED" w:rsidRPr="007F6332" w:rsidRDefault="009028ED"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2019-20</w:t>
            </w:r>
          </w:p>
        </w:tc>
        <w:tc>
          <w:tcPr>
            <w:tcW w:w="889" w:type="dxa"/>
            <w:shd w:val="clear" w:color="auto" w:fill="6B2976"/>
            <w:noWrap/>
            <w:vAlign w:val="center"/>
            <w:hideMark/>
          </w:tcPr>
          <w:p w14:paraId="3B1010FB" w14:textId="77777777" w:rsidR="009028ED" w:rsidRPr="007F6332" w:rsidRDefault="009028ED" w:rsidP="006C7E97">
            <w:pPr>
              <w:spacing w:after="0" w:line="240" w:lineRule="auto"/>
              <w:ind w:left="-320" w:right="-139"/>
              <w:jc w:val="center"/>
              <w:rPr>
                <w:rFonts w:eastAsia="Times New Roman" w:cs="Arial"/>
                <w:b/>
                <w:bCs/>
                <w:color w:val="FFFFFF"/>
                <w:szCs w:val="22"/>
                <w:lang w:eastAsia="en-AU"/>
              </w:rPr>
            </w:pPr>
            <w:r w:rsidRPr="007F6332">
              <w:rPr>
                <w:rFonts w:eastAsia="Times New Roman" w:cs="Arial"/>
                <w:b/>
                <w:bCs/>
                <w:color w:val="FFFFFF"/>
                <w:szCs w:val="22"/>
                <w:lang w:eastAsia="en-AU"/>
              </w:rPr>
              <w:t xml:space="preserve">   2024-25    </w:t>
            </w:r>
          </w:p>
        </w:tc>
        <w:tc>
          <w:tcPr>
            <w:tcW w:w="1000" w:type="dxa"/>
            <w:gridSpan w:val="2"/>
            <w:shd w:val="clear" w:color="auto" w:fill="6B2976"/>
            <w:noWrap/>
            <w:vAlign w:val="center"/>
            <w:hideMark/>
          </w:tcPr>
          <w:p w14:paraId="72684633" w14:textId="77777777" w:rsidR="009028ED" w:rsidRPr="007F6332" w:rsidRDefault="009028ED" w:rsidP="006C7E97">
            <w:pPr>
              <w:spacing w:after="0" w:line="240" w:lineRule="auto"/>
              <w:ind w:left="-108" w:right="-68"/>
              <w:jc w:val="right"/>
              <w:rPr>
                <w:rFonts w:eastAsia="Times New Roman" w:cs="Arial"/>
                <w:b/>
                <w:bCs/>
                <w:color w:val="FFFFFF"/>
                <w:szCs w:val="22"/>
                <w:lang w:eastAsia="en-AU"/>
              </w:rPr>
            </w:pPr>
            <w:r w:rsidRPr="007F6332">
              <w:rPr>
                <w:rFonts w:eastAsia="Times New Roman" w:cs="Arial"/>
                <w:b/>
                <w:bCs/>
                <w:color w:val="FFFFFF"/>
                <w:szCs w:val="22"/>
                <w:lang w:eastAsia="en-AU"/>
              </w:rPr>
              <w:t>2029-30</w:t>
            </w:r>
          </w:p>
        </w:tc>
      </w:tr>
      <w:tr w:rsidR="009028ED" w:rsidRPr="007F6332" w14:paraId="55D76118" w14:textId="77777777" w:rsidTr="00F26AC5">
        <w:trPr>
          <w:trHeight w:val="284"/>
        </w:trPr>
        <w:tc>
          <w:tcPr>
            <w:tcW w:w="6375" w:type="dxa"/>
            <w:gridSpan w:val="4"/>
            <w:tcBorders>
              <w:top w:val="nil"/>
              <w:left w:val="nil"/>
              <w:right w:val="nil"/>
            </w:tcBorders>
            <w:shd w:val="clear" w:color="auto" w:fill="B799B4"/>
            <w:noWrap/>
            <w:vAlign w:val="bottom"/>
            <w:hideMark/>
          </w:tcPr>
          <w:p w14:paraId="0809AA3D"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 2017-18 Baseline</w:t>
            </w:r>
          </w:p>
        </w:tc>
        <w:tc>
          <w:tcPr>
            <w:tcW w:w="785" w:type="dxa"/>
            <w:tcBorders>
              <w:top w:val="nil"/>
              <w:left w:val="nil"/>
              <w:right w:val="nil"/>
            </w:tcBorders>
            <w:shd w:val="clear" w:color="auto" w:fill="B799B4"/>
            <w:noWrap/>
            <w:vAlign w:val="bottom"/>
            <w:hideMark/>
          </w:tcPr>
          <w:p w14:paraId="75D498A9" w14:textId="77777777" w:rsidR="009028ED" w:rsidRPr="007F6332" w:rsidRDefault="009028ED" w:rsidP="006C7E97">
            <w:pPr>
              <w:spacing w:after="0" w:line="240" w:lineRule="auto"/>
              <w:ind w:left="-108"/>
              <w:jc w:val="right"/>
              <w:rPr>
                <w:rFonts w:eastAsia="Times New Roman" w:cs="Arial"/>
                <w:b/>
                <w:bCs/>
                <w:color w:val="000000"/>
                <w:szCs w:val="22"/>
                <w:lang w:eastAsia="en-AU"/>
              </w:rPr>
            </w:pPr>
            <w:r w:rsidRPr="007F6332">
              <w:rPr>
                <w:rFonts w:eastAsia="Times New Roman" w:cs="Arial"/>
                <w:b/>
                <w:bCs/>
                <w:color w:val="000000"/>
                <w:szCs w:val="22"/>
                <w:lang w:eastAsia="en-AU"/>
              </w:rPr>
              <w:t>15,638</w:t>
            </w:r>
          </w:p>
        </w:tc>
        <w:tc>
          <w:tcPr>
            <w:tcW w:w="889" w:type="dxa"/>
            <w:tcBorders>
              <w:top w:val="nil"/>
              <w:left w:val="nil"/>
              <w:right w:val="nil"/>
            </w:tcBorders>
            <w:shd w:val="clear" w:color="auto" w:fill="B799B4"/>
            <w:noWrap/>
            <w:vAlign w:val="bottom"/>
            <w:hideMark/>
          </w:tcPr>
          <w:p w14:paraId="77F17591" w14:textId="77777777" w:rsidR="009028ED" w:rsidRPr="007F6332" w:rsidRDefault="009028ED"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31,715</w:t>
            </w:r>
          </w:p>
        </w:tc>
        <w:tc>
          <w:tcPr>
            <w:tcW w:w="1000" w:type="dxa"/>
            <w:gridSpan w:val="2"/>
            <w:tcBorders>
              <w:top w:val="nil"/>
              <w:left w:val="nil"/>
              <w:right w:val="nil"/>
            </w:tcBorders>
            <w:shd w:val="clear" w:color="auto" w:fill="B799B4"/>
            <w:noWrap/>
            <w:vAlign w:val="bottom"/>
            <w:hideMark/>
          </w:tcPr>
          <w:p w14:paraId="0538245B" w14:textId="77777777" w:rsidR="009028ED" w:rsidRPr="007F6332" w:rsidRDefault="009028ED"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44,395</w:t>
            </w:r>
          </w:p>
        </w:tc>
      </w:tr>
      <w:tr w:rsidR="009028ED" w:rsidRPr="007F6332" w14:paraId="05622C2B" w14:textId="77777777" w:rsidTr="00F26AC5">
        <w:trPr>
          <w:trHeight w:val="284"/>
        </w:trPr>
        <w:tc>
          <w:tcPr>
            <w:tcW w:w="461" w:type="dxa"/>
            <w:shd w:val="clear" w:color="auto" w:fill="A7A9AC"/>
            <w:noWrap/>
            <w:vAlign w:val="bottom"/>
            <w:hideMark/>
          </w:tcPr>
          <w:p w14:paraId="42B4ABBD"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1a</w:t>
            </w:r>
          </w:p>
        </w:tc>
        <w:tc>
          <w:tcPr>
            <w:tcW w:w="5776" w:type="dxa"/>
            <w:gridSpan w:val="2"/>
            <w:shd w:val="clear" w:color="auto" w:fill="A7A9AC"/>
            <w:noWrap/>
            <w:vAlign w:val="bottom"/>
            <w:hideMark/>
          </w:tcPr>
          <w:p w14:paraId="282D393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Autism exits</w:t>
            </w:r>
          </w:p>
        </w:tc>
        <w:tc>
          <w:tcPr>
            <w:tcW w:w="923" w:type="dxa"/>
            <w:gridSpan w:val="2"/>
            <w:shd w:val="clear" w:color="auto" w:fill="A7A9AC"/>
            <w:noWrap/>
            <w:vAlign w:val="bottom"/>
            <w:hideMark/>
          </w:tcPr>
          <w:p w14:paraId="69F8DEB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15,453</w:t>
            </w:r>
          </w:p>
        </w:tc>
        <w:tc>
          <w:tcPr>
            <w:tcW w:w="1000" w:type="dxa"/>
            <w:gridSpan w:val="2"/>
            <w:shd w:val="clear" w:color="auto" w:fill="A7A9AC"/>
            <w:noWrap/>
            <w:vAlign w:val="bottom"/>
            <w:hideMark/>
          </w:tcPr>
          <w:p w14:paraId="0B85670E"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30,171</w:t>
            </w:r>
          </w:p>
        </w:tc>
        <w:tc>
          <w:tcPr>
            <w:tcW w:w="889" w:type="dxa"/>
            <w:shd w:val="clear" w:color="auto" w:fill="A7A9AC"/>
            <w:noWrap/>
            <w:vAlign w:val="bottom"/>
            <w:hideMark/>
          </w:tcPr>
          <w:p w14:paraId="17CF43A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40,485</w:t>
            </w:r>
          </w:p>
        </w:tc>
      </w:tr>
      <w:tr w:rsidR="009028ED" w:rsidRPr="007F6332" w14:paraId="4CF0ECFD" w14:textId="77777777" w:rsidTr="00F26AC5">
        <w:trPr>
          <w:trHeight w:val="284"/>
        </w:trPr>
        <w:tc>
          <w:tcPr>
            <w:tcW w:w="461" w:type="dxa"/>
            <w:tcBorders>
              <w:top w:val="nil"/>
              <w:left w:val="nil"/>
              <w:right w:val="nil"/>
            </w:tcBorders>
            <w:shd w:val="clear" w:color="auto" w:fill="A7A9AC"/>
            <w:noWrap/>
            <w:vAlign w:val="bottom"/>
            <w:hideMark/>
          </w:tcPr>
          <w:p w14:paraId="22451556"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1b</w:t>
            </w:r>
          </w:p>
        </w:tc>
        <w:tc>
          <w:tcPr>
            <w:tcW w:w="5776" w:type="dxa"/>
            <w:gridSpan w:val="2"/>
            <w:tcBorders>
              <w:top w:val="nil"/>
              <w:left w:val="nil"/>
              <w:right w:val="nil"/>
            </w:tcBorders>
            <w:shd w:val="clear" w:color="auto" w:fill="A7A9AC"/>
            <w:noWrap/>
            <w:vAlign w:val="bottom"/>
            <w:hideMark/>
          </w:tcPr>
          <w:p w14:paraId="4F50420F"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Autism exits</w:t>
            </w:r>
          </w:p>
        </w:tc>
        <w:tc>
          <w:tcPr>
            <w:tcW w:w="923" w:type="dxa"/>
            <w:gridSpan w:val="2"/>
            <w:tcBorders>
              <w:top w:val="nil"/>
              <w:left w:val="nil"/>
              <w:right w:val="nil"/>
            </w:tcBorders>
            <w:shd w:val="clear" w:color="auto" w:fill="A7A9AC"/>
            <w:noWrap/>
            <w:vAlign w:val="bottom"/>
            <w:hideMark/>
          </w:tcPr>
          <w:p w14:paraId="55030DA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15,676</w:t>
            </w:r>
          </w:p>
        </w:tc>
        <w:tc>
          <w:tcPr>
            <w:tcW w:w="1000" w:type="dxa"/>
            <w:gridSpan w:val="2"/>
            <w:tcBorders>
              <w:top w:val="nil"/>
              <w:left w:val="nil"/>
              <w:right w:val="nil"/>
            </w:tcBorders>
            <w:shd w:val="clear" w:color="auto" w:fill="A7A9AC"/>
            <w:noWrap/>
            <w:vAlign w:val="bottom"/>
            <w:hideMark/>
          </w:tcPr>
          <w:p w14:paraId="71303940"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32,099</w:t>
            </w:r>
          </w:p>
        </w:tc>
        <w:tc>
          <w:tcPr>
            <w:tcW w:w="889" w:type="dxa"/>
            <w:tcBorders>
              <w:top w:val="nil"/>
              <w:left w:val="nil"/>
              <w:right w:val="nil"/>
            </w:tcBorders>
            <w:shd w:val="clear" w:color="auto" w:fill="A7A9AC"/>
            <w:noWrap/>
            <w:vAlign w:val="bottom"/>
            <w:hideMark/>
          </w:tcPr>
          <w:p w14:paraId="62114E2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45,579</w:t>
            </w:r>
          </w:p>
        </w:tc>
      </w:tr>
      <w:tr w:rsidR="009028ED" w:rsidRPr="007F6332" w14:paraId="3E882855" w14:textId="77777777" w:rsidTr="00F26AC5">
        <w:trPr>
          <w:trHeight w:val="284"/>
        </w:trPr>
        <w:tc>
          <w:tcPr>
            <w:tcW w:w="461" w:type="dxa"/>
            <w:tcBorders>
              <w:top w:val="nil"/>
              <w:left w:val="nil"/>
              <w:right w:val="nil"/>
            </w:tcBorders>
            <w:shd w:val="clear" w:color="auto" w:fill="auto"/>
            <w:noWrap/>
            <w:vAlign w:val="bottom"/>
            <w:hideMark/>
          </w:tcPr>
          <w:p w14:paraId="51C07B2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2</w:t>
            </w:r>
          </w:p>
        </w:tc>
        <w:tc>
          <w:tcPr>
            <w:tcW w:w="5776" w:type="dxa"/>
            <w:gridSpan w:val="2"/>
            <w:tcBorders>
              <w:top w:val="nil"/>
              <w:left w:val="nil"/>
              <w:right w:val="nil"/>
            </w:tcBorders>
            <w:shd w:val="clear" w:color="auto" w:fill="auto"/>
            <w:noWrap/>
            <w:vAlign w:val="bottom"/>
            <w:hideMark/>
          </w:tcPr>
          <w:p w14:paraId="6042624F"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Intellectual disability new incidence hump 17-22 yrs</w:t>
            </w:r>
          </w:p>
        </w:tc>
        <w:tc>
          <w:tcPr>
            <w:tcW w:w="923" w:type="dxa"/>
            <w:gridSpan w:val="2"/>
            <w:tcBorders>
              <w:top w:val="nil"/>
              <w:left w:val="nil"/>
              <w:right w:val="nil"/>
            </w:tcBorders>
            <w:shd w:val="clear" w:color="auto" w:fill="auto"/>
            <w:noWrap/>
            <w:vAlign w:val="bottom"/>
            <w:hideMark/>
          </w:tcPr>
          <w:p w14:paraId="6DC25F4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15,638</w:t>
            </w:r>
          </w:p>
        </w:tc>
        <w:tc>
          <w:tcPr>
            <w:tcW w:w="1000" w:type="dxa"/>
            <w:gridSpan w:val="2"/>
            <w:tcBorders>
              <w:top w:val="nil"/>
              <w:left w:val="nil"/>
              <w:right w:val="nil"/>
            </w:tcBorders>
            <w:shd w:val="clear" w:color="auto" w:fill="auto"/>
            <w:noWrap/>
            <w:vAlign w:val="bottom"/>
            <w:hideMark/>
          </w:tcPr>
          <w:p w14:paraId="54CE9DFB"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32,008</w:t>
            </w:r>
          </w:p>
        </w:tc>
        <w:tc>
          <w:tcPr>
            <w:tcW w:w="889" w:type="dxa"/>
            <w:tcBorders>
              <w:top w:val="nil"/>
              <w:left w:val="nil"/>
              <w:right w:val="nil"/>
            </w:tcBorders>
            <w:shd w:val="clear" w:color="auto" w:fill="auto"/>
            <w:noWrap/>
            <w:vAlign w:val="bottom"/>
            <w:hideMark/>
          </w:tcPr>
          <w:p w14:paraId="158F890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46,518</w:t>
            </w:r>
          </w:p>
        </w:tc>
      </w:tr>
      <w:tr w:rsidR="009028ED" w:rsidRPr="007F6332" w14:paraId="0F9096AC" w14:textId="77777777" w:rsidTr="00F26AC5">
        <w:trPr>
          <w:trHeight w:val="284"/>
        </w:trPr>
        <w:tc>
          <w:tcPr>
            <w:tcW w:w="461" w:type="dxa"/>
            <w:shd w:val="clear" w:color="auto" w:fill="A7A9AC"/>
            <w:noWrap/>
            <w:vAlign w:val="bottom"/>
            <w:hideMark/>
          </w:tcPr>
          <w:p w14:paraId="0880227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3a</w:t>
            </w:r>
          </w:p>
        </w:tc>
        <w:tc>
          <w:tcPr>
            <w:tcW w:w="5776" w:type="dxa"/>
            <w:gridSpan w:val="2"/>
            <w:shd w:val="clear" w:color="auto" w:fill="A7A9AC"/>
            <w:noWrap/>
            <w:vAlign w:val="bottom"/>
            <w:hideMark/>
          </w:tcPr>
          <w:p w14:paraId="36B7040D"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Proportion of participants in SSA (SIL)</w:t>
            </w:r>
          </w:p>
        </w:tc>
        <w:tc>
          <w:tcPr>
            <w:tcW w:w="923" w:type="dxa"/>
            <w:gridSpan w:val="2"/>
            <w:shd w:val="clear" w:color="auto" w:fill="A7A9AC"/>
            <w:noWrap/>
            <w:vAlign w:val="bottom"/>
            <w:hideMark/>
          </w:tcPr>
          <w:p w14:paraId="262331E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17,636</w:t>
            </w:r>
          </w:p>
        </w:tc>
        <w:tc>
          <w:tcPr>
            <w:tcW w:w="1000" w:type="dxa"/>
            <w:gridSpan w:val="2"/>
            <w:shd w:val="clear" w:color="auto" w:fill="A7A9AC"/>
            <w:noWrap/>
            <w:vAlign w:val="bottom"/>
            <w:hideMark/>
          </w:tcPr>
          <w:p w14:paraId="2F3D3F55"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35,769</w:t>
            </w:r>
          </w:p>
        </w:tc>
        <w:tc>
          <w:tcPr>
            <w:tcW w:w="889" w:type="dxa"/>
            <w:shd w:val="clear" w:color="auto" w:fill="A7A9AC"/>
            <w:noWrap/>
            <w:vAlign w:val="bottom"/>
            <w:hideMark/>
          </w:tcPr>
          <w:p w14:paraId="5BB37B5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50,034</w:t>
            </w:r>
          </w:p>
        </w:tc>
      </w:tr>
      <w:tr w:rsidR="009028ED" w:rsidRPr="007F6332" w14:paraId="0991CDD0" w14:textId="77777777" w:rsidTr="00F26AC5">
        <w:trPr>
          <w:trHeight w:val="284"/>
        </w:trPr>
        <w:tc>
          <w:tcPr>
            <w:tcW w:w="461" w:type="dxa"/>
            <w:shd w:val="clear" w:color="auto" w:fill="A7A9AC"/>
            <w:noWrap/>
            <w:vAlign w:val="bottom"/>
            <w:hideMark/>
          </w:tcPr>
          <w:p w14:paraId="38F10FF0"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3b</w:t>
            </w:r>
          </w:p>
        </w:tc>
        <w:tc>
          <w:tcPr>
            <w:tcW w:w="5776" w:type="dxa"/>
            <w:gridSpan w:val="2"/>
            <w:shd w:val="clear" w:color="auto" w:fill="A7A9AC"/>
            <w:noWrap/>
            <w:vAlign w:val="bottom"/>
            <w:hideMark/>
          </w:tcPr>
          <w:p w14:paraId="12FD40A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Proportion of participants in SSA (SIL)</w:t>
            </w:r>
          </w:p>
        </w:tc>
        <w:tc>
          <w:tcPr>
            <w:tcW w:w="923" w:type="dxa"/>
            <w:gridSpan w:val="2"/>
            <w:shd w:val="clear" w:color="auto" w:fill="A7A9AC"/>
            <w:noWrap/>
            <w:vAlign w:val="bottom"/>
            <w:hideMark/>
          </w:tcPr>
          <w:p w14:paraId="18A6380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15,405</w:t>
            </w:r>
          </w:p>
        </w:tc>
        <w:tc>
          <w:tcPr>
            <w:tcW w:w="1000" w:type="dxa"/>
            <w:gridSpan w:val="2"/>
            <w:shd w:val="clear" w:color="auto" w:fill="A7A9AC"/>
            <w:noWrap/>
            <w:vAlign w:val="bottom"/>
            <w:hideMark/>
          </w:tcPr>
          <w:p w14:paraId="3BC0844A"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31,197</w:t>
            </w:r>
          </w:p>
        </w:tc>
        <w:tc>
          <w:tcPr>
            <w:tcW w:w="889" w:type="dxa"/>
            <w:shd w:val="clear" w:color="auto" w:fill="A7A9AC"/>
            <w:noWrap/>
            <w:vAlign w:val="bottom"/>
            <w:hideMark/>
          </w:tcPr>
          <w:p w14:paraId="639FEE9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43,556</w:t>
            </w:r>
          </w:p>
        </w:tc>
      </w:tr>
      <w:tr w:rsidR="009028ED" w:rsidRPr="007F6332" w14:paraId="0F383CE6" w14:textId="77777777" w:rsidTr="00F26AC5">
        <w:trPr>
          <w:trHeight w:val="284"/>
        </w:trPr>
        <w:tc>
          <w:tcPr>
            <w:tcW w:w="461" w:type="dxa"/>
            <w:tcBorders>
              <w:top w:val="nil"/>
              <w:left w:val="nil"/>
              <w:right w:val="nil"/>
            </w:tcBorders>
            <w:shd w:val="clear" w:color="auto" w:fill="A7A9AC"/>
            <w:noWrap/>
            <w:vAlign w:val="bottom"/>
            <w:hideMark/>
          </w:tcPr>
          <w:p w14:paraId="399150B2"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3c</w:t>
            </w:r>
          </w:p>
        </w:tc>
        <w:tc>
          <w:tcPr>
            <w:tcW w:w="5776" w:type="dxa"/>
            <w:gridSpan w:val="2"/>
            <w:tcBorders>
              <w:top w:val="nil"/>
              <w:left w:val="nil"/>
              <w:right w:val="nil"/>
            </w:tcBorders>
            <w:shd w:val="clear" w:color="auto" w:fill="A7A9AC"/>
            <w:noWrap/>
            <w:vAlign w:val="bottom"/>
            <w:hideMark/>
          </w:tcPr>
          <w:p w14:paraId="16D195F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SSA cost innovation</w:t>
            </w:r>
          </w:p>
        </w:tc>
        <w:tc>
          <w:tcPr>
            <w:tcW w:w="923" w:type="dxa"/>
            <w:gridSpan w:val="2"/>
            <w:tcBorders>
              <w:top w:val="nil"/>
              <w:left w:val="nil"/>
              <w:right w:val="nil"/>
            </w:tcBorders>
            <w:shd w:val="clear" w:color="auto" w:fill="A7A9AC"/>
            <w:noWrap/>
            <w:vAlign w:val="bottom"/>
            <w:hideMark/>
          </w:tcPr>
          <w:p w14:paraId="0173857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12,489</w:t>
            </w:r>
          </w:p>
        </w:tc>
        <w:tc>
          <w:tcPr>
            <w:tcW w:w="1000" w:type="dxa"/>
            <w:gridSpan w:val="2"/>
            <w:tcBorders>
              <w:top w:val="nil"/>
              <w:left w:val="nil"/>
              <w:right w:val="nil"/>
            </w:tcBorders>
            <w:shd w:val="clear" w:color="auto" w:fill="A7A9AC"/>
            <w:noWrap/>
            <w:vAlign w:val="bottom"/>
            <w:hideMark/>
          </w:tcPr>
          <w:p w14:paraId="47D30FED"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29,261</w:t>
            </w:r>
          </w:p>
        </w:tc>
        <w:tc>
          <w:tcPr>
            <w:tcW w:w="889" w:type="dxa"/>
            <w:tcBorders>
              <w:top w:val="nil"/>
              <w:left w:val="nil"/>
              <w:right w:val="nil"/>
            </w:tcBorders>
            <w:shd w:val="clear" w:color="auto" w:fill="A7A9AC"/>
            <w:noWrap/>
            <w:vAlign w:val="bottom"/>
            <w:hideMark/>
          </w:tcPr>
          <w:p w14:paraId="0716C2B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41,178</w:t>
            </w:r>
          </w:p>
        </w:tc>
      </w:tr>
      <w:tr w:rsidR="009028ED" w:rsidRPr="007F6332" w14:paraId="3E5A318A" w14:textId="77777777" w:rsidTr="00F26AC5">
        <w:trPr>
          <w:trHeight w:val="284"/>
        </w:trPr>
        <w:tc>
          <w:tcPr>
            <w:tcW w:w="461" w:type="dxa"/>
            <w:shd w:val="clear" w:color="auto" w:fill="auto"/>
            <w:noWrap/>
            <w:vAlign w:val="bottom"/>
            <w:hideMark/>
          </w:tcPr>
          <w:p w14:paraId="7B84FE4C"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4a</w:t>
            </w:r>
          </w:p>
        </w:tc>
        <w:tc>
          <w:tcPr>
            <w:tcW w:w="5776" w:type="dxa"/>
            <w:gridSpan w:val="2"/>
            <w:shd w:val="clear" w:color="auto" w:fill="auto"/>
            <w:noWrap/>
            <w:vAlign w:val="bottom"/>
            <w:hideMark/>
          </w:tcPr>
          <w:p w14:paraId="381C9309"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Increased Number of adults</w:t>
            </w:r>
          </w:p>
        </w:tc>
        <w:tc>
          <w:tcPr>
            <w:tcW w:w="923" w:type="dxa"/>
            <w:gridSpan w:val="2"/>
            <w:shd w:val="clear" w:color="auto" w:fill="auto"/>
            <w:noWrap/>
            <w:vAlign w:val="bottom"/>
            <w:hideMark/>
          </w:tcPr>
          <w:p w14:paraId="3B4189A0"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16,276</w:t>
            </w:r>
          </w:p>
        </w:tc>
        <w:tc>
          <w:tcPr>
            <w:tcW w:w="1000" w:type="dxa"/>
            <w:gridSpan w:val="2"/>
            <w:shd w:val="clear" w:color="auto" w:fill="auto"/>
            <w:noWrap/>
            <w:vAlign w:val="bottom"/>
            <w:hideMark/>
          </w:tcPr>
          <w:p w14:paraId="5C49924B"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38,193</w:t>
            </w:r>
          </w:p>
        </w:tc>
        <w:tc>
          <w:tcPr>
            <w:tcW w:w="889" w:type="dxa"/>
            <w:shd w:val="clear" w:color="auto" w:fill="auto"/>
            <w:noWrap/>
            <w:vAlign w:val="bottom"/>
            <w:hideMark/>
          </w:tcPr>
          <w:p w14:paraId="0D7E38E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53,883</w:t>
            </w:r>
          </w:p>
        </w:tc>
      </w:tr>
      <w:tr w:rsidR="009028ED" w:rsidRPr="007F6332" w14:paraId="2FF77BD5" w14:textId="77777777" w:rsidTr="00F26AC5">
        <w:trPr>
          <w:trHeight w:val="284"/>
        </w:trPr>
        <w:tc>
          <w:tcPr>
            <w:tcW w:w="461" w:type="dxa"/>
            <w:shd w:val="clear" w:color="auto" w:fill="auto"/>
            <w:noWrap/>
            <w:vAlign w:val="bottom"/>
            <w:hideMark/>
          </w:tcPr>
          <w:p w14:paraId="252B4E61"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4b</w:t>
            </w:r>
          </w:p>
        </w:tc>
        <w:tc>
          <w:tcPr>
            <w:tcW w:w="5776" w:type="dxa"/>
            <w:gridSpan w:val="2"/>
            <w:shd w:val="clear" w:color="auto" w:fill="auto"/>
            <w:noWrap/>
            <w:vAlign w:val="bottom"/>
            <w:hideMark/>
          </w:tcPr>
          <w:p w14:paraId="096AB183"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Decreased number of children</w:t>
            </w:r>
          </w:p>
        </w:tc>
        <w:tc>
          <w:tcPr>
            <w:tcW w:w="923" w:type="dxa"/>
            <w:gridSpan w:val="2"/>
            <w:shd w:val="clear" w:color="auto" w:fill="auto"/>
            <w:noWrap/>
            <w:vAlign w:val="bottom"/>
            <w:hideMark/>
          </w:tcPr>
          <w:p w14:paraId="5D28B2F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14,213</w:t>
            </w:r>
          </w:p>
        </w:tc>
        <w:tc>
          <w:tcPr>
            <w:tcW w:w="1000" w:type="dxa"/>
            <w:gridSpan w:val="2"/>
            <w:shd w:val="clear" w:color="auto" w:fill="auto"/>
            <w:noWrap/>
            <w:vAlign w:val="bottom"/>
            <w:hideMark/>
          </w:tcPr>
          <w:p w14:paraId="7D67DA9E"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30,962</w:t>
            </w:r>
          </w:p>
        </w:tc>
        <w:tc>
          <w:tcPr>
            <w:tcW w:w="889" w:type="dxa"/>
            <w:shd w:val="clear" w:color="auto" w:fill="auto"/>
            <w:noWrap/>
            <w:vAlign w:val="bottom"/>
            <w:hideMark/>
          </w:tcPr>
          <w:p w14:paraId="143AD48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43,463</w:t>
            </w:r>
          </w:p>
        </w:tc>
      </w:tr>
      <w:tr w:rsidR="009028ED" w:rsidRPr="007F6332" w14:paraId="3AC9D293" w14:textId="77777777" w:rsidTr="00F26AC5">
        <w:trPr>
          <w:trHeight w:val="284"/>
        </w:trPr>
        <w:tc>
          <w:tcPr>
            <w:tcW w:w="461" w:type="dxa"/>
            <w:tcBorders>
              <w:top w:val="nil"/>
              <w:left w:val="nil"/>
              <w:right w:val="nil"/>
            </w:tcBorders>
            <w:shd w:val="clear" w:color="auto" w:fill="auto"/>
            <w:noWrap/>
            <w:vAlign w:val="bottom"/>
            <w:hideMark/>
          </w:tcPr>
          <w:p w14:paraId="445676D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4c</w:t>
            </w:r>
          </w:p>
        </w:tc>
        <w:tc>
          <w:tcPr>
            <w:tcW w:w="5776" w:type="dxa"/>
            <w:gridSpan w:val="2"/>
            <w:tcBorders>
              <w:top w:val="nil"/>
              <w:left w:val="nil"/>
              <w:right w:val="nil"/>
            </w:tcBorders>
            <w:shd w:val="clear" w:color="auto" w:fill="auto"/>
            <w:noWrap/>
            <w:vAlign w:val="bottom"/>
            <w:hideMark/>
          </w:tcPr>
          <w:p w14:paraId="4419F57D"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Increased new entrants</w:t>
            </w:r>
          </w:p>
        </w:tc>
        <w:tc>
          <w:tcPr>
            <w:tcW w:w="923" w:type="dxa"/>
            <w:gridSpan w:val="2"/>
            <w:tcBorders>
              <w:top w:val="nil"/>
              <w:left w:val="nil"/>
              <w:right w:val="nil"/>
            </w:tcBorders>
            <w:shd w:val="clear" w:color="auto" w:fill="auto"/>
            <w:noWrap/>
            <w:vAlign w:val="bottom"/>
            <w:hideMark/>
          </w:tcPr>
          <w:p w14:paraId="32EB9F0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15,887</w:t>
            </w:r>
          </w:p>
        </w:tc>
        <w:tc>
          <w:tcPr>
            <w:tcW w:w="1000" w:type="dxa"/>
            <w:gridSpan w:val="2"/>
            <w:tcBorders>
              <w:top w:val="nil"/>
              <w:left w:val="nil"/>
              <w:right w:val="nil"/>
            </w:tcBorders>
            <w:shd w:val="clear" w:color="auto" w:fill="auto"/>
            <w:noWrap/>
            <w:vAlign w:val="bottom"/>
            <w:hideMark/>
          </w:tcPr>
          <w:p w14:paraId="144037CB"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36,377</w:t>
            </w:r>
          </w:p>
        </w:tc>
        <w:tc>
          <w:tcPr>
            <w:tcW w:w="889" w:type="dxa"/>
            <w:tcBorders>
              <w:top w:val="nil"/>
              <w:left w:val="nil"/>
              <w:right w:val="nil"/>
            </w:tcBorders>
            <w:shd w:val="clear" w:color="auto" w:fill="auto"/>
            <w:noWrap/>
            <w:vAlign w:val="bottom"/>
            <w:hideMark/>
          </w:tcPr>
          <w:p w14:paraId="7EA92A5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50,143</w:t>
            </w:r>
          </w:p>
        </w:tc>
      </w:tr>
      <w:tr w:rsidR="009028ED" w:rsidRPr="007F6332" w14:paraId="6B3DD27E" w14:textId="77777777" w:rsidTr="00F26AC5">
        <w:trPr>
          <w:trHeight w:val="284"/>
        </w:trPr>
        <w:tc>
          <w:tcPr>
            <w:tcW w:w="461" w:type="dxa"/>
            <w:shd w:val="clear" w:color="auto" w:fill="A7A9AC"/>
            <w:noWrap/>
            <w:vAlign w:val="bottom"/>
            <w:hideMark/>
          </w:tcPr>
          <w:p w14:paraId="6BA02731"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5a</w:t>
            </w:r>
          </w:p>
        </w:tc>
        <w:tc>
          <w:tcPr>
            <w:tcW w:w="5776" w:type="dxa"/>
            <w:gridSpan w:val="2"/>
            <w:shd w:val="clear" w:color="auto" w:fill="A7A9AC"/>
            <w:noWrap/>
            <w:vAlign w:val="bottom"/>
            <w:hideMark/>
          </w:tcPr>
          <w:p w14:paraId="7A0C822D"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Committed supports and 100% utilisation</w:t>
            </w:r>
          </w:p>
        </w:tc>
        <w:tc>
          <w:tcPr>
            <w:tcW w:w="923" w:type="dxa"/>
            <w:gridSpan w:val="2"/>
            <w:shd w:val="clear" w:color="auto" w:fill="A7A9AC"/>
            <w:noWrap/>
            <w:vAlign w:val="bottom"/>
            <w:hideMark/>
          </w:tcPr>
          <w:p w14:paraId="4CEAF07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18,957</w:t>
            </w:r>
          </w:p>
        </w:tc>
        <w:tc>
          <w:tcPr>
            <w:tcW w:w="1000" w:type="dxa"/>
            <w:gridSpan w:val="2"/>
            <w:shd w:val="clear" w:color="auto" w:fill="A7A9AC"/>
            <w:noWrap/>
            <w:vAlign w:val="bottom"/>
            <w:hideMark/>
          </w:tcPr>
          <w:p w14:paraId="6C1798EF"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38,064</w:t>
            </w:r>
          </w:p>
        </w:tc>
        <w:tc>
          <w:tcPr>
            <w:tcW w:w="889" w:type="dxa"/>
            <w:shd w:val="clear" w:color="auto" w:fill="A7A9AC"/>
            <w:noWrap/>
            <w:vAlign w:val="bottom"/>
            <w:hideMark/>
          </w:tcPr>
          <w:p w14:paraId="6053004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53,473</w:t>
            </w:r>
          </w:p>
        </w:tc>
      </w:tr>
      <w:tr w:rsidR="009028ED" w:rsidRPr="007F6332" w14:paraId="384D1AE5" w14:textId="77777777" w:rsidTr="00F26AC5">
        <w:trPr>
          <w:trHeight w:val="284"/>
        </w:trPr>
        <w:tc>
          <w:tcPr>
            <w:tcW w:w="461" w:type="dxa"/>
            <w:tcBorders>
              <w:top w:val="nil"/>
              <w:left w:val="nil"/>
              <w:right w:val="nil"/>
            </w:tcBorders>
            <w:shd w:val="clear" w:color="auto" w:fill="A7A9AC"/>
            <w:noWrap/>
            <w:vAlign w:val="bottom"/>
            <w:hideMark/>
          </w:tcPr>
          <w:p w14:paraId="3DC128E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5b</w:t>
            </w:r>
          </w:p>
        </w:tc>
        <w:tc>
          <w:tcPr>
            <w:tcW w:w="5776" w:type="dxa"/>
            <w:gridSpan w:val="2"/>
            <w:tcBorders>
              <w:top w:val="nil"/>
              <w:left w:val="nil"/>
              <w:right w:val="nil"/>
            </w:tcBorders>
            <w:shd w:val="clear" w:color="auto" w:fill="A7A9AC"/>
            <w:noWrap/>
            <w:vAlign w:val="bottom"/>
            <w:hideMark/>
          </w:tcPr>
          <w:p w14:paraId="364B0CF2"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Committed supports and 75% utilisation</w:t>
            </w:r>
          </w:p>
        </w:tc>
        <w:tc>
          <w:tcPr>
            <w:tcW w:w="923" w:type="dxa"/>
            <w:gridSpan w:val="2"/>
            <w:tcBorders>
              <w:top w:val="nil"/>
              <w:left w:val="nil"/>
              <w:right w:val="nil"/>
            </w:tcBorders>
            <w:shd w:val="clear" w:color="auto" w:fill="A7A9AC"/>
            <w:noWrap/>
            <w:vAlign w:val="bottom"/>
            <w:hideMark/>
          </w:tcPr>
          <w:p w14:paraId="783C706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13,839</w:t>
            </w:r>
          </w:p>
        </w:tc>
        <w:tc>
          <w:tcPr>
            <w:tcW w:w="1000" w:type="dxa"/>
            <w:gridSpan w:val="2"/>
            <w:tcBorders>
              <w:top w:val="nil"/>
              <w:left w:val="nil"/>
              <w:right w:val="nil"/>
            </w:tcBorders>
            <w:shd w:val="clear" w:color="auto" w:fill="A7A9AC"/>
            <w:noWrap/>
            <w:vAlign w:val="bottom"/>
            <w:hideMark/>
          </w:tcPr>
          <w:p w14:paraId="41B062F3"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28,548</w:t>
            </w:r>
          </w:p>
        </w:tc>
        <w:tc>
          <w:tcPr>
            <w:tcW w:w="889" w:type="dxa"/>
            <w:tcBorders>
              <w:top w:val="nil"/>
              <w:left w:val="nil"/>
              <w:right w:val="nil"/>
            </w:tcBorders>
            <w:shd w:val="clear" w:color="auto" w:fill="A7A9AC"/>
            <w:noWrap/>
            <w:vAlign w:val="bottom"/>
            <w:hideMark/>
          </w:tcPr>
          <w:p w14:paraId="26D0EE2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40,105</w:t>
            </w:r>
          </w:p>
        </w:tc>
      </w:tr>
      <w:tr w:rsidR="009028ED" w:rsidRPr="007F6332" w14:paraId="357E974E" w14:textId="77777777" w:rsidTr="00F26AC5">
        <w:trPr>
          <w:trHeight w:val="284"/>
        </w:trPr>
        <w:tc>
          <w:tcPr>
            <w:tcW w:w="461" w:type="dxa"/>
            <w:shd w:val="clear" w:color="auto" w:fill="auto"/>
            <w:noWrap/>
            <w:vAlign w:val="bottom"/>
            <w:hideMark/>
          </w:tcPr>
          <w:p w14:paraId="010D9D09"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7a</w:t>
            </w:r>
          </w:p>
        </w:tc>
        <w:tc>
          <w:tcPr>
            <w:tcW w:w="5776" w:type="dxa"/>
            <w:gridSpan w:val="2"/>
            <w:shd w:val="clear" w:color="auto" w:fill="auto"/>
            <w:noWrap/>
            <w:vAlign w:val="bottom"/>
            <w:hideMark/>
          </w:tcPr>
          <w:p w14:paraId="024E0D95"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AAT and mainstream</w:t>
            </w:r>
          </w:p>
        </w:tc>
        <w:tc>
          <w:tcPr>
            <w:tcW w:w="923" w:type="dxa"/>
            <w:gridSpan w:val="2"/>
            <w:shd w:val="clear" w:color="auto" w:fill="auto"/>
            <w:noWrap/>
            <w:vAlign w:val="bottom"/>
            <w:hideMark/>
          </w:tcPr>
          <w:p w14:paraId="076BC02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18,123</w:t>
            </w:r>
          </w:p>
        </w:tc>
        <w:tc>
          <w:tcPr>
            <w:tcW w:w="1000" w:type="dxa"/>
            <w:gridSpan w:val="2"/>
            <w:shd w:val="clear" w:color="auto" w:fill="auto"/>
            <w:noWrap/>
            <w:vAlign w:val="bottom"/>
            <w:hideMark/>
          </w:tcPr>
          <w:p w14:paraId="4BB79841"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37,118</w:t>
            </w:r>
          </w:p>
        </w:tc>
        <w:tc>
          <w:tcPr>
            <w:tcW w:w="889" w:type="dxa"/>
            <w:shd w:val="clear" w:color="auto" w:fill="auto"/>
            <w:noWrap/>
            <w:vAlign w:val="bottom"/>
            <w:hideMark/>
          </w:tcPr>
          <w:p w14:paraId="5D58DF6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51,450</w:t>
            </w:r>
          </w:p>
        </w:tc>
      </w:tr>
      <w:tr w:rsidR="009028ED" w:rsidRPr="007F6332" w14:paraId="70C065AD" w14:textId="77777777" w:rsidTr="00F26AC5">
        <w:trPr>
          <w:trHeight w:val="284"/>
        </w:trPr>
        <w:tc>
          <w:tcPr>
            <w:tcW w:w="461" w:type="dxa"/>
            <w:shd w:val="clear" w:color="auto" w:fill="auto"/>
            <w:noWrap/>
            <w:vAlign w:val="bottom"/>
            <w:hideMark/>
          </w:tcPr>
          <w:p w14:paraId="547F69F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7b</w:t>
            </w:r>
          </w:p>
        </w:tc>
        <w:tc>
          <w:tcPr>
            <w:tcW w:w="5776" w:type="dxa"/>
            <w:gridSpan w:val="2"/>
            <w:shd w:val="clear" w:color="auto" w:fill="auto"/>
            <w:noWrap/>
            <w:vAlign w:val="bottom"/>
            <w:hideMark/>
          </w:tcPr>
          <w:p w14:paraId="371138B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AAT, mainstream and level of function movement</w:t>
            </w:r>
          </w:p>
        </w:tc>
        <w:tc>
          <w:tcPr>
            <w:tcW w:w="923" w:type="dxa"/>
            <w:gridSpan w:val="2"/>
            <w:shd w:val="clear" w:color="auto" w:fill="auto"/>
            <w:noWrap/>
            <w:vAlign w:val="bottom"/>
            <w:hideMark/>
          </w:tcPr>
          <w:p w14:paraId="2ABAAF36"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18,400</w:t>
            </w:r>
          </w:p>
        </w:tc>
        <w:tc>
          <w:tcPr>
            <w:tcW w:w="1000" w:type="dxa"/>
            <w:gridSpan w:val="2"/>
            <w:shd w:val="clear" w:color="auto" w:fill="auto"/>
            <w:noWrap/>
            <w:vAlign w:val="bottom"/>
            <w:hideMark/>
          </w:tcPr>
          <w:p w14:paraId="56E06A74"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37,686</w:t>
            </w:r>
          </w:p>
        </w:tc>
        <w:tc>
          <w:tcPr>
            <w:tcW w:w="889" w:type="dxa"/>
            <w:shd w:val="clear" w:color="auto" w:fill="auto"/>
            <w:noWrap/>
            <w:vAlign w:val="bottom"/>
            <w:hideMark/>
          </w:tcPr>
          <w:p w14:paraId="7A60DB0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52,236</w:t>
            </w:r>
          </w:p>
        </w:tc>
      </w:tr>
      <w:tr w:rsidR="009028ED" w:rsidRPr="007F6332" w14:paraId="4A2FAB57" w14:textId="77777777" w:rsidTr="00F26AC5">
        <w:trPr>
          <w:trHeight w:val="284"/>
        </w:trPr>
        <w:tc>
          <w:tcPr>
            <w:tcW w:w="461" w:type="dxa"/>
            <w:tcBorders>
              <w:top w:val="nil"/>
              <w:left w:val="nil"/>
              <w:right w:val="nil"/>
            </w:tcBorders>
            <w:shd w:val="clear" w:color="auto" w:fill="auto"/>
            <w:noWrap/>
            <w:vAlign w:val="bottom"/>
            <w:hideMark/>
          </w:tcPr>
          <w:p w14:paraId="200983AD"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7c</w:t>
            </w:r>
          </w:p>
        </w:tc>
        <w:tc>
          <w:tcPr>
            <w:tcW w:w="5776" w:type="dxa"/>
            <w:gridSpan w:val="2"/>
            <w:tcBorders>
              <w:top w:val="nil"/>
              <w:left w:val="nil"/>
              <w:right w:val="nil"/>
            </w:tcBorders>
            <w:shd w:val="clear" w:color="auto" w:fill="auto"/>
            <w:noWrap/>
            <w:vAlign w:val="bottom"/>
            <w:hideMark/>
          </w:tcPr>
          <w:p w14:paraId="280D57F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AAT access decisions</w:t>
            </w:r>
          </w:p>
        </w:tc>
        <w:tc>
          <w:tcPr>
            <w:tcW w:w="923" w:type="dxa"/>
            <w:gridSpan w:val="2"/>
            <w:tcBorders>
              <w:top w:val="nil"/>
              <w:left w:val="nil"/>
              <w:right w:val="nil"/>
            </w:tcBorders>
            <w:shd w:val="clear" w:color="auto" w:fill="auto"/>
            <w:noWrap/>
            <w:vAlign w:val="bottom"/>
            <w:hideMark/>
          </w:tcPr>
          <w:p w14:paraId="22F5847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16,670</w:t>
            </w:r>
          </w:p>
        </w:tc>
        <w:tc>
          <w:tcPr>
            <w:tcW w:w="1000" w:type="dxa"/>
            <w:gridSpan w:val="2"/>
            <w:tcBorders>
              <w:top w:val="nil"/>
              <w:left w:val="nil"/>
              <w:right w:val="nil"/>
            </w:tcBorders>
            <w:shd w:val="clear" w:color="auto" w:fill="auto"/>
            <w:noWrap/>
            <w:vAlign w:val="bottom"/>
            <w:hideMark/>
          </w:tcPr>
          <w:p w14:paraId="3FE69C5F"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34,352</w:t>
            </w:r>
          </w:p>
        </w:tc>
        <w:tc>
          <w:tcPr>
            <w:tcW w:w="889" w:type="dxa"/>
            <w:tcBorders>
              <w:top w:val="nil"/>
              <w:left w:val="nil"/>
              <w:right w:val="nil"/>
            </w:tcBorders>
            <w:shd w:val="clear" w:color="auto" w:fill="auto"/>
            <w:noWrap/>
            <w:vAlign w:val="bottom"/>
            <w:hideMark/>
          </w:tcPr>
          <w:p w14:paraId="0D09C0A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47,592</w:t>
            </w:r>
          </w:p>
        </w:tc>
      </w:tr>
      <w:tr w:rsidR="009028ED" w:rsidRPr="007F6332" w14:paraId="474E728D" w14:textId="77777777" w:rsidTr="00F26AC5">
        <w:trPr>
          <w:trHeight w:val="284"/>
        </w:trPr>
        <w:tc>
          <w:tcPr>
            <w:tcW w:w="461" w:type="dxa"/>
            <w:shd w:val="clear" w:color="auto" w:fill="A7A9AC"/>
            <w:noWrap/>
            <w:vAlign w:val="bottom"/>
            <w:hideMark/>
          </w:tcPr>
          <w:p w14:paraId="21CD140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8a</w:t>
            </w:r>
          </w:p>
        </w:tc>
        <w:tc>
          <w:tcPr>
            <w:tcW w:w="5776" w:type="dxa"/>
            <w:gridSpan w:val="2"/>
            <w:shd w:val="clear" w:color="auto" w:fill="A7A9AC"/>
            <w:noWrap/>
            <w:vAlign w:val="bottom"/>
            <w:hideMark/>
          </w:tcPr>
          <w:p w14:paraId="538722B2"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 pa superimposed inflation for 10 years</w:t>
            </w:r>
          </w:p>
        </w:tc>
        <w:tc>
          <w:tcPr>
            <w:tcW w:w="923" w:type="dxa"/>
            <w:gridSpan w:val="2"/>
            <w:shd w:val="clear" w:color="auto" w:fill="A7A9AC"/>
            <w:noWrap/>
            <w:vAlign w:val="bottom"/>
            <w:hideMark/>
          </w:tcPr>
          <w:p w14:paraId="024AD6B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15,676</w:t>
            </w:r>
          </w:p>
        </w:tc>
        <w:tc>
          <w:tcPr>
            <w:tcW w:w="1000" w:type="dxa"/>
            <w:gridSpan w:val="2"/>
            <w:shd w:val="clear" w:color="auto" w:fill="A7A9AC"/>
            <w:noWrap/>
            <w:vAlign w:val="bottom"/>
            <w:hideMark/>
          </w:tcPr>
          <w:p w14:paraId="0C1AF77B"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35,882</w:t>
            </w:r>
          </w:p>
        </w:tc>
        <w:tc>
          <w:tcPr>
            <w:tcW w:w="889" w:type="dxa"/>
            <w:shd w:val="clear" w:color="auto" w:fill="A7A9AC"/>
            <w:noWrap/>
            <w:vAlign w:val="bottom"/>
            <w:hideMark/>
          </w:tcPr>
          <w:p w14:paraId="0194DF7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55,465</w:t>
            </w:r>
          </w:p>
        </w:tc>
      </w:tr>
      <w:tr w:rsidR="009028ED" w:rsidRPr="007F6332" w14:paraId="3786FD0E" w14:textId="77777777" w:rsidTr="00F26AC5">
        <w:trPr>
          <w:trHeight w:val="284"/>
        </w:trPr>
        <w:tc>
          <w:tcPr>
            <w:tcW w:w="461" w:type="dxa"/>
            <w:tcBorders>
              <w:top w:val="nil"/>
              <w:left w:val="nil"/>
              <w:bottom w:val="single" w:sz="4" w:space="0" w:color="auto"/>
              <w:right w:val="nil"/>
            </w:tcBorders>
            <w:shd w:val="clear" w:color="auto" w:fill="A7A9AC"/>
            <w:noWrap/>
            <w:vAlign w:val="bottom"/>
            <w:hideMark/>
          </w:tcPr>
          <w:p w14:paraId="278D65F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8b</w:t>
            </w:r>
          </w:p>
        </w:tc>
        <w:tc>
          <w:tcPr>
            <w:tcW w:w="5776" w:type="dxa"/>
            <w:gridSpan w:val="2"/>
            <w:tcBorders>
              <w:top w:val="nil"/>
              <w:left w:val="nil"/>
              <w:bottom w:val="single" w:sz="4" w:space="0" w:color="auto"/>
              <w:right w:val="nil"/>
            </w:tcBorders>
            <w:shd w:val="clear" w:color="auto" w:fill="A7A9AC"/>
            <w:noWrap/>
            <w:vAlign w:val="bottom"/>
            <w:hideMark/>
          </w:tcPr>
          <w:p w14:paraId="768E865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0% superimposed inflation</w:t>
            </w:r>
          </w:p>
        </w:tc>
        <w:tc>
          <w:tcPr>
            <w:tcW w:w="923" w:type="dxa"/>
            <w:gridSpan w:val="2"/>
            <w:tcBorders>
              <w:top w:val="nil"/>
              <w:left w:val="nil"/>
              <w:bottom w:val="single" w:sz="4" w:space="0" w:color="auto"/>
              <w:right w:val="nil"/>
            </w:tcBorders>
            <w:shd w:val="clear" w:color="auto" w:fill="A7A9AC"/>
            <w:noWrap/>
            <w:vAlign w:val="bottom"/>
            <w:hideMark/>
          </w:tcPr>
          <w:p w14:paraId="54C53D08"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14,810</w:t>
            </w:r>
          </w:p>
        </w:tc>
        <w:tc>
          <w:tcPr>
            <w:tcW w:w="1000" w:type="dxa"/>
            <w:gridSpan w:val="2"/>
            <w:tcBorders>
              <w:top w:val="nil"/>
              <w:left w:val="nil"/>
              <w:bottom w:val="single" w:sz="4" w:space="0" w:color="auto"/>
              <w:right w:val="nil"/>
            </w:tcBorders>
            <w:shd w:val="clear" w:color="auto" w:fill="A7A9AC"/>
            <w:noWrap/>
            <w:vAlign w:val="bottom"/>
            <w:hideMark/>
          </w:tcPr>
          <w:p w14:paraId="2DC32C02" w14:textId="77777777" w:rsidR="009028ED" w:rsidRPr="007F6332" w:rsidRDefault="009028ED" w:rsidP="006C7E97">
            <w:pPr>
              <w:spacing w:after="0" w:line="240" w:lineRule="auto"/>
              <w:ind w:left="-179" w:right="119"/>
              <w:jc w:val="right"/>
              <w:rPr>
                <w:rFonts w:eastAsia="Times New Roman" w:cs="Arial"/>
                <w:color w:val="000000"/>
                <w:szCs w:val="22"/>
                <w:lang w:eastAsia="en-AU"/>
              </w:rPr>
            </w:pPr>
            <w:r w:rsidRPr="007F6332">
              <w:rPr>
                <w:rFonts w:eastAsia="Times New Roman" w:cs="Arial"/>
                <w:color w:val="000000"/>
                <w:szCs w:val="22"/>
                <w:lang w:eastAsia="en-AU"/>
              </w:rPr>
              <w:t>29,407</w:t>
            </w:r>
          </w:p>
        </w:tc>
        <w:tc>
          <w:tcPr>
            <w:tcW w:w="889" w:type="dxa"/>
            <w:tcBorders>
              <w:top w:val="nil"/>
              <w:left w:val="nil"/>
              <w:bottom w:val="single" w:sz="4" w:space="0" w:color="auto"/>
              <w:right w:val="nil"/>
            </w:tcBorders>
            <w:shd w:val="clear" w:color="auto" w:fill="A7A9AC"/>
            <w:noWrap/>
            <w:vAlign w:val="bottom"/>
            <w:hideMark/>
          </w:tcPr>
          <w:p w14:paraId="337C02D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41,164</w:t>
            </w:r>
          </w:p>
        </w:tc>
      </w:tr>
    </w:tbl>
    <w:p w14:paraId="50A6C5F8" w14:textId="77777777" w:rsidR="009028ED" w:rsidRPr="007F6332" w:rsidRDefault="009028ED" w:rsidP="00A12E65">
      <w:pPr>
        <w:rPr>
          <w:rFonts w:eastAsiaTheme="minorHAnsi" w:cs="Arial"/>
          <w:lang w:eastAsia="en-US"/>
        </w:rPr>
      </w:pPr>
    </w:p>
    <w:p w14:paraId="73B9F516" w14:textId="77777777" w:rsidR="00812FC6" w:rsidRPr="007F6332" w:rsidRDefault="00812FC6" w:rsidP="00A12E65">
      <w:pPr>
        <w:rPr>
          <w:rFonts w:eastAsiaTheme="minorHAnsi" w:cs="Arial"/>
          <w:lang w:eastAsia="en-US"/>
        </w:rPr>
        <w:sectPr w:rsidR="00812FC6" w:rsidRPr="007F6332" w:rsidSect="00CE7E91">
          <w:pgSz w:w="11906" w:h="16838"/>
          <w:pgMar w:top="1440" w:right="1416" w:bottom="1440" w:left="1440" w:header="708" w:footer="850" w:gutter="0"/>
          <w:cols w:space="708"/>
          <w:titlePg/>
          <w:docGrid w:linePitch="360"/>
        </w:sectPr>
      </w:pPr>
    </w:p>
    <w:p w14:paraId="597100FE" w14:textId="6D79E738" w:rsidR="009028ED" w:rsidRPr="007F6332" w:rsidRDefault="009028ED" w:rsidP="00F41A57">
      <w:pPr>
        <w:pStyle w:val="FiguresandTablesHeading5"/>
        <w:rPr>
          <w:rFonts w:eastAsiaTheme="minorHAnsi"/>
          <w:lang w:eastAsia="en-US"/>
        </w:rPr>
      </w:pPr>
      <w:r w:rsidRPr="007F6332">
        <w:rPr>
          <w:rFonts w:eastAsiaTheme="minorHAnsi"/>
          <w:lang w:eastAsia="en-US"/>
        </w:rPr>
        <w:t xml:space="preserve">Table </w:t>
      </w:r>
      <w:r w:rsidR="00A12E65" w:rsidRPr="007F6332">
        <w:rPr>
          <w:rFonts w:eastAsiaTheme="minorHAnsi"/>
          <w:lang w:eastAsia="en-US"/>
        </w:rPr>
        <w:t>L</w:t>
      </w:r>
      <w:r w:rsidRPr="007F6332">
        <w:rPr>
          <w:rFonts w:eastAsiaTheme="minorHAnsi"/>
          <w:lang w:eastAsia="en-US"/>
        </w:rPr>
        <w:t>.3: 2018-19 AFSR scenarios</w:t>
      </w:r>
    </w:p>
    <w:tbl>
      <w:tblPr>
        <w:tblW w:w="9026" w:type="dxa"/>
        <w:tblLook w:val="04A0" w:firstRow="1" w:lastRow="0" w:firstColumn="1" w:lastColumn="0" w:noHBand="0" w:noVBand="1"/>
      </w:tblPr>
      <w:tblGrid>
        <w:gridCol w:w="567"/>
        <w:gridCol w:w="5027"/>
        <w:gridCol w:w="1144"/>
        <w:gridCol w:w="1144"/>
        <w:gridCol w:w="1144"/>
      </w:tblGrid>
      <w:tr w:rsidR="009028ED" w:rsidRPr="007F6332" w14:paraId="780D7060" w14:textId="77777777" w:rsidTr="006C7E97">
        <w:trPr>
          <w:trHeight w:val="304"/>
        </w:trPr>
        <w:tc>
          <w:tcPr>
            <w:tcW w:w="5594" w:type="dxa"/>
            <w:gridSpan w:val="2"/>
            <w:shd w:val="clear" w:color="auto" w:fill="6B2976"/>
            <w:noWrap/>
            <w:vAlign w:val="center"/>
            <w:hideMark/>
          </w:tcPr>
          <w:p w14:paraId="5F3FE3D1" w14:textId="77777777" w:rsidR="009028ED" w:rsidRPr="007F6332" w:rsidRDefault="009028ED" w:rsidP="006C7E97">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Total participant costs ($m)</w:t>
            </w:r>
          </w:p>
        </w:tc>
        <w:tc>
          <w:tcPr>
            <w:tcW w:w="1144" w:type="dxa"/>
            <w:shd w:val="clear" w:color="auto" w:fill="6B2976"/>
            <w:noWrap/>
            <w:vAlign w:val="center"/>
            <w:hideMark/>
          </w:tcPr>
          <w:p w14:paraId="3113B712" w14:textId="77777777" w:rsidR="009028ED" w:rsidRPr="007F6332" w:rsidRDefault="009028ED"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2019-20</w:t>
            </w:r>
          </w:p>
        </w:tc>
        <w:tc>
          <w:tcPr>
            <w:tcW w:w="1144" w:type="dxa"/>
            <w:shd w:val="clear" w:color="auto" w:fill="6B2976"/>
            <w:noWrap/>
            <w:vAlign w:val="center"/>
            <w:hideMark/>
          </w:tcPr>
          <w:p w14:paraId="5C6307D4" w14:textId="77777777" w:rsidR="009028ED" w:rsidRPr="007F6332" w:rsidRDefault="009028ED"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144" w:type="dxa"/>
            <w:shd w:val="clear" w:color="auto" w:fill="6B2976"/>
            <w:noWrap/>
            <w:vAlign w:val="center"/>
            <w:hideMark/>
          </w:tcPr>
          <w:p w14:paraId="5E302522" w14:textId="77777777" w:rsidR="009028ED" w:rsidRPr="007F6332" w:rsidRDefault="009028ED"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2029-30</w:t>
            </w:r>
          </w:p>
        </w:tc>
      </w:tr>
      <w:tr w:rsidR="009028ED" w:rsidRPr="007F6332" w14:paraId="7FCD6561" w14:textId="77777777" w:rsidTr="00C1755E">
        <w:trPr>
          <w:trHeight w:val="288"/>
        </w:trPr>
        <w:tc>
          <w:tcPr>
            <w:tcW w:w="5594" w:type="dxa"/>
            <w:gridSpan w:val="2"/>
            <w:tcBorders>
              <w:top w:val="nil"/>
              <w:left w:val="nil"/>
              <w:right w:val="nil"/>
            </w:tcBorders>
            <w:shd w:val="clear" w:color="auto" w:fill="B799B4"/>
            <w:noWrap/>
            <w:vAlign w:val="bottom"/>
            <w:hideMark/>
          </w:tcPr>
          <w:p w14:paraId="369D09B6"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 2018-19 Baseline</w:t>
            </w:r>
          </w:p>
        </w:tc>
        <w:tc>
          <w:tcPr>
            <w:tcW w:w="1144" w:type="dxa"/>
            <w:tcBorders>
              <w:top w:val="nil"/>
              <w:left w:val="nil"/>
              <w:right w:val="nil"/>
            </w:tcBorders>
            <w:shd w:val="clear" w:color="auto" w:fill="B799B4"/>
            <w:noWrap/>
            <w:vAlign w:val="bottom"/>
            <w:hideMark/>
          </w:tcPr>
          <w:p w14:paraId="418A6841" w14:textId="77777777" w:rsidR="009028ED" w:rsidRPr="007F6332" w:rsidRDefault="009028ED"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16,327</w:t>
            </w:r>
          </w:p>
        </w:tc>
        <w:tc>
          <w:tcPr>
            <w:tcW w:w="1144" w:type="dxa"/>
            <w:tcBorders>
              <w:top w:val="nil"/>
              <w:left w:val="nil"/>
              <w:right w:val="nil"/>
            </w:tcBorders>
            <w:shd w:val="clear" w:color="auto" w:fill="B799B4"/>
            <w:noWrap/>
            <w:vAlign w:val="bottom"/>
            <w:hideMark/>
          </w:tcPr>
          <w:p w14:paraId="75CE56FC" w14:textId="77777777" w:rsidR="009028ED" w:rsidRPr="007F6332" w:rsidRDefault="009028ED"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30,820</w:t>
            </w:r>
          </w:p>
        </w:tc>
        <w:tc>
          <w:tcPr>
            <w:tcW w:w="1144" w:type="dxa"/>
            <w:tcBorders>
              <w:top w:val="nil"/>
              <w:left w:val="nil"/>
              <w:right w:val="nil"/>
            </w:tcBorders>
            <w:shd w:val="clear" w:color="auto" w:fill="B799B4"/>
            <w:noWrap/>
            <w:vAlign w:val="bottom"/>
            <w:hideMark/>
          </w:tcPr>
          <w:p w14:paraId="07EBE56E" w14:textId="77777777" w:rsidR="009028ED" w:rsidRPr="007F6332" w:rsidRDefault="009028ED"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43,723</w:t>
            </w:r>
          </w:p>
        </w:tc>
      </w:tr>
      <w:tr w:rsidR="009028ED" w:rsidRPr="007F6332" w14:paraId="1AC5FD61" w14:textId="77777777" w:rsidTr="006C7E97">
        <w:trPr>
          <w:trHeight w:val="288"/>
        </w:trPr>
        <w:tc>
          <w:tcPr>
            <w:tcW w:w="567" w:type="dxa"/>
            <w:shd w:val="clear" w:color="auto" w:fill="A7A9AC"/>
            <w:noWrap/>
            <w:vAlign w:val="center"/>
            <w:hideMark/>
          </w:tcPr>
          <w:p w14:paraId="05B731D4"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1a</w:t>
            </w:r>
          </w:p>
        </w:tc>
        <w:tc>
          <w:tcPr>
            <w:tcW w:w="5027" w:type="dxa"/>
            <w:shd w:val="clear" w:color="auto" w:fill="A7A9AC"/>
            <w:noWrap/>
            <w:vAlign w:val="center"/>
            <w:hideMark/>
          </w:tcPr>
          <w:p w14:paraId="5FFF419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Additional Cost of chronic health (Low range)</w:t>
            </w:r>
          </w:p>
        </w:tc>
        <w:tc>
          <w:tcPr>
            <w:tcW w:w="1144" w:type="dxa"/>
            <w:shd w:val="clear" w:color="auto" w:fill="A7A9AC"/>
            <w:noWrap/>
            <w:vAlign w:val="center"/>
            <w:hideMark/>
          </w:tcPr>
          <w:p w14:paraId="5E844B2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19,333</w:t>
            </w:r>
          </w:p>
        </w:tc>
        <w:tc>
          <w:tcPr>
            <w:tcW w:w="1144" w:type="dxa"/>
            <w:shd w:val="clear" w:color="auto" w:fill="A7A9AC"/>
            <w:noWrap/>
            <w:vAlign w:val="center"/>
            <w:hideMark/>
          </w:tcPr>
          <w:p w14:paraId="1444A07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34,760</w:t>
            </w:r>
          </w:p>
        </w:tc>
        <w:tc>
          <w:tcPr>
            <w:tcW w:w="1144" w:type="dxa"/>
            <w:shd w:val="clear" w:color="auto" w:fill="A7A9AC"/>
            <w:noWrap/>
            <w:vAlign w:val="center"/>
            <w:hideMark/>
          </w:tcPr>
          <w:p w14:paraId="27CDBC8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48,886</w:t>
            </w:r>
          </w:p>
        </w:tc>
      </w:tr>
      <w:tr w:rsidR="009028ED" w:rsidRPr="007F6332" w14:paraId="69AF5132" w14:textId="77777777" w:rsidTr="006C7E97">
        <w:trPr>
          <w:trHeight w:val="288"/>
        </w:trPr>
        <w:tc>
          <w:tcPr>
            <w:tcW w:w="567" w:type="dxa"/>
            <w:shd w:val="clear" w:color="auto" w:fill="A7A9AC"/>
            <w:noWrap/>
            <w:vAlign w:val="center"/>
            <w:hideMark/>
          </w:tcPr>
          <w:p w14:paraId="38963B85"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1b</w:t>
            </w:r>
          </w:p>
        </w:tc>
        <w:tc>
          <w:tcPr>
            <w:tcW w:w="5027" w:type="dxa"/>
            <w:shd w:val="clear" w:color="auto" w:fill="A7A9AC"/>
            <w:noWrap/>
            <w:vAlign w:val="center"/>
            <w:hideMark/>
          </w:tcPr>
          <w:p w14:paraId="76762984"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Additional Cost of chronic health mid-range)</w:t>
            </w:r>
          </w:p>
        </w:tc>
        <w:tc>
          <w:tcPr>
            <w:tcW w:w="1144" w:type="dxa"/>
            <w:shd w:val="clear" w:color="auto" w:fill="A7A9AC"/>
            <w:noWrap/>
            <w:vAlign w:val="center"/>
            <w:hideMark/>
          </w:tcPr>
          <w:p w14:paraId="2E23A2B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20,770</w:t>
            </w:r>
          </w:p>
        </w:tc>
        <w:tc>
          <w:tcPr>
            <w:tcW w:w="1144" w:type="dxa"/>
            <w:shd w:val="clear" w:color="auto" w:fill="A7A9AC"/>
            <w:noWrap/>
            <w:vAlign w:val="center"/>
            <w:hideMark/>
          </w:tcPr>
          <w:p w14:paraId="28271B2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36,644</w:t>
            </w:r>
          </w:p>
        </w:tc>
        <w:tc>
          <w:tcPr>
            <w:tcW w:w="1144" w:type="dxa"/>
            <w:shd w:val="clear" w:color="auto" w:fill="A7A9AC"/>
            <w:noWrap/>
            <w:vAlign w:val="center"/>
            <w:hideMark/>
          </w:tcPr>
          <w:p w14:paraId="7F4A8A7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51,356</w:t>
            </w:r>
          </w:p>
        </w:tc>
      </w:tr>
      <w:tr w:rsidR="009028ED" w:rsidRPr="007F6332" w14:paraId="6B1FDE07" w14:textId="77777777" w:rsidTr="006C7E97">
        <w:trPr>
          <w:trHeight w:val="288"/>
        </w:trPr>
        <w:tc>
          <w:tcPr>
            <w:tcW w:w="567" w:type="dxa"/>
            <w:tcBorders>
              <w:top w:val="nil"/>
              <w:left w:val="nil"/>
              <w:right w:val="nil"/>
            </w:tcBorders>
            <w:shd w:val="clear" w:color="auto" w:fill="A7A9AC"/>
            <w:noWrap/>
            <w:vAlign w:val="center"/>
            <w:hideMark/>
          </w:tcPr>
          <w:p w14:paraId="05CAD424"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1c</w:t>
            </w:r>
          </w:p>
        </w:tc>
        <w:tc>
          <w:tcPr>
            <w:tcW w:w="5027" w:type="dxa"/>
            <w:tcBorders>
              <w:top w:val="nil"/>
              <w:left w:val="nil"/>
              <w:right w:val="nil"/>
            </w:tcBorders>
            <w:shd w:val="clear" w:color="auto" w:fill="A7A9AC"/>
            <w:noWrap/>
            <w:vAlign w:val="center"/>
            <w:hideMark/>
          </w:tcPr>
          <w:p w14:paraId="51392EE9"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Additional Cost of chronic health high range)</w:t>
            </w:r>
          </w:p>
        </w:tc>
        <w:tc>
          <w:tcPr>
            <w:tcW w:w="1144" w:type="dxa"/>
            <w:tcBorders>
              <w:top w:val="nil"/>
              <w:left w:val="nil"/>
              <w:right w:val="nil"/>
            </w:tcBorders>
            <w:shd w:val="clear" w:color="auto" w:fill="A7A9AC"/>
            <w:noWrap/>
            <w:vAlign w:val="center"/>
            <w:hideMark/>
          </w:tcPr>
          <w:p w14:paraId="19C9859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22,404</w:t>
            </w:r>
          </w:p>
        </w:tc>
        <w:tc>
          <w:tcPr>
            <w:tcW w:w="1144" w:type="dxa"/>
            <w:tcBorders>
              <w:top w:val="nil"/>
              <w:left w:val="nil"/>
              <w:right w:val="nil"/>
            </w:tcBorders>
            <w:shd w:val="clear" w:color="auto" w:fill="A7A9AC"/>
            <w:noWrap/>
            <w:vAlign w:val="center"/>
            <w:hideMark/>
          </w:tcPr>
          <w:p w14:paraId="6316259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38,785</w:t>
            </w:r>
          </w:p>
        </w:tc>
        <w:tc>
          <w:tcPr>
            <w:tcW w:w="1144" w:type="dxa"/>
            <w:tcBorders>
              <w:top w:val="nil"/>
              <w:left w:val="nil"/>
              <w:right w:val="nil"/>
            </w:tcBorders>
            <w:shd w:val="clear" w:color="auto" w:fill="A7A9AC"/>
            <w:noWrap/>
            <w:vAlign w:val="center"/>
            <w:hideMark/>
          </w:tcPr>
          <w:p w14:paraId="63AC7C0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54,162</w:t>
            </w:r>
          </w:p>
        </w:tc>
      </w:tr>
      <w:tr w:rsidR="009028ED" w:rsidRPr="007F6332" w14:paraId="6442B0D2" w14:textId="77777777" w:rsidTr="006C7E97">
        <w:trPr>
          <w:trHeight w:val="288"/>
        </w:trPr>
        <w:tc>
          <w:tcPr>
            <w:tcW w:w="567" w:type="dxa"/>
            <w:tcBorders>
              <w:top w:val="nil"/>
              <w:left w:val="nil"/>
              <w:right w:val="nil"/>
            </w:tcBorders>
            <w:shd w:val="clear" w:color="auto" w:fill="auto"/>
            <w:noWrap/>
            <w:vAlign w:val="center"/>
            <w:hideMark/>
          </w:tcPr>
          <w:p w14:paraId="4095B48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2</w:t>
            </w:r>
          </w:p>
        </w:tc>
        <w:tc>
          <w:tcPr>
            <w:tcW w:w="5027" w:type="dxa"/>
            <w:tcBorders>
              <w:top w:val="nil"/>
              <w:left w:val="nil"/>
              <w:right w:val="nil"/>
            </w:tcBorders>
            <w:shd w:val="clear" w:color="auto" w:fill="auto"/>
            <w:noWrap/>
            <w:vAlign w:val="center"/>
            <w:hideMark/>
          </w:tcPr>
          <w:p w14:paraId="4A3C180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autism and higher psychosocial disability numbers</w:t>
            </w:r>
          </w:p>
        </w:tc>
        <w:tc>
          <w:tcPr>
            <w:tcW w:w="1144" w:type="dxa"/>
            <w:tcBorders>
              <w:top w:val="nil"/>
              <w:left w:val="nil"/>
              <w:right w:val="nil"/>
            </w:tcBorders>
            <w:shd w:val="clear" w:color="auto" w:fill="auto"/>
            <w:noWrap/>
            <w:vAlign w:val="center"/>
            <w:hideMark/>
          </w:tcPr>
          <w:p w14:paraId="7E72B51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16,347</w:t>
            </w:r>
          </w:p>
        </w:tc>
        <w:tc>
          <w:tcPr>
            <w:tcW w:w="1144" w:type="dxa"/>
            <w:tcBorders>
              <w:top w:val="nil"/>
              <w:left w:val="nil"/>
              <w:right w:val="nil"/>
            </w:tcBorders>
            <w:shd w:val="clear" w:color="auto" w:fill="auto"/>
            <w:noWrap/>
            <w:vAlign w:val="center"/>
            <w:hideMark/>
          </w:tcPr>
          <w:p w14:paraId="1199E01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31,077</w:t>
            </w:r>
          </w:p>
        </w:tc>
        <w:tc>
          <w:tcPr>
            <w:tcW w:w="1144" w:type="dxa"/>
            <w:tcBorders>
              <w:top w:val="nil"/>
              <w:left w:val="nil"/>
              <w:right w:val="nil"/>
            </w:tcBorders>
            <w:shd w:val="clear" w:color="auto" w:fill="auto"/>
            <w:noWrap/>
            <w:vAlign w:val="center"/>
            <w:hideMark/>
          </w:tcPr>
          <w:p w14:paraId="573696C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43,893</w:t>
            </w:r>
          </w:p>
        </w:tc>
      </w:tr>
      <w:tr w:rsidR="009028ED" w:rsidRPr="007F6332" w14:paraId="26A52BE8" w14:textId="77777777" w:rsidTr="006C7E97">
        <w:trPr>
          <w:trHeight w:val="288"/>
        </w:trPr>
        <w:tc>
          <w:tcPr>
            <w:tcW w:w="567" w:type="dxa"/>
            <w:tcBorders>
              <w:top w:val="nil"/>
              <w:left w:val="nil"/>
              <w:right w:val="nil"/>
            </w:tcBorders>
            <w:shd w:val="clear" w:color="auto" w:fill="A7A9AC"/>
            <w:noWrap/>
            <w:vAlign w:val="center"/>
            <w:hideMark/>
          </w:tcPr>
          <w:p w14:paraId="6D865D66"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w:t>
            </w:r>
          </w:p>
        </w:tc>
        <w:tc>
          <w:tcPr>
            <w:tcW w:w="5027" w:type="dxa"/>
            <w:tcBorders>
              <w:top w:val="nil"/>
              <w:left w:val="nil"/>
              <w:right w:val="nil"/>
            </w:tcBorders>
            <w:shd w:val="clear" w:color="auto" w:fill="A7A9AC"/>
            <w:noWrap/>
            <w:vAlign w:val="center"/>
            <w:hideMark/>
          </w:tcPr>
          <w:p w14:paraId="56BA0E96"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Intellectual disability new entrants hump for 17-22yrs</w:t>
            </w:r>
          </w:p>
        </w:tc>
        <w:tc>
          <w:tcPr>
            <w:tcW w:w="1144" w:type="dxa"/>
            <w:tcBorders>
              <w:top w:val="nil"/>
              <w:left w:val="nil"/>
              <w:right w:val="nil"/>
            </w:tcBorders>
            <w:shd w:val="clear" w:color="auto" w:fill="A7A9AC"/>
            <w:noWrap/>
            <w:vAlign w:val="center"/>
            <w:hideMark/>
          </w:tcPr>
          <w:p w14:paraId="3ACE662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16,327</w:t>
            </w:r>
          </w:p>
        </w:tc>
        <w:tc>
          <w:tcPr>
            <w:tcW w:w="1144" w:type="dxa"/>
            <w:tcBorders>
              <w:top w:val="nil"/>
              <w:left w:val="nil"/>
              <w:right w:val="nil"/>
            </w:tcBorders>
            <w:shd w:val="clear" w:color="auto" w:fill="A7A9AC"/>
            <w:noWrap/>
            <w:vAlign w:val="center"/>
            <w:hideMark/>
          </w:tcPr>
          <w:p w14:paraId="1B3117C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31,209</w:t>
            </w:r>
          </w:p>
        </w:tc>
        <w:tc>
          <w:tcPr>
            <w:tcW w:w="1144" w:type="dxa"/>
            <w:tcBorders>
              <w:top w:val="nil"/>
              <w:left w:val="nil"/>
              <w:right w:val="nil"/>
            </w:tcBorders>
            <w:shd w:val="clear" w:color="auto" w:fill="A7A9AC"/>
            <w:noWrap/>
            <w:vAlign w:val="center"/>
            <w:hideMark/>
          </w:tcPr>
          <w:p w14:paraId="456AA0B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46,322</w:t>
            </w:r>
          </w:p>
        </w:tc>
      </w:tr>
      <w:tr w:rsidR="009028ED" w:rsidRPr="007F6332" w14:paraId="5A5CFD8E" w14:textId="77777777" w:rsidTr="006C7E97">
        <w:trPr>
          <w:trHeight w:val="288"/>
        </w:trPr>
        <w:tc>
          <w:tcPr>
            <w:tcW w:w="567" w:type="dxa"/>
            <w:shd w:val="clear" w:color="auto" w:fill="auto"/>
            <w:noWrap/>
            <w:vAlign w:val="center"/>
            <w:hideMark/>
          </w:tcPr>
          <w:p w14:paraId="2992346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4a</w:t>
            </w:r>
          </w:p>
        </w:tc>
        <w:tc>
          <w:tcPr>
            <w:tcW w:w="5027" w:type="dxa"/>
            <w:shd w:val="clear" w:color="auto" w:fill="auto"/>
            <w:noWrap/>
            <w:vAlign w:val="center"/>
            <w:hideMark/>
          </w:tcPr>
          <w:p w14:paraId="68F22EEF"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proportion of participants in SIL over long-term</w:t>
            </w:r>
          </w:p>
        </w:tc>
        <w:tc>
          <w:tcPr>
            <w:tcW w:w="1144" w:type="dxa"/>
            <w:shd w:val="clear" w:color="auto" w:fill="auto"/>
            <w:noWrap/>
            <w:vAlign w:val="center"/>
            <w:hideMark/>
          </w:tcPr>
          <w:p w14:paraId="2DFF71E6"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16,434</w:t>
            </w:r>
          </w:p>
        </w:tc>
        <w:tc>
          <w:tcPr>
            <w:tcW w:w="1144" w:type="dxa"/>
            <w:shd w:val="clear" w:color="auto" w:fill="auto"/>
            <w:noWrap/>
            <w:vAlign w:val="center"/>
            <w:hideMark/>
          </w:tcPr>
          <w:p w14:paraId="3BC14DA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32,930</w:t>
            </w:r>
          </w:p>
        </w:tc>
        <w:tc>
          <w:tcPr>
            <w:tcW w:w="1144" w:type="dxa"/>
            <w:shd w:val="clear" w:color="auto" w:fill="auto"/>
            <w:noWrap/>
            <w:vAlign w:val="center"/>
            <w:hideMark/>
          </w:tcPr>
          <w:p w14:paraId="01CE173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48,951</w:t>
            </w:r>
          </w:p>
        </w:tc>
      </w:tr>
      <w:tr w:rsidR="009028ED" w:rsidRPr="007F6332" w14:paraId="7062532E" w14:textId="77777777" w:rsidTr="006C7E97">
        <w:trPr>
          <w:trHeight w:val="288"/>
        </w:trPr>
        <w:tc>
          <w:tcPr>
            <w:tcW w:w="567" w:type="dxa"/>
            <w:shd w:val="clear" w:color="auto" w:fill="auto"/>
            <w:noWrap/>
            <w:vAlign w:val="center"/>
            <w:hideMark/>
          </w:tcPr>
          <w:p w14:paraId="3C781E5C"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4b</w:t>
            </w:r>
          </w:p>
        </w:tc>
        <w:tc>
          <w:tcPr>
            <w:tcW w:w="5027" w:type="dxa"/>
            <w:shd w:val="clear" w:color="auto" w:fill="auto"/>
            <w:noWrap/>
            <w:vAlign w:val="center"/>
            <w:hideMark/>
          </w:tcPr>
          <w:p w14:paraId="67317DDF"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Long-term SIL reached over 20 years</w:t>
            </w:r>
          </w:p>
        </w:tc>
        <w:tc>
          <w:tcPr>
            <w:tcW w:w="1144" w:type="dxa"/>
            <w:shd w:val="clear" w:color="auto" w:fill="auto"/>
            <w:noWrap/>
            <w:vAlign w:val="center"/>
            <w:hideMark/>
          </w:tcPr>
          <w:p w14:paraId="70B6B4A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16,302</w:t>
            </w:r>
          </w:p>
        </w:tc>
        <w:tc>
          <w:tcPr>
            <w:tcW w:w="1144" w:type="dxa"/>
            <w:shd w:val="clear" w:color="auto" w:fill="auto"/>
            <w:noWrap/>
            <w:vAlign w:val="center"/>
            <w:hideMark/>
          </w:tcPr>
          <w:p w14:paraId="2C3DEA1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30,331</w:t>
            </w:r>
          </w:p>
        </w:tc>
        <w:tc>
          <w:tcPr>
            <w:tcW w:w="1144" w:type="dxa"/>
            <w:shd w:val="clear" w:color="auto" w:fill="auto"/>
            <w:noWrap/>
            <w:vAlign w:val="center"/>
            <w:hideMark/>
          </w:tcPr>
          <w:p w14:paraId="5E4AA32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42,573</w:t>
            </w:r>
          </w:p>
        </w:tc>
      </w:tr>
      <w:tr w:rsidR="009028ED" w:rsidRPr="007F6332" w14:paraId="253DBB8C" w14:textId="77777777" w:rsidTr="006C7E97">
        <w:trPr>
          <w:trHeight w:val="288"/>
        </w:trPr>
        <w:tc>
          <w:tcPr>
            <w:tcW w:w="567" w:type="dxa"/>
            <w:tcBorders>
              <w:top w:val="nil"/>
              <w:left w:val="nil"/>
              <w:right w:val="nil"/>
            </w:tcBorders>
            <w:shd w:val="clear" w:color="auto" w:fill="A7A9AC"/>
            <w:noWrap/>
            <w:vAlign w:val="center"/>
            <w:hideMark/>
          </w:tcPr>
          <w:p w14:paraId="071DEC26"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4c</w:t>
            </w:r>
          </w:p>
        </w:tc>
        <w:tc>
          <w:tcPr>
            <w:tcW w:w="5027" w:type="dxa"/>
            <w:tcBorders>
              <w:top w:val="nil"/>
              <w:left w:val="nil"/>
              <w:right w:val="nil"/>
            </w:tcBorders>
            <w:shd w:val="clear" w:color="auto" w:fill="A7A9AC"/>
            <w:noWrap/>
            <w:vAlign w:val="center"/>
            <w:hideMark/>
          </w:tcPr>
          <w:p w14:paraId="21F9189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SIL cost innovation</w:t>
            </w:r>
          </w:p>
        </w:tc>
        <w:tc>
          <w:tcPr>
            <w:tcW w:w="1144" w:type="dxa"/>
            <w:tcBorders>
              <w:top w:val="nil"/>
              <w:left w:val="nil"/>
              <w:right w:val="nil"/>
            </w:tcBorders>
            <w:shd w:val="clear" w:color="auto" w:fill="A7A9AC"/>
            <w:noWrap/>
            <w:vAlign w:val="center"/>
            <w:hideMark/>
          </w:tcPr>
          <w:p w14:paraId="6C3127D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14,874</w:t>
            </w:r>
          </w:p>
        </w:tc>
        <w:tc>
          <w:tcPr>
            <w:tcW w:w="1144" w:type="dxa"/>
            <w:tcBorders>
              <w:top w:val="nil"/>
              <w:left w:val="nil"/>
              <w:right w:val="nil"/>
            </w:tcBorders>
            <w:shd w:val="clear" w:color="auto" w:fill="A7A9AC"/>
            <w:noWrap/>
            <w:vAlign w:val="center"/>
            <w:hideMark/>
          </w:tcPr>
          <w:p w14:paraId="34D1DB1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27,978</w:t>
            </w:r>
          </w:p>
        </w:tc>
        <w:tc>
          <w:tcPr>
            <w:tcW w:w="1144" w:type="dxa"/>
            <w:tcBorders>
              <w:top w:val="nil"/>
              <w:left w:val="nil"/>
              <w:right w:val="nil"/>
            </w:tcBorders>
            <w:shd w:val="clear" w:color="auto" w:fill="A7A9AC"/>
            <w:noWrap/>
            <w:vAlign w:val="center"/>
            <w:hideMark/>
          </w:tcPr>
          <w:p w14:paraId="71CECA8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39,510</w:t>
            </w:r>
          </w:p>
        </w:tc>
      </w:tr>
      <w:tr w:rsidR="009028ED" w:rsidRPr="007F6332" w14:paraId="08F4A195" w14:textId="77777777" w:rsidTr="006C7E97">
        <w:trPr>
          <w:trHeight w:val="288"/>
        </w:trPr>
        <w:tc>
          <w:tcPr>
            <w:tcW w:w="567" w:type="dxa"/>
            <w:tcBorders>
              <w:top w:val="nil"/>
              <w:left w:val="nil"/>
              <w:right w:val="nil"/>
            </w:tcBorders>
            <w:shd w:val="clear" w:color="auto" w:fill="auto"/>
            <w:noWrap/>
            <w:vAlign w:val="center"/>
            <w:hideMark/>
          </w:tcPr>
          <w:p w14:paraId="4C50BD6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5</w:t>
            </w:r>
          </w:p>
        </w:tc>
        <w:tc>
          <w:tcPr>
            <w:tcW w:w="5027" w:type="dxa"/>
            <w:tcBorders>
              <w:top w:val="nil"/>
              <w:left w:val="nil"/>
              <w:right w:val="nil"/>
            </w:tcBorders>
            <w:shd w:val="clear" w:color="auto" w:fill="auto"/>
            <w:noWrap/>
            <w:vAlign w:val="center"/>
            <w:hideMark/>
          </w:tcPr>
          <w:p w14:paraId="507F0690"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85%/100% utilisation rate for non-SIL/SIL respectively</w:t>
            </w:r>
          </w:p>
        </w:tc>
        <w:tc>
          <w:tcPr>
            <w:tcW w:w="1144" w:type="dxa"/>
            <w:tcBorders>
              <w:top w:val="nil"/>
              <w:left w:val="nil"/>
              <w:right w:val="nil"/>
            </w:tcBorders>
            <w:shd w:val="clear" w:color="auto" w:fill="auto"/>
            <w:noWrap/>
            <w:vAlign w:val="center"/>
            <w:hideMark/>
          </w:tcPr>
          <w:p w14:paraId="342B9C9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19,380</w:t>
            </w:r>
          </w:p>
        </w:tc>
        <w:tc>
          <w:tcPr>
            <w:tcW w:w="1144" w:type="dxa"/>
            <w:tcBorders>
              <w:top w:val="nil"/>
              <w:left w:val="nil"/>
              <w:right w:val="nil"/>
            </w:tcBorders>
            <w:shd w:val="clear" w:color="auto" w:fill="auto"/>
            <w:noWrap/>
            <w:vAlign w:val="center"/>
            <w:hideMark/>
          </w:tcPr>
          <w:p w14:paraId="0823951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34,844</w:t>
            </w:r>
          </w:p>
        </w:tc>
        <w:tc>
          <w:tcPr>
            <w:tcW w:w="1144" w:type="dxa"/>
            <w:tcBorders>
              <w:top w:val="nil"/>
              <w:left w:val="nil"/>
              <w:right w:val="nil"/>
            </w:tcBorders>
            <w:shd w:val="clear" w:color="auto" w:fill="auto"/>
            <w:noWrap/>
            <w:vAlign w:val="center"/>
            <w:hideMark/>
          </w:tcPr>
          <w:p w14:paraId="581A6DD6"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49,343</w:t>
            </w:r>
          </w:p>
        </w:tc>
      </w:tr>
      <w:tr w:rsidR="009028ED" w:rsidRPr="007F6332" w14:paraId="537AF076" w14:textId="77777777" w:rsidTr="006C7E97">
        <w:trPr>
          <w:trHeight w:val="288"/>
        </w:trPr>
        <w:tc>
          <w:tcPr>
            <w:tcW w:w="567" w:type="dxa"/>
            <w:shd w:val="clear" w:color="000000" w:fill="A7A9AC"/>
            <w:noWrap/>
            <w:vAlign w:val="center"/>
            <w:hideMark/>
          </w:tcPr>
          <w:p w14:paraId="2BE787C1"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6a</w:t>
            </w:r>
          </w:p>
        </w:tc>
        <w:tc>
          <w:tcPr>
            <w:tcW w:w="5027" w:type="dxa"/>
            <w:shd w:val="clear" w:color="000000" w:fill="A7A9AC"/>
            <w:noWrap/>
            <w:vAlign w:val="center"/>
            <w:hideMark/>
          </w:tcPr>
          <w:p w14:paraId="6C4FBA8C"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Transport policy: Strict tightened eligibility </w:t>
            </w:r>
          </w:p>
        </w:tc>
        <w:tc>
          <w:tcPr>
            <w:tcW w:w="1144" w:type="dxa"/>
            <w:shd w:val="clear" w:color="000000" w:fill="A7A9AC"/>
            <w:noWrap/>
            <w:vAlign w:val="center"/>
            <w:hideMark/>
          </w:tcPr>
          <w:p w14:paraId="49B478F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16,125</w:t>
            </w:r>
          </w:p>
        </w:tc>
        <w:tc>
          <w:tcPr>
            <w:tcW w:w="1144" w:type="dxa"/>
            <w:shd w:val="clear" w:color="000000" w:fill="A7A9AC"/>
            <w:noWrap/>
            <w:vAlign w:val="center"/>
            <w:hideMark/>
          </w:tcPr>
          <w:p w14:paraId="2B921338"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30,469</w:t>
            </w:r>
          </w:p>
        </w:tc>
        <w:tc>
          <w:tcPr>
            <w:tcW w:w="1144" w:type="dxa"/>
            <w:shd w:val="clear" w:color="000000" w:fill="A7A9AC"/>
            <w:noWrap/>
            <w:vAlign w:val="center"/>
            <w:hideMark/>
          </w:tcPr>
          <w:p w14:paraId="1DF8239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43,215</w:t>
            </w:r>
          </w:p>
        </w:tc>
      </w:tr>
      <w:tr w:rsidR="009028ED" w:rsidRPr="007F6332" w14:paraId="58FB8BE0" w14:textId="77777777" w:rsidTr="006C7E97">
        <w:trPr>
          <w:trHeight w:val="288"/>
        </w:trPr>
        <w:tc>
          <w:tcPr>
            <w:tcW w:w="567" w:type="dxa"/>
            <w:shd w:val="clear" w:color="000000" w:fill="A7A9AC"/>
            <w:noWrap/>
            <w:vAlign w:val="center"/>
            <w:hideMark/>
          </w:tcPr>
          <w:p w14:paraId="2E67C213"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6b</w:t>
            </w:r>
          </w:p>
        </w:tc>
        <w:tc>
          <w:tcPr>
            <w:tcW w:w="5027" w:type="dxa"/>
            <w:shd w:val="clear" w:color="000000" w:fill="A7A9AC"/>
            <w:noWrap/>
            <w:vAlign w:val="center"/>
            <w:hideMark/>
          </w:tcPr>
          <w:p w14:paraId="5D8D1942"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Transport policy: tightened eligibility &amp;increased budget</w:t>
            </w:r>
          </w:p>
        </w:tc>
        <w:tc>
          <w:tcPr>
            <w:tcW w:w="1144" w:type="dxa"/>
            <w:shd w:val="clear" w:color="000000" w:fill="A7A9AC"/>
            <w:noWrap/>
            <w:vAlign w:val="center"/>
            <w:hideMark/>
          </w:tcPr>
          <w:p w14:paraId="090EE85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16,454</w:t>
            </w:r>
          </w:p>
        </w:tc>
        <w:tc>
          <w:tcPr>
            <w:tcW w:w="1144" w:type="dxa"/>
            <w:shd w:val="clear" w:color="000000" w:fill="A7A9AC"/>
            <w:noWrap/>
            <w:vAlign w:val="center"/>
            <w:hideMark/>
          </w:tcPr>
          <w:p w14:paraId="1BF3687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31,041</w:t>
            </w:r>
          </w:p>
        </w:tc>
        <w:tc>
          <w:tcPr>
            <w:tcW w:w="1144" w:type="dxa"/>
            <w:shd w:val="clear" w:color="000000" w:fill="A7A9AC"/>
            <w:noWrap/>
            <w:vAlign w:val="center"/>
            <w:hideMark/>
          </w:tcPr>
          <w:p w14:paraId="63FC169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44,043</w:t>
            </w:r>
          </w:p>
        </w:tc>
      </w:tr>
      <w:tr w:rsidR="009028ED" w:rsidRPr="007F6332" w14:paraId="4FAC992B" w14:textId="77777777" w:rsidTr="006C7E97">
        <w:trPr>
          <w:trHeight w:val="288"/>
        </w:trPr>
        <w:tc>
          <w:tcPr>
            <w:tcW w:w="567" w:type="dxa"/>
            <w:tcBorders>
              <w:top w:val="nil"/>
              <w:left w:val="nil"/>
              <w:right w:val="nil"/>
            </w:tcBorders>
            <w:shd w:val="clear" w:color="auto" w:fill="A7A9AC"/>
            <w:noWrap/>
            <w:vAlign w:val="center"/>
            <w:hideMark/>
          </w:tcPr>
          <w:p w14:paraId="4531F53A"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6c</w:t>
            </w:r>
          </w:p>
        </w:tc>
        <w:tc>
          <w:tcPr>
            <w:tcW w:w="5027" w:type="dxa"/>
            <w:tcBorders>
              <w:top w:val="nil"/>
              <w:left w:val="nil"/>
              <w:right w:val="nil"/>
            </w:tcBorders>
            <w:shd w:val="clear" w:color="auto" w:fill="A7A9AC"/>
            <w:noWrap/>
            <w:vAlign w:val="center"/>
            <w:hideMark/>
          </w:tcPr>
          <w:p w14:paraId="28999EA5" w14:textId="24E2CD10"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Transport policy: tightened eligibility &amp; bottom</w:t>
            </w:r>
            <w:r w:rsidR="00494F88" w:rsidRPr="007F6332">
              <w:rPr>
                <w:rFonts w:eastAsia="Times New Roman" w:cs="Arial"/>
                <w:color w:val="000000"/>
                <w:szCs w:val="22"/>
                <w:lang w:eastAsia="en-AU"/>
              </w:rPr>
              <w:t>-</w:t>
            </w:r>
            <w:r w:rsidRPr="007F6332">
              <w:rPr>
                <w:rFonts w:eastAsia="Times New Roman" w:cs="Arial"/>
                <w:color w:val="000000"/>
                <w:szCs w:val="22"/>
                <w:lang w:eastAsia="en-AU"/>
              </w:rPr>
              <w:t>up approach</w:t>
            </w:r>
          </w:p>
        </w:tc>
        <w:tc>
          <w:tcPr>
            <w:tcW w:w="1144" w:type="dxa"/>
            <w:tcBorders>
              <w:top w:val="nil"/>
              <w:left w:val="nil"/>
              <w:right w:val="nil"/>
            </w:tcBorders>
            <w:shd w:val="clear" w:color="auto" w:fill="A7A9AC"/>
            <w:noWrap/>
            <w:vAlign w:val="center"/>
            <w:hideMark/>
          </w:tcPr>
          <w:p w14:paraId="2867DAF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18,800</w:t>
            </w:r>
          </w:p>
        </w:tc>
        <w:tc>
          <w:tcPr>
            <w:tcW w:w="1144" w:type="dxa"/>
            <w:tcBorders>
              <w:top w:val="nil"/>
              <w:left w:val="nil"/>
              <w:right w:val="nil"/>
            </w:tcBorders>
            <w:shd w:val="clear" w:color="auto" w:fill="A7A9AC"/>
            <w:noWrap/>
            <w:vAlign w:val="center"/>
            <w:hideMark/>
          </w:tcPr>
          <w:p w14:paraId="3348D47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35,115</w:t>
            </w:r>
          </w:p>
        </w:tc>
        <w:tc>
          <w:tcPr>
            <w:tcW w:w="1144" w:type="dxa"/>
            <w:tcBorders>
              <w:top w:val="nil"/>
              <w:left w:val="nil"/>
              <w:right w:val="nil"/>
            </w:tcBorders>
            <w:shd w:val="clear" w:color="auto" w:fill="A7A9AC"/>
            <w:noWrap/>
            <w:vAlign w:val="center"/>
            <w:hideMark/>
          </w:tcPr>
          <w:p w14:paraId="0C0C51D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49,941</w:t>
            </w:r>
          </w:p>
        </w:tc>
      </w:tr>
      <w:tr w:rsidR="009028ED" w:rsidRPr="007F6332" w14:paraId="097597B9" w14:textId="77777777" w:rsidTr="006C7E97">
        <w:trPr>
          <w:trHeight w:val="288"/>
        </w:trPr>
        <w:tc>
          <w:tcPr>
            <w:tcW w:w="567" w:type="dxa"/>
            <w:tcBorders>
              <w:top w:val="nil"/>
              <w:left w:val="nil"/>
              <w:right w:val="nil"/>
            </w:tcBorders>
            <w:shd w:val="clear" w:color="auto" w:fill="auto"/>
            <w:noWrap/>
            <w:vAlign w:val="center"/>
            <w:hideMark/>
          </w:tcPr>
          <w:p w14:paraId="2B7CEE53"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7</w:t>
            </w:r>
          </w:p>
        </w:tc>
        <w:tc>
          <w:tcPr>
            <w:tcW w:w="5027" w:type="dxa"/>
            <w:tcBorders>
              <w:top w:val="nil"/>
              <w:left w:val="nil"/>
              <w:right w:val="nil"/>
            </w:tcBorders>
            <w:shd w:val="clear" w:color="auto" w:fill="auto"/>
            <w:noWrap/>
            <w:vAlign w:val="center"/>
            <w:hideMark/>
          </w:tcPr>
          <w:p w14:paraId="72CFA89C"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Steady intake date at 30 June 2020</w:t>
            </w:r>
          </w:p>
        </w:tc>
        <w:tc>
          <w:tcPr>
            <w:tcW w:w="1144" w:type="dxa"/>
            <w:tcBorders>
              <w:top w:val="nil"/>
              <w:left w:val="nil"/>
              <w:right w:val="nil"/>
            </w:tcBorders>
            <w:shd w:val="clear" w:color="auto" w:fill="auto"/>
            <w:noWrap/>
            <w:vAlign w:val="center"/>
            <w:hideMark/>
          </w:tcPr>
          <w:p w14:paraId="23846D4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16,425</w:t>
            </w:r>
          </w:p>
        </w:tc>
        <w:tc>
          <w:tcPr>
            <w:tcW w:w="1144" w:type="dxa"/>
            <w:tcBorders>
              <w:top w:val="nil"/>
              <w:left w:val="nil"/>
              <w:right w:val="nil"/>
            </w:tcBorders>
            <w:shd w:val="clear" w:color="auto" w:fill="auto"/>
            <w:noWrap/>
            <w:vAlign w:val="center"/>
            <w:hideMark/>
          </w:tcPr>
          <w:p w14:paraId="2A61C39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28,286</w:t>
            </w:r>
          </w:p>
        </w:tc>
        <w:tc>
          <w:tcPr>
            <w:tcW w:w="1144" w:type="dxa"/>
            <w:tcBorders>
              <w:top w:val="nil"/>
              <w:left w:val="nil"/>
              <w:right w:val="nil"/>
            </w:tcBorders>
            <w:shd w:val="clear" w:color="auto" w:fill="auto"/>
            <w:noWrap/>
            <w:vAlign w:val="center"/>
            <w:hideMark/>
          </w:tcPr>
          <w:p w14:paraId="03986C0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41,344</w:t>
            </w:r>
          </w:p>
        </w:tc>
      </w:tr>
      <w:tr w:rsidR="009028ED" w:rsidRPr="007F6332" w14:paraId="2558C5E7" w14:textId="77777777" w:rsidTr="006C7E97">
        <w:trPr>
          <w:trHeight w:val="288"/>
        </w:trPr>
        <w:tc>
          <w:tcPr>
            <w:tcW w:w="567" w:type="dxa"/>
            <w:shd w:val="clear" w:color="auto" w:fill="A7A9AC"/>
            <w:noWrap/>
            <w:vAlign w:val="center"/>
            <w:hideMark/>
          </w:tcPr>
          <w:p w14:paraId="7F4A50BF"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8a</w:t>
            </w:r>
          </w:p>
        </w:tc>
        <w:tc>
          <w:tcPr>
            <w:tcW w:w="5027" w:type="dxa"/>
            <w:shd w:val="clear" w:color="auto" w:fill="A7A9AC"/>
            <w:noWrap/>
            <w:vAlign w:val="center"/>
            <w:hideMark/>
          </w:tcPr>
          <w:p w14:paraId="6108A699"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Additional 3% pa superimposed inflation from 2021</w:t>
            </w:r>
          </w:p>
        </w:tc>
        <w:tc>
          <w:tcPr>
            <w:tcW w:w="1144" w:type="dxa"/>
            <w:shd w:val="clear" w:color="auto" w:fill="A7A9AC"/>
            <w:noWrap/>
            <w:vAlign w:val="center"/>
            <w:hideMark/>
          </w:tcPr>
          <w:p w14:paraId="23EC1520"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16,327</w:t>
            </w:r>
          </w:p>
        </w:tc>
        <w:tc>
          <w:tcPr>
            <w:tcW w:w="1144" w:type="dxa"/>
            <w:shd w:val="clear" w:color="auto" w:fill="A7A9AC"/>
            <w:noWrap/>
            <w:vAlign w:val="center"/>
            <w:hideMark/>
          </w:tcPr>
          <w:p w14:paraId="32F3226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35,152</w:t>
            </w:r>
          </w:p>
        </w:tc>
        <w:tc>
          <w:tcPr>
            <w:tcW w:w="1144" w:type="dxa"/>
            <w:shd w:val="clear" w:color="auto" w:fill="A7A9AC"/>
            <w:noWrap/>
            <w:vAlign w:val="center"/>
            <w:hideMark/>
          </w:tcPr>
          <w:p w14:paraId="347C731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56,030</w:t>
            </w:r>
          </w:p>
        </w:tc>
      </w:tr>
      <w:tr w:rsidR="009028ED" w:rsidRPr="007F6332" w14:paraId="5E51B895" w14:textId="77777777" w:rsidTr="006C7E97">
        <w:trPr>
          <w:trHeight w:val="288"/>
        </w:trPr>
        <w:tc>
          <w:tcPr>
            <w:tcW w:w="567" w:type="dxa"/>
            <w:tcBorders>
              <w:top w:val="nil"/>
              <w:left w:val="nil"/>
              <w:bottom w:val="single" w:sz="4" w:space="0" w:color="auto"/>
              <w:right w:val="nil"/>
            </w:tcBorders>
            <w:shd w:val="clear" w:color="auto" w:fill="A7A9AC"/>
            <w:noWrap/>
            <w:vAlign w:val="center"/>
            <w:hideMark/>
          </w:tcPr>
          <w:p w14:paraId="59ACE264"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8b</w:t>
            </w:r>
          </w:p>
        </w:tc>
        <w:tc>
          <w:tcPr>
            <w:tcW w:w="5027" w:type="dxa"/>
            <w:tcBorders>
              <w:top w:val="nil"/>
              <w:left w:val="nil"/>
              <w:bottom w:val="single" w:sz="4" w:space="0" w:color="auto"/>
              <w:right w:val="nil"/>
            </w:tcBorders>
            <w:shd w:val="clear" w:color="auto" w:fill="A7A9AC"/>
            <w:noWrap/>
            <w:vAlign w:val="center"/>
            <w:hideMark/>
          </w:tcPr>
          <w:p w14:paraId="58760E5D"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Additional 1% pa superimposed inflation from 2021</w:t>
            </w:r>
          </w:p>
        </w:tc>
        <w:tc>
          <w:tcPr>
            <w:tcW w:w="1144" w:type="dxa"/>
            <w:tcBorders>
              <w:top w:val="nil"/>
              <w:left w:val="nil"/>
              <w:bottom w:val="single" w:sz="4" w:space="0" w:color="auto"/>
              <w:right w:val="nil"/>
            </w:tcBorders>
            <w:shd w:val="clear" w:color="auto" w:fill="A7A9AC"/>
            <w:noWrap/>
            <w:vAlign w:val="center"/>
            <w:hideMark/>
          </w:tcPr>
          <w:p w14:paraId="4411DF2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16,327</w:t>
            </w:r>
          </w:p>
        </w:tc>
        <w:tc>
          <w:tcPr>
            <w:tcW w:w="1144" w:type="dxa"/>
            <w:tcBorders>
              <w:top w:val="nil"/>
              <w:left w:val="nil"/>
              <w:bottom w:val="single" w:sz="4" w:space="0" w:color="auto"/>
              <w:right w:val="nil"/>
            </w:tcBorders>
            <w:shd w:val="clear" w:color="auto" w:fill="A7A9AC"/>
            <w:noWrap/>
            <w:vAlign w:val="center"/>
            <w:hideMark/>
          </w:tcPr>
          <w:p w14:paraId="7CAB8F9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32,264</w:t>
            </w:r>
          </w:p>
        </w:tc>
        <w:tc>
          <w:tcPr>
            <w:tcW w:w="1144" w:type="dxa"/>
            <w:tcBorders>
              <w:top w:val="nil"/>
              <w:left w:val="nil"/>
              <w:bottom w:val="single" w:sz="4" w:space="0" w:color="auto"/>
              <w:right w:val="nil"/>
            </w:tcBorders>
            <w:shd w:val="clear" w:color="auto" w:fill="A7A9AC"/>
            <w:noWrap/>
            <w:vAlign w:val="center"/>
            <w:hideMark/>
          </w:tcPr>
          <w:p w14:paraId="5CAFC62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47,825</w:t>
            </w:r>
          </w:p>
        </w:tc>
      </w:tr>
    </w:tbl>
    <w:p w14:paraId="0991FC79" w14:textId="6436FFEF" w:rsidR="009028ED" w:rsidRDefault="009028ED" w:rsidP="00F41A57">
      <w:pPr>
        <w:pStyle w:val="FiguresandTablesHeading5"/>
        <w:rPr>
          <w:rFonts w:eastAsiaTheme="minorHAnsi"/>
          <w:lang w:eastAsia="en-US"/>
        </w:rPr>
      </w:pPr>
      <w:r w:rsidRPr="007F6332">
        <w:rPr>
          <w:rFonts w:eastAsiaTheme="minorHAnsi"/>
          <w:lang w:eastAsia="en-US"/>
        </w:rPr>
        <w:t xml:space="preserve">Table </w:t>
      </w:r>
      <w:r w:rsidR="00A12E65" w:rsidRPr="007F6332">
        <w:rPr>
          <w:rFonts w:eastAsiaTheme="minorHAnsi"/>
          <w:lang w:eastAsia="en-US"/>
        </w:rPr>
        <w:t>L</w:t>
      </w:r>
      <w:r w:rsidRPr="007F6332">
        <w:rPr>
          <w:rFonts w:eastAsiaTheme="minorHAnsi"/>
          <w:lang w:eastAsia="en-US"/>
        </w:rPr>
        <w:t>.4: 2019-20 AFSR scenarios</w:t>
      </w:r>
    </w:p>
    <w:tbl>
      <w:tblPr>
        <w:tblW w:w="9072" w:type="dxa"/>
        <w:tblLook w:val="04A0" w:firstRow="1" w:lastRow="0" w:firstColumn="1" w:lastColumn="0" w:noHBand="0" w:noVBand="1"/>
      </w:tblPr>
      <w:tblGrid>
        <w:gridCol w:w="5950"/>
        <w:gridCol w:w="1126"/>
        <w:gridCol w:w="1004"/>
        <w:gridCol w:w="992"/>
      </w:tblGrid>
      <w:tr w:rsidR="00F41A57" w:rsidRPr="007F6332" w14:paraId="0AA0C71E" w14:textId="77777777" w:rsidTr="00E23AE4">
        <w:trPr>
          <w:trHeight w:val="271"/>
        </w:trPr>
        <w:tc>
          <w:tcPr>
            <w:tcW w:w="5950" w:type="dxa"/>
            <w:shd w:val="clear" w:color="auto" w:fill="6B2976"/>
            <w:noWrap/>
            <w:vAlign w:val="center"/>
            <w:hideMark/>
          </w:tcPr>
          <w:p w14:paraId="35ABDACB" w14:textId="77777777" w:rsidR="00F41A57" w:rsidRPr="007F6332" w:rsidRDefault="00F41A57" w:rsidP="00E23AE4">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Total participant costs ($m)</w:t>
            </w:r>
          </w:p>
        </w:tc>
        <w:tc>
          <w:tcPr>
            <w:tcW w:w="1126" w:type="dxa"/>
            <w:shd w:val="clear" w:color="auto" w:fill="6B2976"/>
            <w:noWrap/>
            <w:vAlign w:val="center"/>
            <w:hideMark/>
          </w:tcPr>
          <w:p w14:paraId="1CF55C17" w14:textId="77777777" w:rsidR="00F41A57" w:rsidRPr="007F6332" w:rsidRDefault="00F41A57" w:rsidP="00E23AE4">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2019-20</w:t>
            </w:r>
          </w:p>
        </w:tc>
        <w:tc>
          <w:tcPr>
            <w:tcW w:w="1004" w:type="dxa"/>
            <w:shd w:val="clear" w:color="auto" w:fill="6B2976"/>
            <w:noWrap/>
            <w:vAlign w:val="center"/>
            <w:hideMark/>
          </w:tcPr>
          <w:p w14:paraId="0BDA96A1" w14:textId="77777777" w:rsidR="00F41A57" w:rsidRPr="007F6332" w:rsidRDefault="00F41A57" w:rsidP="00E23AE4">
            <w:pPr>
              <w:spacing w:after="0" w:line="240" w:lineRule="auto"/>
              <w:ind w:right="-102"/>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992" w:type="dxa"/>
            <w:shd w:val="clear" w:color="auto" w:fill="6B2976"/>
            <w:noWrap/>
            <w:vAlign w:val="center"/>
            <w:hideMark/>
          </w:tcPr>
          <w:p w14:paraId="5BD161C6" w14:textId="77777777" w:rsidR="00F41A57" w:rsidRPr="007F6332" w:rsidRDefault="00F41A57" w:rsidP="00E23AE4">
            <w:pPr>
              <w:spacing w:after="0" w:line="240" w:lineRule="auto"/>
              <w:ind w:right="-108"/>
              <w:jc w:val="right"/>
              <w:rPr>
                <w:rFonts w:eastAsia="Times New Roman" w:cs="Arial"/>
                <w:b/>
                <w:bCs/>
                <w:color w:val="FFFFFF"/>
                <w:szCs w:val="22"/>
                <w:lang w:eastAsia="en-AU"/>
              </w:rPr>
            </w:pPr>
            <w:r w:rsidRPr="007F6332">
              <w:rPr>
                <w:rFonts w:eastAsia="Times New Roman" w:cs="Arial"/>
                <w:b/>
                <w:bCs/>
                <w:color w:val="FFFFFF"/>
                <w:szCs w:val="22"/>
                <w:lang w:eastAsia="en-AU"/>
              </w:rPr>
              <w:t>2029-30</w:t>
            </w:r>
          </w:p>
        </w:tc>
      </w:tr>
      <w:tr w:rsidR="00F41A57" w:rsidRPr="007F6332" w14:paraId="114A19F6" w14:textId="77777777" w:rsidTr="00E23AE4">
        <w:trPr>
          <w:trHeight w:val="284"/>
        </w:trPr>
        <w:tc>
          <w:tcPr>
            <w:tcW w:w="5950" w:type="dxa"/>
            <w:tcBorders>
              <w:top w:val="nil"/>
              <w:left w:val="nil"/>
              <w:right w:val="nil"/>
            </w:tcBorders>
            <w:shd w:val="clear" w:color="auto" w:fill="B398B8"/>
            <w:noWrap/>
            <w:vAlign w:val="bottom"/>
            <w:hideMark/>
          </w:tcPr>
          <w:p w14:paraId="550389BD" w14:textId="77777777" w:rsidR="00F41A57" w:rsidRPr="007F6332" w:rsidRDefault="00F41A57" w:rsidP="00E23AE4">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2019-20 Baseline</w:t>
            </w:r>
          </w:p>
        </w:tc>
        <w:tc>
          <w:tcPr>
            <w:tcW w:w="1126" w:type="dxa"/>
            <w:tcBorders>
              <w:top w:val="nil"/>
              <w:left w:val="nil"/>
              <w:right w:val="nil"/>
            </w:tcBorders>
            <w:shd w:val="clear" w:color="auto" w:fill="B398B8"/>
            <w:noWrap/>
            <w:vAlign w:val="bottom"/>
            <w:hideMark/>
          </w:tcPr>
          <w:p w14:paraId="03C7E836" w14:textId="77777777" w:rsidR="00F41A57" w:rsidRPr="007F6332" w:rsidRDefault="00F41A57" w:rsidP="00E23AE4">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 </w:t>
            </w:r>
          </w:p>
        </w:tc>
        <w:tc>
          <w:tcPr>
            <w:tcW w:w="1004" w:type="dxa"/>
            <w:tcBorders>
              <w:top w:val="nil"/>
              <w:left w:val="nil"/>
              <w:right w:val="nil"/>
            </w:tcBorders>
            <w:shd w:val="clear" w:color="auto" w:fill="B398B8"/>
            <w:noWrap/>
            <w:vAlign w:val="bottom"/>
            <w:hideMark/>
          </w:tcPr>
          <w:p w14:paraId="27241D36" w14:textId="77777777" w:rsidR="00F41A57" w:rsidRPr="007F6332" w:rsidRDefault="00F41A57" w:rsidP="00E23AE4">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34,109</w:t>
            </w:r>
          </w:p>
        </w:tc>
        <w:tc>
          <w:tcPr>
            <w:tcW w:w="992" w:type="dxa"/>
            <w:tcBorders>
              <w:top w:val="nil"/>
              <w:left w:val="nil"/>
              <w:right w:val="nil"/>
            </w:tcBorders>
            <w:shd w:val="clear" w:color="auto" w:fill="B398B8"/>
            <w:noWrap/>
            <w:vAlign w:val="bottom"/>
            <w:hideMark/>
          </w:tcPr>
          <w:p w14:paraId="2F815FEF" w14:textId="77777777" w:rsidR="00F41A57" w:rsidRPr="007F6332" w:rsidRDefault="00F41A57" w:rsidP="00E23AE4">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51,304</w:t>
            </w:r>
          </w:p>
        </w:tc>
      </w:tr>
      <w:tr w:rsidR="00F41A57" w:rsidRPr="007F6332" w14:paraId="2B0E56FF" w14:textId="77777777" w:rsidTr="00E23AE4">
        <w:trPr>
          <w:trHeight w:val="284"/>
        </w:trPr>
        <w:tc>
          <w:tcPr>
            <w:tcW w:w="5950" w:type="dxa"/>
            <w:shd w:val="clear" w:color="auto" w:fill="auto"/>
            <w:noWrap/>
            <w:vAlign w:val="bottom"/>
            <w:hideMark/>
          </w:tcPr>
          <w:p w14:paraId="62D2A671"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1a. =&gt; Continuation of historical superimposed inflation</w:t>
            </w:r>
          </w:p>
        </w:tc>
        <w:tc>
          <w:tcPr>
            <w:tcW w:w="1126" w:type="dxa"/>
            <w:shd w:val="clear" w:color="auto" w:fill="auto"/>
            <w:noWrap/>
            <w:vAlign w:val="bottom"/>
          </w:tcPr>
          <w:p w14:paraId="4648201B" w14:textId="77777777" w:rsidR="00F41A57" w:rsidRPr="007F6332" w:rsidRDefault="00F41A57" w:rsidP="00E23AE4">
            <w:pPr>
              <w:spacing w:after="0"/>
              <w:jc w:val="right"/>
              <w:rPr>
                <w:rFonts w:eastAsia="Times New Roman" w:cs="Arial"/>
                <w:color w:val="000000"/>
                <w:szCs w:val="22"/>
                <w:lang w:eastAsia="en-AU"/>
              </w:rPr>
            </w:pPr>
          </w:p>
        </w:tc>
        <w:tc>
          <w:tcPr>
            <w:tcW w:w="1004" w:type="dxa"/>
            <w:shd w:val="clear" w:color="auto" w:fill="auto"/>
            <w:noWrap/>
            <w:vAlign w:val="bottom"/>
            <w:hideMark/>
          </w:tcPr>
          <w:p w14:paraId="58048A97" w14:textId="77777777" w:rsidR="00F41A57" w:rsidRPr="007F6332" w:rsidRDefault="00F41A57" w:rsidP="00E23AE4">
            <w:pPr>
              <w:spacing w:after="0" w:line="240" w:lineRule="auto"/>
              <w:jc w:val="right"/>
              <w:rPr>
                <w:rFonts w:eastAsia="Times New Roman" w:cs="Arial"/>
                <w:color w:val="000000"/>
                <w:kern w:val="2"/>
                <w:szCs w:val="22"/>
                <w:lang w:eastAsia="en-AU"/>
                <w14:ligatures w14:val="standardContextual"/>
              </w:rPr>
            </w:pPr>
            <w:r w:rsidRPr="007F6332">
              <w:rPr>
                <w:rFonts w:eastAsia="Times New Roman" w:cs="Arial"/>
                <w:color w:val="000000"/>
                <w:szCs w:val="22"/>
                <w:lang w:eastAsia="en-AU"/>
              </w:rPr>
              <w:t>45,399</w:t>
            </w:r>
          </w:p>
        </w:tc>
        <w:tc>
          <w:tcPr>
            <w:tcW w:w="992" w:type="dxa"/>
            <w:shd w:val="clear" w:color="auto" w:fill="auto"/>
            <w:noWrap/>
            <w:vAlign w:val="bottom"/>
            <w:hideMark/>
          </w:tcPr>
          <w:p w14:paraId="4145BA71"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68,282</w:t>
            </w:r>
          </w:p>
        </w:tc>
      </w:tr>
      <w:tr w:rsidR="00F41A57" w:rsidRPr="007F6332" w14:paraId="3A97F2F3" w14:textId="77777777" w:rsidTr="00E23AE4">
        <w:trPr>
          <w:trHeight w:val="284"/>
        </w:trPr>
        <w:tc>
          <w:tcPr>
            <w:tcW w:w="5950" w:type="dxa"/>
            <w:shd w:val="clear" w:color="auto" w:fill="auto"/>
            <w:noWrap/>
            <w:vAlign w:val="bottom"/>
            <w:hideMark/>
          </w:tcPr>
          <w:p w14:paraId="602C3539"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1b. =&gt; Removal of 1% p.a. additional superimposed inflation</w:t>
            </w:r>
          </w:p>
        </w:tc>
        <w:tc>
          <w:tcPr>
            <w:tcW w:w="1126" w:type="dxa"/>
            <w:shd w:val="clear" w:color="auto" w:fill="auto"/>
            <w:noWrap/>
            <w:vAlign w:val="bottom"/>
          </w:tcPr>
          <w:p w14:paraId="1B02BB94" w14:textId="77777777" w:rsidR="00F41A57" w:rsidRPr="007F6332" w:rsidRDefault="00F41A57" w:rsidP="00E23AE4">
            <w:pPr>
              <w:spacing w:after="0"/>
              <w:jc w:val="right"/>
              <w:rPr>
                <w:rFonts w:eastAsia="Times New Roman" w:cs="Arial"/>
                <w:color w:val="000000"/>
                <w:szCs w:val="22"/>
                <w:lang w:eastAsia="en-AU"/>
              </w:rPr>
            </w:pPr>
          </w:p>
        </w:tc>
        <w:tc>
          <w:tcPr>
            <w:tcW w:w="1004" w:type="dxa"/>
            <w:shd w:val="clear" w:color="auto" w:fill="auto"/>
            <w:noWrap/>
            <w:vAlign w:val="bottom"/>
            <w:hideMark/>
          </w:tcPr>
          <w:p w14:paraId="52E2D782" w14:textId="77777777" w:rsidR="00F41A57" w:rsidRPr="007F6332" w:rsidRDefault="00F41A57" w:rsidP="00E23AE4">
            <w:pPr>
              <w:spacing w:after="0" w:line="240" w:lineRule="auto"/>
              <w:jc w:val="right"/>
              <w:rPr>
                <w:rFonts w:eastAsia="Times New Roman" w:cs="Arial"/>
                <w:color w:val="000000"/>
                <w:kern w:val="2"/>
                <w:szCs w:val="22"/>
                <w:lang w:eastAsia="en-AU"/>
                <w14:ligatures w14:val="standardContextual"/>
              </w:rPr>
            </w:pPr>
            <w:r w:rsidRPr="007F6332">
              <w:rPr>
                <w:rFonts w:eastAsia="Times New Roman" w:cs="Arial"/>
                <w:color w:val="000000"/>
                <w:szCs w:val="22"/>
                <w:lang w:eastAsia="en-AU"/>
              </w:rPr>
              <w:t>32,364</w:t>
            </w:r>
          </w:p>
        </w:tc>
        <w:tc>
          <w:tcPr>
            <w:tcW w:w="992" w:type="dxa"/>
            <w:shd w:val="clear" w:color="auto" w:fill="auto"/>
            <w:noWrap/>
            <w:vAlign w:val="bottom"/>
            <w:hideMark/>
          </w:tcPr>
          <w:p w14:paraId="63727FA6"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48,447</w:t>
            </w:r>
          </w:p>
        </w:tc>
      </w:tr>
      <w:tr w:rsidR="00F41A57" w:rsidRPr="007F6332" w14:paraId="22BEEA09" w14:textId="77777777" w:rsidTr="00E23AE4">
        <w:trPr>
          <w:trHeight w:val="284"/>
        </w:trPr>
        <w:tc>
          <w:tcPr>
            <w:tcW w:w="5950" w:type="dxa"/>
            <w:tcBorders>
              <w:top w:val="nil"/>
              <w:left w:val="nil"/>
              <w:right w:val="nil"/>
            </w:tcBorders>
            <w:shd w:val="clear" w:color="auto" w:fill="auto"/>
            <w:noWrap/>
            <w:vAlign w:val="bottom"/>
            <w:hideMark/>
          </w:tcPr>
          <w:p w14:paraId="7250207A"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1c. =&gt; Alternative normal inflation</w:t>
            </w:r>
          </w:p>
        </w:tc>
        <w:tc>
          <w:tcPr>
            <w:tcW w:w="1126" w:type="dxa"/>
            <w:tcBorders>
              <w:top w:val="nil"/>
              <w:left w:val="nil"/>
              <w:right w:val="nil"/>
            </w:tcBorders>
            <w:shd w:val="clear" w:color="auto" w:fill="auto"/>
            <w:noWrap/>
            <w:vAlign w:val="bottom"/>
          </w:tcPr>
          <w:p w14:paraId="06FADE1D" w14:textId="77777777" w:rsidR="00F41A57" w:rsidRPr="007F6332" w:rsidRDefault="00F41A57" w:rsidP="00E23AE4">
            <w:pPr>
              <w:spacing w:after="0" w:line="240" w:lineRule="auto"/>
              <w:jc w:val="right"/>
              <w:rPr>
                <w:rFonts w:eastAsia="Times New Roman" w:cs="Arial"/>
                <w:color w:val="000000"/>
                <w:szCs w:val="22"/>
                <w:lang w:eastAsia="en-AU"/>
              </w:rPr>
            </w:pPr>
          </w:p>
        </w:tc>
        <w:tc>
          <w:tcPr>
            <w:tcW w:w="1004" w:type="dxa"/>
            <w:tcBorders>
              <w:top w:val="nil"/>
              <w:left w:val="nil"/>
              <w:right w:val="nil"/>
            </w:tcBorders>
            <w:shd w:val="clear" w:color="auto" w:fill="auto"/>
            <w:noWrap/>
            <w:vAlign w:val="bottom"/>
            <w:hideMark/>
          </w:tcPr>
          <w:p w14:paraId="6127A053"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33,332</w:t>
            </w:r>
          </w:p>
        </w:tc>
        <w:tc>
          <w:tcPr>
            <w:tcW w:w="992" w:type="dxa"/>
            <w:tcBorders>
              <w:top w:val="nil"/>
              <w:left w:val="nil"/>
              <w:right w:val="nil"/>
            </w:tcBorders>
            <w:shd w:val="clear" w:color="auto" w:fill="auto"/>
            <w:noWrap/>
            <w:vAlign w:val="bottom"/>
            <w:hideMark/>
          </w:tcPr>
          <w:p w14:paraId="483E8D48"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46,735</w:t>
            </w:r>
          </w:p>
        </w:tc>
      </w:tr>
      <w:tr w:rsidR="00F41A57" w:rsidRPr="007F6332" w14:paraId="5C2D4AE0" w14:textId="77777777" w:rsidTr="00E23AE4">
        <w:trPr>
          <w:trHeight w:val="284"/>
        </w:trPr>
        <w:tc>
          <w:tcPr>
            <w:tcW w:w="5950" w:type="dxa"/>
            <w:shd w:val="clear" w:color="auto" w:fill="A7A9AC"/>
            <w:noWrap/>
            <w:vAlign w:val="bottom"/>
            <w:hideMark/>
          </w:tcPr>
          <w:p w14:paraId="11251DCF"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2a. =&gt; Higher proportion of participants in SIL over long-term</w:t>
            </w:r>
          </w:p>
        </w:tc>
        <w:tc>
          <w:tcPr>
            <w:tcW w:w="1126" w:type="dxa"/>
            <w:shd w:val="clear" w:color="auto" w:fill="A7A9AC"/>
            <w:noWrap/>
            <w:vAlign w:val="bottom"/>
          </w:tcPr>
          <w:p w14:paraId="57F54D10" w14:textId="77777777" w:rsidR="00F41A57" w:rsidRPr="007F6332" w:rsidRDefault="00F41A57" w:rsidP="00E23AE4">
            <w:pPr>
              <w:spacing w:after="0"/>
              <w:jc w:val="right"/>
              <w:rPr>
                <w:rFonts w:eastAsia="Times New Roman" w:cs="Arial"/>
                <w:color w:val="000000"/>
                <w:szCs w:val="22"/>
                <w:lang w:eastAsia="en-AU"/>
              </w:rPr>
            </w:pPr>
          </w:p>
        </w:tc>
        <w:tc>
          <w:tcPr>
            <w:tcW w:w="1004" w:type="dxa"/>
            <w:shd w:val="clear" w:color="auto" w:fill="A7A9AC"/>
            <w:noWrap/>
            <w:vAlign w:val="bottom"/>
            <w:hideMark/>
          </w:tcPr>
          <w:p w14:paraId="789A47DC" w14:textId="77777777" w:rsidR="00F41A57" w:rsidRPr="007F6332" w:rsidRDefault="00F41A57" w:rsidP="00E23AE4">
            <w:pPr>
              <w:spacing w:after="0" w:line="240" w:lineRule="auto"/>
              <w:jc w:val="right"/>
              <w:rPr>
                <w:rFonts w:eastAsia="Times New Roman" w:cs="Arial"/>
                <w:color w:val="000000"/>
                <w:kern w:val="2"/>
                <w:szCs w:val="22"/>
                <w:lang w:eastAsia="en-AU"/>
                <w14:ligatures w14:val="standardContextual"/>
              </w:rPr>
            </w:pPr>
            <w:r w:rsidRPr="007F6332">
              <w:rPr>
                <w:rFonts w:eastAsia="Times New Roman" w:cs="Arial"/>
                <w:color w:val="000000"/>
                <w:szCs w:val="22"/>
                <w:lang w:eastAsia="en-AU"/>
              </w:rPr>
              <w:t>37,230</w:t>
            </w:r>
          </w:p>
        </w:tc>
        <w:tc>
          <w:tcPr>
            <w:tcW w:w="992" w:type="dxa"/>
            <w:shd w:val="clear" w:color="auto" w:fill="A7A9AC"/>
            <w:noWrap/>
            <w:vAlign w:val="bottom"/>
            <w:hideMark/>
          </w:tcPr>
          <w:p w14:paraId="51C3B616"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60,805</w:t>
            </w:r>
          </w:p>
        </w:tc>
      </w:tr>
      <w:tr w:rsidR="00F41A57" w:rsidRPr="007F6332" w14:paraId="3666BE67" w14:textId="77777777" w:rsidTr="00E23AE4">
        <w:trPr>
          <w:trHeight w:val="284"/>
        </w:trPr>
        <w:tc>
          <w:tcPr>
            <w:tcW w:w="5950" w:type="dxa"/>
            <w:shd w:val="clear" w:color="auto" w:fill="A7A9AC"/>
            <w:noWrap/>
            <w:vAlign w:val="bottom"/>
            <w:hideMark/>
          </w:tcPr>
          <w:p w14:paraId="509E47E5"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2b. =&gt; Continuation of increasing SIL cost for 2 years</w:t>
            </w:r>
          </w:p>
        </w:tc>
        <w:tc>
          <w:tcPr>
            <w:tcW w:w="1126" w:type="dxa"/>
            <w:shd w:val="clear" w:color="auto" w:fill="A7A9AC"/>
            <w:noWrap/>
            <w:vAlign w:val="bottom"/>
          </w:tcPr>
          <w:p w14:paraId="6338F1D5" w14:textId="77777777" w:rsidR="00F41A57" w:rsidRPr="007F6332" w:rsidRDefault="00F41A57" w:rsidP="00E23AE4">
            <w:pPr>
              <w:spacing w:after="0"/>
              <w:jc w:val="right"/>
              <w:rPr>
                <w:rFonts w:eastAsia="Times New Roman" w:cs="Arial"/>
                <w:color w:val="000000"/>
                <w:szCs w:val="22"/>
                <w:lang w:eastAsia="en-AU"/>
              </w:rPr>
            </w:pPr>
          </w:p>
        </w:tc>
        <w:tc>
          <w:tcPr>
            <w:tcW w:w="1004" w:type="dxa"/>
            <w:shd w:val="clear" w:color="auto" w:fill="A7A9AC"/>
            <w:noWrap/>
            <w:vAlign w:val="bottom"/>
            <w:hideMark/>
          </w:tcPr>
          <w:p w14:paraId="1AA269D3" w14:textId="77777777" w:rsidR="00F41A57" w:rsidRPr="007F6332" w:rsidRDefault="00F41A57" w:rsidP="00E23AE4">
            <w:pPr>
              <w:spacing w:after="0" w:line="240" w:lineRule="auto"/>
              <w:jc w:val="right"/>
              <w:rPr>
                <w:rFonts w:eastAsia="Times New Roman" w:cs="Arial"/>
                <w:color w:val="000000"/>
                <w:kern w:val="2"/>
                <w:szCs w:val="22"/>
                <w:lang w:eastAsia="en-AU"/>
                <w14:ligatures w14:val="standardContextual"/>
              </w:rPr>
            </w:pPr>
            <w:r w:rsidRPr="007F6332">
              <w:rPr>
                <w:rFonts w:eastAsia="Times New Roman" w:cs="Arial"/>
                <w:color w:val="000000"/>
                <w:szCs w:val="22"/>
                <w:lang w:eastAsia="en-AU"/>
              </w:rPr>
              <w:t>37,909</w:t>
            </w:r>
          </w:p>
        </w:tc>
        <w:tc>
          <w:tcPr>
            <w:tcW w:w="992" w:type="dxa"/>
            <w:shd w:val="clear" w:color="auto" w:fill="A7A9AC"/>
            <w:noWrap/>
            <w:vAlign w:val="bottom"/>
            <w:hideMark/>
          </w:tcPr>
          <w:p w14:paraId="63C27747"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57,276</w:t>
            </w:r>
          </w:p>
        </w:tc>
      </w:tr>
      <w:tr w:rsidR="00F41A57" w:rsidRPr="007F6332" w14:paraId="10ECDAA7" w14:textId="77777777" w:rsidTr="00E23AE4">
        <w:trPr>
          <w:trHeight w:val="284"/>
        </w:trPr>
        <w:tc>
          <w:tcPr>
            <w:tcW w:w="5950" w:type="dxa"/>
            <w:tcBorders>
              <w:top w:val="nil"/>
              <w:left w:val="nil"/>
              <w:right w:val="nil"/>
            </w:tcBorders>
            <w:shd w:val="clear" w:color="auto" w:fill="A7A9AC"/>
            <w:noWrap/>
            <w:vAlign w:val="bottom"/>
            <w:hideMark/>
          </w:tcPr>
          <w:p w14:paraId="1EA34691"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2c. =&gt; SIL cost innovation</w:t>
            </w:r>
          </w:p>
        </w:tc>
        <w:tc>
          <w:tcPr>
            <w:tcW w:w="1126" w:type="dxa"/>
            <w:tcBorders>
              <w:top w:val="nil"/>
              <w:left w:val="nil"/>
              <w:right w:val="nil"/>
            </w:tcBorders>
            <w:shd w:val="clear" w:color="auto" w:fill="A7A9AC"/>
            <w:noWrap/>
            <w:vAlign w:val="bottom"/>
          </w:tcPr>
          <w:p w14:paraId="78D6F7A6" w14:textId="77777777" w:rsidR="00F41A57" w:rsidRPr="007F6332" w:rsidRDefault="00F41A57" w:rsidP="00E23AE4">
            <w:pPr>
              <w:spacing w:after="0" w:line="240" w:lineRule="auto"/>
              <w:jc w:val="right"/>
              <w:rPr>
                <w:rFonts w:eastAsia="Times New Roman" w:cs="Arial"/>
                <w:color w:val="000000"/>
                <w:szCs w:val="22"/>
                <w:lang w:eastAsia="en-AU"/>
              </w:rPr>
            </w:pPr>
          </w:p>
        </w:tc>
        <w:tc>
          <w:tcPr>
            <w:tcW w:w="1004" w:type="dxa"/>
            <w:tcBorders>
              <w:top w:val="nil"/>
              <w:left w:val="nil"/>
              <w:right w:val="nil"/>
            </w:tcBorders>
            <w:shd w:val="clear" w:color="auto" w:fill="A7A9AC"/>
            <w:noWrap/>
            <w:vAlign w:val="bottom"/>
            <w:hideMark/>
          </w:tcPr>
          <w:p w14:paraId="69E78660"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31,119</w:t>
            </w:r>
          </w:p>
        </w:tc>
        <w:tc>
          <w:tcPr>
            <w:tcW w:w="992" w:type="dxa"/>
            <w:tcBorders>
              <w:top w:val="nil"/>
              <w:left w:val="nil"/>
              <w:right w:val="nil"/>
            </w:tcBorders>
            <w:shd w:val="clear" w:color="auto" w:fill="A7A9AC"/>
            <w:noWrap/>
            <w:vAlign w:val="bottom"/>
            <w:hideMark/>
          </w:tcPr>
          <w:p w14:paraId="721B0071"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46,600</w:t>
            </w:r>
          </w:p>
        </w:tc>
      </w:tr>
      <w:tr w:rsidR="00F41A57" w:rsidRPr="007F6332" w14:paraId="61BD50E8" w14:textId="77777777" w:rsidTr="00E23AE4">
        <w:trPr>
          <w:trHeight w:val="284"/>
        </w:trPr>
        <w:tc>
          <w:tcPr>
            <w:tcW w:w="5950" w:type="dxa"/>
            <w:shd w:val="clear" w:color="auto" w:fill="auto"/>
            <w:noWrap/>
            <w:vAlign w:val="bottom"/>
            <w:hideMark/>
          </w:tcPr>
          <w:p w14:paraId="698CE5D9"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3a. =&gt; 44,000 additional participants</w:t>
            </w:r>
          </w:p>
        </w:tc>
        <w:tc>
          <w:tcPr>
            <w:tcW w:w="1126" w:type="dxa"/>
            <w:shd w:val="clear" w:color="auto" w:fill="auto"/>
            <w:noWrap/>
            <w:vAlign w:val="bottom"/>
          </w:tcPr>
          <w:p w14:paraId="5D5AA3FA" w14:textId="77777777" w:rsidR="00F41A57" w:rsidRPr="007F6332" w:rsidRDefault="00F41A57" w:rsidP="00E23AE4">
            <w:pPr>
              <w:spacing w:after="0"/>
              <w:jc w:val="right"/>
              <w:rPr>
                <w:rFonts w:eastAsia="Times New Roman" w:cs="Arial"/>
                <w:color w:val="000000"/>
                <w:szCs w:val="22"/>
                <w:lang w:eastAsia="en-AU"/>
              </w:rPr>
            </w:pPr>
          </w:p>
        </w:tc>
        <w:tc>
          <w:tcPr>
            <w:tcW w:w="1004" w:type="dxa"/>
            <w:shd w:val="clear" w:color="auto" w:fill="auto"/>
            <w:noWrap/>
            <w:vAlign w:val="bottom"/>
            <w:hideMark/>
          </w:tcPr>
          <w:p w14:paraId="7951881B" w14:textId="77777777" w:rsidR="00F41A57" w:rsidRPr="007F6332" w:rsidRDefault="00F41A57" w:rsidP="00E23AE4">
            <w:pPr>
              <w:spacing w:after="0" w:line="240" w:lineRule="auto"/>
              <w:jc w:val="right"/>
              <w:rPr>
                <w:rFonts w:eastAsia="Times New Roman" w:cs="Arial"/>
                <w:color w:val="000000"/>
                <w:kern w:val="2"/>
                <w:szCs w:val="22"/>
                <w:lang w:eastAsia="en-AU"/>
                <w14:ligatures w14:val="standardContextual"/>
              </w:rPr>
            </w:pPr>
            <w:r w:rsidRPr="007F6332">
              <w:rPr>
                <w:rFonts w:eastAsia="Times New Roman" w:cs="Arial"/>
                <w:color w:val="000000"/>
                <w:szCs w:val="22"/>
                <w:lang w:eastAsia="en-AU"/>
              </w:rPr>
              <w:t>37,955</w:t>
            </w:r>
          </w:p>
        </w:tc>
        <w:tc>
          <w:tcPr>
            <w:tcW w:w="992" w:type="dxa"/>
            <w:shd w:val="clear" w:color="auto" w:fill="auto"/>
            <w:noWrap/>
            <w:vAlign w:val="bottom"/>
            <w:hideMark/>
          </w:tcPr>
          <w:p w14:paraId="47DF6F4A"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56,268</w:t>
            </w:r>
          </w:p>
        </w:tc>
      </w:tr>
      <w:tr w:rsidR="00F41A57" w:rsidRPr="007F6332" w14:paraId="1E5B82CF" w14:textId="77777777" w:rsidTr="00E23AE4">
        <w:trPr>
          <w:trHeight w:val="284"/>
        </w:trPr>
        <w:tc>
          <w:tcPr>
            <w:tcW w:w="5950" w:type="dxa"/>
            <w:shd w:val="clear" w:color="auto" w:fill="auto"/>
            <w:noWrap/>
            <w:vAlign w:val="bottom"/>
            <w:hideMark/>
          </w:tcPr>
          <w:p w14:paraId="36D5CB1E"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3b. =&gt; 60,000 additional participants</w:t>
            </w:r>
          </w:p>
        </w:tc>
        <w:tc>
          <w:tcPr>
            <w:tcW w:w="1126" w:type="dxa"/>
            <w:shd w:val="clear" w:color="auto" w:fill="auto"/>
            <w:noWrap/>
            <w:vAlign w:val="bottom"/>
          </w:tcPr>
          <w:p w14:paraId="42DE1AE2" w14:textId="77777777" w:rsidR="00F41A57" w:rsidRPr="007F6332" w:rsidRDefault="00F41A57" w:rsidP="00E23AE4">
            <w:pPr>
              <w:spacing w:after="0"/>
              <w:jc w:val="right"/>
              <w:rPr>
                <w:rFonts w:eastAsia="Times New Roman" w:cs="Arial"/>
                <w:color w:val="000000"/>
                <w:szCs w:val="22"/>
                <w:lang w:eastAsia="en-AU"/>
              </w:rPr>
            </w:pPr>
          </w:p>
        </w:tc>
        <w:tc>
          <w:tcPr>
            <w:tcW w:w="1004" w:type="dxa"/>
            <w:shd w:val="clear" w:color="auto" w:fill="auto"/>
            <w:noWrap/>
            <w:vAlign w:val="bottom"/>
            <w:hideMark/>
          </w:tcPr>
          <w:p w14:paraId="5DBA39E6" w14:textId="77777777" w:rsidR="00F41A57" w:rsidRPr="007F6332" w:rsidRDefault="00F41A57" w:rsidP="00E23AE4">
            <w:pPr>
              <w:spacing w:after="0" w:line="240" w:lineRule="auto"/>
              <w:jc w:val="right"/>
              <w:rPr>
                <w:rFonts w:eastAsia="Times New Roman" w:cs="Arial"/>
                <w:color w:val="000000"/>
                <w:kern w:val="2"/>
                <w:szCs w:val="22"/>
                <w:lang w:eastAsia="en-AU"/>
                <w14:ligatures w14:val="standardContextual"/>
              </w:rPr>
            </w:pPr>
            <w:r w:rsidRPr="007F6332">
              <w:rPr>
                <w:rFonts w:eastAsia="Times New Roman" w:cs="Arial"/>
                <w:color w:val="000000"/>
                <w:szCs w:val="22"/>
                <w:lang w:eastAsia="en-AU"/>
              </w:rPr>
              <w:t>38,430</w:t>
            </w:r>
          </w:p>
        </w:tc>
        <w:tc>
          <w:tcPr>
            <w:tcW w:w="992" w:type="dxa"/>
            <w:shd w:val="clear" w:color="auto" w:fill="auto"/>
            <w:noWrap/>
            <w:vAlign w:val="bottom"/>
            <w:hideMark/>
          </w:tcPr>
          <w:p w14:paraId="4C4C18AD"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56,879</w:t>
            </w:r>
          </w:p>
        </w:tc>
      </w:tr>
      <w:tr w:rsidR="00F41A57" w:rsidRPr="007F6332" w14:paraId="02B1DDCD" w14:textId="77777777" w:rsidTr="00E23AE4">
        <w:trPr>
          <w:trHeight w:val="284"/>
        </w:trPr>
        <w:tc>
          <w:tcPr>
            <w:tcW w:w="5950" w:type="dxa"/>
            <w:tcBorders>
              <w:top w:val="nil"/>
              <w:left w:val="nil"/>
              <w:right w:val="nil"/>
            </w:tcBorders>
            <w:shd w:val="clear" w:color="auto" w:fill="auto"/>
            <w:noWrap/>
            <w:vAlign w:val="bottom"/>
            <w:hideMark/>
          </w:tcPr>
          <w:p w14:paraId="37B6107F"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3c. =&gt; 99,000 additional participants</w:t>
            </w:r>
          </w:p>
        </w:tc>
        <w:tc>
          <w:tcPr>
            <w:tcW w:w="1126" w:type="dxa"/>
            <w:tcBorders>
              <w:top w:val="nil"/>
              <w:left w:val="nil"/>
              <w:right w:val="nil"/>
            </w:tcBorders>
            <w:shd w:val="clear" w:color="auto" w:fill="auto"/>
            <w:noWrap/>
            <w:vAlign w:val="bottom"/>
          </w:tcPr>
          <w:p w14:paraId="5EA3B50C" w14:textId="77777777" w:rsidR="00F41A57" w:rsidRPr="007F6332" w:rsidRDefault="00F41A57" w:rsidP="00E23AE4">
            <w:pPr>
              <w:spacing w:after="0" w:line="240" w:lineRule="auto"/>
              <w:jc w:val="right"/>
              <w:rPr>
                <w:rFonts w:eastAsia="Times New Roman" w:cs="Arial"/>
                <w:color w:val="000000"/>
                <w:szCs w:val="22"/>
                <w:lang w:eastAsia="en-AU"/>
              </w:rPr>
            </w:pPr>
          </w:p>
        </w:tc>
        <w:tc>
          <w:tcPr>
            <w:tcW w:w="1004" w:type="dxa"/>
            <w:tcBorders>
              <w:top w:val="nil"/>
              <w:left w:val="nil"/>
              <w:right w:val="nil"/>
            </w:tcBorders>
            <w:shd w:val="clear" w:color="auto" w:fill="auto"/>
            <w:noWrap/>
            <w:vAlign w:val="bottom"/>
            <w:hideMark/>
          </w:tcPr>
          <w:p w14:paraId="49657031"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39,287</w:t>
            </w:r>
          </w:p>
        </w:tc>
        <w:tc>
          <w:tcPr>
            <w:tcW w:w="992" w:type="dxa"/>
            <w:tcBorders>
              <w:top w:val="nil"/>
              <w:left w:val="nil"/>
              <w:right w:val="nil"/>
            </w:tcBorders>
            <w:shd w:val="clear" w:color="auto" w:fill="auto"/>
            <w:noWrap/>
            <w:vAlign w:val="bottom"/>
            <w:hideMark/>
          </w:tcPr>
          <w:p w14:paraId="538DD1AE"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57,982</w:t>
            </w:r>
          </w:p>
        </w:tc>
      </w:tr>
      <w:tr w:rsidR="00F41A57" w:rsidRPr="007F6332" w14:paraId="5C646CCB" w14:textId="77777777" w:rsidTr="00E23AE4">
        <w:trPr>
          <w:trHeight w:val="284"/>
        </w:trPr>
        <w:tc>
          <w:tcPr>
            <w:tcW w:w="5950" w:type="dxa"/>
            <w:shd w:val="clear" w:color="auto" w:fill="A7A9AC"/>
            <w:noWrap/>
            <w:vAlign w:val="bottom"/>
            <w:hideMark/>
          </w:tcPr>
          <w:p w14:paraId="7C96AFED"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5a. =&gt; Steady Intake Date at 30 June 2021</w:t>
            </w:r>
          </w:p>
        </w:tc>
        <w:tc>
          <w:tcPr>
            <w:tcW w:w="1126" w:type="dxa"/>
            <w:shd w:val="clear" w:color="auto" w:fill="A7A9AC"/>
            <w:noWrap/>
            <w:vAlign w:val="bottom"/>
          </w:tcPr>
          <w:p w14:paraId="3BE8089E" w14:textId="77777777" w:rsidR="00F41A57" w:rsidRPr="007F6332" w:rsidRDefault="00F41A57" w:rsidP="00E23AE4">
            <w:pPr>
              <w:spacing w:after="0"/>
              <w:jc w:val="right"/>
              <w:rPr>
                <w:rFonts w:eastAsia="Times New Roman" w:cs="Arial"/>
                <w:color w:val="000000"/>
                <w:szCs w:val="22"/>
                <w:lang w:eastAsia="en-AU"/>
              </w:rPr>
            </w:pPr>
          </w:p>
        </w:tc>
        <w:tc>
          <w:tcPr>
            <w:tcW w:w="1004" w:type="dxa"/>
            <w:shd w:val="clear" w:color="auto" w:fill="A7A9AC"/>
            <w:noWrap/>
            <w:vAlign w:val="bottom"/>
            <w:hideMark/>
          </w:tcPr>
          <w:p w14:paraId="4F9F66FF" w14:textId="77777777" w:rsidR="00F41A57" w:rsidRPr="007F6332" w:rsidRDefault="00F41A57" w:rsidP="00E23AE4">
            <w:pPr>
              <w:spacing w:after="0" w:line="240" w:lineRule="auto"/>
              <w:jc w:val="right"/>
              <w:rPr>
                <w:rFonts w:eastAsia="Times New Roman" w:cs="Arial"/>
                <w:color w:val="000000"/>
                <w:kern w:val="2"/>
                <w:szCs w:val="22"/>
                <w:lang w:eastAsia="en-AU"/>
                <w14:ligatures w14:val="standardContextual"/>
              </w:rPr>
            </w:pPr>
            <w:r w:rsidRPr="007F6332">
              <w:rPr>
                <w:rFonts w:eastAsia="Times New Roman" w:cs="Arial"/>
                <w:color w:val="000000"/>
                <w:szCs w:val="22"/>
                <w:lang w:eastAsia="en-AU"/>
              </w:rPr>
              <w:t>33,207</w:t>
            </w:r>
          </w:p>
        </w:tc>
        <w:tc>
          <w:tcPr>
            <w:tcW w:w="992" w:type="dxa"/>
            <w:shd w:val="clear" w:color="auto" w:fill="A7A9AC"/>
            <w:noWrap/>
            <w:vAlign w:val="bottom"/>
            <w:hideMark/>
          </w:tcPr>
          <w:p w14:paraId="313F170F"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50,180</w:t>
            </w:r>
          </w:p>
        </w:tc>
      </w:tr>
      <w:tr w:rsidR="00F41A57" w:rsidRPr="007F6332" w14:paraId="381BD2DF" w14:textId="77777777" w:rsidTr="00E23AE4">
        <w:trPr>
          <w:trHeight w:val="284"/>
        </w:trPr>
        <w:tc>
          <w:tcPr>
            <w:tcW w:w="5950" w:type="dxa"/>
            <w:tcBorders>
              <w:top w:val="nil"/>
              <w:left w:val="nil"/>
              <w:bottom w:val="single" w:sz="8" w:space="0" w:color="auto"/>
              <w:right w:val="nil"/>
            </w:tcBorders>
            <w:shd w:val="clear" w:color="auto" w:fill="A7A9AC"/>
            <w:noWrap/>
            <w:vAlign w:val="bottom"/>
            <w:hideMark/>
          </w:tcPr>
          <w:p w14:paraId="13AE997E" w14:textId="77777777" w:rsidR="00F41A57" w:rsidRPr="007F6332" w:rsidRDefault="00F41A57" w:rsidP="00E23AE4">
            <w:pPr>
              <w:spacing w:after="0" w:line="240" w:lineRule="auto"/>
              <w:rPr>
                <w:rFonts w:eastAsia="Times New Roman" w:cs="Arial"/>
                <w:color w:val="000000"/>
                <w:szCs w:val="22"/>
                <w:lang w:eastAsia="en-AU"/>
              </w:rPr>
            </w:pPr>
            <w:r w:rsidRPr="007F6332">
              <w:rPr>
                <w:rFonts w:eastAsia="Times New Roman" w:cs="Arial"/>
                <w:color w:val="000000"/>
                <w:szCs w:val="22"/>
                <w:lang w:eastAsia="en-AU"/>
              </w:rPr>
              <w:t>Scenario 5b. =&gt; Higher intake levels sustained for 3 years</w:t>
            </w:r>
          </w:p>
        </w:tc>
        <w:tc>
          <w:tcPr>
            <w:tcW w:w="1126" w:type="dxa"/>
            <w:tcBorders>
              <w:top w:val="nil"/>
              <w:left w:val="nil"/>
              <w:bottom w:val="single" w:sz="8" w:space="0" w:color="auto"/>
              <w:right w:val="nil"/>
            </w:tcBorders>
            <w:shd w:val="clear" w:color="auto" w:fill="A7A9AC"/>
            <w:noWrap/>
            <w:vAlign w:val="bottom"/>
          </w:tcPr>
          <w:p w14:paraId="2C431FE9" w14:textId="77777777" w:rsidR="00F41A57" w:rsidRPr="007F6332" w:rsidRDefault="00F41A57" w:rsidP="00E23AE4">
            <w:pPr>
              <w:spacing w:after="0" w:line="240" w:lineRule="auto"/>
              <w:jc w:val="right"/>
              <w:rPr>
                <w:rFonts w:eastAsia="Times New Roman" w:cs="Arial"/>
                <w:color w:val="000000"/>
                <w:szCs w:val="22"/>
                <w:lang w:eastAsia="en-AU"/>
              </w:rPr>
            </w:pPr>
          </w:p>
        </w:tc>
        <w:tc>
          <w:tcPr>
            <w:tcW w:w="1004" w:type="dxa"/>
            <w:tcBorders>
              <w:top w:val="nil"/>
              <w:left w:val="nil"/>
              <w:bottom w:val="single" w:sz="8" w:space="0" w:color="auto"/>
              <w:right w:val="nil"/>
            </w:tcBorders>
            <w:shd w:val="clear" w:color="auto" w:fill="A7A9AC"/>
            <w:noWrap/>
            <w:vAlign w:val="bottom"/>
            <w:hideMark/>
          </w:tcPr>
          <w:p w14:paraId="262BFCC5"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36,821</w:t>
            </w:r>
          </w:p>
        </w:tc>
        <w:tc>
          <w:tcPr>
            <w:tcW w:w="992" w:type="dxa"/>
            <w:tcBorders>
              <w:top w:val="nil"/>
              <w:left w:val="nil"/>
              <w:bottom w:val="single" w:sz="8" w:space="0" w:color="auto"/>
              <w:right w:val="nil"/>
            </w:tcBorders>
            <w:shd w:val="clear" w:color="auto" w:fill="A7A9AC"/>
            <w:noWrap/>
            <w:vAlign w:val="bottom"/>
            <w:hideMark/>
          </w:tcPr>
          <w:p w14:paraId="008CE437" w14:textId="77777777" w:rsidR="00F41A57" w:rsidRPr="007F6332" w:rsidRDefault="00F41A57" w:rsidP="00E23AE4">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54,774</w:t>
            </w:r>
          </w:p>
        </w:tc>
      </w:tr>
    </w:tbl>
    <w:p w14:paraId="402DBCAC" w14:textId="77777777" w:rsidR="00F41A57" w:rsidRPr="00F41A57" w:rsidRDefault="00F41A57" w:rsidP="00F41A57">
      <w:pPr>
        <w:rPr>
          <w:rFonts w:eastAsiaTheme="minorHAnsi"/>
          <w:lang w:eastAsia="en-US"/>
        </w:rPr>
      </w:pPr>
    </w:p>
    <w:p w14:paraId="408F5299" w14:textId="77777777" w:rsidR="009028ED" w:rsidRPr="007F6332" w:rsidRDefault="009028ED" w:rsidP="009028ED">
      <w:pPr>
        <w:rPr>
          <w:rFonts w:cs="Arial"/>
          <w:b/>
          <w:color w:val="6B2976"/>
          <w:sz w:val="25"/>
          <w:szCs w:val="25"/>
        </w:rPr>
      </w:pPr>
      <w:r w:rsidRPr="007F6332">
        <w:rPr>
          <w:rFonts w:cs="Arial"/>
          <w:szCs w:val="25"/>
        </w:rPr>
        <w:br w:type="page"/>
      </w:r>
    </w:p>
    <w:p w14:paraId="55608A9A" w14:textId="66086E31" w:rsidR="009028ED" w:rsidRPr="007F6332" w:rsidRDefault="009028ED" w:rsidP="00F41A57">
      <w:pPr>
        <w:pStyle w:val="FiguresandTablesHeading5"/>
        <w:rPr>
          <w:rFonts w:eastAsiaTheme="minorHAnsi"/>
          <w:lang w:eastAsia="en-US"/>
        </w:rPr>
      </w:pPr>
      <w:r w:rsidRPr="007F6332">
        <w:rPr>
          <w:rFonts w:eastAsiaTheme="minorHAnsi"/>
          <w:lang w:eastAsia="en-US"/>
        </w:rPr>
        <w:t xml:space="preserve">Table </w:t>
      </w:r>
      <w:r w:rsidR="00A12E65" w:rsidRPr="007F6332">
        <w:rPr>
          <w:rFonts w:eastAsiaTheme="minorHAnsi"/>
          <w:lang w:eastAsia="en-US"/>
        </w:rPr>
        <w:t>L</w:t>
      </w:r>
      <w:r w:rsidRPr="007F6332">
        <w:rPr>
          <w:rFonts w:eastAsiaTheme="minorHAnsi"/>
          <w:lang w:eastAsia="en-US"/>
        </w:rPr>
        <w:t>.5: 2020-21 AFSR scenarios</w:t>
      </w:r>
    </w:p>
    <w:tbl>
      <w:tblPr>
        <w:tblW w:w="9356" w:type="dxa"/>
        <w:tblLook w:val="04A0" w:firstRow="1" w:lastRow="0" w:firstColumn="1" w:lastColumn="0" w:noHBand="0" w:noVBand="1"/>
      </w:tblPr>
      <w:tblGrid>
        <w:gridCol w:w="5670"/>
        <w:gridCol w:w="1985"/>
        <w:gridCol w:w="889"/>
        <w:gridCol w:w="992"/>
      </w:tblGrid>
      <w:tr w:rsidR="009028ED" w:rsidRPr="007F6332" w14:paraId="3628F149" w14:textId="77777777" w:rsidTr="00C1755E">
        <w:trPr>
          <w:trHeight w:val="405"/>
        </w:trPr>
        <w:tc>
          <w:tcPr>
            <w:tcW w:w="5670" w:type="dxa"/>
            <w:tcBorders>
              <w:top w:val="single" w:sz="4" w:space="0" w:color="auto"/>
              <w:left w:val="nil"/>
              <w:right w:val="nil"/>
            </w:tcBorders>
            <w:shd w:val="clear" w:color="auto" w:fill="6B2976"/>
            <w:noWrap/>
            <w:vAlign w:val="center"/>
            <w:hideMark/>
          </w:tcPr>
          <w:p w14:paraId="73B219AC" w14:textId="39645CB7" w:rsidR="009028ED" w:rsidRPr="007F6332" w:rsidRDefault="009028ED" w:rsidP="006C7E97">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Total participant costs ($m)</w:t>
            </w:r>
          </w:p>
        </w:tc>
        <w:tc>
          <w:tcPr>
            <w:tcW w:w="1985" w:type="dxa"/>
            <w:tcBorders>
              <w:top w:val="single" w:sz="4" w:space="0" w:color="auto"/>
              <w:left w:val="nil"/>
              <w:right w:val="nil"/>
            </w:tcBorders>
            <w:shd w:val="clear" w:color="auto" w:fill="6B2976"/>
            <w:noWrap/>
            <w:vAlign w:val="center"/>
            <w:hideMark/>
          </w:tcPr>
          <w:p w14:paraId="128FD2A0" w14:textId="77777777" w:rsidR="009028ED" w:rsidRPr="007F6332" w:rsidRDefault="009028ED" w:rsidP="006C7E97">
            <w:pPr>
              <w:spacing w:after="0" w:line="240" w:lineRule="auto"/>
              <w:ind w:left="181" w:right="-122" w:hanging="181"/>
              <w:jc w:val="right"/>
              <w:rPr>
                <w:rFonts w:eastAsia="Times New Roman" w:cs="Arial"/>
                <w:b/>
                <w:bCs/>
                <w:color w:val="FFFFFF"/>
                <w:szCs w:val="22"/>
                <w:lang w:eastAsia="en-AU"/>
              </w:rPr>
            </w:pPr>
            <w:r w:rsidRPr="007F6332">
              <w:rPr>
                <w:rFonts w:eastAsia="Times New Roman" w:cs="Arial"/>
                <w:b/>
                <w:bCs/>
                <w:color w:val="FFFFFF"/>
                <w:szCs w:val="22"/>
                <w:lang w:eastAsia="en-AU"/>
              </w:rPr>
              <w:t>2019-20</w:t>
            </w:r>
          </w:p>
        </w:tc>
        <w:tc>
          <w:tcPr>
            <w:tcW w:w="709" w:type="dxa"/>
            <w:tcBorders>
              <w:top w:val="single" w:sz="4" w:space="0" w:color="auto"/>
              <w:left w:val="nil"/>
              <w:right w:val="nil"/>
            </w:tcBorders>
            <w:shd w:val="clear" w:color="auto" w:fill="6B2976"/>
            <w:noWrap/>
            <w:vAlign w:val="center"/>
            <w:hideMark/>
          </w:tcPr>
          <w:p w14:paraId="328FF069" w14:textId="77777777" w:rsidR="009028ED" w:rsidRPr="007F6332" w:rsidRDefault="009028ED" w:rsidP="006C7E97">
            <w:pPr>
              <w:spacing w:after="0" w:line="240" w:lineRule="auto"/>
              <w:ind w:left="27" w:right="-91" w:hanging="181"/>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992" w:type="dxa"/>
            <w:tcBorders>
              <w:top w:val="single" w:sz="4" w:space="0" w:color="auto"/>
              <w:left w:val="nil"/>
              <w:right w:val="nil"/>
            </w:tcBorders>
            <w:shd w:val="clear" w:color="auto" w:fill="6B2976"/>
            <w:noWrap/>
            <w:vAlign w:val="center"/>
            <w:hideMark/>
          </w:tcPr>
          <w:p w14:paraId="5706AD08" w14:textId="77777777" w:rsidR="009028ED" w:rsidRPr="007F6332" w:rsidRDefault="009028ED" w:rsidP="006C7E97">
            <w:pPr>
              <w:spacing w:after="0" w:line="240" w:lineRule="auto"/>
              <w:ind w:left="181" w:right="-91" w:hanging="181"/>
              <w:jc w:val="right"/>
              <w:rPr>
                <w:rFonts w:eastAsia="Times New Roman" w:cs="Arial"/>
                <w:b/>
                <w:bCs/>
                <w:color w:val="FFFFFF"/>
                <w:szCs w:val="22"/>
                <w:lang w:eastAsia="en-AU"/>
              </w:rPr>
            </w:pPr>
            <w:r w:rsidRPr="007F6332">
              <w:rPr>
                <w:rFonts w:eastAsia="Times New Roman" w:cs="Arial"/>
                <w:b/>
                <w:bCs/>
                <w:color w:val="FFFFFF"/>
                <w:szCs w:val="22"/>
                <w:lang w:eastAsia="en-AU"/>
              </w:rPr>
              <w:t>2029-30</w:t>
            </w:r>
          </w:p>
        </w:tc>
      </w:tr>
      <w:tr w:rsidR="009028ED" w:rsidRPr="007F6332" w14:paraId="3E472A6C" w14:textId="77777777" w:rsidTr="00C1755E">
        <w:trPr>
          <w:trHeight w:val="65"/>
        </w:trPr>
        <w:tc>
          <w:tcPr>
            <w:tcW w:w="5670" w:type="dxa"/>
            <w:tcBorders>
              <w:left w:val="nil"/>
              <w:right w:val="nil"/>
            </w:tcBorders>
            <w:shd w:val="clear" w:color="auto" w:fill="A6A6A6" w:themeFill="background1" w:themeFillShade="A6"/>
            <w:noWrap/>
            <w:vAlign w:val="center"/>
            <w:hideMark/>
          </w:tcPr>
          <w:p w14:paraId="5BBD4E24"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 xml:space="preserve">2020-21 Baseline </w:t>
            </w:r>
          </w:p>
        </w:tc>
        <w:tc>
          <w:tcPr>
            <w:tcW w:w="1985" w:type="dxa"/>
            <w:tcBorders>
              <w:left w:val="nil"/>
              <w:right w:val="nil"/>
            </w:tcBorders>
            <w:shd w:val="clear" w:color="auto" w:fill="A6A6A6" w:themeFill="background1" w:themeFillShade="A6"/>
            <w:noWrap/>
            <w:vAlign w:val="center"/>
            <w:hideMark/>
          </w:tcPr>
          <w:p w14:paraId="086BA601" w14:textId="77777777" w:rsidR="009028ED" w:rsidRPr="007F6332" w:rsidRDefault="009028ED" w:rsidP="006C7E97">
            <w:pPr>
              <w:spacing w:after="0" w:line="240" w:lineRule="auto"/>
              <w:ind w:left="181" w:right="-122" w:hanging="181"/>
              <w:jc w:val="right"/>
              <w:rPr>
                <w:rFonts w:eastAsia="Times New Roman" w:cs="Arial"/>
                <w:b/>
                <w:bCs/>
                <w:color w:val="000000"/>
                <w:szCs w:val="22"/>
                <w:lang w:eastAsia="en-AU"/>
              </w:rPr>
            </w:pPr>
            <w:r w:rsidRPr="007F6332">
              <w:rPr>
                <w:rFonts w:eastAsia="Times New Roman" w:cs="Arial"/>
                <w:b/>
                <w:bCs/>
                <w:color w:val="000000"/>
                <w:szCs w:val="22"/>
                <w:lang w:eastAsia="en-AU"/>
              </w:rPr>
              <w:t> </w:t>
            </w:r>
          </w:p>
        </w:tc>
        <w:tc>
          <w:tcPr>
            <w:tcW w:w="709" w:type="dxa"/>
            <w:tcBorders>
              <w:left w:val="nil"/>
              <w:right w:val="nil"/>
            </w:tcBorders>
            <w:shd w:val="clear" w:color="auto" w:fill="A6A6A6" w:themeFill="background1" w:themeFillShade="A6"/>
            <w:noWrap/>
            <w:vAlign w:val="center"/>
            <w:hideMark/>
          </w:tcPr>
          <w:p w14:paraId="24CC2F8F" w14:textId="77777777" w:rsidR="009028ED" w:rsidRPr="007F6332" w:rsidRDefault="009028ED" w:rsidP="006C7E97">
            <w:pPr>
              <w:spacing w:after="0" w:line="240" w:lineRule="auto"/>
              <w:ind w:left="181" w:right="-91" w:hanging="181"/>
              <w:jc w:val="right"/>
              <w:rPr>
                <w:rFonts w:eastAsia="Times New Roman" w:cs="Arial"/>
                <w:b/>
                <w:bCs/>
                <w:color w:val="000000"/>
                <w:szCs w:val="22"/>
                <w:lang w:eastAsia="en-AU"/>
              </w:rPr>
            </w:pPr>
            <w:r w:rsidRPr="007F6332">
              <w:rPr>
                <w:rFonts w:eastAsia="Times New Roman" w:cs="Arial"/>
                <w:b/>
                <w:bCs/>
                <w:color w:val="000000"/>
                <w:szCs w:val="22"/>
                <w:lang w:eastAsia="en-AU"/>
              </w:rPr>
              <w:t>41,373</w:t>
            </w:r>
          </w:p>
        </w:tc>
        <w:tc>
          <w:tcPr>
            <w:tcW w:w="992" w:type="dxa"/>
            <w:tcBorders>
              <w:left w:val="nil"/>
              <w:right w:val="nil"/>
            </w:tcBorders>
            <w:shd w:val="clear" w:color="auto" w:fill="A6A6A6" w:themeFill="background1" w:themeFillShade="A6"/>
            <w:noWrap/>
            <w:vAlign w:val="center"/>
            <w:hideMark/>
          </w:tcPr>
          <w:p w14:paraId="48494775" w14:textId="77777777" w:rsidR="009028ED" w:rsidRPr="007F6332" w:rsidRDefault="009028ED" w:rsidP="006C7E97">
            <w:pPr>
              <w:spacing w:after="0" w:line="240" w:lineRule="auto"/>
              <w:ind w:left="181" w:right="-122" w:hanging="181"/>
              <w:jc w:val="right"/>
              <w:rPr>
                <w:rFonts w:eastAsia="Times New Roman" w:cs="Arial"/>
                <w:b/>
                <w:bCs/>
                <w:color w:val="000000"/>
                <w:szCs w:val="22"/>
                <w:lang w:eastAsia="en-AU"/>
              </w:rPr>
            </w:pPr>
            <w:r w:rsidRPr="007F6332">
              <w:rPr>
                <w:rFonts w:eastAsia="Times New Roman" w:cs="Arial"/>
                <w:b/>
                <w:bCs/>
                <w:color w:val="000000"/>
                <w:szCs w:val="22"/>
                <w:lang w:eastAsia="en-AU"/>
              </w:rPr>
              <w:t>59,284</w:t>
            </w:r>
          </w:p>
        </w:tc>
      </w:tr>
      <w:tr w:rsidR="009028ED" w:rsidRPr="007F6332" w14:paraId="6CC95E1F" w14:textId="77777777" w:rsidTr="00C1755E">
        <w:trPr>
          <w:trHeight w:val="284"/>
        </w:trPr>
        <w:tc>
          <w:tcPr>
            <w:tcW w:w="5670" w:type="dxa"/>
            <w:tcBorders>
              <w:left w:val="nil"/>
              <w:right w:val="nil"/>
            </w:tcBorders>
            <w:shd w:val="clear" w:color="auto" w:fill="BFBFBF" w:themeFill="background1" w:themeFillShade="BF"/>
            <w:noWrap/>
            <w:vAlign w:val="center"/>
            <w:hideMark/>
          </w:tcPr>
          <w:p w14:paraId="4B333FAF"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Cost increase scenarios</w:t>
            </w:r>
          </w:p>
        </w:tc>
        <w:tc>
          <w:tcPr>
            <w:tcW w:w="1985" w:type="dxa"/>
            <w:tcBorders>
              <w:left w:val="nil"/>
              <w:right w:val="nil"/>
            </w:tcBorders>
            <w:shd w:val="clear" w:color="auto" w:fill="BFBFBF" w:themeFill="background1" w:themeFillShade="BF"/>
            <w:noWrap/>
            <w:vAlign w:val="center"/>
            <w:hideMark/>
          </w:tcPr>
          <w:p w14:paraId="081EFD3C" w14:textId="77777777" w:rsidR="009028ED" w:rsidRPr="007F6332" w:rsidRDefault="009028ED" w:rsidP="006C7E97">
            <w:pPr>
              <w:spacing w:after="0" w:line="240" w:lineRule="auto"/>
              <w:ind w:left="181" w:right="-122" w:hanging="181"/>
              <w:jc w:val="right"/>
              <w:rPr>
                <w:rFonts w:eastAsia="Times New Roman" w:cs="Arial"/>
                <w:color w:val="000000"/>
                <w:szCs w:val="22"/>
                <w:lang w:eastAsia="en-AU"/>
              </w:rPr>
            </w:pPr>
            <w:r w:rsidRPr="007F6332">
              <w:rPr>
                <w:rFonts w:eastAsia="Times New Roman" w:cs="Arial"/>
                <w:color w:val="000000"/>
                <w:szCs w:val="22"/>
                <w:lang w:eastAsia="en-AU"/>
              </w:rPr>
              <w:t> </w:t>
            </w:r>
          </w:p>
        </w:tc>
        <w:tc>
          <w:tcPr>
            <w:tcW w:w="709" w:type="dxa"/>
            <w:tcBorders>
              <w:left w:val="nil"/>
              <w:right w:val="nil"/>
            </w:tcBorders>
            <w:shd w:val="clear" w:color="auto" w:fill="BFBFBF" w:themeFill="background1" w:themeFillShade="BF"/>
            <w:noWrap/>
            <w:vAlign w:val="center"/>
            <w:hideMark/>
          </w:tcPr>
          <w:p w14:paraId="27E5A66A" w14:textId="77777777" w:rsidR="009028ED" w:rsidRPr="007F6332" w:rsidRDefault="009028ED" w:rsidP="006C7E97">
            <w:pPr>
              <w:spacing w:after="0" w:line="240" w:lineRule="auto"/>
              <w:ind w:left="181" w:right="-122" w:hanging="181"/>
              <w:jc w:val="right"/>
              <w:rPr>
                <w:rFonts w:eastAsia="Times New Roman" w:cs="Arial"/>
                <w:color w:val="000000"/>
                <w:szCs w:val="22"/>
                <w:lang w:eastAsia="en-AU"/>
              </w:rPr>
            </w:pPr>
            <w:r w:rsidRPr="007F6332">
              <w:rPr>
                <w:rFonts w:eastAsia="Times New Roman" w:cs="Arial"/>
                <w:color w:val="000000"/>
                <w:szCs w:val="22"/>
                <w:lang w:eastAsia="en-AU"/>
              </w:rPr>
              <w:t> </w:t>
            </w:r>
          </w:p>
        </w:tc>
        <w:tc>
          <w:tcPr>
            <w:tcW w:w="992" w:type="dxa"/>
            <w:tcBorders>
              <w:left w:val="nil"/>
              <w:right w:val="nil"/>
            </w:tcBorders>
            <w:shd w:val="clear" w:color="auto" w:fill="BFBFBF" w:themeFill="background1" w:themeFillShade="BF"/>
            <w:noWrap/>
            <w:vAlign w:val="center"/>
            <w:hideMark/>
          </w:tcPr>
          <w:p w14:paraId="302DEC27" w14:textId="77777777" w:rsidR="009028ED" w:rsidRPr="007F6332" w:rsidRDefault="009028ED" w:rsidP="006C7E97">
            <w:pPr>
              <w:spacing w:after="0" w:line="240" w:lineRule="auto"/>
              <w:ind w:left="181" w:right="-104" w:hanging="181"/>
              <w:jc w:val="right"/>
              <w:rPr>
                <w:rFonts w:eastAsia="Times New Roman" w:cs="Arial"/>
                <w:color w:val="000000"/>
                <w:szCs w:val="22"/>
                <w:lang w:eastAsia="en-AU"/>
              </w:rPr>
            </w:pPr>
            <w:r w:rsidRPr="007F6332">
              <w:rPr>
                <w:rFonts w:eastAsia="Times New Roman" w:cs="Arial"/>
                <w:color w:val="000000"/>
                <w:szCs w:val="22"/>
                <w:lang w:eastAsia="en-AU"/>
              </w:rPr>
              <w:t> </w:t>
            </w:r>
          </w:p>
        </w:tc>
      </w:tr>
      <w:tr w:rsidR="009028ED" w:rsidRPr="007F6332" w14:paraId="59E57D18" w14:textId="77777777" w:rsidTr="00C1755E">
        <w:trPr>
          <w:trHeight w:val="284"/>
        </w:trPr>
        <w:tc>
          <w:tcPr>
            <w:tcW w:w="5670" w:type="dxa"/>
            <w:shd w:val="clear" w:color="auto" w:fill="BFBFBF" w:themeFill="background1" w:themeFillShade="BF"/>
            <w:noWrap/>
            <w:vAlign w:val="center"/>
            <w:hideMark/>
          </w:tcPr>
          <w:p w14:paraId="042CAFD2"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Two additional years of high inflation</w:t>
            </w:r>
          </w:p>
        </w:tc>
        <w:tc>
          <w:tcPr>
            <w:tcW w:w="1985" w:type="dxa"/>
            <w:shd w:val="clear" w:color="auto" w:fill="BFBFBF" w:themeFill="background1" w:themeFillShade="BF"/>
            <w:noWrap/>
            <w:vAlign w:val="center"/>
            <w:hideMark/>
          </w:tcPr>
          <w:p w14:paraId="4161B5C6"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shd w:val="clear" w:color="auto" w:fill="BFBFBF" w:themeFill="background1" w:themeFillShade="BF"/>
            <w:noWrap/>
            <w:hideMark/>
          </w:tcPr>
          <w:p w14:paraId="5C874665"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46,613</w:t>
            </w:r>
          </w:p>
        </w:tc>
        <w:tc>
          <w:tcPr>
            <w:tcW w:w="992" w:type="dxa"/>
            <w:shd w:val="clear" w:color="auto" w:fill="BFBFBF" w:themeFill="background1" w:themeFillShade="BF"/>
            <w:noWrap/>
            <w:hideMark/>
          </w:tcPr>
          <w:p w14:paraId="4CA465E2"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69,464</w:t>
            </w:r>
          </w:p>
        </w:tc>
      </w:tr>
      <w:tr w:rsidR="009028ED" w:rsidRPr="007F6332" w14:paraId="281165F4" w14:textId="77777777" w:rsidTr="00C1755E">
        <w:trPr>
          <w:trHeight w:val="284"/>
        </w:trPr>
        <w:tc>
          <w:tcPr>
            <w:tcW w:w="5670" w:type="dxa"/>
            <w:shd w:val="clear" w:color="auto" w:fill="FFFFFF" w:themeFill="background1"/>
            <w:noWrap/>
            <w:vAlign w:val="center"/>
            <w:hideMark/>
          </w:tcPr>
          <w:p w14:paraId="53FCF46F"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long term new incidence assumptions</w:t>
            </w:r>
          </w:p>
        </w:tc>
        <w:tc>
          <w:tcPr>
            <w:tcW w:w="1985" w:type="dxa"/>
            <w:shd w:val="clear" w:color="auto" w:fill="FFFFFF" w:themeFill="background1"/>
            <w:noWrap/>
            <w:vAlign w:val="center"/>
            <w:hideMark/>
          </w:tcPr>
          <w:p w14:paraId="2A3A23B0"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shd w:val="clear" w:color="auto" w:fill="FFFFFF" w:themeFill="background1"/>
            <w:noWrap/>
            <w:hideMark/>
          </w:tcPr>
          <w:p w14:paraId="1377D6DB"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42,625</w:t>
            </w:r>
          </w:p>
        </w:tc>
        <w:tc>
          <w:tcPr>
            <w:tcW w:w="992" w:type="dxa"/>
            <w:shd w:val="clear" w:color="auto" w:fill="FFFFFF" w:themeFill="background1"/>
            <w:noWrap/>
            <w:hideMark/>
          </w:tcPr>
          <w:p w14:paraId="777A40B5"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65,556</w:t>
            </w:r>
          </w:p>
        </w:tc>
      </w:tr>
      <w:tr w:rsidR="009028ED" w:rsidRPr="007F6332" w14:paraId="4C085693" w14:textId="77777777" w:rsidTr="00C1755E">
        <w:trPr>
          <w:trHeight w:val="284"/>
        </w:trPr>
        <w:tc>
          <w:tcPr>
            <w:tcW w:w="5670" w:type="dxa"/>
            <w:shd w:val="clear" w:color="auto" w:fill="BFBFBF" w:themeFill="background1" w:themeFillShade="BF"/>
            <w:noWrap/>
            <w:vAlign w:val="center"/>
            <w:hideMark/>
          </w:tcPr>
          <w:p w14:paraId="3E81016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non-mortality exit rates</w:t>
            </w:r>
          </w:p>
        </w:tc>
        <w:tc>
          <w:tcPr>
            <w:tcW w:w="1985" w:type="dxa"/>
            <w:shd w:val="clear" w:color="auto" w:fill="BFBFBF" w:themeFill="background1" w:themeFillShade="BF"/>
            <w:noWrap/>
            <w:vAlign w:val="center"/>
            <w:hideMark/>
          </w:tcPr>
          <w:p w14:paraId="761FBC5C"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shd w:val="clear" w:color="auto" w:fill="BFBFBF" w:themeFill="background1" w:themeFillShade="BF"/>
            <w:noWrap/>
            <w:hideMark/>
          </w:tcPr>
          <w:p w14:paraId="3A89FD7F"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41,861</w:t>
            </w:r>
          </w:p>
        </w:tc>
        <w:tc>
          <w:tcPr>
            <w:tcW w:w="992" w:type="dxa"/>
            <w:shd w:val="clear" w:color="auto" w:fill="BFBFBF" w:themeFill="background1" w:themeFillShade="BF"/>
            <w:noWrap/>
            <w:hideMark/>
          </w:tcPr>
          <w:p w14:paraId="5ACED683"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61,939</w:t>
            </w:r>
          </w:p>
        </w:tc>
      </w:tr>
      <w:tr w:rsidR="009028ED" w:rsidRPr="007F6332" w14:paraId="21DA663B" w14:textId="77777777" w:rsidTr="00C1755E">
        <w:trPr>
          <w:trHeight w:val="284"/>
        </w:trPr>
        <w:tc>
          <w:tcPr>
            <w:tcW w:w="5670" w:type="dxa"/>
            <w:shd w:val="clear" w:color="auto" w:fill="FFFFFF" w:themeFill="background1"/>
            <w:noWrap/>
            <w:vAlign w:val="center"/>
            <w:hideMark/>
          </w:tcPr>
          <w:p w14:paraId="76EE3052"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cost of new entrants</w:t>
            </w:r>
          </w:p>
        </w:tc>
        <w:tc>
          <w:tcPr>
            <w:tcW w:w="1985" w:type="dxa"/>
            <w:shd w:val="clear" w:color="auto" w:fill="FFFFFF" w:themeFill="background1"/>
            <w:noWrap/>
            <w:vAlign w:val="center"/>
            <w:hideMark/>
          </w:tcPr>
          <w:p w14:paraId="2AC0C1B6"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shd w:val="clear" w:color="auto" w:fill="FFFFFF" w:themeFill="background1"/>
            <w:noWrap/>
            <w:hideMark/>
          </w:tcPr>
          <w:p w14:paraId="3FD429C6"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42,166</w:t>
            </w:r>
          </w:p>
        </w:tc>
        <w:tc>
          <w:tcPr>
            <w:tcW w:w="992" w:type="dxa"/>
            <w:shd w:val="clear" w:color="auto" w:fill="FFFFFF" w:themeFill="background1"/>
            <w:noWrap/>
            <w:hideMark/>
          </w:tcPr>
          <w:p w14:paraId="495375C8"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61,213</w:t>
            </w:r>
          </w:p>
        </w:tc>
      </w:tr>
      <w:tr w:rsidR="009028ED" w:rsidRPr="007F6332" w14:paraId="3CFBDC31" w14:textId="77777777" w:rsidTr="00C1755E">
        <w:trPr>
          <w:trHeight w:val="284"/>
        </w:trPr>
        <w:tc>
          <w:tcPr>
            <w:tcW w:w="5670" w:type="dxa"/>
            <w:shd w:val="clear" w:color="auto" w:fill="BFBFBF" w:themeFill="background1" w:themeFillShade="BF"/>
            <w:noWrap/>
            <w:vAlign w:val="center"/>
            <w:hideMark/>
          </w:tcPr>
          <w:p w14:paraId="5290A07A"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SIL numbers (+500 p.a.)</w:t>
            </w:r>
          </w:p>
        </w:tc>
        <w:tc>
          <w:tcPr>
            <w:tcW w:w="1985" w:type="dxa"/>
            <w:shd w:val="clear" w:color="auto" w:fill="BFBFBF" w:themeFill="background1" w:themeFillShade="BF"/>
            <w:noWrap/>
            <w:vAlign w:val="center"/>
            <w:hideMark/>
          </w:tcPr>
          <w:p w14:paraId="11694742"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shd w:val="clear" w:color="auto" w:fill="BFBFBF" w:themeFill="background1" w:themeFillShade="BF"/>
            <w:noWrap/>
            <w:hideMark/>
          </w:tcPr>
          <w:p w14:paraId="0EDF67C7"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41,955</w:t>
            </w:r>
          </w:p>
        </w:tc>
        <w:tc>
          <w:tcPr>
            <w:tcW w:w="992" w:type="dxa"/>
            <w:shd w:val="clear" w:color="auto" w:fill="BFBFBF" w:themeFill="background1" w:themeFillShade="BF"/>
            <w:noWrap/>
            <w:hideMark/>
          </w:tcPr>
          <w:p w14:paraId="2B9CE4A2"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60,978</w:t>
            </w:r>
          </w:p>
        </w:tc>
      </w:tr>
      <w:tr w:rsidR="009028ED" w:rsidRPr="007F6332" w14:paraId="20FE0277" w14:textId="77777777" w:rsidTr="006C7E97">
        <w:trPr>
          <w:trHeight w:val="284"/>
        </w:trPr>
        <w:tc>
          <w:tcPr>
            <w:tcW w:w="5670" w:type="dxa"/>
            <w:tcBorders>
              <w:bottom w:val="dotted" w:sz="4" w:space="0" w:color="auto"/>
            </w:tcBorders>
            <w:noWrap/>
            <w:vAlign w:val="center"/>
            <w:hideMark/>
          </w:tcPr>
          <w:p w14:paraId="253B0644"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Three extra years to reach steady state</w:t>
            </w:r>
          </w:p>
        </w:tc>
        <w:tc>
          <w:tcPr>
            <w:tcW w:w="1985" w:type="dxa"/>
            <w:tcBorders>
              <w:bottom w:val="dotted" w:sz="4" w:space="0" w:color="auto"/>
            </w:tcBorders>
            <w:noWrap/>
            <w:vAlign w:val="center"/>
            <w:hideMark/>
          </w:tcPr>
          <w:p w14:paraId="646C1699"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tcBorders>
              <w:bottom w:val="dotted" w:sz="4" w:space="0" w:color="auto"/>
            </w:tcBorders>
            <w:noWrap/>
            <w:hideMark/>
          </w:tcPr>
          <w:p w14:paraId="21ABD8C1"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42,091</w:t>
            </w:r>
          </w:p>
        </w:tc>
        <w:tc>
          <w:tcPr>
            <w:tcW w:w="992" w:type="dxa"/>
            <w:tcBorders>
              <w:bottom w:val="dotted" w:sz="4" w:space="0" w:color="auto"/>
            </w:tcBorders>
            <w:noWrap/>
            <w:hideMark/>
          </w:tcPr>
          <w:p w14:paraId="58A7308A"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60,865</w:t>
            </w:r>
          </w:p>
        </w:tc>
      </w:tr>
      <w:tr w:rsidR="009028ED" w:rsidRPr="007F6332" w14:paraId="46BFF96D" w14:textId="77777777" w:rsidTr="00C1755E">
        <w:trPr>
          <w:trHeight w:val="284"/>
        </w:trPr>
        <w:tc>
          <w:tcPr>
            <w:tcW w:w="5670" w:type="dxa"/>
            <w:tcBorders>
              <w:top w:val="dotted" w:sz="4" w:space="0" w:color="auto"/>
              <w:left w:val="nil"/>
              <w:bottom w:val="dotted" w:sz="4" w:space="0" w:color="auto"/>
              <w:right w:val="nil"/>
            </w:tcBorders>
            <w:shd w:val="clear" w:color="auto" w:fill="B799B4"/>
            <w:noWrap/>
            <w:vAlign w:val="center"/>
            <w:hideMark/>
          </w:tcPr>
          <w:p w14:paraId="4BB14B06"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of cost increase scenarios</w:t>
            </w:r>
          </w:p>
        </w:tc>
        <w:tc>
          <w:tcPr>
            <w:tcW w:w="1985" w:type="dxa"/>
            <w:tcBorders>
              <w:top w:val="dotted" w:sz="4" w:space="0" w:color="auto"/>
              <w:left w:val="nil"/>
              <w:bottom w:val="dotted" w:sz="4" w:space="0" w:color="auto"/>
              <w:right w:val="nil"/>
            </w:tcBorders>
            <w:shd w:val="clear" w:color="auto" w:fill="B799B4"/>
            <w:noWrap/>
            <w:vAlign w:val="center"/>
            <w:hideMark/>
          </w:tcPr>
          <w:p w14:paraId="6B97FD11" w14:textId="77777777" w:rsidR="009028ED" w:rsidRPr="007F6332" w:rsidRDefault="009028ED" w:rsidP="006C7E97">
            <w:pPr>
              <w:spacing w:after="0" w:line="240" w:lineRule="auto"/>
              <w:ind w:left="181" w:right="-122" w:hanging="181"/>
              <w:jc w:val="right"/>
              <w:rPr>
                <w:rFonts w:eastAsia="Times New Roman" w:cs="Arial"/>
                <w:b/>
                <w:bCs/>
                <w:color w:val="000000"/>
                <w:szCs w:val="22"/>
                <w:lang w:eastAsia="en-AU"/>
              </w:rPr>
            </w:pPr>
            <w:r w:rsidRPr="007F6332">
              <w:rPr>
                <w:rFonts w:eastAsia="Times New Roman" w:cs="Arial"/>
                <w:b/>
                <w:bCs/>
                <w:color w:val="000000"/>
                <w:szCs w:val="22"/>
                <w:lang w:eastAsia="en-AU"/>
              </w:rPr>
              <w:t> </w:t>
            </w:r>
          </w:p>
        </w:tc>
        <w:tc>
          <w:tcPr>
            <w:tcW w:w="709" w:type="dxa"/>
            <w:tcBorders>
              <w:top w:val="dotted" w:sz="4" w:space="0" w:color="auto"/>
              <w:left w:val="nil"/>
              <w:bottom w:val="dotted" w:sz="4" w:space="0" w:color="auto"/>
              <w:right w:val="nil"/>
            </w:tcBorders>
            <w:shd w:val="clear" w:color="auto" w:fill="B799B4"/>
            <w:noWrap/>
            <w:hideMark/>
          </w:tcPr>
          <w:p w14:paraId="40D477DA" w14:textId="77777777" w:rsidR="009028ED" w:rsidRPr="007F6332" w:rsidRDefault="009028ED" w:rsidP="006C7E97">
            <w:pPr>
              <w:spacing w:after="0" w:line="240" w:lineRule="auto"/>
              <w:ind w:left="181" w:right="-52" w:hanging="181"/>
              <w:jc w:val="right"/>
              <w:rPr>
                <w:rFonts w:eastAsia="Times New Roman" w:cs="Arial"/>
                <w:b/>
                <w:bCs/>
                <w:color w:val="000000"/>
                <w:szCs w:val="22"/>
                <w:lang w:eastAsia="en-AU"/>
              </w:rPr>
            </w:pPr>
            <w:r w:rsidRPr="007F6332">
              <w:rPr>
                <w:rFonts w:cs="Arial"/>
                <w:b/>
                <w:bCs/>
                <w:color w:val="000000"/>
                <w:szCs w:val="22"/>
              </w:rPr>
              <w:t>50,448</w:t>
            </w:r>
          </w:p>
        </w:tc>
        <w:tc>
          <w:tcPr>
            <w:tcW w:w="992" w:type="dxa"/>
            <w:tcBorders>
              <w:top w:val="dotted" w:sz="4" w:space="0" w:color="auto"/>
              <w:left w:val="nil"/>
              <w:bottom w:val="dotted" w:sz="4" w:space="0" w:color="auto"/>
              <w:right w:val="nil"/>
            </w:tcBorders>
            <w:shd w:val="clear" w:color="auto" w:fill="B799B4"/>
            <w:noWrap/>
            <w:hideMark/>
          </w:tcPr>
          <w:p w14:paraId="3206B7A5" w14:textId="77777777" w:rsidR="009028ED" w:rsidRPr="007F6332" w:rsidRDefault="009028ED" w:rsidP="006C7E97">
            <w:pPr>
              <w:spacing w:after="0" w:line="240" w:lineRule="auto"/>
              <w:ind w:left="181" w:hanging="181"/>
              <w:jc w:val="right"/>
              <w:rPr>
                <w:rFonts w:eastAsia="Times New Roman" w:cs="Arial"/>
                <w:b/>
                <w:bCs/>
                <w:color w:val="000000"/>
                <w:szCs w:val="22"/>
                <w:lang w:eastAsia="en-AU"/>
              </w:rPr>
            </w:pPr>
            <w:r w:rsidRPr="007F6332">
              <w:rPr>
                <w:rFonts w:cs="Arial"/>
                <w:b/>
                <w:bCs/>
                <w:color w:val="000000"/>
                <w:szCs w:val="22"/>
              </w:rPr>
              <w:t>83,596</w:t>
            </w:r>
          </w:p>
        </w:tc>
      </w:tr>
      <w:tr w:rsidR="009028ED" w:rsidRPr="007F6332" w14:paraId="221C07D4" w14:textId="77777777" w:rsidTr="00C1755E">
        <w:trPr>
          <w:trHeight w:val="284"/>
        </w:trPr>
        <w:tc>
          <w:tcPr>
            <w:tcW w:w="5670" w:type="dxa"/>
            <w:tcBorders>
              <w:top w:val="dotted" w:sz="4" w:space="0" w:color="auto"/>
            </w:tcBorders>
            <w:shd w:val="clear" w:color="auto" w:fill="A7A9AC"/>
            <w:noWrap/>
            <w:vAlign w:val="center"/>
            <w:hideMark/>
          </w:tcPr>
          <w:p w14:paraId="4DD0A52F"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Plausible high case (variance)</w:t>
            </w:r>
          </w:p>
        </w:tc>
        <w:tc>
          <w:tcPr>
            <w:tcW w:w="1985" w:type="dxa"/>
            <w:tcBorders>
              <w:top w:val="dotted" w:sz="4" w:space="0" w:color="auto"/>
            </w:tcBorders>
            <w:shd w:val="clear" w:color="auto" w:fill="A7A9AC"/>
            <w:noWrap/>
            <w:vAlign w:val="center"/>
            <w:hideMark/>
          </w:tcPr>
          <w:p w14:paraId="585DED11" w14:textId="77777777" w:rsidR="009028ED" w:rsidRPr="007F6332" w:rsidRDefault="009028ED" w:rsidP="006C7E97">
            <w:pPr>
              <w:spacing w:after="0"/>
              <w:ind w:left="181" w:right="-122" w:hanging="181"/>
              <w:rPr>
                <w:rFonts w:eastAsia="Times New Roman" w:cs="Arial"/>
                <w:b/>
                <w:bCs/>
                <w:color w:val="000000"/>
                <w:szCs w:val="22"/>
                <w:lang w:eastAsia="en-AU"/>
              </w:rPr>
            </w:pPr>
          </w:p>
        </w:tc>
        <w:tc>
          <w:tcPr>
            <w:tcW w:w="709" w:type="dxa"/>
            <w:tcBorders>
              <w:top w:val="dotted" w:sz="4" w:space="0" w:color="auto"/>
            </w:tcBorders>
            <w:shd w:val="clear" w:color="auto" w:fill="A7A9AC"/>
            <w:noWrap/>
            <w:hideMark/>
          </w:tcPr>
          <w:p w14:paraId="265C7BB8" w14:textId="77777777" w:rsidR="009028ED" w:rsidRPr="007F6332" w:rsidRDefault="009028ED" w:rsidP="006C7E97">
            <w:pPr>
              <w:spacing w:after="0" w:line="240" w:lineRule="auto"/>
              <w:ind w:left="181" w:right="-52" w:hanging="181"/>
              <w:jc w:val="right"/>
              <w:rPr>
                <w:rFonts w:eastAsia="Times New Roman" w:cs="Arial"/>
                <w:b/>
                <w:bCs/>
                <w:color w:val="000000"/>
                <w:kern w:val="2"/>
                <w:szCs w:val="22"/>
                <w:lang w:eastAsia="en-AU"/>
                <w14:ligatures w14:val="standardContextual"/>
              </w:rPr>
            </w:pPr>
            <w:r w:rsidRPr="007F6332">
              <w:rPr>
                <w:rFonts w:cs="Arial"/>
                <w:color w:val="000000"/>
                <w:szCs w:val="22"/>
              </w:rPr>
              <w:t>47,843</w:t>
            </w:r>
          </w:p>
        </w:tc>
        <w:tc>
          <w:tcPr>
            <w:tcW w:w="992" w:type="dxa"/>
            <w:tcBorders>
              <w:top w:val="dotted" w:sz="4" w:space="0" w:color="auto"/>
            </w:tcBorders>
            <w:shd w:val="clear" w:color="auto" w:fill="A7A9AC"/>
            <w:noWrap/>
            <w:hideMark/>
          </w:tcPr>
          <w:p w14:paraId="450313D1" w14:textId="77777777" w:rsidR="009028ED" w:rsidRPr="007F6332" w:rsidRDefault="009028ED" w:rsidP="006C7E97">
            <w:pPr>
              <w:spacing w:after="0" w:line="240" w:lineRule="auto"/>
              <w:ind w:left="181" w:hanging="181"/>
              <w:jc w:val="right"/>
              <w:rPr>
                <w:rFonts w:eastAsia="Times New Roman" w:cs="Arial"/>
                <w:b/>
                <w:bCs/>
                <w:color w:val="000000"/>
                <w:szCs w:val="22"/>
                <w:lang w:eastAsia="en-AU"/>
              </w:rPr>
            </w:pPr>
            <w:r w:rsidRPr="007F6332">
              <w:rPr>
                <w:rFonts w:cs="Arial"/>
                <w:color w:val="000000"/>
                <w:szCs w:val="22"/>
              </w:rPr>
              <w:t>74,156</w:t>
            </w:r>
          </w:p>
        </w:tc>
      </w:tr>
      <w:tr w:rsidR="009028ED" w:rsidRPr="007F6332" w14:paraId="4A071C1E" w14:textId="77777777" w:rsidTr="00C1755E">
        <w:trPr>
          <w:trHeight w:val="284"/>
        </w:trPr>
        <w:tc>
          <w:tcPr>
            <w:tcW w:w="5670" w:type="dxa"/>
            <w:tcBorders>
              <w:left w:val="nil"/>
              <w:right w:val="nil"/>
            </w:tcBorders>
            <w:shd w:val="clear" w:color="auto" w:fill="D4C5D7"/>
            <w:noWrap/>
            <w:vAlign w:val="center"/>
            <w:hideMark/>
          </w:tcPr>
          <w:p w14:paraId="28650DC2"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Cost reduction scenarios</w:t>
            </w:r>
          </w:p>
        </w:tc>
        <w:tc>
          <w:tcPr>
            <w:tcW w:w="1985" w:type="dxa"/>
            <w:tcBorders>
              <w:left w:val="nil"/>
              <w:right w:val="nil"/>
            </w:tcBorders>
            <w:shd w:val="clear" w:color="auto" w:fill="D4C5D7"/>
            <w:noWrap/>
            <w:vAlign w:val="center"/>
            <w:hideMark/>
          </w:tcPr>
          <w:p w14:paraId="47CD98BA" w14:textId="77777777" w:rsidR="009028ED" w:rsidRPr="007F6332" w:rsidRDefault="009028ED" w:rsidP="006C7E97">
            <w:pPr>
              <w:spacing w:after="0" w:line="240" w:lineRule="auto"/>
              <w:ind w:left="181" w:right="-122" w:hanging="181"/>
              <w:jc w:val="right"/>
              <w:rPr>
                <w:rFonts w:eastAsia="Times New Roman" w:cs="Arial"/>
                <w:color w:val="000000"/>
                <w:szCs w:val="22"/>
                <w:lang w:eastAsia="en-AU"/>
              </w:rPr>
            </w:pPr>
            <w:r w:rsidRPr="007F6332">
              <w:rPr>
                <w:rFonts w:eastAsia="Times New Roman" w:cs="Arial"/>
                <w:color w:val="000000"/>
                <w:szCs w:val="22"/>
                <w:lang w:eastAsia="en-AU"/>
              </w:rPr>
              <w:t> </w:t>
            </w:r>
          </w:p>
        </w:tc>
        <w:tc>
          <w:tcPr>
            <w:tcW w:w="709" w:type="dxa"/>
            <w:tcBorders>
              <w:left w:val="nil"/>
              <w:right w:val="nil"/>
            </w:tcBorders>
            <w:shd w:val="clear" w:color="auto" w:fill="D4C5D7"/>
            <w:noWrap/>
            <w:hideMark/>
          </w:tcPr>
          <w:p w14:paraId="3568FBD3" w14:textId="77777777" w:rsidR="009028ED" w:rsidRPr="007F6332" w:rsidRDefault="009028ED" w:rsidP="006C7E97">
            <w:pPr>
              <w:spacing w:after="0" w:line="240" w:lineRule="auto"/>
              <w:ind w:left="181" w:right="-52" w:hanging="181"/>
              <w:jc w:val="right"/>
              <w:rPr>
                <w:rFonts w:eastAsia="Times New Roman" w:cs="Arial"/>
                <w:color w:val="000000"/>
                <w:szCs w:val="22"/>
                <w:lang w:eastAsia="en-AU"/>
              </w:rPr>
            </w:pPr>
            <w:r w:rsidRPr="007F6332">
              <w:rPr>
                <w:rFonts w:cs="Arial"/>
                <w:color w:val="000000"/>
                <w:szCs w:val="22"/>
              </w:rPr>
              <w:t>41,373</w:t>
            </w:r>
          </w:p>
        </w:tc>
        <w:tc>
          <w:tcPr>
            <w:tcW w:w="992" w:type="dxa"/>
            <w:tcBorders>
              <w:left w:val="nil"/>
              <w:right w:val="nil"/>
            </w:tcBorders>
            <w:shd w:val="clear" w:color="auto" w:fill="D4C5D7"/>
            <w:noWrap/>
            <w:hideMark/>
          </w:tcPr>
          <w:p w14:paraId="1791A8D8"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color w:val="000000"/>
                <w:szCs w:val="22"/>
              </w:rPr>
              <w:t>59,284</w:t>
            </w:r>
          </w:p>
        </w:tc>
      </w:tr>
      <w:tr w:rsidR="009028ED" w:rsidRPr="007F6332" w14:paraId="650E4654" w14:textId="77777777" w:rsidTr="00C1755E">
        <w:trPr>
          <w:trHeight w:val="284"/>
        </w:trPr>
        <w:tc>
          <w:tcPr>
            <w:tcW w:w="5670" w:type="dxa"/>
            <w:noWrap/>
            <w:vAlign w:val="center"/>
            <w:hideMark/>
          </w:tcPr>
          <w:p w14:paraId="0DCE86D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One year less of high inflation</w:t>
            </w:r>
          </w:p>
        </w:tc>
        <w:tc>
          <w:tcPr>
            <w:tcW w:w="1985" w:type="dxa"/>
            <w:noWrap/>
            <w:vAlign w:val="center"/>
            <w:hideMark/>
          </w:tcPr>
          <w:p w14:paraId="471794B6"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noWrap/>
            <w:hideMark/>
          </w:tcPr>
          <w:p w14:paraId="6EB0E334"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39,358</w:t>
            </w:r>
          </w:p>
        </w:tc>
        <w:tc>
          <w:tcPr>
            <w:tcW w:w="992" w:type="dxa"/>
            <w:noWrap/>
            <w:hideMark/>
          </w:tcPr>
          <w:p w14:paraId="130940F9"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54,497</w:t>
            </w:r>
          </w:p>
        </w:tc>
      </w:tr>
      <w:tr w:rsidR="009028ED" w:rsidRPr="007F6332" w14:paraId="3BF5242A" w14:textId="77777777" w:rsidTr="006C7E97">
        <w:trPr>
          <w:trHeight w:val="284"/>
        </w:trPr>
        <w:tc>
          <w:tcPr>
            <w:tcW w:w="5670" w:type="dxa"/>
            <w:noWrap/>
            <w:vAlign w:val="center"/>
            <w:hideMark/>
          </w:tcPr>
          <w:p w14:paraId="6FACF55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long term new incidence assumptions</w:t>
            </w:r>
          </w:p>
        </w:tc>
        <w:tc>
          <w:tcPr>
            <w:tcW w:w="1985" w:type="dxa"/>
            <w:noWrap/>
            <w:vAlign w:val="center"/>
            <w:hideMark/>
          </w:tcPr>
          <w:p w14:paraId="594D9307"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noWrap/>
            <w:hideMark/>
          </w:tcPr>
          <w:p w14:paraId="100E4DD6"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41,373</w:t>
            </w:r>
          </w:p>
        </w:tc>
        <w:tc>
          <w:tcPr>
            <w:tcW w:w="992" w:type="dxa"/>
            <w:noWrap/>
            <w:hideMark/>
          </w:tcPr>
          <w:p w14:paraId="0FCCB980"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57,496</w:t>
            </w:r>
          </w:p>
        </w:tc>
      </w:tr>
      <w:tr w:rsidR="009028ED" w:rsidRPr="007F6332" w14:paraId="3A5BD1FC" w14:textId="77777777" w:rsidTr="006C7E97">
        <w:trPr>
          <w:trHeight w:val="284"/>
        </w:trPr>
        <w:tc>
          <w:tcPr>
            <w:tcW w:w="5670" w:type="dxa"/>
            <w:noWrap/>
            <w:vAlign w:val="center"/>
            <w:hideMark/>
          </w:tcPr>
          <w:p w14:paraId="46792FB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general population growth</w:t>
            </w:r>
          </w:p>
        </w:tc>
        <w:tc>
          <w:tcPr>
            <w:tcW w:w="1985" w:type="dxa"/>
            <w:noWrap/>
            <w:vAlign w:val="center"/>
            <w:hideMark/>
          </w:tcPr>
          <w:p w14:paraId="3228F5EC"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noWrap/>
            <w:hideMark/>
          </w:tcPr>
          <w:p w14:paraId="686F222B"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41,338</w:t>
            </w:r>
          </w:p>
        </w:tc>
        <w:tc>
          <w:tcPr>
            <w:tcW w:w="992" w:type="dxa"/>
            <w:noWrap/>
            <w:hideMark/>
          </w:tcPr>
          <w:p w14:paraId="0A7EB7BF"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59,113</w:t>
            </w:r>
          </w:p>
        </w:tc>
      </w:tr>
      <w:tr w:rsidR="009028ED" w:rsidRPr="007F6332" w14:paraId="66B6369B" w14:textId="77777777" w:rsidTr="006C7E97">
        <w:trPr>
          <w:trHeight w:val="284"/>
        </w:trPr>
        <w:tc>
          <w:tcPr>
            <w:tcW w:w="5670" w:type="dxa"/>
            <w:noWrap/>
            <w:vAlign w:val="center"/>
            <w:hideMark/>
          </w:tcPr>
          <w:p w14:paraId="6F9381D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SIL numbers (-200 p.a.)</w:t>
            </w:r>
          </w:p>
        </w:tc>
        <w:tc>
          <w:tcPr>
            <w:tcW w:w="1985" w:type="dxa"/>
            <w:noWrap/>
            <w:vAlign w:val="center"/>
            <w:hideMark/>
          </w:tcPr>
          <w:p w14:paraId="08E91862"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noWrap/>
            <w:hideMark/>
          </w:tcPr>
          <w:p w14:paraId="71592411"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41,140</w:t>
            </w:r>
          </w:p>
        </w:tc>
        <w:tc>
          <w:tcPr>
            <w:tcW w:w="992" w:type="dxa"/>
            <w:noWrap/>
            <w:hideMark/>
          </w:tcPr>
          <w:p w14:paraId="03C9906C"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58,607</w:t>
            </w:r>
          </w:p>
        </w:tc>
      </w:tr>
      <w:tr w:rsidR="009028ED" w:rsidRPr="007F6332" w14:paraId="12069087" w14:textId="77777777" w:rsidTr="006C7E97">
        <w:trPr>
          <w:trHeight w:val="284"/>
        </w:trPr>
        <w:tc>
          <w:tcPr>
            <w:tcW w:w="5670" w:type="dxa"/>
            <w:tcBorders>
              <w:bottom w:val="dotted" w:sz="4" w:space="0" w:color="auto"/>
            </w:tcBorders>
            <w:noWrap/>
            <w:vAlign w:val="center"/>
            <w:hideMark/>
          </w:tcPr>
          <w:p w14:paraId="7759BB10"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cost of new entrants</w:t>
            </w:r>
          </w:p>
        </w:tc>
        <w:tc>
          <w:tcPr>
            <w:tcW w:w="1985" w:type="dxa"/>
            <w:tcBorders>
              <w:bottom w:val="dotted" w:sz="4" w:space="0" w:color="auto"/>
            </w:tcBorders>
            <w:noWrap/>
            <w:vAlign w:val="center"/>
            <w:hideMark/>
          </w:tcPr>
          <w:p w14:paraId="486A3E16" w14:textId="77777777" w:rsidR="009028ED" w:rsidRPr="007F6332" w:rsidRDefault="009028ED" w:rsidP="006C7E97">
            <w:pPr>
              <w:spacing w:after="0"/>
              <w:ind w:left="181" w:right="-122" w:hanging="181"/>
              <w:rPr>
                <w:rFonts w:eastAsia="Times New Roman" w:cs="Arial"/>
                <w:color w:val="000000"/>
                <w:szCs w:val="22"/>
                <w:lang w:eastAsia="en-AU"/>
              </w:rPr>
            </w:pPr>
          </w:p>
        </w:tc>
        <w:tc>
          <w:tcPr>
            <w:tcW w:w="709" w:type="dxa"/>
            <w:tcBorders>
              <w:bottom w:val="dotted" w:sz="4" w:space="0" w:color="auto"/>
            </w:tcBorders>
            <w:noWrap/>
            <w:hideMark/>
          </w:tcPr>
          <w:p w14:paraId="2EDCB3C6" w14:textId="77777777" w:rsidR="009028ED" w:rsidRPr="007F6332" w:rsidRDefault="009028ED" w:rsidP="006C7E97">
            <w:pPr>
              <w:spacing w:after="0" w:line="240" w:lineRule="auto"/>
              <w:ind w:left="181" w:right="-52" w:hanging="181"/>
              <w:jc w:val="right"/>
              <w:rPr>
                <w:rFonts w:eastAsia="Times New Roman" w:cs="Arial"/>
                <w:color w:val="000000"/>
                <w:kern w:val="2"/>
                <w:szCs w:val="22"/>
                <w:lang w:eastAsia="en-AU"/>
                <w14:ligatures w14:val="standardContextual"/>
              </w:rPr>
            </w:pPr>
            <w:r w:rsidRPr="007F6332">
              <w:rPr>
                <w:rFonts w:cs="Arial"/>
                <w:szCs w:val="22"/>
              </w:rPr>
              <w:t>40,579</w:t>
            </w:r>
          </w:p>
        </w:tc>
        <w:tc>
          <w:tcPr>
            <w:tcW w:w="992" w:type="dxa"/>
            <w:tcBorders>
              <w:bottom w:val="dotted" w:sz="4" w:space="0" w:color="auto"/>
            </w:tcBorders>
            <w:noWrap/>
            <w:hideMark/>
          </w:tcPr>
          <w:p w14:paraId="63E98E57" w14:textId="77777777" w:rsidR="009028ED" w:rsidRPr="007F6332" w:rsidRDefault="009028ED" w:rsidP="006C7E97">
            <w:pPr>
              <w:spacing w:after="0" w:line="240" w:lineRule="auto"/>
              <w:ind w:left="181" w:hanging="181"/>
              <w:jc w:val="right"/>
              <w:rPr>
                <w:rFonts w:eastAsia="Times New Roman" w:cs="Arial"/>
                <w:color w:val="000000"/>
                <w:szCs w:val="22"/>
                <w:lang w:eastAsia="en-AU"/>
              </w:rPr>
            </w:pPr>
            <w:r w:rsidRPr="007F6332">
              <w:rPr>
                <w:rFonts w:cs="Arial"/>
                <w:szCs w:val="22"/>
              </w:rPr>
              <w:t>57,355</w:t>
            </w:r>
          </w:p>
        </w:tc>
      </w:tr>
      <w:tr w:rsidR="009028ED" w:rsidRPr="007F6332" w14:paraId="670E9ABA" w14:textId="77777777" w:rsidTr="00C1755E">
        <w:trPr>
          <w:trHeight w:val="284"/>
        </w:trPr>
        <w:tc>
          <w:tcPr>
            <w:tcW w:w="5670" w:type="dxa"/>
            <w:tcBorders>
              <w:top w:val="dotted" w:sz="4" w:space="0" w:color="auto"/>
              <w:left w:val="nil"/>
              <w:bottom w:val="dotted" w:sz="4" w:space="0" w:color="auto"/>
              <w:right w:val="nil"/>
            </w:tcBorders>
            <w:shd w:val="clear" w:color="auto" w:fill="B799B4"/>
            <w:noWrap/>
            <w:vAlign w:val="center"/>
            <w:hideMark/>
          </w:tcPr>
          <w:p w14:paraId="20E33441"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of cost decrease scenarios</w:t>
            </w:r>
          </w:p>
        </w:tc>
        <w:tc>
          <w:tcPr>
            <w:tcW w:w="1985" w:type="dxa"/>
            <w:tcBorders>
              <w:top w:val="dotted" w:sz="4" w:space="0" w:color="auto"/>
              <w:left w:val="nil"/>
              <w:bottom w:val="dotted" w:sz="4" w:space="0" w:color="auto"/>
              <w:right w:val="nil"/>
            </w:tcBorders>
            <w:shd w:val="clear" w:color="auto" w:fill="B799B4"/>
            <w:noWrap/>
            <w:vAlign w:val="center"/>
            <w:hideMark/>
          </w:tcPr>
          <w:p w14:paraId="475877B5" w14:textId="77777777" w:rsidR="009028ED" w:rsidRPr="007F6332" w:rsidRDefault="009028ED" w:rsidP="006C7E97">
            <w:pPr>
              <w:spacing w:after="0" w:line="240" w:lineRule="auto"/>
              <w:ind w:left="181" w:right="-122" w:hanging="181"/>
              <w:jc w:val="right"/>
              <w:rPr>
                <w:rFonts w:eastAsia="Times New Roman" w:cs="Arial"/>
                <w:b/>
                <w:bCs/>
                <w:color w:val="000000"/>
                <w:szCs w:val="22"/>
                <w:lang w:eastAsia="en-AU"/>
              </w:rPr>
            </w:pPr>
            <w:r w:rsidRPr="007F6332">
              <w:rPr>
                <w:rFonts w:eastAsia="Times New Roman" w:cs="Arial"/>
                <w:b/>
                <w:bCs/>
                <w:color w:val="000000"/>
                <w:szCs w:val="22"/>
                <w:lang w:eastAsia="en-AU"/>
              </w:rPr>
              <w:t> </w:t>
            </w:r>
          </w:p>
        </w:tc>
        <w:tc>
          <w:tcPr>
            <w:tcW w:w="709" w:type="dxa"/>
            <w:tcBorders>
              <w:top w:val="dotted" w:sz="4" w:space="0" w:color="auto"/>
              <w:left w:val="nil"/>
              <w:bottom w:val="dotted" w:sz="4" w:space="0" w:color="auto"/>
              <w:right w:val="nil"/>
            </w:tcBorders>
            <w:shd w:val="clear" w:color="auto" w:fill="B799B4"/>
            <w:noWrap/>
            <w:hideMark/>
          </w:tcPr>
          <w:p w14:paraId="27F52948" w14:textId="77777777" w:rsidR="009028ED" w:rsidRPr="007F6332" w:rsidRDefault="009028ED" w:rsidP="006C7E97">
            <w:pPr>
              <w:spacing w:after="0" w:line="240" w:lineRule="auto"/>
              <w:ind w:left="181" w:right="-52" w:hanging="181"/>
              <w:jc w:val="right"/>
              <w:rPr>
                <w:rFonts w:eastAsia="Times New Roman" w:cs="Arial"/>
                <w:b/>
                <w:bCs/>
                <w:color w:val="000000"/>
                <w:szCs w:val="22"/>
                <w:lang w:eastAsia="en-AU"/>
              </w:rPr>
            </w:pPr>
            <w:r w:rsidRPr="007F6332">
              <w:rPr>
                <w:rFonts w:cs="Arial"/>
                <w:b/>
                <w:bCs/>
                <w:color w:val="000000"/>
                <w:szCs w:val="22"/>
              </w:rPr>
              <w:t>38,296</w:t>
            </w:r>
          </w:p>
        </w:tc>
        <w:tc>
          <w:tcPr>
            <w:tcW w:w="992" w:type="dxa"/>
            <w:tcBorders>
              <w:top w:val="dotted" w:sz="4" w:space="0" w:color="auto"/>
              <w:left w:val="nil"/>
              <w:bottom w:val="dotted" w:sz="4" w:space="0" w:color="auto"/>
              <w:right w:val="nil"/>
            </w:tcBorders>
            <w:shd w:val="clear" w:color="auto" w:fill="B799B4"/>
            <w:noWrap/>
            <w:hideMark/>
          </w:tcPr>
          <w:p w14:paraId="033D706C" w14:textId="77777777" w:rsidR="009028ED" w:rsidRPr="007F6332" w:rsidRDefault="009028ED" w:rsidP="006C7E97">
            <w:pPr>
              <w:spacing w:after="0" w:line="240" w:lineRule="auto"/>
              <w:ind w:left="181" w:hanging="181"/>
              <w:jc w:val="right"/>
              <w:rPr>
                <w:rFonts w:eastAsia="Times New Roman" w:cs="Arial"/>
                <w:b/>
                <w:bCs/>
                <w:color w:val="000000"/>
                <w:szCs w:val="22"/>
                <w:lang w:eastAsia="en-AU"/>
              </w:rPr>
            </w:pPr>
            <w:r w:rsidRPr="007F6332">
              <w:rPr>
                <w:rFonts w:cs="Arial"/>
                <w:b/>
                <w:bCs/>
                <w:color w:val="000000"/>
                <w:szCs w:val="22"/>
              </w:rPr>
              <w:t>49,931</w:t>
            </w:r>
          </w:p>
        </w:tc>
      </w:tr>
      <w:tr w:rsidR="009028ED" w:rsidRPr="007F6332" w14:paraId="1E8D94BD" w14:textId="77777777" w:rsidTr="006C7E97">
        <w:trPr>
          <w:trHeight w:val="284"/>
        </w:trPr>
        <w:tc>
          <w:tcPr>
            <w:tcW w:w="5670" w:type="dxa"/>
            <w:tcBorders>
              <w:top w:val="dotted" w:sz="4" w:space="0" w:color="auto"/>
              <w:left w:val="nil"/>
              <w:bottom w:val="single" w:sz="4" w:space="0" w:color="auto"/>
              <w:right w:val="nil"/>
            </w:tcBorders>
            <w:shd w:val="clear" w:color="auto" w:fill="A7A9AC"/>
            <w:noWrap/>
            <w:vAlign w:val="center"/>
            <w:hideMark/>
          </w:tcPr>
          <w:p w14:paraId="3652B3F4" w14:textId="77777777" w:rsidR="009028ED" w:rsidRPr="007F6332" w:rsidRDefault="009028ED"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Plausible low case (variance)</w:t>
            </w:r>
          </w:p>
        </w:tc>
        <w:tc>
          <w:tcPr>
            <w:tcW w:w="1985" w:type="dxa"/>
            <w:tcBorders>
              <w:top w:val="dotted" w:sz="4" w:space="0" w:color="auto"/>
              <w:left w:val="nil"/>
              <w:bottom w:val="single" w:sz="4" w:space="0" w:color="auto"/>
              <w:right w:val="nil"/>
            </w:tcBorders>
            <w:shd w:val="clear" w:color="auto" w:fill="A7A9AC"/>
            <w:noWrap/>
            <w:vAlign w:val="center"/>
            <w:hideMark/>
          </w:tcPr>
          <w:p w14:paraId="1DCE7514" w14:textId="77777777" w:rsidR="009028ED" w:rsidRPr="007F6332" w:rsidRDefault="009028ED" w:rsidP="006C7E97">
            <w:pPr>
              <w:spacing w:after="0" w:line="240" w:lineRule="auto"/>
              <w:ind w:left="181" w:right="-122" w:hanging="181"/>
              <w:jc w:val="right"/>
              <w:rPr>
                <w:rFonts w:eastAsia="Times New Roman" w:cs="Arial"/>
                <w:b/>
                <w:bCs/>
                <w:color w:val="000000"/>
                <w:szCs w:val="22"/>
                <w:lang w:eastAsia="en-AU"/>
              </w:rPr>
            </w:pPr>
            <w:r w:rsidRPr="007F6332">
              <w:rPr>
                <w:rFonts w:eastAsia="Times New Roman" w:cs="Arial"/>
                <w:b/>
                <w:bCs/>
                <w:color w:val="000000"/>
                <w:szCs w:val="22"/>
                <w:lang w:eastAsia="en-AU"/>
              </w:rPr>
              <w:t> </w:t>
            </w:r>
          </w:p>
        </w:tc>
        <w:tc>
          <w:tcPr>
            <w:tcW w:w="709" w:type="dxa"/>
            <w:tcBorders>
              <w:top w:val="dotted" w:sz="4" w:space="0" w:color="auto"/>
              <w:left w:val="nil"/>
              <w:bottom w:val="single" w:sz="4" w:space="0" w:color="auto"/>
              <w:right w:val="nil"/>
            </w:tcBorders>
            <w:shd w:val="clear" w:color="auto" w:fill="A7A9AC"/>
            <w:noWrap/>
            <w:hideMark/>
          </w:tcPr>
          <w:p w14:paraId="146E4727" w14:textId="77777777" w:rsidR="009028ED" w:rsidRPr="007F6332" w:rsidRDefault="009028ED" w:rsidP="006C7E97">
            <w:pPr>
              <w:spacing w:after="0" w:line="240" w:lineRule="auto"/>
              <w:ind w:left="181" w:right="-52" w:hanging="181"/>
              <w:jc w:val="right"/>
              <w:rPr>
                <w:rFonts w:eastAsia="Times New Roman" w:cs="Arial"/>
                <w:b/>
                <w:bCs/>
                <w:color w:val="000000"/>
                <w:szCs w:val="22"/>
                <w:lang w:eastAsia="en-AU"/>
              </w:rPr>
            </w:pPr>
            <w:r w:rsidRPr="007F6332">
              <w:rPr>
                <w:rFonts w:cs="Arial"/>
                <w:color w:val="000000"/>
                <w:szCs w:val="22"/>
              </w:rPr>
              <w:t>38,970</w:t>
            </w:r>
          </w:p>
        </w:tc>
        <w:tc>
          <w:tcPr>
            <w:tcW w:w="992" w:type="dxa"/>
            <w:tcBorders>
              <w:top w:val="dotted" w:sz="4" w:space="0" w:color="auto"/>
              <w:left w:val="nil"/>
              <w:bottom w:val="single" w:sz="4" w:space="0" w:color="auto"/>
              <w:right w:val="nil"/>
            </w:tcBorders>
            <w:shd w:val="clear" w:color="auto" w:fill="A7A9AC"/>
            <w:noWrap/>
            <w:hideMark/>
          </w:tcPr>
          <w:p w14:paraId="65AC5033" w14:textId="77777777" w:rsidR="009028ED" w:rsidRPr="007F6332" w:rsidRDefault="009028ED" w:rsidP="006C7E97">
            <w:pPr>
              <w:spacing w:after="0" w:line="240" w:lineRule="auto"/>
              <w:ind w:left="181" w:hanging="181"/>
              <w:jc w:val="right"/>
              <w:rPr>
                <w:rFonts w:eastAsia="Times New Roman" w:cs="Arial"/>
                <w:b/>
                <w:bCs/>
                <w:color w:val="000000"/>
                <w:szCs w:val="22"/>
                <w:lang w:eastAsia="en-AU"/>
              </w:rPr>
            </w:pPr>
            <w:r w:rsidRPr="007F6332">
              <w:rPr>
                <w:rFonts w:cs="Arial"/>
                <w:color w:val="000000"/>
                <w:szCs w:val="22"/>
              </w:rPr>
              <w:t>53,159</w:t>
            </w:r>
          </w:p>
        </w:tc>
      </w:tr>
    </w:tbl>
    <w:p w14:paraId="388FD2D4" w14:textId="238A07C8" w:rsidR="009028ED" w:rsidRPr="007F6332" w:rsidRDefault="009028ED" w:rsidP="00F41A57">
      <w:pPr>
        <w:pStyle w:val="FiguresandTablesHeading5"/>
        <w:rPr>
          <w:rFonts w:eastAsiaTheme="minorHAnsi"/>
          <w:lang w:eastAsia="en-US"/>
        </w:rPr>
      </w:pPr>
      <w:r w:rsidRPr="007F6332">
        <w:rPr>
          <w:rFonts w:eastAsiaTheme="minorHAnsi"/>
          <w:lang w:eastAsia="en-US"/>
        </w:rPr>
        <w:t xml:space="preserve">Table </w:t>
      </w:r>
      <w:r w:rsidR="00A12E65" w:rsidRPr="007F6332">
        <w:rPr>
          <w:rFonts w:eastAsiaTheme="minorHAnsi"/>
          <w:lang w:eastAsia="en-US"/>
        </w:rPr>
        <w:t>L</w:t>
      </w:r>
      <w:r w:rsidRPr="007F6332">
        <w:rPr>
          <w:rFonts w:eastAsiaTheme="minorHAnsi"/>
          <w:lang w:eastAsia="en-US"/>
        </w:rPr>
        <w:t xml:space="preserve">.6: </w:t>
      </w:r>
      <w:r w:rsidR="003757C9" w:rsidRPr="007F6332">
        <w:rPr>
          <w:rFonts w:eastAsiaTheme="minorHAnsi"/>
          <w:lang w:eastAsia="en-US"/>
        </w:rPr>
        <w:t>June 2022 projections</w:t>
      </w:r>
      <w:r w:rsidRPr="007F6332">
        <w:rPr>
          <w:rFonts w:eastAsiaTheme="minorHAnsi"/>
          <w:lang w:eastAsia="en-US"/>
        </w:rPr>
        <w:t xml:space="preserve"> scenarios</w:t>
      </w:r>
    </w:p>
    <w:tbl>
      <w:tblPr>
        <w:tblW w:w="9552" w:type="dxa"/>
        <w:tblLook w:val="04A0" w:firstRow="1" w:lastRow="0" w:firstColumn="1" w:lastColumn="0" w:noHBand="0" w:noVBand="1"/>
      </w:tblPr>
      <w:tblGrid>
        <w:gridCol w:w="461"/>
        <w:gridCol w:w="6002"/>
        <w:gridCol w:w="1024"/>
        <w:gridCol w:w="1024"/>
        <w:gridCol w:w="1041"/>
      </w:tblGrid>
      <w:tr w:rsidR="009028ED" w:rsidRPr="007F6332" w14:paraId="69C3E8C4" w14:textId="77777777" w:rsidTr="00C1755E">
        <w:trPr>
          <w:trHeight w:val="381"/>
        </w:trPr>
        <w:tc>
          <w:tcPr>
            <w:tcW w:w="6463" w:type="dxa"/>
            <w:gridSpan w:val="2"/>
            <w:tcBorders>
              <w:top w:val="single" w:sz="4" w:space="0" w:color="auto"/>
              <w:left w:val="nil"/>
              <w:bottom w:val="single" w:sz="4" w:space="0" w:color="auto"/>
              <w:right w:val="nil"/>
            </w:tcBorders>
            <w:shd w:val="clear" w:color="auto" w:fill="6B2976"/>
            <w:vAlign w:val="center"/>
            <w:hideMark/>
          </w:tcPr>
          <w:p w14:paraId="0097E364" w14:textId="77777777" w:rsidR="009028ED" w:rsidRPr="007F6332" w:rsidRDefault="009028ED" w:rsidP="006C7E97">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Scheme expense ($m)</w:t>
            </w:r>
          </w:p>
        </w:tc>
        <w:tc>
          <w:tcPr>
            <w:tcW w:w="0" w:type="auto"/>
            <w:tcBorders>
              <w:top w:val="single" w:sz="4" w:space="0" w:color="auto"/>
              <w:left w:val="nil"/>
              <w:bottom w:val="single" w:sz="4" w:space="0" w:color="auto"/>
              <w:right w:val="nil"/>
            </w:tcBorders>
            <w:shd w:val="clear" w:color="auto" w:fill="6B2976"/>
            <w:noWrap/>
            <w:vAlign w:val="center"/>
            <w:hideMark/>
          </w:tcPr>
          <w:p w14:paraId="5DFB14AB" w14:textId="77777777" w:rsidR="009028ED" w:rsidRPr="007F6332" w:rsidRDefault="009028ED"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2019-20</w:t>
            </w:r>
          </w:p>
        </w:tc>
        <w:tc>
          <w:tcPr>
            <w:tcW w:w="0" w:type="auto"/>
            <w:tcBorders>
              <w:top w:val="single" w:sz="4" w:space="0" w:color="auto"/>
              <w:left w:val="nil"/>
              <w:bottom w:val="single" w:sz="4" w:space="0" w:color="auto"/>
              <w:right w:val="nil"/>
            </w:tcBorders>
            <w:shd w:val="clear" w:color="auto" w:fill="6B2976"/>
            <w:noWrap/>
            <w:vAlign w:val="center"/>
            <w:hideMark/>
          </w:tcPr>
          <w:p w14:paraId="0454DDCF" w14:textId="77777777" w:rsidR="009028ED" w:rsidRPr="007F6332" w:rsidRDefault="009028ED"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2024-25</w:t>
            </w:r>
          </w:p>
        </w:tc>
        <w:tc>
          <w:tcPr>
            <w:tcW w:w="1041" w:type="dxa"/>
            <w:tcBorders>
              <w:top w:val="single" w:sz="4" w:space="0" w:color="auto"/>
              <w:left w:val="nil"/>
              <w:bottom w:val="single" w:sz="4" w:space="0" w:color="auto"/>
              <w:right w:val="nil"/>
            </w:tcBorders>
            <w:shd w:val="clear" w:color="auto" w:fill="6B2976"/>
            <w:noWrap/>
            <w:vAlign w:val="center"/>
            <w:hideMark/>
          </w:tcPr>
          <w:p w14:paraId="46CE0C8A" w14:textId="77777777" w:rsidR="009028ED" w:rsidRPr="007F6332" w:rsidRDefault="009028ED" w:rsidP="006C7E97">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2029-30</w:t>
            </w:r>
          </w:p>
        </w:tc>
      </w:tr>
      <w:tr w:rsidR="00BB1A13" w:rsidRPr="007F6332" w14:paraId="4ABBA572" w14:textId="77777777" w:rsidTr="00C1755E">
        <w:trPr>
          <w:trHeight w:val="280"/>
        </w:trPr>
        <w:tc>
          <w:tcPr>
            <w:tcW w:w="6463" w:type="dxa"/>
            <w:gridSpan w:val="2"/>
            <w:tcBorders>
              <w:top w:val="nil"/>
              <w:left w:val="nil"/>
              <w:right w:val="nil"/>
            </w:tcBorders>
            <w:shd w:val="clear" w:color="auto" w:fill="A6A6A6" w:themeFill="background1" w:themeFillShade="A6"/>
            <w:vAlign w:val="center"/>
          </w:tcPr>
          <w:p w14:paraId="0552D962" w14:textId="77777777" w:rsidR="00BB1A13" w:rsidRPr="007F6332" w:rsidRDefault="00BB1A13" w:rsidP="006C7E97">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2021-22 Baseline</w:t>
            </w:r>
          </w:p>
        </w:tc>
        <w:tc>
          <w:tcPr>
            <w:tcW w:w="0" w:type="auto"/>
            <w:tcBorders>
              <w:top w:val="nil"/>
              <w:left w:val="nil"/>
              <w:right w:val="nil"/>
            </w:tcBorders>
            <w:shd w:val="clear" w:color="auto" w:fill="A6A6A6" w:themeFill="background1" w:themeFillShade="A6"/>
            <w:noWrap/>
            <w:vAlign w:val="center"/>
            <w:hideMark/>
          </w:tcPr>
          <w:p w14:paraId="566A4470" w14:textId="77777777" w:rsidR="00BB1A13" w:rsidRPr="007F6332" w:rsidRDefault="00BB1A13"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 </w:t>
            </w:r>
          </w:p>
        </w:tc>
        <w:tc>
          <w:tcPr>
            <w:tcW w:w="0" w:type="auto"/>
            <w:tcBorders>
              <w:top w:val="nil"/>
              <w:left w:val="nil"/>
              <w:right w:val="nil"/>
            </w:tcBorders>
            <w:shd w:val="clear" w:color="auto" w:fill="A6A6A6" w:themeFill="background1" w:themeFillShade="A6"/>
            <w:noWrap/>
            <w:vAlign w:val="center"/>
            <w:hideMark/>
          </w:tcPr>
          <w:p w14:paraId="45D07399" w14:textId="77777777" w:rsidR="00BB1A13" w:rsidRPr="007F6332" w:rsidRDefault="00BB1A13"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44,116</w:t>
            </w:r>
          </w:p>
        </w:tc>
        <w:tc>
          <w:tcPr>
            <w:tcW w:w="1041" w:type="dxa"/>
            <w:tcBorders>
              <w:top w:val="nil"/>
              <w:left w:val="nil"/>
              <w:right w:val="nil"/>
            </w:tcBorders>
            <w:shd w:val="clear" w:color="auto" w:fill="A6A6A6" w:themeFill="background1" w:themeFillShade="A6"/>
            <w:noWrap/>
            <w:vAlign w:val="center"/>
            <w:hideMark/>
          </w:tcPr>
          <w:p w14:paraId="68EF9889" w14:textId="77777777" w:rsidR="00BB1A13" w:rsidRPr="007F6332" w:rsidRDefault="00BB1A13" w:rsidP="006C7E97">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74,058</w:t>
            </w:r>
          </w:p>
        </w:tc>
      </w:tr>
      <w:tr w:rsidR="009028ED" w:rsidRPr="007F6332" w14:paraId="79CE60E2" w14:textId="77777777" w:rsidTr="00C1755E">
        <w:trPr>
          <w:trHeight w:val="280"/>
        </w:trPr>
        <w:tc>
          <w:tcPr>
            <w:tcW w:w="0" w:type="auto"/>
            <w:tcBorders>
              <w:left w:val="nil"/>
              <w:bottom w:val="nil"/>
              <w:right w:val="nil"/>
            </w:tcBorders>
            <w:shd w:val="clear" w:color="auto" w:fill="FFFFFF" w:themeFill="background1"/>
            <w:vAlign w:val="center"/>
            <w:hideMark/>
          </w:tcPr>
          <w:p w14:paraId="1BC6F2EA"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1a</w:t>
            </w:r>
          </w:p>
        </w:tc>
        <w:tc>
          <w:tcPr>
            <w:tcW w:w="6002" w:type="dxa"/>
            <w:tcBorders>
              <w:left w:val="nil"/>
              <w:bottom w:val="nil"/>
              <w:right w:val="nil"/>
            </w:tcBorders>
            <w:shd w:val="clear" w:color="auto" w:fill="FFFFFF" w:themeFill="background1"/>
            <w:noWrap/>
            <w:vAlign w:val="center"/>
            <w:hideMark/>
          </w:tcPr>
          <w:p w14:paraId="3A61AF15"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numbers of participants with SIL (+500 per annum)</w:t>
            </w:r>
          </w:p>
        </w:tc>
        <w:tc>
          <w:tcPr>
            <w:tcW w:w="0" w:type="auto"/>
            <w:tcBorders>
              <w:left w:val="nil"/>
              <w:bottom w:val="nil"/>
              <w:right w:val="nil"/>
            </w:tcBorders>
            <w:shd w:val="clear" w:color="auto" w:fill="FFFFFF" w:themeFill="background1"/>
            <w:noWrap/>
            <w:vAlign w:val="center"/>
            <w:hideMark/>
          </w:tcPr>
          <w:p w14:paraId="50869BAF" w14:textId="77777777" w:rsidR="009028ED" w:rsidRPr="007F6332" w:rsidRDefault="009028ED" w:rsidP="006C7E97">
            <w:pPr>
              <w:spacing w:after="0"/>
              <w:rPr>
                <w:rFonts w:eastAsia="Times New Roman" w:cs="Arial"/>
                <w:color w:val="000000"/>
                <w:szCs w:val="22"/>
                <w:lang w:eastAsia="en-AU"/>
              </w:rPr>
            </w:pPr>
          </w:p>
        </w:tc>
        <w:tc>
          <w:tcPr>
            <w:tcW w:w="0" w:type="auto"/>
            <w:tcBorders>
              <w:left w:val="nil"/>
              <w:bottom w:val="nil"/>
              <w:right w:val="nil"/>
            </w:tcBorders>
            <w:shd w:val="clear" w:color="auto" w:fill="FFFFFF" w:themeFill="background1"/>
            <w:noWrap/>
            <w:vAlign w:val="center"/>
            <w:hideMark/>
          </w:tcPr>
          <w:p w14:paraId="570F675C"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44,595</w:t>
            </w:r>
          </w:p>
        </w:tc>
        <w:tc>
          <w:tcPr>
            <w:tcW w:w="1041" w:type="dxa"/>
            <w:tcBorders>
              <w:left w:val="nil"/>
              <w:bottom w:val="nil"/>
              <w:right w:val="nil"/>
            </w:tcBorders>
            <w:shd w:val="clear" w:color="auto" w:fill="FFFFFF" w:themeFill="background1"/>
            <w:noWrap/>
            <w:vAlign w:val="center"/>
            <w:hideMark/>
          </w:tcPr>
          <w:p w14:paraId="04FD05A6"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75,952</w:t>
            </w:r>
          </w:p>
        </w:tc>
      </w:tr>
      <w:tr w:rsidR="009028ED" w:rsidRPr="007F6332" w14:paraId="0F1C56B0" w14:textId="77777777" w:rsidTr="00C1755E">
        <w:trPr>
          <w:trHeight w:val="280"/>
        </w:trPr>
        <w:tc>
          <w:tcPr>
            <w:tcW w:w="0" w:type="auto"/>
            <w:tcBorders>
              <w:top w:val="nil"/>
              <w:left w:val="nil"/>
              <w:right w:val="nil"/>
            </w:tcBorders>
            <w:shd w:val="clear" w:color="auto" w:fill="FFFFFF" w:themeFill="background1"/>
            <w:vAlign w:val="center"/>
            <w:hideMark/>
          </w:tcPr>
          <w:p w14:paraId="7D67A50D"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1b</w:t>
            </w:r>
          </w:p>
        </w:tc>
        <w:tc>
          <w:tcPr>
            <w:tcW w:w="6002" w:type="dxa"/>
            <w:tcBorders>
              <w:top w:val="nil"/>
              <w:left w:val="nil"/>
              <w:right w:val="nil"/>
            </w:tcBorders>
            <w:shd w:val="clear" w:color="auto" w:fill="FFFFFF" w:themeFill="background1"/>
            <w:noWrap/>
            <w:vAlign w:val="center"/>
            <w:hideMark/>
          </w:tcPr>
          <w:p w14:paraId="0C33D3B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numbers of participants with SIL (-200 per annum)</w:t>
            </w:r>
          </w:p>
        </w:tc>
        <w:tc>
          <w:tcPr>
            <w:tcW w:w="0" w:type="auto"/>
            <w:tcBorders>
              <w:top w:val="nil"/>
              <w:left w:val="nil"/>
              <w:right w:val="nil"/>
            </w:tcBorders>
            <w:shd w:val="clear" w:color="auto" w:fill="FFFFFF" w:themeFill="background1"/>
            <w:noWrap/>
            <w:vAlign w:val="center"/>
            <w:hideMark/>
          </w:tcPr>
          <w:p w14:paraId="3B4EE8C8" w14:textId="77777777" w:rsidR="009028ED" w:rsidRPr="007F6332" w:rsidRDefault="009028ED" w:rsidP="006C7E97">
            <w:pPr>
              <w:spacing w:after="0"/>
              <w:rPr>
                <w:rFonts w:eastAsia="Times New Roman" w:cs="Arial"/>
                <w:color w:val="000000"/>
                <w:szCs w:val="22"/>
                <w:lang w:eastAsia="en-AU"/>
              </w:rPr>
            </w:pPr>
          </w:p>
        </w:tc>
        <w:tc>
          <w:tcPr>
            <w:tcW w:w="0" w:type="auto"/>
            <w:tcBorders>
              <w:top w:val="nil"/>
              <w:left w:val="nil"/>
              <w:right w:val="nil"/>
            </w:tcBorders>
            <w:shd w:val="clear" w:color="auto" w:fill="FFFFFF" w:themeFill="background1"/>
            <w:noWrap/>
            <w:vAlign w:val="center"/>
            <w:hideMark/>
          </w:tcPr>
          <w:p w14:paraId="5D45027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43,924</w:t>
            </w:r>
          </w:p>
        </w:tc>
        <w:tc>
          <w:tcPr>
            <w:tcW w:w="1041" w:type="dxa"/>
            <w:tcBorders>
              <w:top w:val="nil"/>
              <w:left w:val="nil"/>
              <w:right w:val="nil"/>
            </w:tcBorders>
            <w:shd w:val="clear" w:color="auto" w:fill="FFFFFF" w:themeFill="background1"/>
            <w:noWrap/>
            <w:vAlign w:val="center"/>
            <w:hideMark/>
          </w:tcPr>
          <w:p w14:paraId="3B7B955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73,301</w:t>
            </w:r>
          </w:p>
        </w:tc>
      </w:tr>
      <w:tr w:rsidR="009028ED" w:rsidRPr="007F6332" w14:paraId="6F867131" w14:textId="77777777" w:rsidTr="00C1755E">
        <w:trPr>
          <w:trHeight w:val="280"/>
        </w:trPr>
        <w:tc>
          <w:tcPr>
            <w:tcW w:w="0" w:type="auto"/>
            <w:tcBorders>
              <w:left w:val="nil"/>
              <w:right w:val="nil"/>
            </w:tcBorders>
            <w:shd w:val="clear" w:color="auto" w:fill="BFBFBF" w:themeFill="background1" w:themeFillShade="BF"/>
            <w:vAlign w:val="center"/>
            <w:hideMark/>
          </w:tcPr>
          <w:p w14:paraId="4D3666FE"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2</w:t>
            </w:r>
          </w:p>
        </w:tc>
        <w:tc>
          <w:tcPr>
            <w:tcW w:w="6002" w:type="dxa"/>
            <w:tcBorders>
              <w:left w:val="nil"/>
              <w:right w:val="nil"/>
            </w:tcBorders>
            <w:shd w:val="clear" w:color="auto" w:fill="BFBFBF" w:themeFill="background1" w:themeFillShade="BF"/>
            <w:noWrap/>
            <w:vAlign w:val="center"/>
            <w:hideMark/>
          </w:tcPr>
          <w:p w14:paraId="3B19FBEF"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rate of participants leaving the Scheme</w:t>
            </w:r>
          </w:p>
        </w:tc>
        <w:tc>
          <w:tcPr>
            <w:tcW w:w="0" w:type="auto"/>
            <w:tcBorders>
              <w:left w:val="nil"/>
              <w:right w:val="nil"/>
            </w:tcBorders>
            <w:shd w:val="clear" w:color="auto" w:fill="BFBFBF" w:themeFill="background1" w:themeFillShade="BF"/>
            <w:noWrap/>
            <w:vAlign w:val="center"/>
            <w:hideMark/>
          </w:tcPr>
          <w:p w14:paraId="6EE2DB9C" w14:textId="77777777" w:rsidR="009028ED" w:rsidRPr="007F6332" w:rsidRDefault="009028ED" w:rsidP="006C7E97">
            <w:pPr>
              <w:spacing w:after="0"/>
              <w:rPr>
                <w:rFonts w:eastAsia="Times New Roman" w:cs="Arial"/>
                <w:color w:val="000000"/>
                <w:szCs w:val="22"/>
                <w:lang w:eastAsia="en-AU"/>
              </w:rPr>
            </w:pPr>
          </w:p>
        </w:tc>
        <w:tc>
          <w:tcPr>
            <w:tcW w:w="0" w:type="auto"/>
            <w:tcBorders>
              <w:left w:val="nil"/>
              <w:right w:val="nil"/>
            </w:tcBorders>
            <w:shd w:val="clear" w:color="auto" w:fill="BFBFBF" w:themeFill="background1" w:themeFillShade="BF"/>
            <w:noWrap/>
            <w:vAlign w:val="center"/>
            <w:hideMark/>
          </w:tcPr>
          <w:p w14:paraId="100FDD1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44,289</w:t>
            </w:r>
          </w:p>
        </w:tc>
        <w:tc>
          <w:tcPr>
            <w:tcW w:w="1041" w:type="dxa"/>
            <w:tcBorders>
              <w:left w:val="nil"/>
              <w:right w:val="nil"/>
            </w:tcBorders>
            <w:shd w:val="clear" w:color="auto" w:fill="BFBFBF" w:themeFill="background1" w:themeFillShade="BF"/>
            <w:noWrap/>
            <w:vAlign w:val="center"/>
            <w:hideMark/>
          </w:tcPr>
          <w:p w14:paraId="4BA0B682"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74,909</w:t>
            </w:r>
          </w:p>
        </w:tc>
      </w:tr>
      <w:tr w:rsidR="009028ED" w:rsidRPr="007F6332" w14:paraId="22E1286A" w14:textId="77777777" w:rsidTr="00C1755E">
        <w:trPr>
          <w:trHeight w:val="280"/>
        </w:trPr>
        <w:tc>
          <w:tcPr>
            <w:tcW w:w="0" w:type="auto"/>
            <w:tcBorders>
              <w:left w:val="nil"/>
              <w:bottom w:val="nil"/>
              <w:right w:val="nil"/>
            </w:tcBorders>
            <w:shd w:val="clear" w:color="auto" w:fill="FFFFFF" w:themeFill="background1"/>
            <w:vAlign w:val="center"/>
            <w:hideMark/>
          </w:tcPr>
          <w:p w14:paraId="13B14815"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3a</w:t>
            </w:r>
          </w:p>
        </w:tc>
        <w:tc>
          <w:tcPr>
            <w:tcW w:w="6002" w:type="dxa"/>
            <w:tcBorders>
              <w:left w:val="nil"/>
              <w:bottom w:val="nil"/>
              <w:right w:val="nil"/>
            </w:tcBorders>
            <w:shd w:val="clear" w:color="auto" w:fill="FFFFFF" w:themeFill="background1"/>
            <w:noWrap/>
            <w:vAlign w:val="center"/>
            <w:hideMark/>
          </w:tcPr>
          <w:p w14:paraId="13271B08"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assumptions regarding the number of new participants</w:t>
            </w:r>
          </w:p>
        </w:tc>
        <w:tc>
          <w:tcPr>
            <w:tcW w:w="0" w:type="auto"/>
            <w:tcBorders>
              <w:left w:val="nil"/>
              <w:bottom w:val="nil"/>
              <w:right w:val="nil"/>
            </w:tcBorders>
            <w:shd w:val="clear" w:color="auto" w:fill="FFFFFF" w:themeFill="background1"/>
            <w:noWrap/>
            <w:vAlign w:val="center"/>
            <w:hideMark/>
          </w:tcPr>
          <w:p w14:paraId="5E44CDBB" w14:textId="77777777" w:rsidR="009028ED" w:rsidRPr="007F6332" w:rsidRDefault="009028ED" w:rsidP="006C7E97">
            <w:pPr>
              <w:spacing w:after="0"/>
              <w:rPr>
                <w:rFonts w:eastAsia="Times New Roman" w:cs="Arial"/>
                <w:color w:val="000000"/>
                <w:szCs w:val="22"/>
                <w:lang w:eastAsia="en-AU"/>
              </w:rPr>
            </w:pPr>
          </w:p>
        </w:tc>
        <w:tc>
          <w:tcPr>
            <w:tcW w:w="0" w:type="auto"/>
            <w:tcBorders>
              <w:left w:val="nil"/>
              <w:bottom w:val="nil"/>
              <w:right w:val="nil"/>
            </w:tcBorders>
            <w:shd w:val="clear" w:color="auto" w:fill="FFFFFF" w:themeFill="background1"/>
            <w:noWrap/>
            <w:vAlign w:val="center"/>
            <w:hideMark/>
          </w:tcPr>
          <w:p w14:paraId="1095783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44,968</w:t>
            </w:r>
          </w:p>
        </w:tc>
        <w:tc>
          <w:tcPr>
            <w:tcW w:w="1041" w:type="dxa"/>
            <w:tcBorders>
              <w:left w:val="nil"/>
              <w:bottom w:val="nil"/>
              <w:right w:val="nil"/>
            </w:tcBorders>
            <w:shd w:val="clear" w:color="auto" w:fill="FFFFFF" w:themeFill="background1"/>
            <w:noWrap/>
            <w:vAlign w:val="center"/>
            <w:hideMark/>
          </w:tcPr>
          <w:p w14:paraId="5132BF4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77,627</w:t>
            </w:r>
          </w:p>
        </w:tc>
      </w:tr>
      <w:tr w:rsidR="009028ED" w:rsidRPr="007F6332" w14:paraId="2E1DAC0A" w14:textId="77777777" w:rsidTr="00C1755E">
        <w:trPr>
          <w:trHeight w:val="280"/>
        </w:trPr>
        <w:tc>
          <w:tcPr>
            <w:tcW w:w="0" w:type="auto"/>
            <w:shd w:val="clear" w:color="auto" w:fill="FFFFFF" w:themeFill="background1"/>
            <w:vAlign w:val="center"/>
            <w:hideMark/>
          </w:tcPr>
          <w:p w14:paraId="32D83CA1"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3b</w:t>
            </w:r>
          </w:p>
        </w:tc>
        <w:tc>
          <w:tcPr>
            <w:tcW w:w="6002" w:type="dxa"/>
            <w:shd w:val="clear" w:color="auto" w:fill="FFFFFF" w:themeFill="background1"/>
            <w:noWrap/>
            <w:vAlign w:val="center"/>
            <w:hideMark/>
          </w:tcPr>
          <w:p w14:paraId="2C9AC953"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assumptions regarding the number of new participants</w:t>
            </w:r>
          </w:p>
        </w:tc>
        <w:tc>
          <w:tcPr>
            <w:tcW w:w="0" w:type="auto"/>
            <w:shd w:val="clear" w:color="auto" w:fill="FFFFFF" w:themeFill="background1"/>
            <w:noWrap/>
            <w:vAlign w:val="center"/>
            <w:hideMark/>
          </w:tcPr>
          <w:p w14:paraId="492A5104" w14:textId="77777777" w:rsidR="009028ED" w:rsidRPr="007F6332" w:rsidRDefault="009028ED" w:rsidP="006C7E97">
            <w:pPr>
              <w:spacing w:after="0"/>
              <w:rPr>
                <w:rFonts w:eastAsia="Times New Roman" w:cs="Arial"/>
                <w:color w:val="000000"/>
                <w:szCs w:val="22"/>
                <w:lang w:eastAsia="en-AU"/>
              </w:rPr>
            </w:pPr>
          </w:p>
        </w:tc>
        <w:tc>
          <w:tcPr>
            <w:tcW w:w="0" w:type="auto"/>
            <w:shd w:val="clear" w:color="auto" w:fill="FFFFFF" w:themeFill="background1"/>
            <w:noWrap/>
            <w:vAlign w:val="center"/>
            <w:hideMark/>
          </w:tcPr>
          <w:p w14:paraId="7772D473"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43,264</w:t>
            </w:r>
          </w:p>
        </w:tc>
        <w:tc>
          <w:tcPr>
            <w:tcW w:w="1041" w:type="dxa"/>
            <w:shd w:val="clear" w:color="auto" w:fill="FFFFFF" w:themeFill="background1"/>
            <w:noWrap/>
            <w:vAlign w:val="center"/>
            <w:hideMark/>
          </w:tcPr>
          <w:p w14:paraId="0B4D435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70,490</w:t>
            </w:r>
          </w:p>
        </w:tc>
      </w:tr>
      <w:tr w:rsidR="009028ED" w:rsidRPr="007F6332" w14:paraId="0046478A" w14:textId="77777777" w:rsidTr="00C1755E">
        <w:trPr>
          <w:trHeight w:val="280"/>
        </w:trPr>
        <w:tc>
          <w:tcPr>
            <w:tcW w:w="0" w:type="auto"/>
            <w:shd w:val="clear" w:color="auto" w:fill="FFFFFF" w:themeFill="background1"/>
            <w:vAlign w:val="center"/>
            <w:hideMark/>
          </w:tcPr>
          <w:p w14:paraId="435DB50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3c</w:t>
            </w:r>
          </w:p>
        </w:tc>
        <w:tc>
          <w:tcPr>
            <w:tcW w:w="6002" w:type="dxa"/>
            <w:shd w:val="clear" w:color="auto" w:fill="FFFFFF" w:themeFill="background1"/>
            <w:noWrap/>
            <w:vAlign w:val="center"/>
            <w:hideMark/>
          </w:tcPr>
          <w:p w14:paraId="7CF6ACA0"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assumptions regarding the number of new entrants with autism aged between 15 and 54</w:t>
            </w:r>
          </w:p>
        </w:tc>
        <w:tc>
          <w:tcPr>
            <w:tcW w:w="0" w:type="auto"/>
            <w:shd w:val="clear" w:color="auto" w:fill="FFFFFF" w:themeFill="background1"/>
            <w:noWrap/>
            <w:vAlign w:val="center"/>
            <w:hideMark/>
          </w:tcPr>
          <w:p w14:paraId="1E496339" w14:textId="77777777" w:rsidR="009028ED" w:rsidRPr="007F6332" w:rsidRDefault="009028ED" w:rsidP="006C7E97">
            <w:pPr>
              <w:spacing w:after="0"/>
              <w:rPr>
                <w:rFonts w:eastAsia="Times New Roman" w:cs="Arial"/>
                <w:color w:val="000000"/>
                <w:szCs w:val="22"/>
                <w:lang w:eastAsia="en-AU"/>
              </w:rPr>
            </w:pPr>
          </w:p>
        </w:tc>
        <w:tc>
          <w:tcPr>
            <w:tcW w:w="0" w:type="auto"/>
            <w:shd w:val="clear" w:color="auto" w:fill="FFFFFF" w:themeFill="background1"/>
            <w:noWrap/>
            <w:vAlign w:val="center"/>
            <w:hideMark/>
          </w:tcPr>
          <w:p w14:paraId="0070472B"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44,201</w:t>
            </w:r>
          </w:p>
        </w:tc>
        <w:tc>
          <w:tcPr>
            <w:tcW w:w="1041" w:type="dxa"/>
            <w:shd w:val="clear" w:color="auto" w:fill="FFFFFF" w:themeFill="background1"/>
            <w:noWrap/>
            <w:vAlign w:val="center"/>
            <w:hideMark/>
          </w:tcPr>
          <w:p w14:paraId="6E66FEB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74,473</w:t>
            </w:r>
          </w:p>
        </w:tc>
      </w:tr>
      <w:tr w:rsidR="009028ED" w:rsidRPr="007F6332" w14:paraId="245761C9" w14:textId="77777777" w:rsidTr="00BB1A13">
        <w:trPr>
          <w:trHeight w:val="280"/>
        </w:trPr>
        <w:tc>
          <w:tcPr>
            <w:tcW w:w="0" w:type="auto"/>
            <w:shd w:val="clear" w:color="auto" w:fill="A6A6A6" w:themeFill="background1" w:themeFillShade="A6"/>
            <w:vAlign w:val="center"/>
            <w:hideMark/>
          </w:tcPr>
          <w:p w14:paraId="233339CC"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3d</w:t>
            </w:r>
          </w:p>
        </w:tc>
        <w:tc>
          <w:tcPr>
            <w:tcW w:w="6002" w:type="dxa"/>
            <w:shd w:val="clear" w:color="auto" w:fill="A6A6A6" w:themeFill="background1" w:themeFillShade="A6"/>
            <w:noWrap/>
            <w:vAlign w:val="center"/>
            <w:hideMark/>
          </w:tcPr>
          <w:p w14:paraId="7F3D1795"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Three extra years to reach steady state</w:t>
            </w:r>
          </w:p>
        </w:tc>
        <w:tc>
          <w:tcPr>
            <w:tcW w:w="0" w:type="auto"/>
            <w:shd w:val="clear" w:color="auto" w:fill="A6A6A6" w:themeFill="background1" w:themeFillShade="A6"/>
            <w:noWrap/>
            <w:vAlign w:val="center"/>
            <w:hideMark/>
          </w:tcPr>
          <w:p w14:paraId="65BE9A80" w14:textId="77777777" w:rsidR="009028ED" w:rsidRPr="007F6332" w:rsidRDefault="009028ED" w:rsidP="006C7E97">
            <w:pPr>
              <w:spacing w:after="0"/>
              <w:rPr>
                <w:rFonts w:eastAsia="Times New Roman" w:cs="Arial"/>
                <w:color w:val="000000"/>
                <w:szCs w:val="22"/>
                <w:lang w:eastAsia="en-AU"/>
              </w:rPr>
            </w:pPr>
          </w:p>
        </w:tc>
        <w:tc>
          <w:tcPr>
            <w:tcW w:w="0" w:type="auto"/>
            <w:shd w:val="clear" w:color="auto" w:fill="A6A6A6" w:themeFill="background1" w:themeFillShade="A6"/>
            <w:noWrap/>
            <w:vAlign w:val="center"/>
            <w:hideMark/>
          </w:tcPr>
          <w:p w14:paraId="5C3A0594"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44,460</w:t>
            </w:r>
          </w:p>
        </w:tc>
        <w:tc>
          <w:tcPr>
            <w:tcW w:w="1041" w:type="dxa"/>
            <w:shd w:val="clear" w:color="auto" w:fill="A6A6A6" w:themeFill="background1" w:themeFillShade="A6"/>
            <w:noWrap/>
            <w:vAlign w:val="center"/>
            <w:hideMark/>
          </w:tcPr>
          <w:p w14:paraId="38F4D9E1"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75,866</w:t>
            </w:r>
          </w:p>
        </w:tc>
      </w:tr>
      <w:tr w:rsidR="009028ED" w:rsidRPr="007F6332" w14:paraId="316B22AF" w14:textId="77777777" w:rsidTr="00BB1A13">
        <w:trPr>
          <w:trHeight w:val="280"/>
        </w:trPr>
        <w:tc>
          <w:tcPr>
            <w:tcW w:w="0" w:type="auto"/>
            <w:tcBorders>
              <w:left w:val="nil"/>
              <w:bottom w:val="nil"/>
              <w:right w:val="nil"/>
            </w:tcBorders>
            <w:vAlign w:val="center"/>
            <w:hideMark/>
          </w:tcPr>
          <w:p w14:paraId="474F15B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4a</w:t>
            </w:r>
          </w:p>
        </w:tc>
        <w:tc>
          <w:tcPr>
            <w:tcW w:w="6002" w:type="dxa"/>
            <w:tcBorders>
              <w:left w:val="nil"/>
              <w:bottom w:val="nil"/>
              <w:right w:val="nil"/>
            </w:tcBorders>
            <w:noWrap/>
            <w:vAlign w:val="center"/>
            <w:hideMark/>
          </w:tcPr>
          <w:p w14:paraId="4000E213"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payments for new entrants</w:t>
            </w:r>
          </w:p>
        </w:tc>
        <w:tc>
          <w:tcPr>
            <w:tcW w:w="0" w:type="auto"/>
            <w:tcBorders>
              <w:left w:val="nil"/>
              <w:bottom w:val="nil"/>
              <w:right w:val="nil"/>
            </w:tcBorders>
            <w:noWrap/>
            <w:vAlign w:val="center"/>
            <w:hideMark/>
          </w:tcPr>
          <w:p w14:paraId="7CEDCF83" w14:textId="77777777" w:rsidR="009028ED" w:rsidRPr="007F6332" w:rsidRDefault="009028ED" w:rsidP="006C7E97">
            <w:pPr>
              <w:spacing w:after="0"/>
              <w:rPr>
                <w:rFonts w:eastAsia="Times New Roman" w:cs="Arial"/>
                <w:color w:val="000000"/>
                <w:szCs w:val="22"/>
                <w:lang w:eastAsia="en-AU"/>
              </w:rPr>
            </w:pPr>
          </w:p>
        </w:tc>
        <w:tc>
          <w:tcPr>
            <w:tcW w:w="0" w:type="auto"/>
            <w:tcBorders>
              <w:left w:val="nil"/>
              <w:bottom w:val="nil"/>
              <w:right w:val="nil"/>
            </w:tcBorders>
            <w:noWrap/>
            <w:vAlign w:val="center"/>
            <w:hideMark/>
          </w:tcPr>
          <w:p w14:paraId="4A3EC1E9"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43,503</w:t>
            </w:r>
          </w:p>
        </w:tc>
        <w:tc>
          <w:tcPr>
            <w:tcW w:w="1041" w:type="dxa"/>
            <w:tcBorders>
              <w:left w:val="nil"/>
              <w:bottom w:val="nil"/>
              <w:right w:val="nil"/>
            </w:tcBorders>
            <w:noWrap/>
            <w:vAlign w:val="center"/>
            <w:hideMark/>
          </w:tcPr>
          <w:p w14:paraId="64A1E215"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71,902</w:t>
            </w:r>
          </w:p>
        </w:tc>
      </w:tr>
      <w:tr w:rsidR="009028ED" w:rsidRPr="007F6332" w14:paraId="024A57F7" w14:textId="77777777" w:rsidTr="00BB1A13">
        <w:trPr>
          <w:trHeight w:val="280"/>
        </w:trPr>
        <w:tc>
          <w:tcPr>
            <w:tcW w:w="0" w:type="auto"/>
            <w:tcBorders>
              <w:top w:val="nil"/>
              <w:left w:val="nil"/>
              <w:right w:val="nil"/>
            </w:tcBorders>
            <w:vAlign w:val="center"/>
            <w:hideMark/>
          </w:tcPr>
          <w:p w14:paraId="761E725B"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4b</w:t>
            </w:r>
          </w:p>
        </w:tc>
        <w:tc>
          <w:tcPr>
            <w:tcW w:w="6002" w:type="dxa"/>
            <w:tcBorders>
              <w:top w:val="nil"/>
              <w:left w:val="nil"/>
              <w:right w:val="nil"/>
            </w:tcBorders>
            <w:noWrap/>
            <w:vAlign w:val="center"/>
            <w:hideMark/>
          </w:tcPr>
          <w:p w14:paraId="091604A6"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payments for new entrants</w:t>
            </w:r>
          </w:p>
        </w:tc>
        <w:tc>
          <w:tcPr>
            <w:tcW w:w="0" w:type="auto"/>
            <w:tcBorders>
              <w:top w:val="nil"/>
              <w:left w:val="nil"/>
              <w:right w:val="nil"/>
            </w:tcBorders>
            <w:noWrap/>
            <w:vAlign w:val="center"/>
            <w:hideMark/>
          </w:tcPr>
          <w:p w14:paraId="2CBD03E3" w14:textId="77777777" w:rsidR="009028ED" w:rsidRPr="007F6332" w:rsidRDefault="009028ED" w:rsidP="006C7E97">
            <w:pPr>
              <w:spacing w:after="0"/>
              <w:rPr>
                <w:rFonts w:eastAsia="Times New Roman" w:cs="Arial"/>
                <w:color w:val="000000"/>
                <w:szCs w:val="22"/>
                <w:lang w:eastAsia="en-AU"/>
              </w:rPr>
            </w:pPr>
          </w:p>
        </w:tc>
        <w:tc>
          <w:tcPr>
            <w:tcW w:w="0" w:type="auto"/>
            <w:tcBorders>
              <w:top w:val="nil"/>
              <w:left w:val="nil"/>
              <w:right w:val="nil"/>
            </w:tcBorders>
            <w:noWrap/>
            <w:vAlign w:val="center"/>
            <w:hideMark/>
          </w:tcPr>
          <w:p w14:paraId="6A4ADC0D"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44,728</w:t>
            </w:r>
          </w:p>
        </w:tc>
        <w:tc>
          <w:tcPr>
            <w:tcW w:w="1041" w:type="dxa"/>
            <w:tcBorders>
              <w:top w:val="nil"/>
              <w:left w:val="nil"/>
              <w:right w:val="nil"/>
            </w:tcBorders>
            <w:noWrap/>
            <w:vAlign w:val="center"/>
            <w:hideMark/>
          </w:tcPr>
          <w:p w14:paraId="54E8CE97"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76,215</w:t>
            </w:r>
          </w:p>
        </w:tc>
      </w:tr>
      <w:tr w:rsidR="009028ED" w:rsidRPr="007F6332" w14:paraId="141340F5" w14:textId="77777777" w:rsidTr="00BB1A13">
        <w:trPr>
          <w:trHeight w:val="280"/>
        </w:trPr>
        <w:tc>
          <w:tcPr>
            <w:tcW w:w="0" w:type="auto"/>
            <w:tcBorders>
              <w:left w:val="nil"/>
              <w:bottom w:val="nil"/>
              <w:right w:val="nil"/>
            </w:tcBorders>
            <w:shd w:val="clear" w:color="auto" w:fill="A7A9AC"/>
            <w:vAlign w:val="center"/>
            <w:hideMark/>
          </w:tcPr>
          <w:p w14:paraId="791D61CA"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5a</w:t>
            </w:r>
          </w:p>
        </w:tc>
        <w:tc>
          <w:tcPr>
            <w:tcW w:w="6002" w:type="dxa"/>
            <w:tcBorders>
              <w:left w:val="nil"/>
              <w:bottom w:val="nil"/>
              <w:right w:val="nil"/>
            </w:tcBorders>
            <w:shd w:val="clear" w:color="auto" w:fill="A7A9AC"/>
            <w:noWrap/>
            <w:vAlign w:val="center"/>
            <w:hideMark/>
          </w:tcPr>
          <w:p w14:paraId="773D7206"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Lower additional inflation</w:t>
            </w:r>
          </w:p>
        </w:tc>
        <w:tc>
          <w:tcPr>
            <w:tcW w:w="0" w:type="auto"/>
            <w:tcBorders>
              <w:left w:val="nil"/>
              <w:bottom w:val="nil"/>
              <w:right w:val="nil"/>
            </w:tcBorders>
            <w:shd w:val="clear" w:color="auto" w:fill="A7A9AC"/>
            <w:noWrap/>
            <w:vAlign w:val="center"/>
            <w:hideMark/>
          </w:tcPr>
          <w:p w14:paraId="0B4C59D4" w14:textId="77777777" w:rsidR="009028ED" w:rsidRPr="007F6332" w:rsidRDefault="009028ED" w:rsidP="006C7E97">
            <w:pPr>
              <w:rPr>
                <w:rFonts w:eastAsia="Times New Roman" w:cs="Arial"/>
                <w:color w:val="000000"/>
                <w:szCs w:val="22"/>
                <w:lang w:eastAsia="en-AU"/>
              </w:rPr>
            </w:pPr>
          </w:p>
        </w:tc>
        <w:tc>
          <w:tcPr>
            <w:tcW w:w="0" w:type="auto"/>
            <w:tcBorders>
              <w:left w:val="nil"/>
              <w:bottom w:val="nil"/>
              <w:right w:val="nil"/>
            </w:tcBorders>
            <w:shd w:val="clear" w:color="auto" w:fill="A7A9AC"/>
            <w:noWrap/>
            <w:vAlign w:val="center"/>
            <w:hideMark/>
          </w:tcPr>
          <w:p w14:paraId="0B1EC10F"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42,962</w:t>
            </w:r>
          </w:p>
        </w:tc>
        <w:tc>
          <w:tcPr>
            <w:tcW w:w="1041" w:type="dxa"/>
            <w:tcBorders>
              <w:left w:val="nil"/>
              <w:bottom w:val="nil"/>
              <w:right w:val="nil"/>
            </w:tcBorders>
            <w:shd w:val="clear" w:color="auto" w:fill="A7A9AC"/>
            <w:noWrap/>
            <w:vAlign w:val="center"/>
            <w:hideMark/>
          </w:tcPr>
          <w:p w14:paraId="35E101E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69,054</w:t>
            </w:r>
          </w:p>
        </w:tc>
      </w:tr>
      <w:tr w:rsidR="009028ED" w:rsidRPr="007F6332" w14:paraId="50602E19" w14:textId="77777777" w:rsidTr="00BB1A13">
        <w:trPr>
          <w:trHeight w:val="280"/>
        </w:trPr>
        <w:tc>
          <w:tcPr>
            <w:tcW w:w="0" w:type="auto"/>
            <w:tcBorders>
              <w:top w:val="nil"/>
              <w:left w:val="nil"/>
              <w:right w:val="nil"/>
            </w:tcBorders>
            <w:shd w:val="clear" w:color="auto" w:fill="A7A9AC"/>
            <w:vAlign w:val="center"/>
            <w:hideMark/>
          </w:tcPr>
          <w:p w14:paraId="41AFAD67"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5b</w:t>
            </w:r>
          </w:p>
        </w:tc>
        <w:tc>
          <w:tcPr>
            <w:tcW w:w="6002" w:type="dxa"/>
            <w:tcBorders>
              <w:top w:val="nil"/>
              <w:left w:val="nil"/>
              <w:right w:val="nil"/>
            </w:tcBorders>
            <w:shd w:val="clear" w:color="auto" w:fill="A7A9AC"/>
            <w:noWrap/>
            <w:vAlign w:val="center"/>
            <w:hideMark/>
          </w:tcPr>
          <w:p w14:paraId="0B9C1D51" w14:textId="77777777" w:rsidR="009028ED" w:rsidRPr="007F6332" w:rsidRDefault="009028ED" w:rsidP="006C7E97">
            <w:pPr>
              <w:spacing w:after="0" w:line="240" w:lineRule="auto"/>
              <w:rPr>
                <w:rFonts w:eastAsia="Times New Roman" w:cs="Arial"/>
                <w:color w:val="000000"/>
                <w:szCs w:val="22"/>
                <w:lang w:eastAsia="en-AU"/>
              </w:rPr>
            </w:pPr>
            <w:r w:rsidRPr="007F6332">
              <w:rPr>
                <w:rFonts w:eastAsia="Times New Roman" w:cs="Arial"/>
                <w:color w:val="000000"/>
                <w:szCs w:val="22"/>
                <w:lang w:eastAsia="en-AU"/>
              </w:rPr>
              <w:t>Higher additional inflation</w:t>
            </w:r>
          </w:p>
        </w:tc>
        <w:tc>
          <w:tcPr>
            <w:tcW w:w="0" w:type="auto"/>
            <w:tcBorders>
              <w:top w:val="nil"/>
              <w:left w:val="nil"/>
              <w:right w:val="nil"/>
            </w:tcBorders>
            <w:shd w:val="clear" w:color="auto" w:fill="A7A9AC"/>
            <w:noWrap/>
            <w:vAlign w:val="center"/>
            <w:hideMark/>
          </w:tcPr>
          <w:p w14:paraId="7F1D582E"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 </w:t>
            </w:r>
          </w:p>
        </w:tc>
        <w:tc>
          <w:tcPr>
            <w:tcW w:w="0" w:type="auto"/>
            <w:tcBorders>
              <w:top w:val="nil"/>
              <w:left w:val="nil"/>
              <w:right w:val="nil"/>
            </w:tcBorders>
            <w:shd w:val="clear" w:color="auto" w:fill="A7A9AC"/>
            <w:noWrap/>
            <w:vAlign w:val="center"/>
            <w:hideMark/>
          </w:tcPr>
          <w:p w14:paraId="23CCDFEA"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46,689</w:t>
            </w:r>
          </w:p>
        </w:tc>
        <w:tc>
          <w:tcPr>
            <w:tcW w:w="1041" w:type="dxa"/>
            <w:tcBorders>
              <w:top w:val="nil"/>
              <w:left w:val="nil"/>
              <w:right w:val="nil"/>
            </w:tcBorders>
            <w:shd w:val="clear" w:color="auto" w:fill="A7A9AC"/>
            <w:noWrap/>
            <w:vAlign w:val="center"/>
            <w:hideMark/>
          </w:tcPr>
          <w:p w14:paraId="05B6C996" w14:textId="77777777" w:rsidR="009028ED" w:rsidRPr="007F6332" w:rsidRDefault="009028ED" w:rsidP="006C7E97">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83,836</w:t>
            </w:r>
          </w:p>
        </w:tc>
      </w:tr>
    </w:tbl>
    <w:p w14:paraId="14D54E2D" w14:textId="77777777" w:rsidR="009028ED" w:rsidRPr="007F6332" w:rsidRDefault="009028ED" w:rsidP="009028ED">
      <w:pPr>
        <w:jc w:val="both"/>
        <w:rPr>
          <w:rFonts w:eastAsiaTheme="minorHAnsi" w:cs="Arial"/>
          <w:color w:val="000000" w:themeColor="text1"/>
          <w:kern w:val="2"/>
          <w:szCs w:val="22"/>
          <w:lang w:eastAsia="en-US"/>
          <w14:ligatures w14:val="standardContextual"/>
        </w:rPr>
      </w:pPr>
      <w:r w:rsidRPr="007F6332">
        <w:rPr>
          <w:rFonts w:cs="Arial"/>
        </w:rPr>
        <w:br w:type="page"/>
      </w:r>
    </w:p>
    <w:p w14:paraId="42E74C97" w14:textId="0D5DD801" w:rsidR="00287FA3" w:rsidRPr="007F6332" w:rsidRDefault="00DC6CFE" w:rsidP="00F41A57">
      <w:pPr>
        <w:pStyle w:val="FSRHeading3"/>
        <w:rPr>
          <w:rStyle w:val="Emphasis"/>
          <w:rFonts w:cs="Arial"/>
          <w:b w:val="0"/>
          <w:bCs w:val="0"/>
          <w:iCs w:val="0"/>
          <w:color w:val="6A2875"/>
          <w:spacing w:val="0"/>
          <w:sz w:val="30"/>
        </w:rPr>
      </w:pPr>
      <w:bookmarkStart w:id="333" w:name="_Toc152615030"/>
      <w:r w:rsidRPr="007F6332">
        <w:t xml:space="preserve">Appendix </w:t>
      </w:r>
      <w:r w:rsidR="00D64B63" w:rsidRPr="007F6332">
        <w:t>M</w:t>
      </w:r>
      <w:r w:rsidRPr="007F6332">
        <w:t xml:space="preserve"> </w:t>
      </w:r>
      <w:r w:rsidR="00287FA3" w:rsidRPr="007F6332">
        <w:tab/>
      </w:r>
      <w:r w:rsidR="00287FA3" w:rsidRPr="007F6332">
        <w:rPr>
          <w:rStyle w:val="Emphasis"/>
          <w:rFonts w:cs="Arial"/>
          <w:b w:val="0"/>
          <w:bCs w:val="0"/>
          <w:iCs w:val="0"/>
          <w:color w:val="6A2875"/>
          <w:spacing w:val="0"/>
          <w:sz w:val="30"/>
        </w:rPr>
        <w:t>Scenario analysis of participant numbers</w:t>
      </w:r>
      <w:bookmarkEnd w:id="333"/>
    </w:p>
    <w:p w14:paraId="3E720935" w14:textId="77777777" w:rsidR="00287FA3" w:rsidRPr="007F6332" w:rsidRDefault="00287FA3" w:rsidP="00287FA3">
      <w:pPr>
        <w:pStyle w:val="FSRnormal"/>
        <w:rPr>
          <w:rFonts w:cs="Arial"/>
        </w:rPr>
      </w:pPr>
      <w:r w:rsidRPr="007F6332">
        <w:rPr>
          <w:rFonts w:cs="Arial"/>
        </w:rPr>
        <w:t>The projections prese</w:t>
      </w:r>
      <w:r w:rsidRPr="007F6332">
        <w:rPr>
          <w:rStyle w:val="FSRnormalChar"/>
          <w:rFonts w:cs="Arial"/>
        </w:rPr>
        <w:t>nted in Section 5 of this report represent the “baseline” estimate of Scheme population. This appendix shows the</w:t>
      </w:r>
      <w:r w:rsidRPr="007F6332">
        <w:rPr>
          <w:rFonts w:cs="Arial"/>
        </w:rPr>
        <w:t xml:space="preserve"> impact on participant numbers for the scenarios detailed in Section 6.1.</w:t>
      </w:r>
    </w:p>
    <w:p w14:paraId="37D8139E" w14:textId="07F24FD8" w:rsidR="00287FA3" w:rsidRPr="007F6332" w:rsidRDefault="00287FA3" w:rsidP="00287FA3">
      <w:pPr>
        <w:pStyle w:val="FSRHeading4"/>
        <w:rPr>
          <w:rFonts w:cs="Arial"/>
        </w:rPr>
      </w:pPr>
      <w:r w:rsidRPr="007F6332">
        <w:rPr>
          <w:rFonts w:cs="Arial"/>
        </w:rPr>
        <w:t xml:space="preserve">Scheme projections without the impact of </w:t>
      </w:r>
      <w:r w:rsidR="002D6881" w:rsidRPr="007F6332">
        <w:rPr>
          <w:rFonts w:cs="Arial"/>
        </w:rPr>
        <w:t>Budget initiatives</w:t>
      </w:r>
    </w:p>
    <w:p w14:paraId="7775544F" w14:textId="3C1F7B4E" w:rsidR="00287FA3" w:rsidRPr="007F6332" w:rsidRDefault="00287FA3" w:rsidP="00287FA3">
      <w:pPr>
        <w:pStyle w:val="FSRnormal"/>
        <w:rPr>
          <w:rFonts w:cs="Arial"/>
        </w:rPr>
      </w:pPr>
      <w:r w:rsidRPr="007F6332">
        <w:rPr>
          <w:rFonts w:cs="Arial"/>
        </w:rPr>
        <w:t xml:space="preserve">This scenario removes all assumptions made in relation to </w:t>
      </w:r>
      <w:r w:rsidR="002D6881" w:rsidRPr="007F6332">
        <w:rPr>
          <w:rFonts w:cs="Arial"/>
        </w:rPr>
        <w:t>Budget initiatives</w:t>
      </w:r>
      <w:r w:rsidRPr="007F6332">
        <w:rPr>
          <w:rFonts w:cs="Arial"/>
        </w:rPr>
        <w:t xml:space="preserve">, i.e., it is the Scheme projection without the impact of </w:t>
      </w:r>
      <w:r w:rsidR="002D6881" w:rsidRPr="007F6332">
        <w:rPr>
          <w:rFonts w:cs="Arial"/>
        </w:rPr>
        <w:t>Budget initiatives</w:t>
      </w:r>
      <w:r w:rsidRPr="007F6332">
        <w:rPr>
          <w:rFonts w:cs="Arial"/>
        </w:rPr>
        <w:t>.</w:t>
      </w:r>
    </w:p>
    <w:p w14:paraId="6B305894" w14:textId="1ECA2DF0" w:rsidR="00287FA3" w:rsidRPr="007F6332" w:rsidRDefault="00287FA3" w:rsidP="00F41A57">
      <w:pPr>
        <w:pStyle w:val="FiguresandTablesHeading5"/>
      </w:pPr>
      <w:r w:rsidRPr="007F6332">
        <w:t xml:space="preserve">Table M.1: Scenario without the impact of </w:t>
      </w:r>
      <w:r w:rsidR="002D6881" w:rsidRPr="007F6332">
        <w:t>Budget initiatives</w:t>
      </w:r>
      <w:r w:rsidRPr="007F6332">
        <w:t xml:space="preserve"> – projected participant numbers and variance to the </w:t>
      </w:r>
      <w:r w:rsidR="00B724CC" w:rsidRPr="007F6332">
        <w:t>June 2023 projections</w:t>
      </w:r>
    </w:p>
    <w:tbl>
      <w:tblPr>
        <w:tblW w:w="5000" w:type="pct"/>
        <w:tblLook w:val="04A0" w:firstRow="1" w:lastRow="0" w:firstColumn="1" w:lastColumn="0" w:noHBand="0" w:noVBand="1"/>
      </w:tblPr>
      <w:tblGrid>
        <w:gridCol w:w="2641"/>
        <w:gridCol w:w="1281"/>
        <w:gridCol w:w="1282"/>
        <w:gridCol w:w="1282"/>
        <w:gridCol w:w="1282"/>
        <w:gridCol w:w="1282"/>
      </w:tblGrid>
      <w:tr w:rsidR="00287FA3" w:rsidRPr="007F6332" w14:paraId="34F53DA5" w14:textId="77777777" w:rsidTr="00D02FA6">
        <w:trPr>
          <w:trHeight w:val="280"/>
        </w:trPr>
        <w:tc>
          <w:tcPr>
            <w:tcW w:w="1414" w:type="pct"/>
            <w:shd w:val="clear" w:color="auto" w:fill="6B2976"/>
            <w:noWrap/>
            <w:vAlign w:val="center"/>
            <w:hideMark/>
          </w:tcPr>
          <w:p w14:paraId="38C3059A" w14:textId="77777777" w:rsidR="00287FA3" w:rsidRPr="007F6332" w:rsidRDefault="00287FA3" w:rsidP="00D02FA6">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Participant numbers</w:t>
            </w:r>
          </w:p>
        </w:tc>
        <w:tc>
          <w:tcPr>
            <w:tcW w:w="584" w:type="pct"/>
            <w:shd w:val="clear" w:color="auto" w:fill="6B2976"/>
            <w:noWrap/>
            <w:vAlign w:val="center"/>
            <w:hideMark/>
          </w:tcPr>
          <w:p w14:paraId="2CBAA4B6"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2024</w:t>
            </w:r>
          </w:p>
        </w:tc>
        <w:tc>
          <w:tcPr>
            <w:tcW w:w="751" w:type="pct"/>
            <w:shd w:val="clear" w:color="auto" w:fill="6B2976"/>
            <w:noWrap/>
            <w:vAlign w:val="center"/>
            <w:hideMark/>
          </w:tcPr>
          <w:p w14:paraId="0F4DA3B3"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2025</w:t>
            </w:r>
          </w:p>
        </w:tc>
        <w:tc>
          <w:tcPr>
            <w:tcW w:w="751" w:type="pct"/>
            <w:shd w:val="clear" w:color="auto" w:fill="6B2976"/>
            <w:noWrap/>
            <w:vAlign w:val="center"/>
            <w:hideMark/>
          </w:tcPr>
          <w:p w14:paraId="308DCBBE"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2026</w:t>
            </w:r>
          </w:p>
        </w:tc>
        <w:tc>
          <w:tcPr>
            <w:tcW w:w="751" w:type="pct"/>
            <w:shd w:val="clear" w:color="auto" w:fill="6B2976"/>
            <w:noWrap/>
            <w:vAlign w:val="center"/>
            <w:hideMark/>
          </w:tcPr>
          <w:p w14:paraId="4ACDF6F6"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2027</w:t>
            </w:r>
          </w:p>
        </w:tc>
        <w:tc>
          <w:tcPr>
            <w:tcW w:w="749" w:type="pct"/>
            <w:shd w:val="clear" w:color="auto" w:fill="6B2976"/>
            <w:noWrap/>
            <w:vAlign w:val="center"/>
            <w:hideMark/>
          </w:tcPr>
          <w:p w14:paraId="5A882B62"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2033</w:t>
            </w:r>
          </w:p>
        </w:tc>
      </w:tr>
      <w:tr w:rsidR="00287FA3" w:rsidRPr="007F6332" w14:paraId="255B86EA" w14:textId="77777777" w:rsidTr="00D02FA6">
        <w:trPr>
          <w:trHeight w:val="280"/>
        </w:trPr>
        <w:tc>
          <w:tcPr>
            <w:tcW w:w="1414" w:type="pct"/>
            <w:shd w:val="clear" w:color="auto" w:fill="FFFFFF"/>
            <w:noWrap/>
            <w:vAlign w:val="center"/>
            <w:hideMark/>
          </w:tcPr>
          <w:p w14:paraId="3F4AC420" w14:textId="29BE0D90"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Baseline: </w:t>
            </w:r>
            <w:r w:rsidR="00B724CC" w:rsidRPr="007F6332">
              <w:rPr>
                <w:rFonts w:eastAsia="Times New Roman" w:cs="Arial"/>
                <w:color w:val="000000"/>
                <w:szCs w:val="22"/>
                <w:lang w:eastAsia="en-AU"/>
              </w:rPr>
              <w:t>June 2023 projections</w:t>
            </w:r>
            <w:r w:rsidRPr="007F6332">
              <w:rPr>
                <w:rFonts w:eastAsia="Times New Roman" w:cs="Arial"/>
                <w:color w:val="000000"/>
                <w:szCs w:val="22"/>
                <w:lang w:eastAsia="en-AU"/>
              </w:rPr>
              <w:t xml:space="preserve"> </w:t>
            </w:r>
          </w:p>
        </w:tc>
        <w:tc>
          <w:tcPr>
            <w:tcW w:w="584" w:type="pct"/>
            <w:shd w:val="clear" w:color="auto" w:fill="FFFFFF"/>
            <w:noWrap/>
            <w:vAlign w:val="center"/>
            <w:hideMark/>
          </w:tcPr>
          <w:p w14:paraId="3252C9A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668,907</w:t>
            </w:r>
          </w:p>
        </w:tc>
        <w:tc>
          <w:tcPr>
            <w:tcW w:w="751" w:type="pct"/>
            <w:shd w:val="clear" w:color="auto" w:fill="FFFFFF"/>
            <w:noWrap/>
            <w:vAlign w:val="center"/>
            <w:hideMark/>
          </w:tcPr>
          <w:p w14:paraId="2D0EF73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714,805</w:t>
            </w:r>
          </w:p>
        </w:tc>
        <w:tc>
          <w:tcPr>
            <w:tcW w:w="751" w:type="pct"/>
            <w:shd w:val="clear" w:color="auto" w:fill="FFFFFF"/>
            <w:noWrap/>
            <w:vAlign w:val="center"/>
            <w:hideMark/>
          </w:tcPr>
          <w:p w14:paraId="322DDF6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754,022</w:t>
            </w:r>
          </w:p>
        </w:tc>
        <w:tc>
          <w:tcPr>
            <w:tcW w:w="751" w:type="pct"/>
            <w:shd w:val="clear" w:color="auto" w:fill="FFFFFF"/>
            <w:noWrap/>
            <w:vAlign w:val="center"/>
            <w:hideMark/>
          </w:tcPr>
          <w:p w14:paraId="24DF5825"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792,200</w:t>
            </w:r>
          </w:p>
        </w:tc>
        <w:tc>
          <w:tcPr>
            <w:tcW w:w="749" w:type="pct"/>
            <w:shd w:val="clear" w:color="auto" w:fill="FFFFFF"/>
            <w:noWrap/>
            <w:vAlign w:val="center"/>
            <w:hideMark/>
          </w:tcPr>
          <w:p w14:paraId="274536F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1,030,337</w:t>
            </w:r>
          </w:p>
        </w:tc>
      </w:tr>
      <w:tr w:rsidR="00287FA3" w:rsidRPr="007F6332" w14:paraId="786C3664" w14:textId="77777777" w:rsidTr="00C1755E">
        <w:trPr>
          <w:trHeight w:val="280"/>
        </w:trPr>
        <w:tc>
          <w:tcPr>
            <w:tcW w:w="5000" w:type="pct"/>
            <w:gridSpan w:val="6"/>
            <w:shd w:val="clear" w:color="auto" w:fill="A6A6A6" w:themeFill="background1" w:themeFillShade="A6"/>
            <w:noWrap/>
            <w:vAlign w:val="center"/>
            <w:hideMark/>
          </w:tcPr>
          <w:p w14:paraId="43539447" w14:textId="4D51186B"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Scenario: Without the impact of </w:t>
            </w:r>
            <w:r w:rsidR="002D6881" w:rsidRPr="007F6332">
              <w:rPr>
                <w:rFonts w:eastAsia="Times New Roman" w:cs="Arial"/>
                <w:color w:val="000000"/>
                <w:szCs w:val="22"/>
                <w:lang w:eastAsia="en-AU"/>
              </w:rPr>
              <w:t>Budget initiatives</w:t>
            </w:r>
          </w:p>
        </w:tc>
      </w:tr>
      <w:tr w:rsidR="00287FA3" w:rsidRPr="007F6332" w14:paraId="6AE33B3A" w14:textId="77777777" w:rsidTr="00D02FA6">
        <w:trPr>
          <w:trHeight w:val="280"/>
        </w:trPr>
        <w:tc>
          <w:tcPr>
            <w:tcW w:w="1414" w:type="pct"/>
            <w:shd w:val="clear" w:color="auto" w:fill="FFFFFF"/>
            <w:noWrap/>
            <w:vAlign w:val="center"/>
            <w:hideMark/>
          </w:tcPr>
          <w:p w14:paraId="6A6F88EC"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Total Participants</w:t>
            </w:r>
          </w:p>
        </w:tc>
        <w:tc>
          <w:tcPr>
            <w:tcW w:w="584" w:type="pct"/>
            <w:shd w:val="clear" w:color="auto" w:fill="FFFFFF"/>
            <w:noWrap/>
            <w:vAlign w:val="center"/>
            <w:hideMark/>
          </w:tcPr>
          <w:p w14:paraId="53E4A37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675,667</w:t>
            </w:r>
          </w:p>
        </w:tc>
        <w:tc>
          <w:tcPr>
            <w:tcW w:w="751" w:type="pct"/>
            <w:shd w:val="clear" w:color="auto" w:fill="FFFFFF"/>
            <w:noWrap/>
            <w:vAlign w:val="center"/>
            <w:hideMark/>
          </w:tcPr>
          <w:p w14:paraId="0560155A"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732,996</w:t>
            </w:r>
          </w:p>
        </w:tc>
        <w:tc>
          <w:tcPr>
            <w:tcW w:w="751" w:type="pct"/>
            <w:shd w:val="clear" w:color="auto" w:fill="FFFFFF"/>
            <w:noWrap/>
            <w:vAlign w:val="center"/>
            <w:hideMark/>
          </w:tcPr>
          <w:p w14:paraId="521FE09B"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785,474</w:t>
            </w:r>
          </w:p>
        </w:tc>
        <w:tc>
          <w:tcPr>
            <w:tcW w:w="751" w:type="pct"/>
            <w:shd w:val="clear" w:color="auto" w:fill="FFFFFF"/>
            <w:noWrap/>
            <w:vAlign w:val="center"/>
            <w:hideMark/>
          </w:tcPr>
          <w:p w14:paraId="2BF87C04"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834,286</w:t>
            </w:r>
          </w:p>
        </w:tc>
        <w:tc>
          <w:tcPr>
            <w:tcW w:w="749" w:type="pct"/>
            <w:shd w:val="clear" w:color="auto" w:fill="FFFFFF"/>
            <w:noWrap/>
            <w:vAlign w:val="center"/>
            <w:hideMark/>
          </w:tcPr>
          <w:p w14:paraId="76BA79E5"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1,119,997</w:t>
            </w:r>
          </w:p>
        </w:tc>
      </w:tr>
      <w:tr w:rsidR="00287FA3" w:rsidRPr="007F6332" w14:paraId="2F3E3C5E" w14:textId="77777777" w:rsidTr="00D02FA6">
        <w:trPr>
          <w:trHeight w:val="280"/>
        </w:trPr>
        <w:tc>
          <w:tcPr>
            <w:tcW w:w="1414" w:type="pct"/>
            <w:shd w:val="clear" w:color="auto" w:fill="FFFFFF"/>
            <w:noWrap/>
            <w:vAlign w:val="center"/>
            <w:hideMark/>
          </w:tcPr>
          <w:p w14:paraId="2A6415C9" w14:textId="5A459F10"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Variance to baseline</w:t>
            </w:r>
          </w:p>
        </w:tc>
        <w:tc>
          <w:tcPr>
            <w:tcW w:w="584" w:type="pct"/>
            <w:shd w:val="clear" w:color="auto" w:fill="FFFFFF"/>
            <w:noWrap/>
            <w:vAlign w:val="center"/>
            <w:hideMark/>
          </w:tcPr>
          <w:p w14:paraId="5CA4814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6,760</w:t>
            </w:r>
          </w:p>
        </w:tc>
        <w:tc>
          <w:tcPr>
            <w:tcW w:w="751" w:type="pct"/>
            <w:shd w:val="clear" w:color="auto" w:fill="FFFFFF"/>
            <w:noWrap/>
            <w:vAlign w:val="center"/>
            <w:hideMark/>
          </w:tcPr>
          <w:p w14:paraId="2E008904"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18,190</w:t>
            </w:r>
          </w:p>
        </w:tc>
        <w:tc>
          <w:tcPr>
            <w:tcW w:w="751" w:type="pct"/>
            <w:shd w:val="clear" w:color="auto" w:fill="FFFFFF"/>
            <w:noWrap/>
            <w:vAlign w:val="center"/>
            <w:hideMark/>
          </w:tcPr>
          <w:p w14:paraId="65951A7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31,452</w:t>
            </w:r>
          </w:p>
        </w:tc>
        <w:tc>
          <w:tcPr>
            <w:tcW w:w="751" w:type="pct"/>
            <w:shd w:val="clear" w:color="auto" w:fill="FFFFFF"/>
            <w:noWrap/>
            <w:vAlign w:val="center"/>
            <w:hideMark/>
          </w:tcPr>
          <w:p w14:paraId="24255A64"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42,086</w:t>
            </w:r>
          </w:p>
        </w:tc>
        <w:tc>
          <w:tcPr>
            <w:tcW w:w="749" w:type="pct"/>
            <w:shd w:val="clear" w:color="auto" w:fill="FFFFFF"/>
            <w:noWrap/>
            <w:vAlign w:val="center"/>
            <w:hideMark/>
          </w:tcPr>
          <w:p w14:paraId="48097E47"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89,660</w:t>
            </w:r>
          </w:p>
        </w:tc>
      </w:tr>
      <w:tr w:rsidR="00287FA3" w:rsidRPr="007F6332" w14:paraId="29DC8B12" w14:textId="77777777" w:rsidTr="00C1755E">
        <w:trPr>
          <w:trHeight w:val="280"/>
        </w:trPr>
        <w:tc>
          <w:tcPr>
            <w:tcW w:w="1414" w:type="pct"/>
            <w:shd w:val="clear" w:color="auto" w:fill="B799B4"/>
            <w:noWrap/>
            <w:vAlign w:val="center"/>
            <w:hideMark/>
          </w:tcPr>
          <w:p w14:paraId="019E9C12"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    % variance to baseline</w:t>
            </w:r>
          </w:p>
        </w:tc>
        <w:tc>
          <w:tcPr>
            <w:tcW w:w="584" w:type="pct"/>
            <w:shd w:val="clear" w:color="auto" w:fill="B799B4"/>
            <w:noWrap/>
            <w:vAlign w:val="center"/>
            <w:hideMark/>
          </w:tcPr>
          <w:p w14:paraId="3CD621AD"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w:t>
            </w:r>
          </w:p>
        </w:tc>
        <w:tc>
          <w:tcPr>
            <w:tcW w:w="751" w:type="pct"/>
            <w:shd w:val="clear" w:color="auto" w:fill="B799B4"/>
            <w:noWrap/>
            <w:vAlign w:val="center"/>
            <w:hideMark/>
          </w:tcPr>
          <w:p w14:paraId="7DD6BA1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w:t>
            </w:r>
          </w:p>
        </w:tc>
        <w:tc>
          <w:tcPr>
            <w:tcW w:w="751" w:type="pct"/>
            <w:shd w:val="clear" w:color="auto" w:fill="B799B4"/>
            <w:noWrap/>
            <w:vAlign w:val="center"/>
            <w:hideMark/>
          </w:tcPr>
          <w:p w14:paraId="31AE24A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4.2%</w:t>
            </w:r>
          </w:p>
        </w:tc>
        <w:tc>
          <w:tcPr>
            <w:tcW w:w="751" w:type="pct"/>
            <w:shd w:val="clear" w:color="auto" w:fill="B799B4"/>
            <w:noWrap/>
            <w:vAlign w:val="center"/>
            <w:hideMark/>
          </w:tcPr>
          <w:p w14:paraId="00BFFC5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w:t>
            </w:r>
          </w:p>
        </w:tc>
        <w:tc>
          <w:tcPr>
            <w:tcW w:w="749" w:type="pct"/>
            <w:shd w:val="clear" w:color="auto" w:fill="B799B4"/>
            <w:noWrap/>
            <w:vAlign w:val="center"/>
            <w:hideMark/>
          </w:tcPr>
          <w:p w14:paraId="60409D3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w:t>
            </w:r>
          </w:p>
        </w:tc>
      </w:tr>
    </w:tbl>
    <w:p w14:paraId="0CCFFE0B" w14:textId="77777777" w:rsidR="00287FA3" w:rsidRPr="007F6332" w:rsidRDefault="00287FA3" w:rsidP="00287FA3">
      <w:pPr>
        <w:pStyle w:val="FSRHeading4"/>
        <w:rPr>
          <w:rFonts w:cs="Arial"/>
        </w:rPr>
      </w:pPr>
      <w:r w:rsidRPr="007F6332">
        <w:rPr>
          <w:rFonts w:cs="Arial"/>
        </w:rPr>
        <w:t>Number of new entrants to the Scheme</w:t>
      </w:r>
    </w:p>
    <w:p w14:paraId="2251B0EF" w14:textId="77777777" w:rsidR="00287FA3" w:rsidRPr="007F6332" w:rsidRDefault="00287FA3" w:rsidP="00287FA3">
      <w:pPr>
        <w:pStyle w:val="FSRlist"/>
        <w:numPr>
          <w:ilvl w:val="0"/>
          <w:numId w:val="0"/>
        </w:numPr>
        <w:rPr>
          <w:rFonts w:cs="Arial"/>
        </w:rPr>
      </w:pPr>
      <w:r w:rsidRPr="007F6332">
        <w:rPr>
          <w:rFonts w:cs="Arial"/>
        </w:rPr>
        <w:t>To illustrate the impact of current trajectories related to new entrants continuing, the following scenarios are presented:</w:t>
      </w:r>
    </w:p>
    <w:p w14:paraId="32FD787F" w14:textId="77777777" w:rsidR="00287FA3" w:rsidRPr="007F6332" w:rsidRDefault="00287FA3" w:rsidP="00F26AC5">
      <w:pPr>
        <w:pStyle w:val="FSRlist"/>
        <w:numPr>
          <w:ilvl w:val="0"/>
          <w:numId w:val="28"/>
        </w:numPr>
        <w:spacing w:before="240" w:after="200"/>
        <w:ind w:left="714" w:hanging="357"/>
        <w:contextualSpacing/>
        <w:rPr>
          <w:rFonts w:cs="Arial"/>
        </w:rPr>
      </w:pPr>
      <w:r w:rsidRPr="007F6332">
        <w:rPr>
          <w:rFonts w:cs="Arial"/>
          <w:b/>
          <w:bCs/>
        </w:rPr>
        <w:t xml:space="preserve">Greater number of new entrants aged 0 to 14 with developmental delay or autism. </w:t>
      </w:r>
      <w:r w:rsidRPr="007F6332">
        <w:rPr>
          <w:rFonts w:cs="Arial"/>
        </w:rPr>
        <w:t>The new entrant rates for participants aged 0 to 14 with developmental delay or autism are assumed to continue at the current level.</w:t>
      </w:r>
    </w:p>
    <w:p w14:paraId="41047867" w14:textId="77777777" w:rsidR="00287FA3" w:rsidRPr="007F6332" w:rsidRDefault="00287FA3" w:rsidP="00F26AC5">
      <w:pPr>
        <w:pStyle w:val="ListParagraph"/>
        <w:numPr>
          <w:ilvl w:val="0"/>
          <w:numId w:val="28"/>
        </w:numPr>
        <w:spacing w:before="240"/>
        <w:ind w:left="714" w:hanging="357"/>
        <w:rPr>
          <w:rFonts w:cs="Arial"/>
          <w:sz w:val="24"/>
          <w:lang w:eastAsia="en-AU"/>
        </w:rPr>
      </w:pPr>
      <w:r w:rsidRPr="007F6332">
        <w:rPr>
          <w:rFonts w:cs="Arial"/>
          <w:b/>
          <w:bCs/>
        </w:rPr>
        <w:t>Greater number of new entrants aged 15 and over with autism:</w:t>
      </w:r>
      <w:r w:rsidRPr="007F6332">
        <w:rPr>
          <w:rFonts w:cs="Arial"/>
        </w:rPr>
        <w:t xml:space="preserve"> The new entrant rates for male participants aged 15 and over with autism are assumed to continue at the current level, whilst the number of female participants entering the Scheme aged 15 and over is assumed to grow from its current level by 12.3% per annum (the assumed growth rate of 12.3% per annum is in-line with the average growth rate experienced over the 2020-21 and 2021-22 years for this cohort of participants)</w:t>
      </w:r>
      <w:r w:rsidRPr="007F6332">
        <w:rPr>
          <w:rStyle w:val="FootnoteReference"/>
          <w:rFonts w:cs="Arial"/>
        </w:rPr>
        <w:footnoteReference w:id="187"/>
      </w:r>
      <w:r w:rsidRPr="007F6332">
        <w:rPr>
          <w:rFonts w:cs="Arial"/>
        </w:rPr>
        <w:t xml:space="preserve">. </w:t>
      </w:r>
    </w:p>
    <w:p w14:paraId="638BE035" w14:textId="3A2B8311" w:rsidR="00287FA3" w:rsidRPr="007F6332" w:rsidRDefault="00287FA3" w:rsidP="00F26AC5">
      <w:pPr>
        <w:pStyle w:val="FSRlist"/>
        <w:numPr>
          <w:ilvl w:val="0"/>
          <w:numId w:val="28"/>
        </w:numPr>
        <w:spacing w:before="240" w:after="200"/>
        <w:ind w:left="714" w:hanging="357"/>
        <w:contextualSpacing/>
        <w:rPr>
          <w:rFonts w:cs="Arial"/>
        </w:rPr>
      </w:pPr>
      <w:r w:rsidRPr="007F6332">
        <w:rPr>
          <w:rFonts w:cs="Arial"/>
          <w:b/>
          <w:bCs/>
        </w:rPr>
        <w:t>Greater number of new entrants aged 15 and over (excluding those with autism):</w:t>
      </w:r>
      <w:r w:rsidRPr="007F6332">
        <w:rPr>
          <w:rFonts w:cs="Arial"/>
        </w:rPr>
        <w:t xml:space="preserve"> The new entrant rates for participants aged 15 and over for all disability types excluding those with autism, are increased by 21.8%. This increase in new entrant rates represents the 90</w:t>
      </w:r>
      <w:r w:rsidRPr="007F6332">
        <w:rPr>
          <w:rFonts w:cs="Arial"/>
          <w:vertAlign w:val="superscript"/>
        </w:rPr>
        <w:t>th</w:t>
      </w:r>
      <w:r w:rsidRPr="007F6332">
        <w:rPr>
          <w:rFonts w:cs="Arial"/>
        </w:rPr>
        <w:t xml:space="preserve"> percentile of new entrant outcomes for the 2023-24 year derived from the </w:t>
      </w:r>
      <w:r w:rsidR="00494F88" w:rsidRPr="007F6332">
        <w:rPr>
          <w:rFonts w:cs="Arial"/>
        </w:rPr>
        <w:t>S</w:t>
      </w:r>
      <w:r w:rsidRPr="007F6332">
        <w:rPr>
          <w:rFonts w:cs="Arial"/>
        </w:rPr>
        <w:t xml:space="preserve">tochastic </w:t>
      </w:r>
      <w:r w:rsidR="00494F88" w:rsidRPr="007F6332">
        <w:rPr>
          <w:rFonts w:cs="Arial"/>
        </w:rPr>
        <w:t>M</w:t>
      </w:r>
      <w:r w:rsidRPr="007F6332">
        <w:rPr>
          <w:rFonts w:cs="Arial"/>
        </w:rPr>
        <w:t>odel (discussed in Section 6.2).</w:t>
      </w:r>
    </w:p>
    <w:p w14:paraId="08253476" w14:textId="3E3ABBB3" w:rsidR="00287FA3" w:rsidRPr="007F6332" w:rsidRDefault="00287FA3" w:rsidP="00F26AC5">
      <w:pPr>
        <w:pStyle w:val="FSRlist"/>
        <w:numPr>
          <w:ilvl w:val="0"/>
          <w:numId w:val="28"/>
        </w:numPr>
        <w:spacing w:before="240" w:after="200"/>
        <w:contextualSpacing/>
        <w:rPr>
          <w:rFonts w:cs="Arial"/>
        </w:rPr>
      </w:pPr>
      <w:r w:rsidRPr="007F6332">
        <w:rPr>
          <w:rFonts w:cs="Arial"/>
          <w:b/>
          <w:bCs/>
        </w:rPr>
        <w:t>Lower number of new entrants aged 15 and over (excluding those with autism):</w:t>
      </w:r>
      <w:r w:rsidRPr="007F6332">
        <w:rPr>
          <w:rFonts w:cs="Arial"/>
        </w:rPr>
        <w:t xml:space="preserve"> The new entrant rates for participants aged 15 and over for all disability types excluding those with autism, are decreased by 21.1%. This decrease in new entrant rates represents the 10th percentile of new entrant outcomes for the 2023-24 year derived from the </w:t>
      </w:r>
      <w:r w:rsidR="00494F88" w:rsidRPr="007F6332">
        <w:rPr>
          <w:rFonts w:cs="Arial"/>
        </w:rPr>
        <w:t>S</w:t>
      </w:r>
      <w:r w:rsidRPr="007F6332">
        <w:rPr>
          <w:rFonts w:cs="Arial"/>
        </w:rPr>
        <w:t xml:space="preserve">tochastic </w:t>
      </w:r>
      <w:r w:rsidR="00494F88" w:rsidRPr="007F6332">
        <w:rPr>
          <w:rFonts w:cs="Arial"/>
        </w:rPr>
        <w:t>M</w:t>
      </w:r>
      <w:r w:rsidRPr="007F6332">
        <w:rPr>
          <w:rFonts w:cs="Arial"/>
        </w:rPr>
        <w:t>odel.</w:t>
      </w:r>
    </w:p>
    <w:p w14:paraId="165A593A" w14:textId="5B245B90" w:rsidR="00287FA3" w:rsidRPr="007F6332" w:rsidRDefault="00287FA3" w:rsidP="00F41A57">
      <w:pPr>
        <w:pStyle w:val="FiguresandTablesHeading5"/>
      </w:pPr>
      <w:r w:rsidRPr="007F6332">
        <w:t xml:space="preserve">Table M.2: Scenarios with higher and lower new entrant rates – projected participant numbers and variance to the </w:t>
      </w:r>
      <w:r w:rsidR="00B724CC" w:rsidRPr="007F6332">
        <w:t>June 2023 projections</w:t>
      </w:r>
    </w:p>
    <w:tbl>
      <w:tblPr>
        <w:tblW w:w="5000" w:type="pct"/>
        <w:tblBorders>
          <w:bottom w:val="single" w:sz="4" w:space="0" w:color="auto"/>
        </w:tblBorders>
        <w:tblLook w:val="04A0" w:firstRow="1" w:lastRow="0" w:firstColumn="1" w:lastColumn="0" w:noHBand="0" w:noVBand="1"/>
      </w:tblPr>
      <w:tblGrid>
        <w:gridCol w:w="2641"/>
        <w:gridCol w:w="1281"/>
        <w:gridCol w:w="1282"/>
        <w:gridCol w:w="1282"/>
        <w:gridCol w:w="1282"/>
        <w:gridCol w:w="1282"/>
      </w:tblGrid>
      <w:tr w:rsidR="00287FA3" w:rsidRPr="007F6332" w14:paraId="328112FD" w14:textId="77777777" w:rsidTr="00C1755E">
        <w:trPr>
          <w:trHeight w:val="280"/>
        </w:trPr>
        <w:tc>
          <w:tcPr>
            <w:tcW w:w="1459" w:type="pct"/>
            <w:shd w:val="clear" w:color="auto" w:fill="6B2976"/>
            <w:noWrap/>
            <w:vAlign w:val="center"/>
            <w:hideMark/>
          </w:tcPr>
          <w:p w14:paraId="231DCF0D" w14:textId="77777777" w:rsidR="00287FA3" w:rsidRPr="007F6332" w:rsidRDefault="00287FA3" w:rsidP="00D02FA6">
            <w:pPr>
              <w:spacing w:after="0" w:line="240" w:lineRule="auto"/>
              <w:rPr>
                <w:rFonts w:eastAsia="Times New Roman" w:cs="Arial"/>
                <w:b/>
                <w:bCs/>
                <w:color w:val="FFFFFF"/>
                <w:szCs w:val="22"/>
                <w:lang w:eastAsia="en-AU"/>
              </w:rPr>
            </w:pPr>
            <w:r w:rsidRPr="007F6332">
              <w:rPr>
                <w:rFonts w:eastAsia="Times New Roman" w:cs="Arial"/>
                <w:b/>
                <w:bCs/>
                <w:color w:val="FFFFFF"/>
                <w:szCs w:val="22"/>
                <w:lang w:eastAsia="en-AU"/>
              </w:rPr>
              <w:t>Participant numbers </w:t>
            </w:r>
          </w:p>
        </w:tc>
        <w:tc>
          <w:tcPr>
            <w:tcW w:w="708" w:type="pct"/>
            <w:shd w:val="clear" w:color="auto" w:fill="6B2976"/>
            <w:noWrap/>
            <w:vAlign w:val="center"/>
            <w:hideMark/>
          </w:tcPr>
          <w:p w14:paraId="499CFC6A"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2024</w:t>
            </w:r>
          </w:p>
        </w:tc>
        <w:tc>
          <w:tcPr>
            <w:tcW w:w="708" w:type="pct"/>
            <w:shd w:val="clear" w:color="auto" w:fill="6B2976"/>
            <w:noWrap/>
            <w:vAlign w:val="center"/>
            <w:hideMark/>
          </w:tcPr>
          <w:p w14:paraId="268C4E6B"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2025</w:t>
            </w:r>
          </w:p>
        </w:tc>
        <w:tc>
          <w:tcPr>
            <w:tcW w:w="708" w:type="pct"/>
            <w:shd w:val="clear" w:color="auto" w:fill="6B2976"/>
            <w:noWrap/>
            <w:vAlign w:val="center"/>
            <w:hideMark/>
          </w:tcPr>
          <w:p w14:paraId="6FA92587"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2026</w:t>
            </w:r>
          </w:p>
        </w:tc>
        <w:tc>
          <w:tcPr>
            <w:tcW w:w="708" w:type="pct"/>
            <w:shd w:val="clear" w:color="auto" w:fill="6B2976"/>
            <w:noWrap/>
            <w:vAlign w:val="center"/>
            <w:hideMark/>
          </w:tcPr>
          <w:p w14:paraId="471190E5"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2027</w:t>
            </w:r>
          </w:p>
        </w:tc>
        <w:tc>
          <w:tcPr>
            <w:tcW w:w="708" w:type="pct"/>
            <w:shd w:val="clear" w:color="auto" w:fill="6B2976"/>
            <w:noWrap/>
            <w:vAlign w:val="center"/>
            <w:hideMark/>
          </w:tcPr>
          <w:p w14:paraId="07F08DEB" w14:textId="77777777" w:rsidR="00287FA3" w:rsidRPr="007F6332" w:rsidRDefault="00287FA3" w:rsidP="00D02FA6">
            <w:pPr>
              <w:spacing w:after="0" w:line="240" w:lineRule="auto"/>
              <w:jc w:val="right"/>
              <w:rPr>
                <w:rFonts w:eastAsia="Times New Roman" w:cs="Arial"/>
                <w:b/>
                <w:bCs/>
                <w:color w:val="FFFFFF"/>
                <w:szCs w:val="22"/>
                <w:lang w:eastAsia="en-AU"/>
              </w:rPr>
            </w:pPr>
            <w:r w:rsidRPr="007F6332">
              <w:rPr>
                <w:rFonts w:eastAsia="Times New Roman" w:cs="Arial"/>
                <w:b/>
                <w:bCs/>
                <w:color w:val="FFFFFF"/>
                <w:szCs w:val="22"/>
                <w:lang w:eastAsia="en-AU"/>
              </w:rPr>
              <w:t>30 June 2033</w:t>
            </w:r>
          </w:p>
        </w:tc>
      </w:tr>
      <w:tr w:rsidR="00287FA3" w:rsidRPr="007F6332" w14:paraId="0D511983" w14:textId="77777777" w:rsidTr="00C1755E">
        <w:trPr>
          <w:trHeight w:val="280"/>
        </w:trPr>
        <w:tc>
          <w:tcPr>
            <w:tcW w:w="1459" w:type="pct"/>
            <w:tcBorders>
              <w:bottom w:val="nil"/>
            </w:tcBorders>
            <w:shd w:val="clear" w:color="auto" w:fill="FFFFFF"/>
            <w:noWrap/>
            <w:vAlign w:val="center"/>
            <w:hideMark/>
          </w:tcPr>
          <w:p w14:paraId="1CC24A9B" w14:textId="61F5EC8F"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Baseline: </w:t>
            </w:r>
            <w:r w:rsidR="00B724CC" w:rsidRPr="007F6332">
              <w:rPr>
                <w:rFonts w:eastAsia="Times New Roman" w:cs="Arial"/>
                <w:color w:val="000000"/>
                <w:szCs w:val="22"/>
                <w:lang w:eastAsia="en-AU"/>
              </w:rPr>
              <w:t>June 2023 projections</w:t>
            </w:r>
            <w:r w:rsidRPr="007F6332">
              <w:rPr>
                <w:rFonts w:eastAsia="Times New Roman" w:cs="Arial"/>
                <w:color w:val="000000"/>
                <w:szCs w:val="22"/>
                <w:lang w:eastAsia="en-AU"/>
              </w:rPr>
              <w:t xml:space="preserve"> </w:t>
            </w:r>
          </w:p>
        </w:tc>
        <w:tc>
          <w:tcPr>
            <w:tcW w:w="708" w:type="pct"/>
            <w:tcBorders>
              <w:bottom w:val="nil"/>
            </w:tcBorders>
            <w:shd w:val="clear" w:color="auto" w:fill="FFFFFF"/>
            <w:noWrap/>
            <w:vAlign w:val="center"/>
            <w:hideMark/>
          </w:tcPr>
          <w:p w14:paraId="64B4D5DA"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668,907</w:t>
            </w:r>
          </w:p>
        </w:tc>
        <w:tc>
          <w:tcPr>
            <w:tcW w:w="708" w:type="pct"/>
            <w:tcBorders>
              <w:bottom w:val="nil"/>
            </w:tcBorders>
            <w:shd w:val="clear" w:color="auto" w:fill="FFFFFF"/>
            <w:noWrap/>
            <w:vAlign w:val="center"/>
            <w:hideMark/>
          </w:tcPr>
          <w:p w14:paraId="087CF93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714,805</w:t>
            </w:r>
          </w:p>
        </w:tc>
        <w:tc>
          <w:tcPr>
            <w:tcW w:w="708" w:type="pct"/>
            <w:tcBorders>
              <w:bottom w:val="nil"/>
            </w:tcBorders>
            <w:shd w:val="clear" w:color="auto" w:fill="FFFFFF"/>
            <w:noWrap/>
            <w:vAlign w:val="center"/>
            <w:hideMark/>
          </w:tcPr>
          <w:p w14:paraId="3D7197D6"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754,022</w:t>
            </w:r>
          </w:p>
        </w:tc>
        <w:tc>
          <w:tcPr>
            <w:tcW w:w="708" w:type="pct"/>
            <w:tcBorders>
              <w:bottom w:val="nil"/>
            </w:tcBorders>
            <w:shd w:val="clear" w:color="auto" w:fill="FFFFFF"/>
            <w:noWrap/>
            <w:vAlign w:val="center"/>
            <w:hideMark/>
          </w:tcPr>
          <w:p w14:paraId="49DAB2F3"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792,200</w:t>
            </w:r>
          </w:p>
        </w:tc>
        <w:tc>
          <w:tcPr>
            <w:tcW w:w="708" w:type="pct"/>
            <w:tcBorders>
              <w:bottom w:val="nil"/>
            </w:tcBorders>
            <w:shd w:val="clear" w:color="auto" w:fill="FFFFFF"/>
            <w:noWrap/>
            <w:vAlign w:val="center"/>
            <w:hideMark/>
          </w:tcPr>
          <w:p w14:paraId="660FF5AF"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1,030,337</w:t>
            </w:r>
          </w:p>
        </w:tc>
      </w:tr>
      <w:tr w:rsidR="00287FA3" w:rsidRPr="007F6332" w14:paraId="3E59F6AA" w14:textId="77777777" w:rsidTr="00C1755E">
        <w:trPr>
          <w:trHeight w:val="280"/>
        </w:trPr>
        <w:tc>
          <w:tcPr>
            <w:tcW w:w="5000" w:type="pct"/>
            <w:gridSpan w:val="6"/>
            <w:tcBorders>
              <w:bottom w:val="nil"/>
            </w:tcBorders>
            <w:shd w:val="clear" w:color="auto" w:fill="A6A6A6" w:themeFill="background1" w:themeFillShade="A6"/>
            <w:noWrap/>
            <w:vAlign w:val="center"/>
            <w:hideMark/>
          </w:tcPr>
          <w:p w14:paraId="7B4C6F62" w14:textId="6E3F9678"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Scenario 1: Higher rate of new entrants aged 0 to 14 with developmental delay or autism</w:t>
            </w:r>
          </w:p>
        </w:tc>
      </w:tr>
      <w:tr w:rsidR="00287FA3" w:rsidRPr="007F6332" w14:paraId="1E594CEB" w14:textId="77777777" w:rsidTr="00C1755E">
        <w:trPr>
          <w:trHeight w:val="280"/>
        </w:trPr>
        <w:tc>
          <w:tcPr>
            <w:tcW w:w="1459" w:type="pct"/>
            <w:tcBorders>
              <w:top w:val="nil"/>
              <w:bottom w:val="nil"/>
            </w:tcBorders>
            <w:shd w:val="clear" w:color="auto" w:fill="B799B4"/>
            <w:noWrap/>
            <w:vAlign w:val="center"/>
            <w:hideMark/>
          </w:tcPr>
          <w:p w14:paraId="1C58BF89" w14:textId="77777777"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Participants</w:t>
            </w:r>
          </w:p>
        </w:tc>
        <w:tc>
          <w:tcPr>
            <w:tcW w:w="708" w:type="pct"/>
            <w:tcBorders>
              <w:top w:val="nil"/>
              <w:bottom w:val="nil"/>
            </w:tcBorders>
            <w:shd w:val="clear" w:color="auto" w:fill="B799B4"/>
            <w:noWrap/>
            <w:vAlign w:val="center"/>
            <w:hideMark/>
          </w:tcPr>
          <w:p w14:paraId="13B8B434"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672,433</w:t>
            </w:r>
          </w:p>
        </w:tc>
        <w:tc>
          <w:tcPr>
            <w:tcW w:w="708" w:type="pct"/>
            <w:tcBorders>
              <w:top w:val="nil"/>
              <w:bottom w:val="nil"/>
            </w:tcBorders>
            <w:shd w:val="clear" w:color="auto" w:fill="B799B4"/>
            <w:noWrap/>
            <w:vAlign w:val="center"/>
            <w:hideMark/>
          </w:tcPr>
          <w:p w14:paraId="2FE5E2AB"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729,145</w:t>
            </w:r>
          </w:p>
        </w:tc>
        <w:tc>
          <w:tcPr>
            <w:tcW w:w="708" w:type="pct"/>
            <w:tcBorders>
              <w:top w:val="nil"/>
              <w:bottom w:val="nil"/>
            </w:tcBorders>
            <w:shd w:val="clear" w:color="auto" w:fill="B799B4"/>
            <w:noWrap/>
            <w:vAlign w:val="center"/>
            <w:hideMark/>
          </w:tcPr>
          <w:p w14:paraId="2135814E"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779,826</w:t>
            </w:r>
          </w:p>
        </w:tc>
        <w:tc>
          <w:tcPr>
            <w:tcW w:w="708" w:type="pct"/>
            <w:tcBorders>
              <w:top w:val="nil"/>
              <w:bottom w:val="nil"/>
            </w:tcBorders>
            <w:shd w:val="clear" w:color="auto" w:fill="B799B4"/>
            <w:noWrap/>
            <w:vAlign w:val="center"/>
            <w:hideMark/>
          </w:tcPr>
          <w:p w14:paraId="1CAE563E"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829,172</w:t>
            </w:r>
          </w:p>
        </w:tc>
        <w:tc>
          <w:tcPr>
            <w:tcW w:w="708" w:type="pct"/>
            <w:tcBorders>
              <w:top w:val="nil"/>
              <w:bottom w:val="nil"/>
            </w:tcBorders>
            <w:shd w:val="clear" w:color="auto" w:fill="B799B4"/>
            <w:noWrap/>
            <w:vAlign w:val="center"/>
            <w:hideMark/>
          </w:tcPr>
          <w:p w14:paraId="672F583F"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1,117,543</w:t>
            </w:r>
          </w:p>
        </w:tc>
      </w:tr>
      <w:tr w:rsidR="00287FA3" w:rsidRPr="007F6332" w14:paraId="6A33A9F2" w14:textId="77777777" w:rsidTr="00C1755E">
        <w:trPr>
          <w:trHeight w:val="280"/>
        </w:trPr>
        <w:tc>
          <w:tcPr>
            <w:tcW w:w="1459" w:type="pct"/>
            <w:tcBorders>
              <w:top w:val="nil"/>
              <w:bottom w:val="nil"/>
            </w:tcBorders>
            <w:shd w:val="clear" w:color="auto" w:fill="FFFFFF"/>
            <w:noWrap/>
            <w:vAlign w:val="center"/>
            <w:hideMark/>
          </w:tcPr>
          <w:p w14:paraId="62E899A7" w14:textId="77777777" w:rsidR="00287FA3" w:rsidRPr="007F6332" w:rsidRDefault="00287FA3" w:rsidP="00D02FA6">
            <w:pPr>
              <w:spacing w:after="0" w:line="240" w:lineRule="auto"/>
              <w:ind w:left="-104"/>
              <w:rPr>
                <w:rFonts w:eastAsia="Times New Roman" w:cs="Arial"/>
                <w:color w:val="000000"/>
                <w:szCs w:val="22"/>
                <w:lang w:eastAsia="en-AU"/>
              </w:rPr>
            </w:pPr>
            <w:r w:rsidRPr="007F6332">
              <w:rPr>
                <w:rFonts w:eastAsia="Times New Roman" w:cs="Arial"/>
                <w:color w:val="000000"/>
                <w:szCs w:val="22"/>
                <w:lang w:eastAsia="en-AU"/>
              </w:rPr>
              <w:t xml:space="preserve"> Variance to baseline</w:t>
            </w:r>
          </w:p>
        </w:tc>
        <w:tc>
          <w:tcPr>
            <w:tcW w:w="708" w:type="pct"/>
            <w:tcBorders>
              <w:top w:val="nil"/>
              <w:bottom w:val="nil"/>
            </w:tcBorders>
            <w:shd w:val="clear" w:color="auto" w:fill="FFFFFF"/>
            <w:noWrap/>
            <w:vAlign w:val="center"/>
            <w:hideMark/>
          </w:tcPr>
          <w:p w14:paraId="105B840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3,526</w:t>
            </w:r>
          </w:p>
        </w:tc>
        <w:tc>
          <w:tcPr>
            <w:tcW w:w="708" w:type="pct"/>
            <w:tcBorders>
              <w:top w:val="nil"/>
              <w:bottom w:val="nil"/>
            </w:tcBorders>
            <w:shd w:val="clear" w:color="auto" w:fill="FFFFFF"/>
            <w:noWrap/>
            <w:vAlign w:val="center"/>
            <w:hideMark/>
          </w:tcPr>
          <w:p w14:paraId="21E574D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14,339</w:t>
            </w:r>
          </w:p>
        </w:tc>
        <w:tc>
          <w:tcPr>
            <w:tcW w:w="708" w:type="pct"/>
            <w:tcBorders>
              <w:top w:val="nil"/>
              <w:bottom w:val="nil"/>
            </w:tcBorders>
            <w:shd w:val="clear" w:color="auto" w:fill="FFFFFF"/>
            <w:noWrap/>
            <w:vAlign w:val="center"/>
            <w:hideMark/>
          </w:tcPr>
          <w:p w14:paraId="7ABF08BB"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25,804</w:t>
            </w:r>
          </w:p>
        </w:tc>
        <w:tc>
          <w:tcPr>
            <w:tcW w:w="708" w:type="pct"/>
            <w:tcBorders>
              <w:top w:val="nil"/>
              <w:bottom w:val="nil"/>
            </w:tcBorders>
            <w:shd w:val="clear" w:color="auto" w:fill="FFFFFF"/>
            <w:noWrap/>
            <w:vAlign w:val="center"/>
            <w:hideMark/>
          </w:tcPr>
          <w:p w14:paraId="0DBEDE7B"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36,972</w:t>
            </w:r>
          </w:p>
        </w:tc>
        <w:tc>
          <w:tcPr>
            <w:tcW w:w="708" w:type="pct"/>
            <w:tcBorders>
              <w:top w:val="nil"/>
              <w:bottom w:val="nil"/>
            </w:tcBorders>
            <w:shd w:val="clear" w:color="auto" w:fill="FFFFFF"/>
            <w:noWrap/>
            <w:vAlign w:val="center"/>
            <w:hideMark/>
          </w:tcPr>
          <w:p w14:paraId="6E69C19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87,206</w:t>
            </w:r>
          </w:p>
        </w:tc>
      </w:tr>
      <w:tr w:rsidR="00287FA3" w:rsidRPr="007F6332" w14:paraId="42EFC04F" w14:textId="77777777" w:rsidTr="00C1755E">
        <w:trPr>
          <w:trHeight w:val="280"/>
        </w:trPr>
        <w:tc>
          <w:tcPr>
            <w:tcW w:w="1459" w:type="pct"/>
            <w:tcBorders>
              <w:bottom w:val="nil"/>
            </w:tcBorders>
            <w:shd w:val="clear" w:color="auto" w:fill="D9D9D9" w:themeFill="background1" w:themeFillShade="D9"/>
            <w:noWrap/>
            <w:vAlign w:val="center"/>
            <w:hideMark/>
          </w:tcPr>
          <w:p w14:paraId="5B0B93D6"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    % variance to baseline</w:t>
            </w:r>
          </w:p>
        </w:tc>
        <w:tc>
          <w:tcPr>
            <w:tcW w:w="708" w:type="pct"/>
            <w:tcBorders>
              <w:bottom w:val="nil"/>
            </w:tcBorders>
            <w:shd w:val="clear" w:color="auto" w:fill="D9D9D9" w:themeFill="background1" w:themeFillShade="D9"/>
            <w:noWrap/>
            <w:vAlign w:val="center"/>
            <w:hideMark/>
          </w:tcPr>
          <w:p w14:paraId="66335A4C"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0.5%</w:t>
            </w:r>
          </w:p>
        </w:tc>
        <w:tc>
          <w:tcPr>
            <w:tcW w:w="708" w:type="pct"/>
            <w:tcBorders>
              <w:bottom w:val="nil"/>
            </w:tcBorders>
            <w:shd w:val="clear" w:color="auto" w:fill="D9D9D9" w:themeFill="background1" w:themeFillShade="D9"/>
            <w:noWrap/>
            <w:vAlign w:val="center"/>
            <w:hideMark/>
          </w:tcPr>
          <w:p w14:paraId="5B1C027B"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2.0%</w:t>
            </w:r>
          </w:p>
        </w:tc>
        <w:tc>
          <w:tcPr>
            <w:tcW w:w="708" w:type="pct"/>
            <w:tcBorders>
              <w:bottom w:val="nil"/>
            </w:tcBorders>
            <w:shd w:val="clear" w:color="auto" w:fill="D9D9D9" w:themeFill="background1" w:themeFillShade="D9"/>
            <w:noWrap/>
            <w:vAlign w:val="center"/>
            <w:hideMark/>
          </w:tcPr>
          <w:p w14:paraId="5C97FF9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3.4%</w:t>
            </w:r>
          </w:p>
        </w:tc>
        <w:tc>
          <w:tcPr>
            <w:tcW w:w="708" w:type="pct"/>
            <w:tcBorders>
              <w:bottom w:val="nil"/>
            </w:tcBorders>
            <w:shd w:val="clear" w:color="auto" w:fill="D9D9D9" w:themeFill="background1" w:themeFillShade="D9"/>
            <w:noWrap/>
            <w:vAlign w:val="center"/>
            <w:hideMark/>
          </w:tcPr>
          <w:p w14:paraId="4E358565"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4.7%</w:t>
            </w:r>
          </w:p>
        </w:tc>
        <w:tc>
          <w:tcPr>
            <w:tcW w:w="708" w:type="pct"/>
            <w:tcBorders>
              <w:bottom w:val="nil"/>
            </w:tcBorders>
            <w:shd w:val="clear" w:color="auto" w:fill="D9D9D9" w:themeFill="background1" w:themeFillShade="D9"/>
            <w:noWrap/>
            <w:vAlign w:val="center"/>
            <w:hideMark/>
          </w:tcPr>
          <w:p w14:paraId="764B545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8.5%</w:t>
            </w:r>
          </w:p>
        </w:tc>
      </w:tr>
      <w:tr w:rsidR="00287FA3" w:rsidRPr="007F6332" w14:paraId="6D736194" w14:textId="77777777" w:rsidTr="00C1755E">
        <w:trPr>
          <w:trHeight w:val="280"/>
        </w:trPr>
        <w:tc>
          <w:tcPr>
            <w:tcW w:w="5000" w:type="pct"/>
            <w:gridSpan w:val="6"/>
            <w:tcBorders>
              <w:bottom w:val="nil"/>
            </w:tcBorders>
            <w:shd w:val="clear" w:color="auto" w:fill="A6A6A6" w:themeFill="background1" w:themeFillShade="A6"/>
            <w:noWrap/>
            <w:vAlign w:val="center"/>
            <w:hideMark/>
          </w:tcPr>
          <w:p w14:paraId="02B178C9" w14:textId="77777777"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Scenario 2: Higher rate of new entrants aged 15 and over with autism</w:t>
            </w:r>
          </w:p>
        </w:tc>
      </w:tr>
      <w:tr w:rsidR="00287FA3" w:rsidRPr="007F6332" w14:paraId="7DBECC9E" w14:textId="77777777" w:rsidTr="00C1755E">
        <w:trPr>
          <w:trHeight w:val="280"/>
        </w:trPr>
        <w:tc>
          <w:tcPr>
            <w:tcW w:w="1459" w:type="pct"/>
            <w:tcBorders>
              <w:top w:val="nil"/>
              <w:bottom w:val="nil"/>
            </w:tcBorders>
            <w:shd w:val="clear" w:color="auto" w:fill="B799B4"/>
            <w:noWrap/>
            <w:vAlign w:val="center"/>
            <w:hideMark/>
          </w:tcPr>
          <w:p w14:paraId="7E734B32" w14:textId="77777777"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Participants</w:t>
            </w:r>
          </w:p>
        </w:tc>
        <w:tc>
          <w:tcPr>
            <w:tcW w:w="708" w:type="pct"/>
            <w:tcBorders>
              <w:top w:val="nil"/>
              <w:bottom w:val="nil"/>
            </w:tcBorders>
            <w:shd w:val="clear" w:color="auto" w:fill="B799B4"/>
            <w:noWrap/>
            <w:vAlign w:val="center"/>
            <w:hideMark/>
          </w:tcPr>
          <w:p w14:paraId="2818CB9B"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669,442</w:t>
            </w:r>
          </w:p>
        </w:tc>
        <w:tc>
          <w:tcPr>
            <w:tcW w:w="708" w:type="pct"/>
            <w:tcBorders>
              <w:top w:val="nil"/>
              <w:bottom w:val="nil"/>
            </w:tcBorders>
            <w:shd w:val="clear" w:color="auto" w:fill="B799B4"/>
            <w:noWrap/>
            <w:vAlign w:val="center"/>
            <w:hideMark/>
          </w:tcPr>
          <w:p w14:paraId="5A47B852"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717,852</w:t>
            </w:r>
          </w:p>
        </w:tc>
        <w:tc>
          <w:tcPr>
            <w:tcW w:w="708" w:type="pct"/>
            <w:tcBorders>
              <w:top w:val="nil"/>
              <w:bottom w:val="nil"/>
            </w:tcBorders>
            <w:shd w:val="clear" w:color="auto" w:fill="B799B4"/>
            <w:noWrap/>
            <w:vAlign w:val="center"/>
            <w:hideMark/>
          </w:tcPr>
          <w:p w14:paraId="0C7718C7"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760,985</w:t>
            </w:r>
          </w:p>
        </w:tc>
        <w:tc>
          <w:tcPr>
            <w:tcW w:w="708" w:type="pct"/>
            <w:tcBorders>
              <w:top w:val="nil"/>
              <w:bottom w:val="nil"/>
            </w:tcBorders>
            <w:shd w:val="clear" w:color="auto" w:fill="B799B4"/>
            <w:noWrap/>
            <w:vAlign w:val="center"/>
            <w:hideMark/>
          </w:tcPr>
          <w:p w14:paraId="4FFE4EDA"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804,406</w:t>
            </w:r>
          </w:p>
        </w:tc>
        <w:tc>
          <w:tcPr>
            <w:tcW w:w="708" w:type="pct"/>
            <w:tcBorders>
              <w:top w:val="nil"/>
              <w:bottom w:val="nil"/>
            </w:tcBorders>
            <w:shd w:val="clear" w:color="auto" w:fill="B799B4"/>
            <w:noWrap/>
            <w:vAlign w:val="center"/>
            <w:hideMark/>
          </w:tcPr>
          <w:p w14:paraId="6A23E2C0"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1,093,843</w:t>
            </w:r>
          </w:p>
        </w:tc>
      </w:tr>
      <w:tr w:rsidR="00287FA3" w:rsidRPr="007F6332" w14:paraId="79E89242" w14:textId="77777777" w:rsidTr="00C1755E">
        <w:trPr>
          <w:trHeight w:val="280"/>
        </w:trPr>
        <w:tc>
          <w:tcPr>
            <w:tcW w:w="1459" w:type="pct"/>
            <w:tcBorders>
              <w:top w:val="nil"/>
              <w:bottom w:val="nil"/>
            </w:tcBorders>
            <w:shd w:val="clear" w:color="auto" w:fill="FFFFFF"/>
            <w:noWrap/>
            <w:vAlign w:val="center"/>
            <w:hideMark/>
          </w:tcPr>
          <w:p w14:paraId="1BBCC6AE" w14:textId="77777777" w:rsidR="00287FA3" w:rsidRPr="007F6332" w:rsidRDefault="00287FA3" w:rsidP="00D02FA6">
            <w:pPr>
              <w:spacing w:after="0" w:line="240" w:lineRule="auto"/>
              <w:ind w:right="-115"/>
              <w:rPr>
                <w:rFonts w:eastAsia="Times New Roman" w:cs="Arial"/>
                <w:color w:val="000000"/>
                <w:szCs w:val="22"/>
                <w:lang w:eastAsia="en-AU"/>
              </w:rPr>
            </w:pPr>
            <w:r w:rsidRPr="007F6332">
              <w:rPr>
                <w:rFonts w:eastAsia="Times New Roman" w:cs="Arial"/>
                <w:color w:val="000000"/>
                <w:szCs w:val="22"/>
                <w:lang w:eastAsia="en-AU"/>
              </w:rPr>
              <w:t xml:space="preserve"> Variance to baseline</w:t>
            </w:r>
          </w:p>
        </w:tc>
        <w:tc>
          <w:tcPr>
            <w:tcW w:w="708" w:type="pct"/>
            <w:tcBorders>
              <w:top w:val="nil"/>
              <w:bottom w:val="nil"/>
            </w:tcBorders>
            <w:shd w:val="clear" w:color="auto" w:fill="FFFFFF"/>
            <w:noWrap/>
            <w:vAlign w:val="center"/>
            <w:hideMark/>
          </w:tcPr>
          <w:p w14:paraId="341ECFA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535</w:t>
            </w:r>
          </w:p>
        </w:tc>
        <w:tc>
          <w:tcPr>
            <w:tcW w:w="708" w:type="pct"/>
            <w:tcBorders>
              <w:top w:val="nil"/>
              <w:bottom w:val="nil"/>
            </w:tcBorders>
            <w:shd w:val="clear" w:color="auto" w:fill="FFFFFF"/>
            <w:noWrap/>
            <w:vAlign w:val="center"/>
            <w:hideMark/>
          </w:tcPr>
          <w:p w14:paraId="1D11670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3,047</w:t>
            </w:r>
          </w:p>
        </w:tc>
        <w:tc>
          <w:tcPr>
            <w:tcW w:w="708" w:type="pct"/>
            <w:tcBorders>
              <w:top w:val="nil"/>
              <w:bottom w:val="nil"/>
            </w:tcBorders>
            <w:shd w:val="clear" w:color="auto" w:fill="FFFFFF"/>
            <w:noWrap/>
            <w:vAlign w:val="center"/>
            <w:hideMark/>
          </w:tcPr>
          <w:p w14:paraId="3FAB43B3"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6,963</w:t>
            </w:r>
          </w:p>
        </w:tc>
        <w:tc>
          <w:tcPr>
            <w:tcW w:w="708" w:type="pct"/>
            <w:tcBorders>
              <w:top w:val="nil"/>
              <w:bottom w:val="nil"/>
            </w:tcBorders>
            <w:shd w:val="clear" w:color="auto" w:fill="FFFFFF"/>
            <w:noWrap/>
            <w:vAlign w:val="center"/>
            <w:hideMark/>
          </w:tcPr>
          <w:p w14:paraId="28510C0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12,206</w:t>
            </w:r>
          </w:p>
        </w:tc>
        <w:tc>
          <w:tcPr>
            <w:tcW w:w="708" w:type="pct"/>
            <w:tcBorders>
              <w:top w:val="nil"/>
              <w:bottom w:val="nil"/>
            </w:tcBorders>
            <w:shd w:val="clear" w:color="auto" w:fill="FFFFFF"/>
            <w:noWrap/>
            <w:vAlign w:val="center"/>
            <w:hideMark/>
          </w:tcPr>
          <w:p w14:paraId="48477F3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63,506</w:t>
            </w:r>
          </w:p>
        </w:tc>
      </w:tr>
      <w:tr w:rsidR="00287FA3" w:rsidRPr="007F6332" w14:paraId="05B896F4" w14:textId="77777777" w:rsidTr="00C1755E">
        <w:trPr>
          <w:trHeight w:val="280"/>
        </w:trPr>
        <w:tc>
          <w:tcPr>
            <w:tcW w:w="1459" w:type="pct"/>
            <w:tcBorders>
              <w:bottom w:val="nil"/>
            </w:tcBorders>
            <w:shd w:val="clear" w:color="auto" w:fill="BFBFBF" w:themeFill="background1" w:themeFillShade="BF"/>
            <w:noWrap/>
            <w:vAlign w:val="center"/>
            <w:hideMark/>
          </w:tcPr>
          <w:p w14:paraId="6A3FE509"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    % variance to baseline</w:t>
            </w:r>
          </w:p>
        </w:tc>
        <w:tc>
          <w:tcPr>
            <w:tcW w:w="708" w:type="pct"/>
            <w:tcBorders>
              <w:bottom w:val="nil"/>
            </w:tcBorders>
            <w:shd w:val="clear" w:color="auto" w:fill="BFBFBF" w:themeFill="background1" w:themeFillShade="BF"/>
            <w:noWrap/>
            <w:vAlign w:val="center"/>
            <w:hideMark/>
          </w:tcPr>
          <w:p w14:paraId="30427C3D"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0.1%</w:t>
            </w:r>
          </w:p>
        </w:tc>
        <w:tc>
          <w:tcPr>
            <w:tcW w:w="708" w:type="pct"/>
            <w:tcBorders>
              <w:bottom w:val="nil"/>
            </w:tcBorders>
            <w:shd w:val="clear" w:color="auto" w:fill="BFBFBF" w:themeFill="background1" w:themeFillShade="BF"/>
            <w:noWrap/>
            <w:vAlign w:val="center"/>
            <w:hideMark/>
          </w:tcPr>
          <w:p w14:paraId="01A4EE34"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0.4%</w:t>
            </w:r>
          </w:p>
        </w:tc>
        <w:tc>
          <w:tcPr>
            <w:tcW w:w="708" w:type="pct"/>
            <w:tcBorders>
              <w:bottom w:val="nil"/>
            </w:tcBorders>
            <w:shd w:val="clear" w:color="auto" w:fill="BFBFBF" w:themeFill="background1" w:themeFillShade="BF"/>
            <w:noWrap/>
            <w:vAlign w:val="center"/>
            <w:hideMark/>
          </w:tcPr>
          <w:p w14:paraId="2F5303A7"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0.9%</w:t>
            </w:r>
          </w:p>
        </w:tc>
        <w:tc>
          <w:tcPr>
            <w:tcW w:w="708" w:type="pct"/>
            <w:tcBorders>
              <w:bottom w:val="nil"/>
            </w:tcBorders>
            <w:shd w:val="clear" w:color="auto" w:fill="BFBFBF" w:themeFill="background1" w:themeFillShade="BF"/>
            <w:noWrap/>
            <w:vAlign w:val="center"/>
            <w:hideMark/>
          </w:tcPr>
          <w:p w14:paraId="1EBFF17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w:t>
            </w:r>
          </w:p>
        </w:tc>
        <w:tc>
          <w:tcPr>
            <w:tcW w:w="708" w:type="pct"/>
            <w:tcBorders>
              <w:bottom w:val="nil"/>
            </w:tcBorders>
            <w:shd w:val="clear" w:color="auto" w:fill="BFBFBF" w:themeFill="background1" w:themeFillShade="BF"/>
            <w:noWrap/>
            <w:vAlign w:val="center"/>
            <w:hideMark/>
          </w:tcPr>
          <w:p w14:paraId="449E3DE0"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6.2%</w:t>
            </w:r>
          </w:p>
        </w:tc>
      </w:tr>
      <w:tr w:rsidR="00287FA3" w:rsidRPr="007F6332" w14:paraId="7A3F3021" w14:textId="77777777" w:rsidTr="00C1755E">
        <w:trPr>
          <w:trHeight w:val="280"/>
        </w:trPr>
        <w:tc>
          <w:tcPr>
            <w:tcW w:w="5000" w:type="pct"/>
            <w:gridSpan w:val="6"/>
            <w:tcBorders>
              <w:bottom w:val="nil"/>
            </w:tcBorders>
            <w:shd w:val="clear" w:color="auto" w:fill="A6A6A6" w:themeFill="background1" w:themeFillShade="A6"/>
            <w:noWrap/>
            <w:vAlign w:val="center"/>
            <w:hideMark/>
          </w:tcPr>
          <w:p w14:paraId="1583BEE6" w14:textId="77777777"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Scenario 3: Higher rate of new entrants aged 15 and over, excluding those with autism</w:t>
            </w:r>
          </w:p>
        </w:tc>
      </w:tr>
      <w:tr w:rsidR="00287FA3" w:rsidRPr="007F6332" w14:paraId="395115E0" w14:textId="77777777" w:rsidTr="00C1755E">
        <w:trPr>
          <w:trHeight w:val="280"/>
        </w:trPr>
        <w:tc>
          <w:tcPr>
            <w:tcW w:w="1459" w:type="pct"/>
            <w:tcBorders>
              <w:top w:val="nil"/>
              <w:bottom w:val="nil"/>
            </w:tcBorders>
            <w:shd w:val="clear" w:color="auto" w:fill="B799B4"/>
            <w:noWrap/>
            <w:vAlign w:val="center"/>
            <w:hideMark/>
          </w:tcPr>
          <w:p w14:paraId="65265321" w14:textId="77777777"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Participants</w:t>
            </w:r>
          </w:p>
        </w:tc>
        <w:tc>
          <w:tcPr>
            <w:tcW w:w="708" w:type="pct"/>
            <w:tcBorders>
              <w:top w:val="nil"/>
              <w:bottom w:val="nil"/>
            </w:tcBorders>
            <w:shd w:val="clear" w:color="auto" w:fill="B799B4"/>
            <w:noWrap/>
            <w:vAlign w:val="center"/>
            <w:hideMark/>
          </w:tcPr>
          <w:p w14:paraId="0A4FFD9F"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671,972</w:t>
            </w:r>
          </w:p>
        </w:tc>
        <w:tc>
          <w:tcPr>
            <w:tcW w:w="708" w:type="pct"/>
            <w:tcBorders>
              <w:top w:val="nil"/>
              <w:bottom w:val="nil"/>
            </w:tcBorders>
            <w:shd w:val="clear" w:color="auto" w:fill="B799B4"/>
            <w:noWrap/>
            <w:vAlign w:val="center"/>
            <w:hideMark/>
          </w:tcPr>
          <w:p w14:paraId="39C16E11"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720,900</w:t>
            </w:r>
          </w:p>
        </w:tc>
        <w:tc>
          <w:tcPr>
            <w:tcW w:w="708" w:type="pct"/>
            <w:tcBorders>
              <w:top w:val="nil"/>
              <w:bottom w:val="nil"/>
            </w:tcBorders>
            <w:shd w:val="clear" w:color="auto" w:fill="B799B4"/>
            <w:noWrap/>
            <w:vAlign w:val="center"/>
            <w:hideMark/>
          </w:tcPr>
          <w:p w14:paraId="4CA84995"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763,078</w:t>
            </w:r>
          </w:p>
        </w:tc>
        <w:tc>
          <w:tcPr>
            <w:tcW w:w="708" w:type="pct"/>
            <w:tcBorders>
              <w:top w:val="nil"/>
              <w:bottom w:val="nil"/>
            </w:tcBorders>
            <w:shd w:val="clear" w:color="auto" w:fill="B799B4"/>
            <w:noWrap/>
            <w:vAlign w:val="center"/>
            <w:hideMark/>
          </w:tcPr>
          <w:p w14:paraId="6F1BB6F0"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804,152</w:t>
            </w:r>
          </w:p>
        </w:tc>
        <w:tc>
          <w:tcPr>
            <w:tcW w:w="708" w:type="pct"/>
            <w:tcBorders>
              <w:top w:val="nil"/>
              <w:bottom w:val="nil"/>
            </w:tcBorders>
            <w:shd w:val="clear" w:color="auto" w:fill="B799B4"/>
            <w:noWrap/>
            <w:vAlign w:val="center"/>
            <w:hideMark/>
          </w:tcPr>
          <w:p w14:paraId="1545FEEA"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1,058,313</w:t>
            </w:r>
          </w:p>
        </w:tc>
      </w:tr>
      <w:tr w:rsidR="00287FA3" w:rsidRPr="007F6332" w14:paraId="41C1D169" w14:textId="77777777" w:rsidTr="00C1755E">
        <w:trPr>
          <w:trHeight w:val="280"/>
        </w:trPr>
        <w:tc>
          <w:tcPr>
            <w:tcW w:w="1459" w:type="pct"/>
            <w:tcBorders>
              <w:top w:val="nil"/>
              <w:bottom w:val="nil"/>
            </w:tcBorders>
            <w:shd w:val="clear" w:color="auto" w:fill="FFFFFF"/>
            <w:noWrap/>
            <w:vAlign w:val="center"/>
            <w:hideMark/>
          </w:tcPr>
          <w:p w14:paraId="76C0F50F"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 Variance to baseline</w:t>
            </w:r>
          </w:p>
        </w:tc>
        <w:tc>
          <w:tcPr>
            <w:tcW w:w="708" w:type="pct"/>
            <w:tcBorders>
              <w:top w:val="nil"/>
              <w:bottom w:val="nil"/>
            </w:tcBorders>
            <w:shd w:val="clear" w:color="auto" w:fill="FFFFFF"/>
            <w:noWrap/>
            <w:vAlign w:val="center"/>
            <w:hideMark/>
          </w:tcPr>
          <w:p w14:paraId="6386339D"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3,066</w:t>
            </w:r>
          </w:p>
        </w:tc>
        <w:tc>
          <w:tcPr>
            <w:tcW w:w="708" w:type="pct"/>
            <w:tcBorders>
              <w:top w:val="nil"/>
              <w:bottom w:val="nil"/>
            </w:tcBorders>
            <w:shd w:val="clear" w:color="auto" w:fill="FFFFFF"/>
            <w:noWrap/>
            <w:vAlign w:val="center"/>
            <w:hideMark/>
          </w:tcPr>
          <w:p w14:paraId="2E76EEEB"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6,095</w:t>
            </w:r>
          </w:p>
        </w:tc>
        <w:tc>
          <w:tcPr>
            <w:tcW w:w="708" w:type="pct"/>
            <w:tcBorders>
              <w:top w:val="nil"/>
              <w:bottom w:val="nil"/>
            </w:tcBorders>
            <w:shd w:val="clear" w:color="auto" w:fill="FFFFFF"/>
            <w:noWrap/>
            <w:vAlign w:val="center"/>
            <w:hideMark/>
          </w:tcPr>
          <w:p w14:paraId="23B881E4"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9,056</w:t>
            </w:r>
          </w:p>
        </w:tc>
        <w:tc>
          <w:tcPr>
            <w:tcW w:w="708" w:type="pct"/>
            <w:tcBorders>
              <w:top w:val="nil"/>
              <w:bottom w:val="nil"/>
            </w:tcBorders>
            <w:shd w:val="clear" w:color="auto" w:fill="FFFFFF"/>
            <w:noWrap/>
            <w:vAlign w:val="center"/>
            <w:hideMark/>
          </w:tcPr>
          <w:p w14:paraId="785BDD7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11,952</w:t>
            </w:r>
          </w:p>
        </w:tc>
        <w:tc>
          <w:tcPr>
            <w:tcW w:w="708" w:type="pct"/>
            <w:tcBorders>
              <w:top w:val="nil"/>
              <w:bottom w:val="nil"/>
            </w:tcBorders>
            <w:shd w:val="clear" w:color="auto" w:fill="FFFFFF"/>
            <w:noWrap/>
            <w:vAlign w:val="center"/>
            <w:hideMark/>
          </w:tcPr>
          <w:p w14:paraId="774C360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27,976</w:t>
            </w:r>
          </w:p>
        </w:tc>
      </w:tr>
      <w:tr w:rsidR="00287FA3" w:rsidRPr="007F6332" w14:paraId="3FB16CB3" w14:textId="77777777" w:rsidTr="00C1755E">
        <w:trPr>
          <w:trHeight w:val="280"/>
        </w:trPr>
        <w:tc>
          <w:tcPr>
            <w:tcW w:w="1459" w:type="pct"/>
            <w:tcBorders>
              <w:bottom w:val="nil"/>
            </w:tcBorders>
            <w:shd w:val="clear" w:color="auto" w:fill="BFBFBF" w:themeFill="background1" w:themeFillShade="BF"/>
            <w:noWrap/>
            <w:vAlign w:val="center"/>
            <w:hideMark/>
          </w:tcPr>
          <w:p w14:paraId="438B7067" w14:textId="77777777" w:rsidR="00287FA3" w:rsidRPr="007F6332" w:rsidRDefault="00287FA3" w:rsidP="00D02FA6">
            <w:pPr>
              <w:spacing w:after="0" w:line="240" w:lineRule="auto"/>
              <w:rPr>
                <w:rFonts w:eastAsia="Times New Roman" w:cs="Arial"/>
                <w:color w:val="000000"/>
                <w:szCs w:val="22"/>
                <w:lang w:eastAsia="en-AU"/>
              </w:rPr>
            </w:pPr>
            <w:r w:rsidRPr="007F6332">
              <w:rPr>
                <w:rFonts w:eastAsia="Times New Roman" w:cs="Arial"/>
                <w:color w:val="000000"/>
                <w:szCs w:val="22"/>
                <w:lang w:eastAsia="en-AU"/>
              </w:rPr>
              <w:t xml:space="preserve">    % variance to baseline</w:t>
            </w:r>
          </w:p>
        </w:tc>
        <w:tc>
          <w:tcPr>
            <w:tcW w:w="708" w:type="pct"/>
            <w:tcBorders>
              <w:bottom w:val="nil"/>
            </w:tcBorders>
            <w:shd w:val="clear" w:color="auto" w:fill="BFBFBF" w:themeFill="background1" w:themeFillShade="BF"/>
            <w:noWrap/>
            <w:vAlign w:val="center"/>
            <w:hideMark/>
          </w:tcPr>
          <w:p w14:paraId="5763EF4A"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0.5%</w:t>
            </w:r>
          </w:p>
        </w:tc>
        <w:tc>
          <w:tcPr>
            <w:tcW w:w="708" w:type="pct"/>
            <w:tcBorders>
              <w:bottom w:val="nil"/>
            </w:tcBorders>
            <w:shd w:val="clear" w:color="auto" w:fill="BFBFBF" w:themeFill="background1" w:themeFillShade="BF"/>
            <w:noWrap/>
            <w:vAlign w:val="center"/>
            <w:hideMark/>
          </w:tcPr>
          <w:p w14:paraId="2FDFDBDA"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0.9%</w:t>
            </w:r>
          </w:p>
        </w:tc>
        <w:tc>
          <w:tcPr>
            <w:tcW w:w="708" w:type="pct"/>
            <w:tcBorders>
              <w:bottom w:val="nil"/>
            </w:tcBorders>
            <w:shd w:val="clear" w:color="auto" w:fill="BFBFBF" w:themeFill="background1" w:themeFillShade="BF"/>
            <w:noWrap/>
            <w:vAlign w:val="center"/>
            <w:hideMark/>
          </w:tcPr>
          <w:p w14:paraId="3A01F83D"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1.2%</w:t>
            </w:r>
          </w:p>
        </w:tc>
        <w:tc>
          <w:tcPr>
            <w:tcW w:w="708" w:type="pct"/>
            <w:tcBorders>
              <w:bottom w:val="nil"/>
            </w:tcBorders>
            <w:shd w:val="clear" w:color="auto" w:fill="BFBFBF" w:themeFill="background1" w:themeFillShade="BF"/>
            <w:noWrap/>
            <w:vAlign w:val="center"/>
            <w:hideMark/>
          </w:tcPr>
          <w:p w14:paraId="789CFEEB"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1.5%</w:t>
            </w:r>
          </w:p>
        </w:tc>
        <w:tc>
          <w:tcPr>
            <w:tcW w:w="708" w:type="pct"/>
            <w:tcBorders>
              <w:bottom w:val="nil"/>
            </w:tcBorders>
            <w:shd w:val="clear" w:color="auto" w:fill="BFBFBF" w:themeFill="background1" w:themeFillShade="BF"/>
            <w:noWrap/>
            <w:vAlign w:val="center"/>
            <w:hideMark/>
          </w:tcPr>
          <w:p w14:paraId="39EC7781"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2.7%</w:t>
            </w:r>
          </w:p>
        </w:tc>
      </w:tr>
      <w:tr w:rsidR="00287FA3" w:rsidRPr="007F6332" w14:paraId="6F76FAD3" w14:textId="77777777" w:rsidTr="00C1755E">
        <w:trPr>
          <w:trHeight w:val="280"/>
        </w:trPr>
        <w:tc>
          <w:tcPr>
            <w:tcW w:w="5000" w:type="pct"/>
            <w:gridSpan w:val="6"/>
            <w:tcBorders>
              <w:bottom w:val="nil"/>
            </w:tcBorders>
            <w:shd w:val="clear" w:color="auto" w:fill="A6A6A6" w:themeFill="background1" w:themeFillShade="A6"/>
            <w:noWrap/>
            <w:vAlign w:val="center"/>
            <w:hideMark/>
          </w:tcPr>
          <w:p w14:paraId="14A3EAE4" w14:textId="77777777"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Scenario 4: Lower rate of new entrants aged 15 and over, excluding those with autism</w:t>
            </w:r>
          </w:p>
        </w:tc>
      </w:tr>
      <w:tr w:rsidR="00287FA3" w:rsidRPr="007F6332" w14:paraId="1374CEE2" w14:textId="77777777" w:rsidTr="00C1755E">
        <w:trPr>
          <w:trHeight w:val="280"/>
        </w:trPr>
        <w:tc>
          <w:tcPr>
            <w:tcW w:w="1459" w:type="pct"/>
            <w:tcBorders>
              <w:top w:val="nil"/>
              <w:bottom w:val="nil"/>
            </w:tcBorders>
            <w:shd w:val="clear" w:color="auto" w:fill="B799B4"/>
            <w:noWrap/>
            <w:vAlign w:val="center"/>
            <w:hideMark/>
          </w:tcPr>
          <w:p w14:paraId="4281743A" w14:textId="77777777" w:rsidR="00287FA3" w:rsidRPr="007F6332" w:rsidRDefault="00287FA3" w:rsidP="00D02FA6">
            <w:pPr>
              <w:spacing w:after="0" w:line="240" w:lineRule="auto"/>
              <w:rPr>
                <w:rFonts w:eastAsia="Times New Roman" w:cs="Arial"/>
                <w:b/>
                <w:bCs/>
                <w:color w:val="000000"/>
                <w:szCs w:val="22"/>
                <w:lang w:eastAsia="en-AU"/>
              </w:rPr>
            </w:pPr>
            <w:r w:rsidRPr="007F6332">
              <w:rPr>
                <w:rFonts w:eastAsia="Times New Roman" w:cs="Arial"/>
                <w:b/>
                <w:bCs/>
                <w:color w:val="000000"/>
                <w:szCs w:val="22"/>
                <w:lang w:eastAsia="en-AU"/>
              </w:rPr>
              <w:t>Total Participants</w:t>
            </w:r>
          </w:p>
        </w:tc>
        <w:tc>
          <w:tcPr>
            <w:tcW w:w="708" w:type="pct"/>
            <w:tcBorders>
              <w:top w:val="nil"/>
              <w:bottom w:val="nil"/>
            </w:tcBorders>
            <w:shd w:val="clear" w:color="auto" w:fill="B799B4"/>
            <w:noWrap/>
            <w:vAlign w:val="center"/>
            <w:hideMark/>
          </w:tcPr>
          <w:p w14:paraId="7B54AD68"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665,935</w:t>
            </w:r>
          </w:p>
        </w:tc>
        <w:tc>
          <w:tcPr>
            <w:tcW w:w="708" w:type="pct"/>
            <w:tcBorders>
              <w:top w:val="nil"/>
              <w:bottom w:val="nil"/>
            </w:tcBorders>
            <w:shd w:val="clear" w:color="auto" w:fill="B799B4"/>
            <w:noWrap/>
            <w:vAlign w:val="center"/>
            <w:hideMark/>
          </w:tcPr>
          <w:p w14:paraId="7A8D74E6"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708,898</w:t>
            </w:r>
          </w:p>
        </w:tc>
        <w:tc>
          <w:tcPr>
            <w:tcW w:w="708" w:type="pct"/>
            <w:tcBorders>
              <w:top w:val="nil"/>
              <w:bottom w:val="nil"/>
            </w:tcBorders>
            <w:shd w:val="clear" w:color="auto" w:fill="B799B4"/>
            <w:noWrap/>
            <w:vAlign w:val="center"/>
            <w:hideMark/>
          </w:tcPr>
          <w:p w14:paraId="1FCAA127"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745,244</w:t>
            </w:r>
          </w:p>
        </w:tc>
        <w:tc>
          <w:tcPr>
            <w:tcW w:w="708" w:type="pct"/>
            <w:tcBorders>
              <w:top w:val="nil"/>
              <w:bottom w:val="nil"/>
            </w:tcBorders>
            <w:shd w:val="clear" w:color="auto" w:fill="B799B4"/>
            <w:noWrap/>
            <w:vAlign w:val="center"/>
            <w:hideMark/>
          </w:tcPr>
          <w:p w14:paraId="3B9529EA"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780,615</w:t>
            </w:r>
          </w:p>
        </w:tc>
        <w:tc>
          <w:tcPr>
            <w:tcW w:w="708" w:type="pct"/>
            <w:tcBorders>
              <w:top w:val="nil"/>
              <w:bottom w:val="nil"/>
            </w:tcBorders>
            <w:shd w:val="clear" w:color="auto" w:fill="B799B4"/>
            <w:noWrap/>
            <w:vAlign w:val="center"/>
            <w:hideMark/>
          </w:tcPr>
          <w:p w14:paraId="6475BA31" w14:textId="77777777" w:rsidR="00287FA3" w:rsidRPr="007F6332" w:rsidRDefault="00287FA3" w:rsidP="00D02FA6">
            <w:pPr>
              <w:spacing w:after="0" w:line="240" w:lineRule="auto"/>
              <w:jc w:val="right"/>
              <w:rPr>
                <w:rFonts w:eastAsia="Times New Roman" w:cs="Arial"/>
                <w:b/>
                <w:bCs/>
                <w:color w:val="000000"/>
                <w:szCs w:val="22"/>
                <w:lang w:eastAsia="en-AU"/>
              </w:rPr>
            </w:pPr>
            <w:r w:rsidRPr="007F6332">
              <w:rPr>
                <w:rFonts w:eastAsia="Times New Roman" w:cs="Arial"/>
                <w:b/>
                <w:bCs/>
                <w:color w:val="000000"/>
                <w:szCs w:val="22"/>
                <w:lang w:eastAsia="en-AU"/>
              </w:rPr>
              <w:t>1,003,221</w:t>
            </w:r>
          </w:p>
        </w:tc>
      </w:tr>
      <w:tr w:rsidR="00287FA3" w:rsidRPr="007F6332" w14:paraId="00975694" w14:textId="77777777" w:rsidTr="00C1755E">
        <w:trPr>
          <w:trHeight w:val="280"/>
        </w:trPr>
        <w:tc>
          <w:tcPr>
            <w:tcW w:w="1459" w:type="pct"/>
            <w:tcBorders>
              <w:top w:val="nil"/>
              <w:bottom w:val="nil"/>
            </w:tcBorders>
            <w:shd w:val="clear" w:color="auto" w:fill="FFFFFF"/>
            <w:noWrap/>
            <w:vAlign w:val="center"/>
            <w:hideMark/>
          </w:tcPr>
          <w:p w14:paraId="033168DB" w14:textId="77777777" w:rsidR="00287FA3" w:rsidRPr="007F6332" w:rsidRDefault="00287FA3" w:rsidP="00D02FA6">
            <w:pPr>
              <w:spacing w:after="0" w:line="240" w:lineRule="auto"/>
              <w:ind w:right="-115"/>
              <w:rPr>
                <w:rFonts w:eastAsia="Times New Roman" w:cs="Arial"/>
                <w:color w:val="000000"/>
                <w:szCs w:val="22"/>
                <w:lang w:eastAsia="en-AU"/>
              </w:rPr>
            </w:pPr>
            <w:r w:rsidRPr="007F6332">
              <w:rPr>
                <w:rFonts w:eastAsia="Times New Roman" w:cs="Arial"/>
                <w:color w:val="000000"/>
                <w:szCs w:val="22"/>
                <w:lang w:eastAsia="en-AU"/>
              </w:rPr>
              <w:t xml:space="preserve"> Variance to baseline</w:t>
            </w:r>
          </w:p>
        </w:tc>
        <w:tc>
          <w:tcPr>
            <w:tcW w:w="708" w:type="pct"/>
            <w:tcBorders>
              <w:top w:val="nil"/>
              <w:bottom w:val="nil"/>
            </w:tcBorders>
            <w:shd w:val="clear" w:color="auto" w:fill="FFFFFF"/>
            <w:noWrap/>
            <w:vAlign w:val="center"/>
            <w:hideMark/>
          </w:tcPr>
          <w:p w14:paraId="1990483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-2,972</w:t>
            </w:r>
          </w:p>
        </w:tc>
        <w:tc>
          <w:tcPr>
            <w:tcW w:w="708" w:type="pct"/>
            <w:tcBorders>
              <w:top w:val="nil"/>
              <w:bottom w:val="nil"/>
            </w:tcBorders>
            <w:shd w:val="clear" w:color="auto" w:fill="FFFFFF"/>
            <w:noWrap/>
            <w:vAlign w:val="center"/>
            <w:hideMark/>
          </w:tcPr>
          <w:p w14:paraId="4F302C38"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-5,907</w:t>
            </w:r>
          </w:p>
        </w:tc>
        <w:tc>
          <w:tcPr>
            <w:tcW w:w="708" w:type="pct"/>
            <w:tcBorders>
              <w:top w:val="nil"/>
              <w:bottom w:val="nil"/>
            </w:tcBorders>
            <w:shd w:val="clear" w:color="auto" w:fill="FFFFFF"/>
            <w:noWrap/>
            <w:vAlign w:val="center"/>
            <w:hideMark/>
          </w:tcPr>
          <w:p w14:paraId="061D4BF2"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-8,778</w:t>
            </w:r>
          </w:p>
        </w:tc>
        <w:tc>
          <w:tcPr>
            <w:tcW w:w="708" w:type="pct"/>
            <w:tcBorders>
              <w:top w:val="nil"/>
              <w:bottom w:val="nil"/>
            </w:tcBorders>
            <w:shd w:val="clear" w:color="auto" w:fill="FFFFFF"/>
            <w:noWrap/>
            <w:vAlign w:val="center"/>
            <w:hideMark/>
          </w:tcPr>
          <w:p w14:paraId="2CF73019"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-11,585</w:t>
            </w:r>
          </w:p>
        </w:tc>
        <w:tc>
          <w:tcPr>
            <w:tcW w:w="708" w:type="pct"/>
            <w:tcBorders>
              <w:top w:val="nil"/>
              <w:bottom w:val="nil"/>
            </w:tcBorders>
            <w:shd w:val="clear" w:color="auto" w:fill="FFFFFF"/>
            <w:noWrap/>
            <w:vAlign w:val="center"/>
            <w:hideMark/>
          </w:tcPr>
          <w:p w14:paraId="21FCF6DE" w14:textId="77777777" w:rsidR="00287FA3" w:rsidRPr="007F6332" w:rsidRDefault="00287FA3" w:rsidP="00D02FA6">
            <w:pPr>
              <w:spacing w:after="0" w:line="240" w:lineRule="auto"/>
              <w:jc w:val="right"/>
              <w:rPr>
                <w:rFonts w:eastAsia="Times New Roman" w:cs="Arial"/>
                <w:color w:val="000000"/>
                <w:szCs w:val="22"/>
                <w:lang w:eastAsia="en-AU"/>
              </w:rPr>
            </w:pPr>
            <w:r w:rsidRPr="007F6332">
              <w:rPr>
                <w:rFonts w:eastAsia="Times New Roman" w:cs="Arial"/>
                <w:color w:val="000000"/>
                <w:szCs w:val="22"/>
                <w:lang w:eastAsia="en-AU"/>
              </w:rPr>
              <w:t>-27,116</w:t>
            </w:r>
          </w:p>
        </w:tc>
      </w:tr>
      <w:tr w:rsidR="00287FA3" w:rsidRPr="007F6332" w14:paraId="05BEF2F9" w14:textId="77777777" w:rsidTr="00C1755E">
        <w:trPr>
          <w:trHeight w:val="280"/>
        </w:trPr>
        <w:tc>
          <w:tcPr>
            <w:tcW w:w="1459" w:type="pct"/>
            <w:tcBorders>
              <w:bottom w:val="single" w:sz="4" w:space="0" w:color="auto"/>
            </w:tcBorders>
            <w:shd w:val="clear" w:color="auto" w:fill="BFBFBF" w:themeFill="background1" w:themeFillShade="BF"/>
            <w:noWrap/>
            <w:vAlign w:val="center"/>
            <w:hideMark/>
          </w:tcPr>
          <w:p w14:paraId="48E11A85" w14:textId="77777777" w:rsidR="00287FA3" w:rsidRPr="007F6332" w:rsidRDefault="00287FA3" w:rsidP="00D02FA6">
            <w:pPr>
              <w:spacing w:after="0" w:line="240" w:lineRule="auto"/>
              <w:ind w:left="-246" w:right="-115"/>
              <w:rPr>
                <w:rFonts w:eastAsia="Times New Roman" w:cs="Arial"/>
                <w:color w:val="000000"/>
                <w:sz w:val="20"/>
                <w:szCs w:val="20"/>
                <w:lang w:eastAsia="en-AU"/>
              </w:rPr>
            </w:pPr>
            <w:r w:rsidRPr="007F6332">
              <w:rPr>
                <w:rFonts w:eastAsia="Times New Roman" w:cs="Arial"/>
                <w:color w:val="000000"/>
                <w:sz w:val="20"/>
                <w:szCs w:val="20"/>
                <w:lang w:eastAsia="en-AU"/>
              </w:rPr>
              <w:t xml:space="preserve">    % Variance to baseline</w:t>
            </w:r>
          </w:p>
        </w:tc>
        <w:tc>
          <w:tcPr>
            <w:tcW w:w="708" w:type="pct"/>
            <w:tcBorders>
              <w:bottom w:val="single" w:sz="4" w:space="0" w:color="auto"/>
            </w:tcBorders>
            <w:shd w:val="clear" w:color="auto" w:fill="BFBFBF" w:themeFill="background1" w:themeFillShade="BF"/>
            <w:noWrap/>
            <w:vAlign w:val="center"/>
            <w:hideMark/>
          </w:tcPr>
          <w:p w14:paraId="7EC34757"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-0.4%</w:t>
            </w:r>
          </w:p>
        </w:tc>
        <w:tc>
          <w:tcPr>
            <w:tcW w:w="708" w:type="pct"/>
            <w:tcBorders>
              <w:bottom w:val="single" w:sz="4" w:space="0" w:color="auto"/>
            </w:tcBorders>
            <w:shd w:val="clear" w:color="auto" w:fill="BFBFBF" w:themeFill="background1" w:themeFillShade="BF"/>
            <w:noWrap/>
            <w:vAlign w:val="center"/>
            <w:hideMark/>
          </w:tcPr>
          <w:p w14:paraId="2494D6E8"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-0.8%</w:t>
            </w:r>
          </w:p>
        </w:tc>
        <w:tc>
          <w:tcPr>
            <w:tcW w:w="708" w:type="pct"/>
            <w:tcBorders>
              <w:bottom w:val="single" w:sz="4" w:space="0" w:color="auto"/>
            </w:tcBorders>
            <w:shd w:val="clear" w:color="auto" w:fill="BFBFBF" w:themeFill="background1" w:themeFillShade="BF"/>
            <w:noWrap/>
            <w:vAlign w:val="center"/>
            <w:hideMark/>
          </w:tcPr>
          <w:p w14:paraId="7D055752"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-1.2%</w:t>
            </w:r>
          </w:p>
        </w:tc>
        <w:tc>
          <w:tcPr>
            <w:tcW w:w="708" w:type="pct"/>
            <w:tcBorders>
              <w:bottom w:val="single" w:sz="4" w:space="0" w:color="auto"/>
            </w:tcBorders>
            <w:shd w:val="clear" w:color="auto" w:fill="BFBFBF" w:themeFill="background1" w:themeFillShade="BF"/>
            <w:noWrap/>
            <w:vAlign w:val="center"/>
            <w:hideMark/>
          </w:tcPr>
          <w:p w14:paraId="50F3EB36"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-1.5%</w:t>
            </w:r>
          </w:p>
        </w:tc>
        <w:tc>
          <w:tcPr>
            <w:tcW w:w="708" w:type="pct"/>
            <w:tcBorders>
              <w:bottom w:val="single" w:sz="4" w:space="0" w:color="auto"/>
            </w:tcBorders>
            <w:shd w:val="clear" w:color="auto" w:fill="BFBFBF" w:themeFill="background1" w:themeFillShade="BF"/>
            <w:noWrap/>
            <w:vAlign w:val="center"/>
            <w:hideMark/>
          </w:tcPr>
          <w:p w14:paraId="38934B5D"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-2.6%</w:t>
            </w:r>
          </w:p>
        </w:tc>
      </w:tr>
    </w:tbl>
    <w:p w14:paraId="097BF92D" w14:textId="77777777" w:rsidR="00287FA3" w:rsidRPr="007F6332" w:rsidRDefault="00287FA3" w:rsidP="00287FA3">
      <w:pPr>
        <w:pStyle w:val="FSRHeading4"/>
        <w:rPr>
          <w:rFonts w:cs="Arial"/>
        </w:rPr>
      </w:pPr>
      <w:r w:rsidRPr="007F6332">
        <w:rPr>
          <w:rFonts w:cs="Arial"/>
        </w:rPr>
        <w:t>Rate of participants leaving the Scheme</w:t>
      </w:r>
    </w:p>
    <w:p w14:paraId="7412E818" w14:textId="187C6EA2" w:rsidR="00287FA3" w:rsidRPr="007F6332" w:rsidRDefault="00287FA3" w:rsidP="00287FA3">
      <w:pPr>
        <w:pStyle w:val="FSRnormal"/>
        <w:rPr>
          <w:rFonts w:cs="Arial"/>
        </w:rPr>
      </w:pPr>
      <w:r w:rsidRPr="007F6332">
        <w:rPr>
          <w:rFonts w:cs="Arial"/>
        </w:rPr>
        <w:t xml:space="preserve">This scenario assumes the impact of </w:t>
      </w:r>
      <w:r w:rsidR="002D6881" w:rsidRPr="007F6332">
        <w:rPr>
          <w:rFonts w:cs="Arial"/>
        </w:rPr>
        <w:t>Budget initiatives</w:t>
      </w:r>
      <w:r w:rsidRPr="007F6332">
        <w:rPr>
          <w:rFonts w:cs="Arial"/>
        </w:rPr>
        <w:t xml:space="preserve"> on the rate of participants leaving the Scheme is removed. The result is a higher number of participants for all future years.</w:t>
      </w:r>
    </w:p>
    <w:p w14:paraId="145EDC21" w14:textId="1B94E162" w:rsidR="00287FA3" w:rsidRPr="007F6332" w:rsidRDefault="00287FA3" w:rsidP="00F41A57">
      <w:pPr>
        <w:pStyle w:val="FiguresandTablesHeading5"/>
      </w:pPr>
      <w:r w:rsidRPr="007F6332">
        <w:t xml:space="preserve">Table M.3: Scenario with a lower rate of participants leaving the Scheme – projected participant numbers and variance to the </w:t>
      </w:r>
      <w:r w:rsidR="00B724CC" w:rsidRPr="007F6332">
        <w:t>June 2023 projections</w:t>
      </w:r>
    </w:p>
    <w:tbl>
      <w:tblPr>
        <w:tblW w:w="0" w:type="auto"/>
        <w:tblLayout w:type="fixed"/>
        <w:tblLook w:val="04A0" w:firstRow="1" w:lastRow="0" w:firstColumn="1" w:lastColumn="0" w:noHBand="0" w:noVBand="1"/>
      </w:tblPr>
      <w:tblGrid>
        <w:gridCol w:w="2473"/>
        <w:gridCol w:w="1100"/>
        <w:gridCol w:w="1353"/>
        <w:gridCol w:w="1311"/>
        <w:gridCol w:w="1418"/>
        <w:gridCol w:w="1371"/>
      </w:tblGrid>
      <w:tr w:rsidR="00287FA3" w:rsidRPr="007F6332" w14:paraId="464DD9B6" w14:textId="77777777" w:rsidTr="00D02FA6">
        <w:trPr>
          <w:trHeight w:val="293"/>
        </w:trPr>
        <w:tc>
          <w:tcPr>
            <w:tcW w:w="2473" w:type="dxa"/>
            <w:shd w:val="clear" w:color="auto" w:fill="6B2976"/>
            <w:noWrap/>
            <w:vAlign w:val="center"/>
            <w:hideMark/>
          </w:tcPr>
          <w:p w14:paraId="162F97C3" w14:textId="77777777" w:rsidR="00287FA3" w:rsidRPr="007F6332" w:rsidRDefault="00287FA3" w:rsidP="00D02FA6">
            <w:pPr>
              <w:spacing w:after="0" w:line="240" w:lineRule="auto"/>
              <w:rPr>
                <w:rFonts w:eastAsia="Times New Roman" w:cs="Arial"/>
                <w:b/>
                <w:bCs/>
                <w:color w:val="FFFFFF"/>
                <w:sz w:val="20"/>
                <w:szCs w:val="20"/>
                <w:lang w:eastAsia="en-AU"/>
              </w:rPr>
            </w:pPr>
            <w:r w:rsidRPr="007F6332">
              <w:rPr>
                <w:rFonts w:eastAsia="Times New Roman" w:cs="Arial"/>
                <w:b/>
                <w:bCs/>
                <w:color w:val="FFFFFF"/>
                <w:sz w:val="20"/>
                <w:szCs w:val="20"/>
                <w:lang w:eastAsia="en-AU"/>
              </w:rPr>
              <w:t>Participant numbers </w:t>
            </w:r>
          </w:p>
        </w:tc>
        <w:tc>
          <w:tcPr>
            <w:tcW w:w="1100" w:type="dxa"/>
            <w:shd w:val="clear" w:color="auto" w:fill="6B2976"/>
            <w:noWrap/>
            <w:vAlign w:val="center"/>
            <w:hideMark/>
          </w:tcPr>
          <w:p w14:paraId="3ADDC90A" w14:textId="77777777" w:rsidR="00287FA3" w:rsidRPr="007F6332" w:rsidRDefault="00287FA3" w:rsidP="00D02FA6">
            <w:pPr>
              <w:spacing w:after="0" w:line="240" w:lineRule="auto"/>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30 June 2024</w:t>
            </w:r>
          </w:p>
        </w:tc>
        <w:tc>
          <w:tcPr>
            <w:tcW w:w="1353" w:type="dxa"/>
            <w:shd w:val="clear" w:color="auto" w:fill="6B2976"/>
            <w:noWrap/>
            <w:vAlign w:val="center"/>
            <w:hideMark/>
          </w:tcPr>
          <w:p w14:paraId="69765D1F" w14:textId="77777777" w:rsidR="00287FA3" w:rsidRPr="007F6332" w:rsidRDefault="00287FA3" w:rsidP="00D02FA6">
            <w:pPr>
              <w:spacing w:after="0" w:line="240" w:lineRule="auto"/>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30 June 2025</w:t>
            </w:r>
          </w:p>
        </w:tc>
        <w:tc>
          <w:tcPr>
            <w:tcW w:w="1311" w:type="dxa"/>
            <w:shd w:val="clear" w:color="auto" w:fill="6B2976"/>
            <w:noWrap/>
            <w:vAlign w:val="center"/>
            <w:hideMark/>
          </w:tcPr>
          <w:p w14:paraId="7CDF5BF4" w14:textId="77777777" w:rsidR="00287FA3" w:rsidRPr="007F6332" w:rsidRDefault="00287FA3" w:rsidP="00D02FA6">
            <w:pPr>
              <w:spacing w:after="0" w:line="240" w:lineRule="auto"/>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30 June 2026</w:t>
            </w:r>
          </w:p>
        </w:tc>
        <w:tc>
          <w:tcPr>
            <w:tcW w:w="1418" w:type="dxa"/>
            <w:shd w:val="clear" w:color="auto" w:fill="6B2976"/>
            <w:noWrap/>
            <w:vAlign w:val="center"/>
            <w:hideMark/>
          </w:tcPr>
          <w:p w14:paraId="1FD79CD9" w14:textId="77777777" w:rsidR="00287FA3" w:rsidRPr="007F6332" w:rsidRDefault="00287FA3" w:rsidP="00D02FA6">
            <w:pPr>
              <w:spacing w:after="0" w:line="240" w:lineRule="auto"/>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30 June 2027</w:t>
            </w:r>
          </w:p>
        </w:tc>
        <w:tc>
          <w:tcPr>
            <w:tcW w:w="1371" w:type="dxa"/>
            <w:shd w:val="clear" w:color="auto" w:fill="6B2976"/>
            <w:noWrap/>
            <w:vAlign w:val="center"/>
            <w:hideMark/>
          </w:tcPr>
          <w:p w14:paraId="2DA8F864" w14:textId="77777777" w:rsidR="00287FA3" w:rsidRPr="007F6332" w:rsidRDefault="00287FA3" w:rsidP="00D02FA6">
            <w:pPr>
              <w:spacing w:after="0" w:line="240" w:lineRule="auto"/>
              <w:jc w:val="right"/>
              <w:rPr>
                <w:rFonts w:eastAsia="Times New Roman" w:cs="Arial"/>
                <w:b/>
                <w:bCs/>
                <w:color w:val="FFFFFF"/>
                <w:sz w:val="20"/>
                <w:szCs w:val="20"/>
                <w:lang w:eastAsia="en-AU"/>
              </w:rPr>
            </w:pPr>
            <w:r w:rsidRPr="007F6332">
              <w:rPr>
                <w:rFonts w:eastAsia="Times New Roman" w:cs="Arial"/>
                <w:b/>
                <w:bCs/>
                <w:color w:val="FFFFFF"/>
                <w:sz w:val="20"/>
                <w:szCs w:val="20"/>
                <w:lang w:eastAsia="en-AU"/>
              </w:rPr>
              <w:t>30 June 2033</w:t>
            </w:r>
          </w:p>
        </w:tc>
      </w:tr>
      <w:tr w:rsidR="00287FA3" w:rsidRPr="007F6332" w14:paraId="560D905C" w14:textId="77777777" w:rsidTr="00D02FA6">
        <w:trPr>
          <w:trHeight w:val="293"/>
        </w:trPr>
        <w:tc>
          <w:tcPr>
            <w:tcW w:w="2473" w:type="dxa"/>
            <w:shd w:val="clear" w:color="auto" w:fill="FFFFFF"/>
            <w:noWrap/>
            <w:vAlign w:val="center"/>
            <w:hideMark/>
          </w:tcPr>
          <w:p w14:paraId="33A5FC9A" w14:textId="785CD26A" w:rsidR="00287FA3" w:rsidRPr="007F6332" w:rsidRDefault="00287FA3" w:rsidP="00D02FA6">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 xml:space="preserve">Baseline: </w:t>
            </w:r>
            <w:r w:rsidR="00B724CC" w:rsidRPr="007F6332">
              <w:rPr>
                <w:rFonts w:eastAsia="Times New Roman" w:cs="Arial"/>
                <w:color w:val="000000"/>
                <w:sz w:val="20"/>
                <w:szCs w:val="20"/>
                <w:lang w:eastAsia="en-AU"/>
              </w:rPr>
              <w:t>June 2023 projections</w:t>
            </w:r>
            <w:r w:rsidRPr="007F6332">
              <w:rPr>
                <w:rFonts w:eastAsia="Times New Roman" w:cs="Arial"/>
                <w:color w:val="000000"/>
                <w:sz w:val="20"/>
                <w:szCs w:val="20"/>
                <w:lang w:eastAsia="en-AU"/>
              </w:rPr>
              <w:t xml:space="preserve"> </w:t>
            </w:r>
          </w:p>
        </w:tc>
        <w:tc>
          <w:tcPr>
            <w:tcW w:w="1100" w:type="dxa"/>
            <w:shd w:val="clear" w:color="auto" w:fill="FFFFFF"/>
            <w:noWrap/>
            <w:vAlign w:val="center"/>
            <w:hideMark/>
          </w:tcPr>
          <w:p w14:paraId="01D85F7D"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668,907</w:t>
            </w:r>
          </w:p>
        </w:tc>
        <w:tc>
          <w:tcPr>
            <w:tcW w:w="1353" w:type="dxa"/>
            <w:shd w:val="clear" w:color="auto" w:fill="FFFFFF"/>
            <w:noWrap/>
            <w:vAlign w:val="center"/>
            <w:hideMark/>
          </w:tcPr>
          <w:p w14:paraId="64D3F315"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714,805</w:t>
            </w:r>
          </w:p>
        </w:tc>
        <w:tc>
          <w:tcPr>
            <w:tcW w:w="1311" w:type="dxa"/>
            <w:shd w:val="clear" w:color="auto" w:fill="FFFFFF"/>
            <w:noWrap/>
            <w:vAlign w:val="center"/>
            <w:hideMark/>
          </w:tcPr>
          <w:p w14:paraId="32216112"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754,022</w:t>
            </w:r>
          </w:p>
        </w:tc>
        <w:tc>
          <w:tcPr>
            <w:tcW w:w="1418" w:type="dxa"/>
            <w:shd w:val="clear" w:color="auto" w:fill="FFFFFF"/>
            <w:noWrap/>
            <w:vAlign w:val="center"/>
            <w:hideMark/>
          </w:tcPr>
          <w:p w14:paraId="4595C45C"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792,200</w:t>
            </w:r>
          </w:p>
        </w:tc>
        <w:tc>
          <w:tcPr>
            <w:tcW w:w="1371" w:type="dxa"/>
            <w:shd w:val="clear" w:color="auto" w:fill="FFFFFF"/>
            <w:noWrap/>
            <w:vAlign w:val="center"/>
            <w:hideMark/>
          </w:tcPr>
          <w:p w14:paraId="1D9AC894"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1,030,337</w:t>
            </w:r>
          </w:p>
        </w:tc>
      </w:tr>
      <w:tr w:rsidR="00287FA3" w:rsidRPr="007F6332" w14:paraId="6C2B602A" w14:textId="77777777" w:rsidTr="00C1755E">
        <w:trPr>
          <w:trHeight w:val="293"/>
        </w:trPr>
        <w:tc>
          <w:tcPr>
            <w:tcW w:w="9026" w:type="dxa"/>
            <w:gridSpan w:val="6"/>
            <w:shd w:val="clear" w:color="auto" w:fill="A6A6A6" w:themeFill="background1" w:themeFillShade="A6"/>
            <w:noWrap/>
            <w:vAlign w:val="center"/>
            <w:hideMark/>
          </w:tcPr>
          <w:p w14:paraId="6167F4E8" w14:textId="77777777" w:rsidR="00287FA3" w:rsidRPr="007F6332" w:rsidRDefault="00287FA3" w:rsidP="00D02FA6">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Scenario: Lower rate of participants leaving the Scheme</w:t>
            </w:r>
          </w:p>
        </w:tc>
      </w:tr>
      <w:tr w:rsidR="00287FA3" w:rsidRPr="007F6332" w14:paraId="75584C05" w14:textId="77777777" w:rsidTr="00C1755E">
        <w:trPr>
          <w:trHeight w:val="293"/>
        </w:trPr>
        <w:tc>
          <w:tcPr>
            <w:tcW w:w="2473" w:type="dxa"/>
            <w:shd w:val="clear" w:color="auto" w:fill="B799B4"/>
            <w:noWrap/>
            <w:vAlign w:val="center"/>
            <w:hideMark/>
          </w:tcPr>
          <w:p w14:paraId="57151D13" w14:textId="77777777" w:rsidR="00287FA3" w:rsidRPr="007F6332" w:rsidRDefault="00287FA3" w:rsidP="00D02FA6">
            <w:pPr>
              <w:spacing w:after="0" w:line="240" w:lineRule="auto"/>
              <w:rPr>
                <w:rFonts w:eastAsia="Times New Roman" w:cs="Arial"/>
                <w:b/>
                <w:bCs/>
                <w:color w:val="000000"/>
                <w:sz w:val="20"/>
                <w:szCs w:val="20"/>
                <w:lang w:eastAsia="en-AU"/>
              </w:rPr>
            </w:pPr>
            <w:r w:rsidRPr="007F6332">
              <w:rPr>
                <w:rFonts w:eastAsia="Times New Roman" w:cs="Arial"/>
                <w:b/>
                <w:bCs/>
                <w:color w:val="000000"/>
                <w:sz w:val="20"/>
                <w:szCs w:val="20"/>
                <w:lang w:eastAsia="en-AU"/>
              </w:rPr>
              <w:t>Total Participants</w:t>
            </w:r>
          </w:p>
        </w:tc>
        <w:tc>
          <w:tcPr>
            <w:tcW w:w="1100" w:type="dxa"/>
            <w:shd w:val="clear" w:color="auto" w:fill="B799B4"/>
            <w:noWrap/>
            <w:vAlign w:val="center"/>
            <w:hideMark/>
          </w:tcPr>
          <w:p w14:paraId="60093871" w14:textId="77777777" w:rsidR="00287FA3" w:rsidRPr="007F6332" w:rsidRDefault="00287FA3" w:rsidP="00D02FA6">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671,632</w:t>
            </w:r>
          </w:p>
        </w:tc>
        <w:tc>
          <w:tcPr>
            <w:tcW w:w="1353" w:type="dxa"/>
            <w:shd w:val="clear" w:color="auto" w:fill="B799B4"/>
            <w:noWrap/>
            <w:vAlign w:val="center"/>
            <w:hideMark/>
          </w:tcPr>
          <w:p w14:paraId="5CC73F62" w14:textId="77777777" w:rsidR="00287FA3" w:rsidRPr="007F6332" w:rsidRDefault="00287FA3" w:rsidP="00D02FA6">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719,832</w:t>
            </w:r>
          </w:p>
        </w:tc>
        <w:tc>
          <w:tcPr>
            <w:tcW w:w="1311" w:type="dxa"/>
            <w:shd w:val="clear" w:color="auto" w:fill="B799B4"/>
            <w:noWrap/>
            <w:vAlign w:val="center"/>
            <w:hideMark/>
          </w:tcPr>
          <w:p w14:paraId="62D787DD" w14:textId="77777777" w:rsidR="00287FA3" w:rsidRPr="007F6332" w:rsidRDefault="00287FA3" w:rsidP="00D02FA6">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764,190</w:t>
            </w:r>
          </w:p>
        </w:tc>
        <w:tc>
          <w:tcPr>
            <w:tcW w:w="1418" w:type="dxa"/>
            <w:shd w:val="clear" w:color="auto" w:fill="B799B4"/>
            <w:noWrap/>
            <w:vAlign w:val="center"/>
            <w:hideMark/>
          </w:tcPr>
          <w:p w14:paraId="01840D65" w14:textId="77777777" w:rsidR="00287FA3" w:rsidRPr="007F6332" w:rsidRDefault="00287FA3" w:rsidP="00D02FA6">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806,352</w:t>
            </w:r>
          </w:p>
        </w:tc>
        <w:tc>
          <w:tcPr>
            <w:tcW w:w="1371" w:type="dxa"/>
            <w:shd w:val="clear" w:color="auto" w:fill="B799B4"/>
            <w:noWrap/>
            <w:vAlign w:val="center"/>
            <w:hideMark/>
          </w:tcPr>
          <w:p w14:paraId="42028294" w14:textId="77777777" w:rsidR="00287FA3" w:rsidRPr="007F6332" w:rsidRDefault="00287FA3" w:rsidP="00D02FA6">
            <w:pPr>
              <w:spacing w:after="0" w:line="240" w:lineRule="auto"/>
              <w:jc w:val="right"/>
              <w:rPr>
                <w:rFonts w:eastAsia="Times New Roman" w:cs="Arial"/>
                <w:b/>
                <w:bCs/>
                <w:color w:val="000000"/>
                <w:sz w:val="20"/>
                <w:szCs w:val="20"/>
                <w:lang w:eastAsia="en-AU"/>
              </w:rPr>
            </w:pPr>
            <w:r w:rsidRPr="007F6332">
              <w:rPr>
                <w:rFonts w:eastAsia="Times New Roman" w:cs="Arial"/>
                <w:b/>
                <w:bCs/>
                <w:color w:val="000000"/>
                <w:sz w:val="20"/>
                <w:szCs w:val="20"/>
                <w:lang w:eastAsia="en-AU"/>
              </w:rPr>
              <w:t>1,063,930</w:t>
            </w:r>
          </w:p>
        </w:tc>
      </w:tr>
      <w:tr w:rsidR="00287FA3" w:rsidRPr="007F6332" w14:paraId="3F3B4648" w14:textId="77777777" w:rsidTr="00D02FA6">
        <w:trPr>
          <w:trHeight w:val="293"/>
        </w:trPr>
        <w:tc>
          <w:tcPr>
            <w:tcW w:w="2473" w:type="dxa"/>
            <w:shd w:val="clear" w:color="auto" w:fill="FFFFFF"/>
            <w:noWrap/>
            <w:vAlign w:val="center"/>
            <w:hideMark/>
          </w:tcPr>
          <w:p w14:paraId="57694278" w14:textId="77777777" w:rsidR="00287FA3" w:rsidRPr="007F6332" w:rsidRDefault="00287FA3" w:rsidP="00D02FA6">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 xml:space="preserve"> Variance to baseline</w:t>
            </w:r>
          </w:p>
        </w:tc>
        <w:tc>
          <w:tcPr>
            <w:tcW w:w="1100" w:type="dxa"/>
            <w:shd w:val="clear" w:color="auto" w:fill="FFFFFF"/>
            <w:noWrap/>
            <w:vAlign w:val="center"/>
            <w:hideMark/>
          </w:tcPr>
          <w:p w14:paraId="7C27C9BC"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2,726</w:t>
            </w:r>
          </w:p>
        </w:tc>
        <w:tc>
          <w:tcPr>
            <w:tcW w:w="1353" w:type="dxa"/>
            <w:shd w:val="clear" w:color="auto" w:fill="FFFFFF"/>
            <w:noWrap/>
            <w:vAlign w:val="center"/>
            <w:hideMark/>
          </w:tcPr>
          <w:p w14:paraId="1D7330D4"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5,027</w:t>
            </w:r>
          </w:p>
        </w:tc>
        <w:tc>
          <w:tcPr>
            <w:tcW w:w="1311" w:type="dxa"/>
            <w:shd w:val="clear" w:color="auto" w:fill="FFFFFF"/>
            <w:noWrap/>
            <w:vAlign w:val="center"/>
            <w:hideMark/>
          </w:tcPr>
          <w:p w14:paraId="6724EE7C"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10,169</w:t>
            </w:r>
          </w:p>
        </w:tc>
        <w:tc>
          <w:tcPr>
            <w:tcW w:w="1418" w:type="dxa"/>
            <w:shd w:val="clear" w:color="auto" w:fill="FFFFFF"/>
            <w:noWrap/>
            <w:vAlign w:val="center"/>
            <w:hideMark/>
          </w:tcPr>
          <w:p w14:paraId="0EDDF11A"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14,153</w:t>
            </w:r>
          </w:p>
        </w:tc>
        <w:tc>
          <w:tcPr>
            <w:tcW w:w="1371" w:type="dxa"/>
            <w:shd w:val="clear" w:color="auto" w:fill="FFFFFF"/>
            <w:noWrap/>
            <w:vAlign w:val="center"/>
            <w:hideMark/>
          </w:tcPr>
          <w:p w14:paraId="7377350E"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33,593</w:t>
            </w:r>
          </w:p>
        </w:tc>
      </w:tr>
      <w:tr w:rsidR="00287FA3" w:rsidRPr="007F6332" w14:paraId="10521103" w14:textId="77777777" w:rsidTr="00C1755E">
        <w:trPr>
          <w:trHeight w:val="293"/>
        </w:trPr>
        <w:tc>
          <w:tcPr>
            <w:tcW w:w="2473" w:type="dxa"/>
            <w:shd w:val="clear" w:color="auto" w:fill="BFBFBF" w:themeFill="background1" w:themeFillShade="BF"/>
            <w:noWrap/>
            <w:vAlign w:val="center"/>
            <w:hideMark/>
          </w:tcPr>
          <w:p w14:paraId="60041D15" w14:textId="77777777" w:rsidR="00287FA3" w:rsidRPr="007F6332" w:rsidRDefault="00287FA3" w:rsidP="00D02FA6">
            <w:pPr>
              <w:spacing w:after="0" w:line="240" w:lineRule="auto"/>
              <w:rPr>
                <w:rFonts w:eastAsia="Times New Roman" w:cs="Arial"/>
                <w:color w:val="000000"/>
                <w:sz w:val="20"/>
                <w:szCs w:val="20"/>
                <w:lang w:eastAsia="en-AU"/>
              </w:rPr>
            </w:pPr>
            <w:r w:rsidRPr="007F6332">
              <w:rPr>
                <w:rFonts w:eastAsia="Times New Roman" w:cs="Arial"/>
                <w:color w:val="000000"/>
                <w:sz w:val="20"/>
                <w:szCs w:val="20"/>
                <w:lang w:eastAsia="en-AU"/>
              </w:rPr>
              <w:t xml:space="preserve"> % variance to baseline</w:t>
            </w:r>
          </w:p>
        </w:tc>
        <w:tc>
          <w:tcPr>
            <w:tcW w:w="1100" w:type="dxa"/>
            <w:shd w:val="clear" w:color="auto" w:fill="BFBFBF" w:themeFill="background1" w:themeFillShade="BF"/>
            <w:noWrap/>
            <w:vAlign w:val="center"/>
            <w:hideMark/>
          </w:tcPr>
          <w:p w14:paraId="18DCA22C"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0.4%</w:t>
            </w:r>
          </w:p>
        </w:tc>
        <w:tc>
          <w:tcPr>
            <w:tcW w:w="1353" w:type="dxa"/>
            <w:shd w:val="clear" w:color="auto" w:fill="BFBFBF" w:themeFill="background1" w:themeFillShade="BF"/>
            <w:noWrap/>
            <w:vAlign w:val="center"/>
            <w:hideMark/>
          </w:tcPr>
          <w:p w14:paraId="634628E8"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0.7%</w:t>
            </w:r>
          </w:p>
        </w:tc>
        <w:tc>
          <w:tcPr>
            <w:tcW w:w="1311" w:type="dxa"/>
            <w:shd w:val="clear" w:color="auto" w:fill="BFBFBF" w:themeFill="background1" w:themeFillShade="BF"/>
            <w:noWrap/>
            <w:vAlign w:val="center"/>
            <w:hideMark/>
          </w:tcPr>
          <w:p w14:paraId="159C2B98"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1.3%</w:t>
            </w:r>
          </w:p>
        </w:tc>
        <w:tc>
          <w:tcPr>
            <w:tcW w:w="1418" w:type="dxa"/>
            <w:shd w:val="clear" w:color="auto" w:fill="BFBFBF" w:themeFill="background1" w:themeFillShade="BF"/>
            <w:noWrap/>
            <w:vAlign w:val="center"/>
            <w:hideMark/>
          </w:tcPr>
          <w:p w14:paraId="23411B7F"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1.8%</w:t>
            </w:r>
          </w:p>
        </w:tc>
        <w:tc>
          <w:tcPr>
            <w:tcW w:w="1371" w:type="dxa"/>
            <w:shd w:val="clear" w:color="auto" w:fill="BFBFBF" w:themeFill="background1" w:themeFillShade="BF"/>
            <w:noWrap/>
            <w:vAlign w:val="center"/>
            <w:hideMark/>
          </w:tcPr>
          <w:p w14:paraId="13C8903C" w14:textId="77777777" w:rsidR="00287FA3" w:rsidRPr="007F6332" w:rsidRDefault="00287FA3" w:rsidP="00D02FA6">
            <w:pPr>
              <w:spacing w:after="0" w:line="240" w:lineRule="auto"/>
              <w:jc w:val="right"/>
              <w:rPr>
                <w:rFonts w:eastAsia="Times New Roman" w:cs="Arial"/>
                <w:color w:val="000000"/>
                <w:sz w:val="20"/>
                <w:szCs w:val="20"/>
                <w:lang w:eastAsia="en-AU"/>
              </w:rPr>
            </w:pPr>
            <w:r w:rsidRPr="007F6332">
              <w:rPr>
                <w:rFonts w:eastAsia="Times New Roman" w:cs="Arial"/>
                <w:color w:val="000000"/>
                <w:sz w:val="20"/>
                <w:szCs w:val="20"/>
                <w:lang w:eastAsia="en-AU"/>
              </w:rPr>
              <w:t>3.3%</w:t>
            </w:r>
          </w:p>
        </w:tc>
      </w:tr>
    </w:tbl>
    <w:p w14:paraId="376350F2" w14:textId="77777777" w:rsidR="00287FA3" w:rsidRPr="007F6332" w:rsidRDefault="00287FA3" w:rsidP="00287FA3">
      <w:pPr>
        <w:pStyle w:val="FSRnormal"/>
        <w:rPr>
          <w:rFonts w:cs="Arial"/>
        </w:rPr>
      </w:pPr>
      <w:r w:rsidRPr="007F6332">
        <w:rPr>
          <w:rFonts w:cs="Arial"/>
        </w:rPr>
        <w:t>Scenarios with no change to projected participant numbers by comparison to the baseline projections have been excluded from this appendix. These scenarios are as follows:</w:t>
      </w:r>
    </w:p>
    <w:p w14:paraId="782517DF" w14:textId="77777777" w:rsidR="00287FA3" w:rsidRPr="007F6332" w:rsidRDefault="00287FA3" w:rsidP="00CE7E91">
      <w:pPr>
        <w:pStyle w:val="FSRlist"/>
        <w:numPr>
          <w:ilvl w:val="0"/>
          <w:numId w:val="27"/>
        </w:numPr>
        <w:rPr>
          <w:rFonts w:cs="Arial"/>
        </w:rPr>
      </w:pPr>
      <w:r w:rsidRPr="007F6332">
        <w:rPr>
          <w:rFonts w:cs="Arial"/>
        </w:rPr>
        <w:t>Higher growth in the short-term additional growth rates (+1%)</w:t>
      </w:r>
    </w:p>
    <w:p w14:paraId="4211BC8C" w14:textId="77777777" w:rsidR="00287FA3" w:rsidRPr="007F6332" w:rsidRDefault="00287FA3" w:rsidP="00CE7E91">
      <w:pPr>
        <w:pStyle w:val="FSRlist"/>
        <w:numPr>
          <w:ilvl w:val="0"/>
          <w:numId w:val="27"/>
        </w:numPr>
        <w:rPr>
          <w:rFonts w:cs="Arial"/>
        </w:rPr>
      </w:pPr>
      <w:r w:rsidRPr="007F6332">
        <w:rPr>
          <w:rFonts w:cs="Arial"/>
        </w:rPr>
        <w:t>Higher growth in the short and long term additional growth rates (+1%)</w:t>
      </w:r>
    </w:p>
    <w:p w14:paraId="3D7B2E7C" w14:textId="77777777" w:rsidR="00287FA3" w:rsidRPr="007F6332" w:rsidRDefault="00287FA3" w:rsidP="00CE7E91">
      <w:pPr>
        <w:pStyle w:val="FSRlist"/>
        <w:numPr>
          <w:ilvl w:val="0"/>
          <w:numId w:val="27"/>
        </w:numPr>
        <w:rPr>
          <w:rFonts w:cs="Arial"/>
        </w:rPr>
      </w:pPr>
      <w:r w:rsidRPr="007F6332">
        <w:rPr>
          <w:rFonts w:cs="Arial"/>
        </w:rPr>
        <w:t>Lower growth in the short-term additional growth rates (-1%)</w:t>
      </w:r>
    </w:p>
    <w:p w14:paraId="39B32CE7" w14:textId="77777777" w:rsidR="00287FA3" w:rsidRPr="007F6332" w:rsidRDefault="00287FA3" w:rsidP="00CE7E91">
      <w:pPr>
        <w:pStyle w:val="FSRlist"/>
        <w:numPr>
          <w:ilvl w:val="0"/>
          <w:numId w:val="27"/>
        </w:numPr>
        <w:rPr>
          <w:rFonts w:cs="Arial"/>
        </w:rPr>
      </w:pPr>
      <w:r w:rsidRPr="007F6332">
        <w:rPr>
          <w:rFonts w:cs="Arial"/>
        </w:rPr>
        <w:t>Lower growth in the short and long term additional growth rates (-1%)</w:t>
      </w:r>
    </w:p>
    <w:p w14:paraId="29CE7C4D" w14:textId="77777777" w:rsidR="00287FA3" w:rsidRPr="007F6332" w:rsidRDefault="00287FA3" w:rsidP="00CE7E91">
      <w:pPr>
        <w:pStyle w:val="FSRlist"/>
        <w:numPr>
          <w:ilvl w:val="0"/>
          <w:numId w:val="27"/>
        </w:numPr>
        <w:rPr>
          <w:rFonts w:cs="Arial"/>
        </w:rPr>
      </w:pPr>
      <w:r w:rsidRPr="007F6332">
        <w:rPr>
          <w:rFonts w:cs="Arial"/>
        </w:rPr>
        <w:t>Higher average payments for new entrants</w:t>
      </w:r>
    </w:p>
    <w:p w14:paraId="71835C67" w14:textId="77777777" w:rsidR="00287FA3" w:rsidRPr="007F6332" w:rsidRDefault="00287FA3" w:rsidP="00CE7E91">
      <w:pPr>
        <w:pStyle w:val="FSRlist"/>
        <w:numPr>
          <w:ilvl w:val="0"/>
          <w:numId w:val="27"/>
        </w:numPr>
        <w:rPr>
          <w:rFonts w:cs="Arial"/>
        </w:rPr>
      </w:pPr>
      <w:r w:rsidRPr="007F6332">
        <w:rPr>
          <w:rFonts w:cs="Arial"/>
        </w:rPr>
        <w:t>Lower average payments for new entrants</w:t>
      </w:r>
    </w:p>
    <w:p w14:paraId="577CD1BB" w14:textId="77777777" w:rsidR="00287FA3" w:rsidRPr="007F6332" w:rsidRDefault="00287FA3" w:rsidP="00CE7E91">
      <w:pPr>
        <w:pStyle w:val="FSRlist"/>
        <w:numPr>
          <w:ilvl w:val="0"/>
          <w:numId w:val="27"/>
        </w:numPr>
        <w:rPr>
          <w:rFonts w:cs="Arial"/>
        </w:rPr>
      </w:pPr>
      <w:r w:rsidRPr="007F6332">
        <w:rPr>
          <w:rFonts w:cs="Arial"/>
        </w:rPr>
        <w:t>Higher number of participants in SIL</w:t>
      </w:r>
    </w:p>
    <w:p w14:paraId="7F8B3773" w14:textId="65F64742" w:rsidR="00DC6CFE" w:rsidRPr="00F41A57" w:rsidRDefault="00287FA3" w:rsidP="00F41A57">
      <w:pPr>
        <w:pStyle w:val="FSRlist"/>
        <w:numPr>
          <w:ilvl w:val="0"/>
          <w:numId w:val="27"/>
        </w:numPr>
        <w:rPr>
          <w:rFonts w:cs="Arial"/>
        </w:rPr>
      </w:pPr>
      <w:r w:rsidRPr="007F6332">
        <w:rPr>
          <w:rFonts w:cs="Arial"/>
        </w:rPr>
        <w:t>Lower number of participants in SIL</w:t>
      </w:r>
    </w:p>
    <w:p w14:paraId="205AACED" w14:textId="77777777" w:rsidR="00287FA3" w:rsidRPr="007F6332" w:rsidRDefault="00287FA3" w:rsidP="008B34A8">
      <w:pPr>
        <w:pStyle w:val="FSRHeading3"/>
        <w:sectPr w:rsidR="00287FA3" w:rsidRPr="007F6332" w:rsidSect="00CE7E91">
          <w:pgSz w:w="11906" w:h="16838"/>
          <w:pgMar w:top="1440" w:right="1416" w:bottom="1440" w:left="1440" w:header="708" w:footer="850" w:gutter="0"/>
          <w:cols w:space="708"/>
          <w:titlePg/>
          <w:docGrid w:linePitch="360"/>
        </w:sectPr>
      </w:pPr>
    </w:p>
    <w:p w14:paraId="6E11B663" w14:textId="564140AA" w:rsidR="00B445CE" w:rsidRPr="007F6332" w:rsidRDefault="00B445CE" w:rsidP="008B34A8">
      <w:pPr>
        <w:pStyle w:val="FSRHeading3"/>
      </w:pPr>
      <w:bookmarkStart w:id="334" w:name="_Toc146823086"/>
      <w:bookmarkStart w:id="335" w:name="_Toc152615031"/>
      <w:r w:rsidRPr="007F6332">
        <w:t xml:space="preserve">Appendix </w:t>
      </w:r>
      <w:r w:rsidR="00D64B63" w:rsidRPr="007F6332">
        <w:t>N</w:t>
      </w:r>
      <w:r w:rsidR="00D64B63" w:rsidRPr="007F6332">
        <w:tab/>
      </w:r>
      <w:bookmarkEnd w:id="334"/>
      <w:r w:rsidR="00287FA3" w:rsidRPr="007F6332">
        <w:t>Historic average participant payments by SIL type</w:t>
      </w:r>
      <w:bookmarkEnd w:id="335"/>
    </w:p>
    <w:p w14:paraId="7198438D" w14:textId="5109340C" w:rsidR="00287FA3" w:rsidRPr="007F6332" w:rsidRDefault="00287FA3" w:rsidP="00F41A57">
      <w:pPr>
        <w:pStyle w:val="FiguresandTablesHeading4"/>
      </w:pPr>
      <w:r w:rsidRPr="007F6332">
        <w:t>Table N.1: Previous AFSR projections – average participant payments (participants without SIL) (cash flow basis)</w:t>
      </w:r>
    </w:p>
    <w:tbl>
      <w:tblPr>
        <w:tblW w:w="9960" w:type="dxa"/>
        <w:tblLayout w:type="fixed"/>
        <w:tblLook w:val="04A0" w:firstRow="1" w:lastRow="0" w:firstColumn="1" w:lastColumn="0" w:noHBand="0" w:noVBand="1"/>
      </w:tblPr>
      <w:tblGrid>
        <w:gridCol w:w="2548"/>
        <w:gridCol w:w="823"/>
        <w:gridCol w:w="824"/>
        <w:gridCol w:w="823"/>
        <w:gridCol w:w="824"/>
        <w:gridCol w:w="823"/>
        <w:gridCol w:w="824"/>
        <w:gridCol w:w="823"/>
        <w:gridCol w:w="824"/>
        <w:gridCol w:w="824"/>
      </w:tblGrid>
      <w:tr w:rsidR="00287FA3" w:rsidRPr="007F6332" w14:paraId="14F8F4A7" w14:textId="77777777" w:rsidTr="00CE7E91">
        <w:trPr>
          <w:trHeight w:val="225"/>
        </w:trPr>
        <w:tc>
          <w:tcPr>
            <w:tcW w:w="2547" w:type="dxa"/>
            <w:tcBorders>
              <w:top w:val="single" w:sz="4" w:space="0" w:color="auto"/>
              <w:bottom w:val="single" w:sz="4" w:space="0" w:color="auto"/>
              <w:right w:val="single" w:sz="4" w:space="0" w:color="auto"/>
            </w:tcBorders>
            <w:shd w:val="clear" w:color="auto" w:fill="6B2976"/>
            <w:noWrap/>
            <w:vAlign w:val="center"/>
            <w:hideMark/>
          </w:tcPr>
          <w:p w14:paraId="79645B80" w14:textId="77777777" w:rsidR="00287FA3" w:rsidRPr="007F6332" w:rsidRDefault="00287FA3" w:rsidP="00D02FA6">
            <w:pPr>
              <w:spacing w:after="0" w:line="240" w:lineRule="auto"/>
              <w:rPr>
                <w:rFonts w:eastAsia="Times New Roman" w:cs="Arial"/>
                <w:b/>
                <w:bCs/>
                <w:color w:val="FFFFFF"/>
                <w:sz w:val="16"/>
                <w:szCs w:val="16"/>
                <w:lang w:eastAsia="en-AU"/>
              </w:rPr>
            </w:pPr>
            <w:r w:rsidRPr="007F6332">
              <w:rPr>
                <w:rFonts w:eastAsia="Times New Roman" w:cs="Arial"/>
                <w:b/>
                <w:bCs/>
                <w:color w:val="FFFFFF"/>
                <w:sz w:val="16"/>
                <w:szCs w:val="16"/>
                <w:lang w:eastAsia="en-AU"/>
              </w:rPr>
              <w:t>Average participant payments (non-SIL)</w:t>
            </w:r>
          </w:p>
        </w:tc>
        <w:tc>
          <w:tcPr>
            <w:tcW w:w="823" w:type="dxa"/>
            <w:tcBorders>
              <w:top w:val="single" w:sz="4" w:space="0" w:color="auto"/>
              <w:left w:val="nil"/>
              <w:bottom w:val="single" w:sz="4" w:space="0" w:color="auto"/>
              <w:right w:val="nil"/>
            </w:tcBorders>
            <w:shd w:val="clear" w:color="auto" w:fill="6B2976"/>
            <w:noWrap/>
            <w:vAlign w:val="center"/>
            <w:hideMark/>
          </w:tcPr>
          <w:p w14:paraId="1A173144"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2018-19</w:t>
            </w:r>
          </w:p>
        </w:tc>
        <w:tc>
          <w:tcPr>
            <w:tcW w:w="824" w:type="dxa"/>
            <w:tcBorders>
              <w:top w:val="single" w:sz="4" w:space="0" w:color="auto"/>
              <w:left w:val="nil"/>
              <w:bottom w:val="single" w:sz="4" w:space="0" w:color="auto"/>
              <w:right w:val="nil"/>
            </w:tcBorders>
            <w:shd w:val="clear" w:color="auto" w:fill="6B2976"/>
            <w:noWrap/>
            <w:vAlign w:val="center"/>
            <w:hideMark/>
          </w:tcPr>
          <w:p w14:paraId="06C9C99C"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2019-20</w:t>
            </w:r>
          </w:p>
        </w:tc>
        <w:tc>
          <w:tcPr>
            <w:tcW w:w="823" w:type="dxa"/>
            <w:tcBorders>
              <w:top w:val="single" w:sz="4" w:space="0" w:color="auto"/>
              <w:left w:val="nil"/>
              <w:bottom w:val="single" w:sz="4" w:space="0" w:color="auto"/>
              <w:right w:val="nil"/>
            </w:tcBorders>
            <w:shd w:val="clear" w:color="auto" w:fill="6B2976"/>
            <w:noWrap/>
            <w:vAlign w:val="center"/>
            <w:hideMark/>
          </w:tcPr>
          <w:p w14:paraId="0648193A"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2020-21</w:t>
            </w:r>
          </w:p>
        </w:tc>
        <w:tc>
          <w:tcPr>
            <w:tcW w:w="824" w:type="dxa"/>
            <w:tcBorders>
              <w:top w:val="single" w:sz="4" w:space="0" w:color="auto"/>
              <w:left w:val="nil"/>
              <w:bottom w:val="single" w:sz="4" w:space="0" w:color="auto"/>
              <w:right w:val="single" w:sz="4" w:space="0" w:color="auto"/>
            </w:tcBorders>
            <w:shd w:val="clear" w:color="auto" w:fill="6B2976"/>
            <w:noWrap/>
            <w:vAlign w:val="center"/>
            <w:hideMark/>
          </w:tcPr>
          <w:p w14:paraId="16FC785A"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2021-22</w:t>
            </w:r>
          </w:p>
        </w:tc>
        <w:tc>
          <w:tcPr>
            <w:tcW w:w="823" w:type="dxa"/>
            <w:tcBorders>
              <w:top w:val="single" w:sz="4" w:space="0" w:color="auto"/>
              <w:left w:val="nil"/>
              <w:bottom w:val="single" w:sz="4" w:space="0" w:color="auto"/>
              <w:right w:val="single" w:sz="4" w:space="0" w:color="auto"/>
            </w:tcBorders>
            <w:shd w:val="clear" w:color="auto" w:fill="6B2976"/>
            <w:noWrap/>
            <w:vAlign w:val="center"/>
            <w:hideMark/>
          </w:tcPr>
          <w:p w14:paraId="6EA1C399"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2022-23</w:t>
            </w:r>
          </w:p>
        </w:tc>
        <w:tc>
          <w:tcPr>
            <w:tcW w:w="824" w:type="dxa"/>
            <w:tcBorders>
              <w:top w:val="single" w:sz="4" w:space="0" w:color="auto"/>
              <w:left w:val="nil"/>
              <w:bottom w:val="single" w:sz="4" w:space="0" w:color="auto"/>
              <w:right w:val="nil"/>
            </w:tcBorders>
            <w:shd w:val="clear" w:color="auto" w:fill="6B2976"/>
            <w:noWrap/>
            <w:vAlign w:val="center"/>
            <w:hideMark/>
          </w:tcPr>
          <w:p w14:paraId="4ED9B98B"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2023-24</w:t>
            </w:r>
          </w:p>
        </w:tc>
        <w:tc>
          <w:tcPr>
            <w:tcW w:w="823" w:type="dxa"/>
            <w:tcBorders>
              <w:top w:val="single" w:sz="4" w:space="0" w:color="auto"/>
              <w:left w:val="nil"/>
              <w:bottom w:val="single" w:sz="4" w:space="0" w:color="auto"/>
              <w:right w:val="nil"/>
            </w:tcBorders>
            <w:shd w:val="clear" w:color="auto" w:fill="6B2976"/>
            <w:noWrap/>
            <w:vAlign w:val="center"/>
            <w:hideMark/>
          </w:tcPr>
          <w:p w14:paraId="11AFF82B"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2024-25</w:t>
            </w:r>
          </w:p>
        </w:tc>
        <w:tc>
          <w:tcPr>
            <w:tcW w:w="824" w:type="dxa"/>
            <w:tcBorders>
              <w:top w:val="single" w:sz="4" w:space="0" w:color="auto"/>
              <w:left w:val="nil"/>
              <w:bottom w:val="single" w:sz="4" w:space="0" w:color="auto"/>
              <w:right w:val="nil"/>
            </w:tcBorders>
            <w:shd w:val="clear" w:color="auto" w:fill="6B2976"/>
            <w:noWrap/>
            <w:vAlign w:val="center"/>
            <w:hideMark/>
          </w:tcPr>
          <w:p w14:paraId="26D047F7"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2025-26</w:t>
            </w:r>
          </w:p>
        </w:tc>
        <w:tc>
          <w:tcPr>
            <w:tcW w:w="824" w:type="dxa"/>
            <w:tcBorders>
              <w:top w:val="single" w:sz="4" w:space="0" w:color="auto"/>
              <w:left w:val="nil"/>
              <w:bottom w:val="single" w:sz="4" w:space="0" w:color="auto"/>
            </w:tcBorders>
            <w:shd w:val="clear" w:color="auto" w:fill="6B2976"/>
            <w:noWrap/>
            <w:vAlign w:val="center"/>
            <w:hideMark/>
          </w:tcPr>
          <w:p w14:paraId="1F658701" w14:textId="77777777" w:rsidR="00287FA3" w:rsidRPr="007F6332" w:rsidRDefault="00287FA3" w:rsidP="00D02FA6">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2026-27</w:t>
            </w:r>
          </w:p>
        </w:tc>
      </w:tr>
      <w:tr w:rsidR="00287FA3" w:rsidRPr="007F6332" w14:paraId="443F315E" w14:textId="77777777" w:rsidTr="00CE7E91">
        <w:trPr>
          <w:trHeight w:val="225"/>
        </w:trPr>
        <w:tc>
          <w:tcPr>
            <w:tcW w:w="2547" w:type="dxa"/>
            <w:tcBorders>
              <w:top w:val="single" w:sz="4" w:space="0" w:color="auto"/>
              <w:bottom w:val="single" w:sz="4" w:space="0" w:color="auto"/>
              <w:right w:val="nil"/>
            </w:tcBorders>
            <w:shd w:val="clear" w:color="auto" w:fill="D3C5D7"/>
            <w:noWrap/>
            <w:vAlign w:val="center"/>
            <w:hideMark/>
          </w:tcPr>
          <w:p w14:paraId="2DCE627E" w14:textId="77777777" w:rsidR="00287FA3" w:rsidRPr="007F6332" w:rsidRDefault="00287FA3" w:rsidP="00D02FA6">
            <w:pPr>
              <w:spacing w:after="0" w:line="240" w:lineRule="auto"/>
              <w:rPr>
                <w:rFonts w:eastAsia="Times New Roman" w:cs="Arial"/>
                <w:b/>
                <w:bCs/>
                <w:color w:val="000000"/>
                <w:sz w:val="16"/>
                <w:szCs w:val="16"/>
                <w:lang w:eastAsia="en-AU"/>
              </w:rPr>
            </w:pPr>
            <w:r w:rsidRPr="007F6332">
              <w:rPr>
                <w:rFonts w:eastAsia="Times New Roman" w:cs="Arial"/>
                <w:b/>
                <w:bCs/>
                <w:color w:val="000000"/>
                <w:sz w:val="16"/>
                <w:szCs w:val="16"/>
                <w:lang w:eastAsia="en-AU"/>
              </w:rPr>
              <w:t>AFSR</w:t>
            </w:r>
          </w:p>
        </w:tc>
        <w:tc>
          <w:tcPr>
            <w:tcW w:w="823" w:type="dxa"/>
            <w:tcBorders>
              <w:top w:val="single" w:sz="4" w:space="0" w:color="auto"/>
              <w:left w:val="nil"/>
              <w:bottom w:val="single" w:sz="4" w:space="0" w:color="auto"/>
              <w:right w:val="nil"/>
            </w:tcBorders>
            <w:shd w:val="clear" w:color="auto" w:fill="D3C5D7"/>
            <w:noWrap/>
            <w:vAlign w:val="center"/>
            <w:hideMark/>
          </w:tcPr>
          <w:p w14:paraId="61A53B9C"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right w:val="nil"/>
            </w:tcBorders>
            <w:shd w:val="clear" w:color="auto" w:fill="D3C5D7"/>
            <w:noWrap/>
            <w:vAlign w:val="center"/>
            <w:hideMark/>
          </w:tcPr>
          <w:p w14:paraId="1AECC696"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3" w:type="dxa"/>
            <w:tcBorders>
              <w:top w:val="single" w:sz="4" w:space="0" w:color="auto"/>
              <w:left w:val="nil"/>
              <w:bottom w:val="single" w:sz="4" w:space="0" w:color="auto"/>
              <w:right w:val="nil"/>
            </w:tcBorders>
            <w:shd w:val="clear" w:color="auto" w:fill="D3C5D7"/>
            <w:noWrap/>
            <w:vAlign w:val="center"/>
            <w:hideMark/>
          </w:tcPr>
          <w:p w14:paraId="088B2616"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right w:val="single" w:sz="4" w:space="0" w:color="auto"/>
            </w:tcBorders>
            <w:shd w:val="clear" w:color="auto" w:fill="D3C5D7"/>
            <w:noWrap/>
            <w:vAlign w:val="center"/>
            <w:hideMark/>
          </w:tcPr>
          <w:p w14:paraId="5D40D94E"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3" w:type="dxa"/>
            <w:tcBorders>
              <w:top w:val="single" w:sz="4" w:space="0" w:color="auto"/>
              <w:left w:val="nil"/>
              <w:bottom w:val="single" w:sz="4" w:space="0" w:color="auto"/>
              <w:right w:val="single" w:sz="4" w:space="0" w:color="auto"/>
            </w:tcBorders>
            <w:shd w:val="clear" w:color="auto" w:fill="D3C5D7"/>
            <w:noWrap/>
            <w:vAlign w:val="center"/>
            <w:hideMark/>
          </w:tcPr>
          <w:p w14:paraId="1BDD71D6"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right w:val="nil"/>
            </w:tcBorders>
            <w:shd w:val="clear" w:color="auto" w:fill="D3C5D7"/>
            <w:noWrap/>
            <w:vAlign w:val="center"/>
            <w:hideMark/>
          </w:tcPr>
          <w:p w14:paraId="1964D2D2"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3" w:type="dxa"/>
            <w:tcBorders>
              <w:top w:val="single" w:sz="4" w:space="0" w:color="auto"/>
              <w:left w:val="nil"/>
              <w:bottom w:val="single" w:sz="4" w:space="0" w:color="auto"/>
              <w:right w:val="nil"/>
            </w:tcBorders>
            <w:shd w:val="clear" w:color="auto" w:fill="D3C5D7"/>
            <w:noWrap/>
            <w:vAlign w:val="center"/>
            <w:hideMark/>
          </w:tcPr>
          <w:p w14:paraId="4BF87EFB"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right w:val="nil"/>
            </w:tcBorders>
            <w:shd w:val="clear" w:color="auto" w:fill="D3C5D7"/>
            <w:noWrap/>
            <w:vAlign w:val="center"/>
            <w:hideMark/>
          </w:tcPr>
          <w:p w14:paraId="172C41F8"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tcBorders>
            <w:shd w:val="clear" w:color="auto" w:fill="D3C5D7"/>
            <w:noWrap/>
            <w:vAlign w:val="center"/>
            <w:hideMark/>
          </w:tcPr>
          <w:p w14:paraId="17EB9852"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r>
      <w:tr w:rsidR="00287FA3" w:rsidRPr="007F6332" w14:paraId="599B6DB4"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4755CA1A"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2023 AFSR projection</w:t>
            </w:r>
          </w:p>
        </w:tc>
        <w:tc>
          <w:tcPr>
            <w:tcW w:w="823" w:type="dxa"/>
            <w:tcBorders>
              <w:top w:val="single" w:sz="4" w:space="0" w:color="auto"/>
              <w:left w:val="nil"/>
              <w:bottom w:val="single" w:sz="4" w:space="0" w:color="auto"/>
              <w:right w:val="nil"/>
            </w:tcBorders>
            <w:shd w:val="clear" w:color="auto" w:fill="BFBFBF"/>
            <w:noWrap/>
            <w:vAlign w:val="center"/>
            <w:hideMark/>
          </w:tcPr>
          <w:p w14:paraId="413710F3"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78921B6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shd w:val="clear" w:color="auto" w:fill="BFBFBF"/>
            <w:noWrap/>
            <w:vAlign w:val="center"/>
            <w:hideMark/>
          </w:tcPr>
          <w:p w14:paraId="1831680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single" w:sz="4" w:space="0" w:color="auto"/>
            </w:tcBorders>
            <w:shd w:val="clear" w:color="auto" w:fill="BFBFBF"/>
            <w:noWrap/>
            <w:vAlign w:val="center"/>
            <w:hideMark/>
          </w:tcPr>
          <w:p w14:paraId="3A709DE6"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single" w:sz="4" w:space="0" w:color="auto"/>
            </w:tcBorders>
            <w:shd w:val="clear" w:color="auto" w:fill="BFBFBF"/>
            <w:noWrap/>
            <w:vAlign w:val="center"/>
            <w:hideMark/>
          </w:tcPr>
          <w:p w14:paraId="0D6653BA"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noWrap/>
            <w:vAlign w:val="center"/>
            <w:hideMark/>
          </w:tcPr>
          <w:p w14:paraId="29A6D1E0"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44,200</w:t>
            </w:r>
          </w:p>
        </w:tc>
        <w:tc>
          <w:tcPr>
            <w:tcW w:w="823" w:type="dxa"/>
            <w:tcBorders>
              <w:top w:val="single" w:sz="4" w:space="0" w:color="auto"/>
              <w:left w:val="nil"/>
              <w:bottom w:val="single" w:sz="4" w:space="0" w:color="auto"/>
              <w:right w:val="nil"/>
            </w:tcBorders>
            <w:noWrap/>
            <w:vAlign w:val="center"/>
            <w:hideMark/>
          </w:tcPr>
          <w:p w14:paraId="7FCE46E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45,000</w:t>
            </w:r>
          </w:p>
        </w:tc>
        <w:tc>
          <w:tcPr>
            <w:tcW w:w="824" w:type="dxa"/>
            <w:tcBorders>
              <w:top w:val="single" w:sz="4" w:space="0" w:color="auto"/>
              <w:left w:val="nil"/>
              <w:bottom w:val="single" w:sz="4" w:space="0" w:color="auto"/>
              <w:right w:val="nil"/>
            </w:tcBorders>
            <w:noWrap/>
            <w:vAlign w:val="center"/>
            <w:hideMark/>
          </w:tcPr>
          <w:p w14:paraId="2783058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46,000</w:t>
            </w:r>
          </w:p>
        </w:tc>
        <w:tc>
          <w:tcPr>
            <w:tcW w:w="824" w:type="dxa"/>
            <w:tcBorders>
              <w:top w:val="single" w:sz="4" w:space="0" w:color="auto"/>
              <w:left w:val="nil"/>
              <w:bottom w:val="single" w:sz="4" w:space="0" w:color="auto"/>
            </w:tcBorders>
            <w:noWrap/>
            <w:vAlign w:val="center"/>
            <w:hideMark/>
          </w:tcPr>
          <w:p w14:paraId="6877DE63"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47,500</w:t>
            </w:r>
          </w:p>
        </w:tc>
      </w:tr>
      <w:tr w:rsidR="00287FA3" w:rsidRPr="007F6332" w14:paraId="671CC54F"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3ACC8841"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2022 projection</w:t>
            </w:r>
            <w:r w:rsidRPr="007F6332">
              <w:rPr>
                <w:rStyle w:val="FootnoteReference"/>
                <w:rFonts w:eastAsia="Times New Roman" w:cs="Arial"/>
                <w:color w:val="000000"/>
                <w:sz w:val="16"/>
                <w:szCs w:val="16"/>
                <w:lang w:eastAsia="en-AU"/>
              </w:rPr>
              <w:footnoteReference w:id="188"/>
            </w:r>
          </w:p>
        </w:tc>
        <w:tc>
          <w:tcPr>
            <w:tcW w:w="823" w:type="dxa"/>
            <w:tcBorders>
              <w:top w:val="single" w:sz="4" w:space="0" w:color="auto"/>
              <w:left w:val="nil"/>
              <w:bottom w:val="single" w:sz="4" w:space="0" w:color="auto"/>
              <w:right w:val="nil"/>
            </w:tcBorders>
            <w:shd w:val="clear" w:color="auto" w:fill="BFBFBF"/>
            <w:noWrap/>
            <w:vAlign w:val="center"/>
            <w:hideMark/>
          </w:tcPr>
          <w:p w14:paraId="5393F4BD"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6E20C94E"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shd w:val="clear" w:color="auto" w:fill="BFBFBF"/>
            <w:noWrap/>
            <w:vAlign w:val="center"/>
            <w:hideMark/>
          </w:tcPr>
          <w:p w14:paraId="7AD79C95"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single" w:sz="4" w:space="0" w:color="auto"/>
            </w:tcBorders>
            <w:shd w:val="clear" w:color="auto" w:fill="BFBFBF"/>
            <w:noWrap/>
            <w:vAlign w:val="center"/>
            <w:hideMark/>
          </w:tcPr>
          <w:p w14:paraId="3C9F0C05"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single" w:sz="4" w:space="0" w:color="auto"/>
            </w:tcBorders>
            <w:shd w:val="clear" w:color="auto" w:fill="BFBFBF"/>
            <w:noWrap/>
            <w:vAlign w:val="center"/>
            <w:hideMark/>
          </w:tcPr>
          <w:p w14:paraId="3C9CFA74"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noWrap/>
            <w:vAlign w:val="center"/>
            <w:hideMark/>
          </w:tcPr>
          <w:p w14:paraId="6D40F76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42,200</w:t>
            </w:r>
          </w:p>
        </w:tc>
        <w:tc>
          <w:tcPr>
            <w:tcW w:w="823" w:type="dxa"/>
            <w:tcBorders>
              <w:top w:val="single" w:sz="4" w:space="0" w:color="auto"/>
              <w:left w:val="nil"/>
              <w:bottom w:val="single" w:sz="4" w:space="0" w:color="auto"/>
              <w:right w:val="nil"/>
            </w:tcBorders>
            <w:noWrap/>
            <w:vAlign w:val="center"/>
            <w:hideMark/>
          </w:tcPr>
          <w:p w14:paraId="7060EEC8"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43,300</w:t>
            </w:r>
          </w:p>
        </w:tc>
        <w:tc>
          <w:tcPr>
            <w:tcW w:w="824" w:type="dxa"/>
            <w:tcBorders>
              <w:top w:val="single" w:sz="4" w:space="0" w:color="auto"/>
              <w:left w:val="nil"/>
              <w:bottom w:val="single" w:sz="4" w:space="0" w:color="auto"/>
              <w:right w:val="nil"/>
            </w:tcBorders>
            <w:noWrap/>
            <w:vAlign w:val="center"/>
            <w:hideMark/>
          </w:tcPr>
          <w:p w14:paraId="51B554EF"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44,500</w:t>
            </w:r>
          </w:p>
        </w:tc>
        <w:tc>
          <w:tcPr>
            <w:tcW w:w="824" w:type="dxa"/>
            <w:tcBorders>
              <w:top w:val="single" w:sz="4" w:space="0" w:color="auto"/>
              <w:left w:val="nil"/>
              <w:bottom w:val="single" w:sz="4" w:space="0" w:color="auto"/>
            </w:tcBorders>
            <w:noWrap/>
            <w:vAlign w:val="center"/>
            <w:hideMark/>
          </w:tcPr>
          <w:p w14:paraId="34882C6B"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45,700</w:t>
            </w:r>
          </w:p>
        </w:tc>
      </w:tr>
      <w:tr w:rsidR="00287FA3" w:rsidRPr="007F6332" w14:paraId="25B4074E"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55CA49A1"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2022 AFSR projection</w:t>
            </w:r>
          </w:p>
        </w:tc>
        <w:tc>
          <w:tcPr>
            <w:tcW w:w="823" w:type="dxa"/>
            <w:tcBorders>
              <w:top w:val="single" w:sz="4" w:space="0" w:color="auto"/>
              <w:left w:val="nil"/>
              <w:bottom w:val="single" w:sz="4" w:space="0" w:color="auto"/>
              <w:right w:val="nil"/>
            </w:tcBorders>
            <w:shd w:val="clear" w:color="auto" w:fill="BFBFBF"/>
            <w:noWrap/>
            <w:vAlign w:val="center"/>
            <w:hideMark/>
          </w:tcPr>
          <w:p w14:paraId="4C778ED6"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21AF906B"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shd w:val="clear" w:color="auto" w:fill="BFBFBF"/>
            <w:noWrap/>
            <w:vAlign w:val="center"/>
            <w:hideMark/>
          </w:tcPr>
          <w:p w14:paraId="67442931"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single" w:sz="4" w:space="0" w:color="auto"/>
            </w:tcBorders>
            <w:shd w:val="clear" w:color="auto" w:fill="BFBFBF"/>
            <w:noWrap/>
            <w:vAlign w:val="center"/>
            <w:hideMark/>
          </w:tcPr>
          <w:p w14:paraId="3CED323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single" w:sz="4" w:space="0" w:color="auto"/>
            </w:tcBorders>
            <w:shd w:val="clear" w:color="auto" w:fill="FFE699"/>
            <w:noWrap/>
            <w:vAlign w:val="center"/>
            <w:hideMark/>
          </w:tcPr>
          <w:p w14:paraId="72AC33A8"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43,200</w:t>
            </w:r>
          </w:p>
        </w:tc>
        <w:tc>
          <w:tcPr>
            <w:tcW w:w="824" w:type="dxa"/>
            <w:tcBorders>
              <w:top w:val="single" w:sz="4" w:space="0" w:color="auto"/>
              <w:left w:val="nil"/>
              <w:bottom w:val="single" w:sz="4" w:space="0" w:color="auto"/>
              <w:right w:val="nil"/>
            </w:tcBorders>
            <w:noWrap/>
            <w:vAlign w:val="center"/>
            <w:hideMark/>
          </w:tcPr>
          <w:p w14:paraId="53469F6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44,400</w:t>
            </w:r>
          </w:p>
        </w:tc>
        <w:tc>
          <w:tcPr>
            <w:tcW w:w="823" w:type="dxa"/>
            <w:tcBorders>
              <w:top w:val="single" w:sz="4" w:space="0" w:color="auto"/>
              <w:left w:val="nil"/>
              <w:bottom w:val="single" w:sz="4" w:space="0" w:color="auto"/>
              <w:right w:val="nil"/>
            </w:tcBorders>
            <w:noWrap/>
            <w:vAlign w:val="center"/>
            <w:hideMark/>
          </w:tcPr>
          <w:p w14:paraId="575E177F"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47,700</w:t>
            </w:r>
          </w:p>
        </w:tc>
        <w:tc>
          <w:tcPr>
            <w:tcW w:w="824" w:type="dxa"/>
            <w:tcBorders>
              <w:top w:val="single" w:sz="4" w:space="0" w:color="auto"/>
              <w:left w:val="nil"/>
              <w:bottom w:val="single" w:sz="4" w:space="0" w:color="auto"/>
              <w:right w:val="nil"/>
            </w:tcBorders>
            <w:noWrap/>
            <w:vAlign w:val="center"/>
            <w:hideMark/>
          </w:tcPr>
          <w:p w14:paraId="4FB83E40"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51,000</w:t>
            </w:r>
          </w:p>
        </w:tc>
        <w:tc>
          <w:tcPr>
            <w:tcW w:w="824" w:type="dxa"/>
            <w:tcBorders>
              <w:top w:val="single" w:sz="4" w:space="0" w:color="auto"/>
              <w:left w:val="nil"/>
              <w:bottom w:val="single" w:sz="4" w:space="0" w:color="auto"/>
            </w:tcBorders>
            <w:noWrap/>
            <w:vAlign w:val="center"/>
            <w:hideMark/>
          </w:tcPr>
          <w:p w14:paraId="6A38F24B"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52,900</w:t>
            </w:r>
          </w:p>
        </w:tc>
      </w:tr>
      <w:tr w:rsidR="00287FA3" w:rsidRPr="007F6332" w14:paraId="2FA73ABC"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06890FEF"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2021 AFSR projection</w:t>
            </w:r>
          </w:p>
        </w:tc>
        <w:tc>
          <w:tcPr>
            <w:tcW w:w="823" w:type="dxa"/>
            <w:tcBorders>
              <w:top w:val="single" w:sz="4" w:space="0" w:color="auto"/>
              <w:left w:val="nil"/>
              <w:bottom w:val="single" w:sz="4" w:space="0" w:color="auto"/>
              <w:right w:val="nil"/>
            </w:tcBorders>
            <w:shd w:val="clear" w:color="auto" w:fill="BFBFBF"/>
            <w:noWrap/>
            <w:vAlign w:val="center"/>
            <w:hideMark/>
          </w:tcPr>
          <w:p w14:paraId="5334FA1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326A71D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shd w:val="clear" w:color="auto" w:fill="BFBFBF"/>
            <w:noWrap/>
            <w:vAlign w:val="center"/>
            <w:hideMark/>
          </w:tcPr>
          <w:p w14:paraId="389EDF4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single" w:sz="4" w:space="0" w:color="auto"/>
            </w:tcBorders>
            <w:shd w:val="clear" w:color="auto" w:fill="FFE699"/>
            <w:noWrap/>
            <w:vAlign w:val="center"/>
            <w:hideMark/>
          </w:tcPr>
          <w:p w14:paraId="41E8CF9B"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42,200</w:t>
            </w:r>
          </w:p>
        </w:tc>
        <w:tc>
          <w:tcPr>
            <w:tcW w:w="823" w:type="dxa"/>
            <w:tcBorders>
              <w:top w:val="single" w:sz="4" w:space="0" w:color="auto"/>
              <w:left w:val="nil"/>
              <w:bottom w:val="single" w:sz="4" w:space="0" w:color="auto"/>
              <w:right w:val="single" w:sz="4" w:space="0" w:color="auto"/>
            </w:tcBorders>
            <w:noWrap/>
            <w:vAlign w:val="center"/>
            <w:hideMark/>
          </w:tcPr>
          <w:p w14:paraId="1B71503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44,900</w:t>
            </w:r>
          </w:p>
        </w:tc>
        <w:tc>
          <w:tcPr>
            <w:tcW w:w="824" w:type="dxa"/>
            <w:tcBorders>
              <w:top w:val="single" w:sz="4" w:space="0" w:color="auto"/>
              <w:left w:val="nil"/>
              <w:bottom w:val="single" w:sz="4" w:space="0" w:color="auto"/>
              <w:right w:val="nil"/>
            </w:tcBorders>
            <w:noWrap/>
            <w:vAlign w:val="center"/>
            <w:hideMark/>
          </w:tcPr>
          <w:p w14:paraId="651F1ED3"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46,800</w:t>
            </w:r>
          </w:p>
        </w:tc>
        <w:tc>
          <w:tcPr>
            <w:tcW w:w="823" w:type="dxa"/>
            <w:tcBorders>
              <w:top w:val="single" w:sz="4" w:space="0" w:color="auto"/>
              <w:left w:val="nil"/>
              <w:bottom w:val="single" w:sz="4" w:space="0" w:color="auto"/>
              <w:right w:val="nil"/>
            </w:tcBorders>
            <w:noWrap/>
            <w:vAlign w:val="center"/>
            <w:hideMark/>
          </w:tcPr>
          <w:p w14:paraId="75EE847A"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48,000</w:t>
            </w:r>
          </w:p>
        </w:tc>
        <w:tc>
          <w:tcPr>
            <w:tcW w:w="824" w:type="dxa"/>
            <w:tcBorders>
              <w:top w:val="single" w:sz="4" w:space="0" w:color="auto"/>
              <w:left w:val="nil"/>
              <w:bottom w:val="single" w:sz="4" w:space="0" w:color="auto"/>
              <w:right w:val="nil"/>
            </w:tcBorders>
            <w:noWrap/>
            <w:vAlign w:val="center"/>
            <w:hideMark/>
          </w:tcPr>
          <w:p w14:paraId="5A5D37E0"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48,700</w:t>
            </w:r>
          </w:p>
        </w:tc>
        <w:tc>
          <w:tcPr>
            <w:tcW w:w="824" w:type="dxa"/>
            <w:tcBorders>
              <w:top w:val="single" w:sz="4" w:space="0" w:color="auto"/>
              <w:left w:val="nil"/>
              <w:bottom w:val="single" w:sz="4" w:space="0" w:color="auto"/>
            </w:tcBorders>
            <w:noWrap/>
            <w:vAlign w:val="center"/>
            <w:hideMark/>
          </w:tcPr>
          <w:p w14:paraId="45357A7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49,600</w:t>
            </w:r>
          </w:p>
        </w:tc>
      </w:tr>
      <w:tr w:rsidR="00287FA3" w:rsidRPr="007F6332" w14:paraId="56B6E50C"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3D851789"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2020 projection</w:t>
            </w:r>
          </w:p>
        </w:tc>
        <w:tc>
          <w:tcPr>
            <w:tcW w:w="823" w:type="dxa"/>
            <w:tcBorders>
              <w:top w:val="single" w:sz="4" w:space="0" w:color="auto"/>
              <w:left w:val="nil"/>
              <w:bottom w:val="single" w:sz="4" w:space="0" w:color="auto"/>
              <w:right w:val="nil"/>
            </w:tcBorders>
            <w:shd w:val="clear" w:color="auto" w:fill="BFBFBF"/>
            <w:noWrap/>
            <w:vAlign w:val="center"/>
            <w:hideMark/>
          </w:tcPr>
          <w:p w14:paraId="35E4C96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2510083B"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shd w:val="clear" w:color="auto" w:fill="BFBFBF"/>
            <w:noWrap/>
            <w:vAlign w:val="center"/>
            <w:hideMark/>
          </w:tcPr>
          <w:p w14:paraId="73188AA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single" w:sz="4" w:space="0" w:color="auto"/>
            </w:tcBorders>
            <w:noWrap/>
            <w:vAlign w:val="center"/>
            <w:hideMark/>
          </w:tcPr>
          <w:p w14:paraId="0F8C5D53"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41,200</w:t>
            </w:r>
          </w:p>
        </w:tc>
        <w:tc>
          <w:tcPr>
            <w:tcW w:w="823" w:type="dxa"/>
            <w:tcBorders>
              <w:top w:val="single" w:sz="4" w:space="0" w:color="auto"/>
              <w:left w:val="nil"/>
              <w:bottom w:val="single" w:sz="4" w:space="0" w:color="auto"/>
              <w:right w:val="single" w:sz="4" w:space="0" w:color="auto"/>
            </w:tcBorders>
            <w:noWrap/>
            <w:vAlign w:val="center"/>
            <w:hideMark/>
          </w:tcPr>
          <w:p w14:paraId="16E4EA3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42,600</w:t>
            </w:r>
          </w:p>
        </w:tc>
        <w:tc>
          <w:tcPr>
            <w:tcW w:w="824" w:type="dxa"/>
            <w:tcBorders>
              <w:top w:val="single" w:sz="4" w:space="0" w:color="auto"/>
              <w:left w:val="nil"/>
              <w:bottom w:val="single" w:sz="4" w:space="0" w:color="auto"/>
              <w:right w:val="nil"/>
            </w:tcBorders>
            <w:noWrap/>
            <w:vAlign w:val="center"/>
            <w:hideMark/>
          </w:tcPr>
          <w:p w14:paraId="66FAB24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43,800</w:t>
            </w:r>
          </w:p>
        </w:tc>
        <w:tc>
          <w:tcPr>
            <w:tcW w:w="823" w:type="dxa"/>
            <w:tcBorders>
              <w:top w:val="single" w:sz="4" w:space="0" w:color="auto"/>
              <w:left w:val="nil"/>
              <w:bottom w:val="single" w:sz="4" w:space="0" w:color="auto"/>
              <w:right w:val="nil"/>
            </w:tcBorders>
            <w:noWrap/>
            <w:vAlign w:val="center"/>
            <w:hideMark/>
          </w:tcPr>
          <w:p w14:paraId="3A96F7C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45,100</w:t>
            </w:r>
          </w:p>
        </w:tc>
        <w:tc>
          <w:tcPr>
            <w:tcW w:w="824" w:type="dxa"/>
            <w:tcBorders>
              <w:top w:val="single" w:sz="4" w:space="0" w:color="auto"/>
              <w:left w:val="nil"/>
              <w:bottom w:val="single" w:sz="4" w:space="0" w:color="auto"/>
              <w:right w:val="nil"/>
            </w:tcBorders>
            <w:noWrap/>
            <w:vAlign w:val="center"/>
            <w:hideMark/>
          </w:tcPr>
          <w:p w14:paraId="4CAC9C41"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46,300</w:t>
            </w:r>
          </w:p>
        </w:tc>
        <w:tc>
          <w:tcPr>
            <w:tcW w:w="824" w:type="dxa"/>
            <w:tcBorders>
              <w:top w:val="single" w:sz="4" w:space="0" w:color="auto"/>
              <w:left w:val="nil"/>
              <w:bottom w:val="single" w:sz="4" w:space="0" w:color="auto"/>
            </w:tcBorders>
            <w:noWrap/>
            <w:vAlign w:val="center"/>
            <w:hideMark/>
          </w:tcPr>
          <w:p w14:paraId="14F35956"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47,600</w:t>
            </w:r>
          </w:p>
        </w:tc>
      </w:tr>
      <w:tr w:rsidR="00287FA3" w:rsidRPr="007F6332" w14:paraId="199687B6"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417DEF07"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2020 AFSR projection</w:t>
            </w:r>
          </w:p>
        </w:tc>
        <w:tc>
          <w:tcPr>
            <w:tcW w:w="823" w:type="dxa"/>
            <w:tcBorders>
              <w:top w:val="single" w:sz="4" w:space="0" w:color="auto"/>
              <w:left w:val="nil"/>
              <w:bottom w:val="single" w:sz="4" w:space="0" w:color="auto"/>
              <w:right w:val="nil"/>
            </w:tcBorders>
            <w:shd w:val="clear" w:color="auto" w:fill="BFBFBF"/>
            <w:noWrap/>
            <w:vAlign w:val="center"/>
            <w:hideMark/>
          </w:tcPr>
          <w:p w14:paraId="1747A814"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3307B426"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shd w:val="clear" w:color="auto" w:fill="FFE699"/>
            <w:noWrap/>
            <w:vAlign w:val="center"/>
            <w:hideMark/>
          </w:tcPr>
          <w:p w14:paraId="4996E813"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34,700</w:t>
            </w:r>
          </w:p>
        </w:tc>
        <w:tc>
          <w:tcPr>
            <w:tcW w:w="824" w:type="dxa"/>
            <w:tcBorders>
              <w:top w:val="single" w:sz="4" w:space="0" w:color="auto"/>
              <w:left w:val="nil"/>
              <w:bottom w:val="single" w:sz="4" w:space="0" w:color="auto"/>
              <w:right w:val="single" w:sz="4" w:space="0" w:color="auto"/>
            </w:tcBorders>
            <w:noWrap/>
            <w:vAlign w:val="center"/>
            <w:hideMark/>
          </w:tcPr>
          <w:p w14:paraId="3D520BAD"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36,200</w:t>
            </w:r>
          </w:p>
        </w:tc>
        <w:tc>
          <w:tcPr>
            <w:tcW w:w="823" w:type="dxa"/>
            <w:tcBorders>
              <w:top w:val="single" w:sz="4" w:space="0" w:color="auto"/>
              <w:left w:val="nil"/>
              <w:bottom w:val="single" w:sz="4" w:space="0" w:color="auto"/>
              <w:right w:val="single" w:sz="4" w:space="0" w:color="auto"/>
            </w:tcBorders>
            <w:noWrap/>
            <w:vAlign w:val="center"/>
            <w:hideMark/>
          </w:tcPr>
          <w:p w14:paraId="0F96BF7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37,100</w:t>
            </w:r>
          </w:p>
        </w:tc>
        <w:tc>
          <w:tcPr>
            <w:tcW w:w="824" w:type="dxa"/>
            <w:tcBorders>
              <w:top w:val="single" w:sz="4" w:space="0" w:color="auto"/>
              <w:left w:val="nil"/>
              <w:bottom w:val="single" w:sz="4" w:space="0" w:color="auto"/>
              <w:right w:val="nil"/>
            </w:tcBorders>
            <w:noWrap/>
            <w:vAlign w:val="center"/>
            <w:hideMark/>
          </w:tcPr>
          <w:p w14:paraId="253C2D58"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38,300</w:t>
            </w:r>
          </w:p>
        </w:tc>
        <w:tc>
          <w:tcPr>
            <w:tcW w:w="823" w:type="dxa"/>
            <w:tcBorders>
              <w:top w:val="single" w:sz="4" w:space="0" w:color="auto"/>
              <w:left w:val="nil"/>
              <w:bottom w:val="single" w:sz="4" w:space="0" w:color="auto"/>
              <w:right w:val="nil"/>
            </w:tcBorders>
            <w:noWrap/>
            <w:vAlign w:val="center"/>
            <w:hideMark/>
          </w:tcPr>
          <w:p w14:paraId="10A45F24"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39,700</w:t>
            </w:r>
          </w:p>
        </w:tc>
        <w:tc>
          <w:tcPr>
            <w:tcW w:w="824" w:type="dxa"/>
            <w:tcBorders>
              <w:top w:val="single" w:sz="4" w:space="0" w:color="auto"/>
              <w:left w:val="nil"/>
              <w:bottom w:val="single" w:sz="4" w:space="0" w:color="auto"/>
              <w:right w:val="nil"/>
            </w:tcBorders>
            <w:noWrap/>
            <w:vAlign w:val="center"/>
            <w:hideMark/>
          </w:tcPr>
          <w:p w14:paraId="0CE29736"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41,300</w:t>
            </w:r>
          </w:p>
        </w:tc>
        <w:tc>
          <w:tcPr>
            <w:tcW w:w="824" w:type="dxa"/>
            <w:tcBorders>
              <w:top w:val="single" w:sz="4" w:space="0" w:color="auto"/>
              <w:left w:val="nil"/>
              <w:bottom w:val="single" w:sz="4" w:space="0" w:color="auto"/>
            </w:tcBorders>
            <w:noWrap/>
            <w:vAlign w:val="center"/>
            <w:hideMark/>
          </w:tcPr>
          <w:p w14:paraId="6BCFAFC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42,900</w:t>
            </w:r>
          </w:p>
        </w:tc>
      </w:tr>
      <w:tr w:rsidR="00287FA3" w:rsidRPr="007F6332" w14:paraId="0A2E199A"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3EE109B0"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2019 projection</w:t>
            </w:r>
          </w:p>
        </w:tc>
        <w:tc>
          <w:tcPr>
            <w:tcW w:w="823" w:type="dxa"/>
            <w:tcBorders>
              <w:top w:val="single" w:sz="4" w:space="0" w:color="auto"/>
              <w:left w:val="nil"/>
              <w:bottom w:val="single" w:sz="4" w:space="0" w:color="auto"/>
              <w:right w:val="nil"/>
            </w:tcBorders>
            <w:shd w:val="clear" w:color="auto" w:fill="BFBFBF"/>
            <w:noWrap/>
            <w:vAlign w:val="center"/>
            <w:hideMark/>
          </w:tcPr>
          <w:p w14:paraId="5A3D8418"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050180C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noWrap/>
            <w:vAlign w:val="center"/>
            <w:hideMark/>
          </w:tcPr>
          <w:p w14:paraId="25B6605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35,400</w:t>
            </w:r>
          </w:p>
        </w:tc>
        <w:tc>
          <w:tcPr>
            <w:tcW w:w="824" w:type="dxa"/>
            <w:tcBorders>
              <w:top w:val="single" w:sz="4" w:space="0" w:color="auto"/>
              <w:left w:val="nil"/>
              <w:bottom w:val="single" w:sz="4" w:space="0" w:color="auto"/>
              <w:right w:val="single" w:sz="4" w:space="0" w:color="auto"/>
            </w:tcBorders>
            <w:noWrap/>
            <w:vAlign w:val="center"/>
            <w:hideMark/>
          </w:tcPr>
          <w:p w14:paraId="609B6BE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36,200</w:t>
            </w:r>
          </w:p>
        </w:tc>
        <w:tc>
          <w:tcPr>
            <w:tcW w:w="823" w:type="dxa"/>
            <w:tcBorders>
              <w:top w:val="single" w:sz="4" w:space="0" w:color="auto"/>
              <w:left w:val="nil"/>
              <w:bottom w:val="single" w:sz="4" w:space="0" w:color="auto"/>
              <w:right w:val="single" w:sz="4" w:space="0" w:color="auto"/>
            </w:tcBorders>
            <w:noWrap/>
            <w:vAlign w:val="center"/>
            <w:hideMark/>
          </w:tcPr>
          <w:p w14:paraId="45869B5D"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37,100</w:t>
            </w:r>
          </w:p>
        </w:tc>
        <w:tc>
          <w:tcPr>
            <w:tcW w:w="824" w:type="dxa"/>
            <w:tcBorders>
              <w:top w:val="single" w:sz="4" w:space="0" w:color="auto"/>
              <w:left w:val="nil"/>
              <w:bottom w:val="single" w:sz="4" w:space="0" w:color="auto"/>
              <w:right w:val="nil"/>
            </w:tcBorders>
            <w:noWrap/>
            <w:vAlign w:val="center"/>
            <w:hideMark/>
          </w:tcPr>
          <w:p w14:paraId="5803059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38,100</w:t>
            </w:r>
          </w:p>
        </w:tc>
        <w:tc>
          <w:tcPr>
            <w:tcW w:w="823" w:type="dxa"/>
            <w:tcBorders>
              <w:top w:val="single" w:sz="4" w:space="0" w:color="auto"/>
              <w:left w:val="nil"/>
              <w:bottom w:val="single" w:sz="4" w:space="0" w:color="auto"/>
              <w:right w:val="nil"/>
            </w:tcBorders>
            <w:noWrap/>
            <w:vAlign w:val="center"/>
            <w:hideMark/>
          </w:tcPr>
          <w:p w14:paraId="06FA64A6"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39,300</w:t>
            </w:r>
          </w:p>
        </w:tc>
        <w:tc>
          <w:tcPr>
            <w:tcW w:w="824" w:type="dxa"/>
            <w:tcBorders>
              <w:top w:val="single" w:sz="4" w:space="0" w:color="auto"/>
              <w:left w:val="nil"/>
              <w:bottom w:val="single" w:sz="4" w:space="0" w:color="auto"/>
              <w:right w:val="nil"/>
            </w:tcBorders>
            <w:noWrap/>
            <w:vAlign w:val="center"/>
            <w:hideMark/>
          </w:tcPr>
          <w:p w14:paraId="4EF3F245"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40,700</w:t>
            </w:r>
          </w:p>
        </w:tc>
        <w:tc>
          <w:tcPr>
            <w:tcW w:w="824" w:type="dxa"/>
            <w:tcBorders>
              <w:top w:val="single" w:sz="4" w:space="0" w:color="auto"/>
              <w:left w:val="nil"/>
              <w:bottom w:val="single" w:sz="4" w:space="0" w:color="auto"/>
            </w:tcBorders>
            <w:noWrap/>
            <w:vAlign w:val="center"/>
            <w:hideMark/>
          </w:tcPr>
          <w:p w14:paraId="7FA22338"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42,200</w:t>
            </w:r>
          </w:p>
        </w:tc>
      </w:tr>
      <w:tr w:rsidR="00287FA3" w:rsidRPr="007F6332" w14:paraId="70A6766B"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2598DEF8"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2019 AFSR projection</w:t>
            </w:r>
          </w:p>
        </w:tc>
        <w:tc>
          <w:tcPr>
            <w:tcW w:w="823" w:type="dxa"/>
            <w:tcBorders>
              <w:top w:val="single" w:sz="4" w:space="0" w:color="auto"/>
              <w:left w:val="nil"/>
              <w:bottom w:val="single" w:sz="4" w:space="0" w:color="auto"/>
              <w:right w:val="nil"/>
            </w:tcBorders>
            <w:shd w:val="clear" w:color="auto" w:fill="BFBFBF"/>
            <w:noWrap/>
            <w:vAlign w:val="center"/>
            <w:hideMark/>
          </w:tcPr>
          <w:p w14:paraId="74AEA88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FFE699"/>
            <w:noWrap/>
            <w:vAlign w:val="center"/>
            <w:hideMark/>
          </w:tcPr>
          <w:p w14:paraId="6B8369F3"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33,400</w:t>
            </w:r>
          </w:p>
        </w:tc>
        <w:tc>
          <w:tcPr>
            <w:tcW w:w="823" w:type="dxa"/>
            <w:tcBorders>
              <w:top w:val="single" w:sz="4" w:space="0" w:color="auto"/>
              <w:left w:val="nil"/>
              <w:bottom w:val="single" w:sz="4" w:space="0" w:color="auto"/>
              <w:right w:val="nil"/>
            </w:tcBorders>
            <w:noWrap/>
            <w:vAlign w:val="center"/>
            <w:hideMark/>
          </w:tcPr>
          <w:p w14:paraId="2B8490AE"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35,100</w:t>
            </w:r>
          </w:p>
        </w:tc>
        <w:tc>
          <w:tcPr>
            <w:tcW w:w="824" w:type="dxa"/>
            <w:tcBorders>
              <w:top w:val="single" w:sz="4" w:space="0" w:color="auto"/>
              <w:left w:val="nil"/>
              <w:bottom w:val="single" w:sz="4" w:space="0" w:color="auto"/>
              <w:right w:val="single" w:sz="4" w:space="0" w:color="auto"/>
            </w:tcBorders>
            <w:noWrap/>
            <w:vAlign w:val="center"/>
            <w:hideMark/>
          </w:tcPr>
          <w:p w14:paraId="17AF315D"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36,100</w:t>
            </w:r>
          </w:p>
        </w:tc>
        <w:tc>
          <w:tcPr>
            <w:tcW w:w="823" w:type="dxa"/>
            <w:tcBorders>
              <w:top w:val="single" w:sz="4" w:space="0" w:color="auto"/>
              <w:left w:val="nil"/>
              <w:bottom w:val="single" w:sz="4" w:space="0" w:color="auto"/>
              <w:right w:val="single" w:sz="4" w:space="0" w:color="auto"/>
            </w:tcBorders>
            <w:noWrap/>
            <w:vAlign w:val="center"/>
            <w:hideMark/>
          </w:tcPr>
          <w:p w14:paraId="3705819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37,000</w:t>
            </w:r>
          </w:p>
        </w:tc>
        <w:tc>
          <w:tcPr>
            <w:tcW w:w="824" w:type="dxa"/>
            <w:tcBorders>
              <w:top w:val="single" w:sz="4" w:space="0" w:color="auto"/>
              <w:left w:val="nil"/>
              <w:bottom w:val="single" w:sz="4" w:space="0" w:color="auto"/>
              <w:right w:val="nil"/>
            </w:tcBorders>
            <w:noWrap/>
            <w:vAlign w:val="center"/>
            <w:hideMark/>
          </w:tcPr>
          <w:p w14:paraId="69488E23"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37,700</w:t>
            </w:r>
          </w:p>
        </w:tc>
        <w:tc>
          <w:tcPr>
            <w:tcW w:w="823" w:type="dxa"/>
            <w:tcBorders>
              <w:top w:val="single" w:sz="4" w:space="0" w:color="auto"/>
              <w:left w:val="nil"/>
              <w:bottom w:val="single" w:sz="4" w:space="0" w:color="auto"/>
              <w:right w:val="nil"/>
            </w:tcBorders>
            <w:noWrap/>
            <w:vAlign w:val="center"/>
            <w:hideMark/>
          </w:tcPr>
          <w:p w14:paraId="1F81B53A"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38,200</w:t>
            </w:r>
          </w:p>
        </w:tc>
        <w:tc>
          <w:tcPr>
            <w:tcW w:w="824" w:type="dxa"/>
            <w:tcBorders>
              <w:top w:val="single" w:sz="4" w:space="0" w:color="auto"/>
              <w:left w:val="nil"/>
              <w:bottom w:val="single" w:sz="4" w:space="0" w:color="auto"/>
              <w:right w:val="nil"/>
            </w:tcBorders>
            <w:noWrap/>
            <w:vAlign w:val="center"/>
            <w:hideMark/>
          </w:tcPr>
          <w:p w14:paraId="4E1223BF"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39,300</w:t>
            </w:r>
          </w:p>
        </w:tc>
        <w:tc>
          <w:tcPr>
            <w:tcW w:w="824" w:type="dxa"/>
            <w:tcBorders>
              <w:top w:val="single" w:sz="4" w:space="0" w:color="auto"/>
              <w:left w:val="nil"/>
              <w:bottom w:val="single" w:sz="4" w:space="0" w:color="auto"/>
            </w:tcBorders>
            <w:noWrap/>
            <w:vAlign w:val="center"/>
            <w:hideMark/>
          </w:tcPr>
          <w:p w14:paraId="28F240A3"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40,500</w:t>
            </w:r>
          </w:p>
        </w:tc>
      </w:tr>
      <w:tr w:rsidR="00287FA3" w:rsidRPr="007F6332" w14:paraId="2EB97DF1"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3D19D278"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2018 AFSR projection</w:t>
            </w:r>
          </w:p>
        </w:tc>
        <w:tc>
          <w:tcPr>
            <w:tcW w:w="823" w:type="dxa"/>
            <w:tcBorders>
              <w:top w:val="single" w:sz="4" w:space="0" w:color="auto"/>
              <w:left w:val="nil"/>
              <w:bottom w:val="single" w:sz="4" w:space="0" w:color="auto"/>
              <w:right w:val="nil"/>
            </w:tcBorders>
            <w:shd w:val="clear" w:color="auto" w:fill="FFE699"/>
            <w:noWrap/>
            <w:vAlign w:val="center"/>
            <w:hideMark/>
          </w:tcPr>
          <w:p w14:paraId="22AC1924"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23,300</w:t>
            </w:r>
          </w:p>
        </w:tc>
        <w:tc>
          <w:tcPr>
            <w:tcW w:w="824" w:type="dxa"/>
            <w:tcBorders>
              <w:top w:val="single" w:sz="4" w:space="0" w:color="auto"/>
              <w:left w:val="nil"/>
              <w:bottom w:val="single" w:sz="4" w:space="0" w:color="auto"/>
              <w:right w:val="nil"/>
            </w:tcBorders>
            <w:noWrap/>
            <w:vAlign w:val="center"/>
            <w:hideMark/>
          </w:tcPr>
          <w:p w14:paraId="3F4D41D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29,300</w:t>
            </w:r>
          </w:p>
        </w:tc>
        <w:tc>
          <w:tcPr>
            <w:tcW w:w="823" w:type="dxa"/>
            <w:tcBorders>
              <w:top w:val="single" w:sz="4" w:space="0" w:color="auto"/>
              <w:left w:val="nil"/>
              <w:bottom w:val="single" w:sz="4" w:space="0" w:color="auto"/>
              <w:right w:val="nil"/>
            </w:tcBorders>
            <w:noWrap/>
            <w:vAlign w:val="center"/>
            <w:hideMark/>
          </w:tcPr>
          <w:p w14:paraId="11E46F3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32,300</w:t>
            </w:r>
          </w:p>
        </w:tc>
        <w:tc>
          <w:tcPr>
            <w:tcW w:w="824" w:type="dxa"/>
            <w:tcBorders>
              <w:top w:val="single" w:sz="4" w:space="0" w:color="auto"/>
              <w:left w:val="nil"/>
              <w:bottom w:val="single" w:sz="4" w:space="0" w:color="auto"/>
              <w:right w:val="single" w:sz="4" w:space="0" w:color="auto"/>
            </w:tcBorders>
            <w:noWrap/>
            <w:vAlign w:val="center"/>
            <w:hideMark/>
          </w:tcPr>
          <w:p w14:paraId="038B3FBD"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34,100</w:t>
            </w:r>
          </w:p>
        </w:tc>
        <w:tc>
          <w:tcPr>
            <w:tcW w:w="823" w:type="dxa"/>
            <w:tcBorders>
              <w:top w:val="single" w:sz="4" w:space="0" w:color="auto"/>
              <w:left w:val="nil"/>
              <w:bottom w:val="single" w:sz="4" w:space="0" w:color="auto"/>
              <w:right w:val="single" w:sz="4" w:space="0" w:color="auto"/>
            </w:tcBorders>
            <w:noWrap/>
            <w:vAlign w:val="center"/>
            <w:hideMark/>
          </w:tcPr>
          <w:p w14:paraId="1018F654"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35,600</w:t>
            </w:r>
          </w:p>
        </w:tc>
        <w:tc>
          <w:tcPr>
            <w:tcW w:w="824" w:type="dxa"/>
            <w:tcBorders>
              <w:top w:val="single" w:sz="4" w:space="0" w:color="auto"/>
              <w:left w:val="nil"/>
              <w:bottom w:val="single" w:sz="4" w:space="0" w:color="auto"/>
              <w:right w:val="nil"/>
            </w:tcBorders>
            <w:noWrap/>
            <w:vAlign w:val="center"/>
            <w:hideMark/>
          </w:tcPr>
          <w:p w14:paraId="28AE9EA1"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37,500</w:t>
            </w:r>
          </w:p>
        </w:tc>
        <w:tc>
          <w:tcPr>
            <w:tcW w:w="823" w:type="dxa"/>
            <w:tcBorders>
              <w:top w:val="single" w:sz="4" w:space="0" w:color="auto"/>
              <w:left w:val="nil"/>
              <w:bottom w:val="single" w:sz="4" w:space="0" w:color="auto"/>
              <w:right w:val="nil"/>
            </w:tcBorders>
            <w:noWrap/>
            <w:vAlign w:val="center"/>
            <w:hideMark/>
          </w:tcPr>
          <w:p w14:paraId="4E083D1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38,700</w:t>
            </w:r>
          </w:p>
        </w:tc>
        <w:tc>
          <w:tcPr>
            <w:tcW w:w="824" w:type="dxa"/>
            <w:tcBorders>
              <w:top w:val="single" w:sz="4" w:space="0" w:color="auto"/>
              <w:left w:val="nil"/>
              <w:bottom w:val="single" w:sz="4" w:space="0" w:color="auto"/>
              <w:right w:val="nil"/>
            </w:tcBorders>
            <w:noWrap/>
            <w:vAlign w:val="center"/>
            <w:hideMark/>
          </w:tcPr>
          <w:p w14:paraId="2D1D44F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40,000</w:t>
            </w:r>
          </w:p>
        </w:tc>
        <w:tc>
          <w:tcPr>
            <w:tcW w:w="824" w:type="dxa"/>
            <w:tcBorders>
              <w:top w:val="single" w:sz="4" w:space="0" w:color="auto"/>
              <w:left w:val="nil"/>
              <w:bottom w:val="single" w:sz="4" w:space="0" w:color="auto"/>
            </w:tcBorders>
            <w:noWrap/>
            <w:vAlign w:val="center"/>
            <w:hideMark/>
          </w:tcPr>
          <w:p w14:paraId="56EBCA3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41,400</w:t>
            </w:r>
          </w:p>
        </w:tc>
      </w:tr>
      <w:tr w:rsidR="00287FA3" w:rsidRPr="007F6332" w14:paraId="3C24C7E9" w14:textId="77777777" w:rsidTr="00CE7E91">
        <w:trPr>
          <w:trHeight w:val="225"/>
        </w:trPr>
        <w:tc>
          <w:tcPr>
            <w:tcW w:w="2547" w:type="dxa"/>
            <w:tcBorders>
              <w:top w:val="single" w:sz="4" w:space="0" w:color="auto"/>
              <w:bottom w:val="single" w:sz="4" w:space="0" w:color="auto"/>
              <w:right w:val="nil"/>
            </w:tcBorders>
            <w:shd w:val="clear" w:color="auto" w:fill="D3C5D7"/>
            <w:noWrap/>
            <w:vAlign w:val="center"/>
            <w:hideMark/>
          </w:tcPr>
          <w:p w14:paraId="1D2157DA" w14:textId="77777777" w:rsidR="00287FA3" w:rsidRPr="007F6332" w:rsidRDefault="00287FA3" w:rsidP="00D02FA6">
            <w:pPr>
              <w:spacing w:after="0" w:line="240" w:lineRule="auto"/>
              <w:rPr>
                <w:rFonts w:eastAsia="Times New Roman" w:cs="Arial"/>
                <w:b/>
                <w:bCs/>
                <w:color w:val="000000"/>
                <w:sz w:val="16"/>
                <w:szCs w:val="16"/>
                <w:lang w:eastAsia="en-AU"/>
              </w:rPr>
            </w:pPr>
            <w:r w:rsidRPr="007F6332">
              <w:rPr>
                <w:rFonts w:eastAsia="Times New Roman" w:cs="Arial"/>
                <w:b/>
                <w:bCs/>
                <w:color w:val="000000"/>
                <w:sz w:val="16"/>
                <w:szCs w:val="16"/>
                <w:lang w:eastAsia="en-AU"/>
              </w:rPr>
              <w:t>Comparison with actuals</w:t>
            </w:r>
          </w:p>
        </w:tc>
        <w:tc>
          <w:tcPr>
            <w:tcW w:w="823" w:type="dxa"/>
            <w:tcBorders>
              <w:top w:val="single" w:sz="4" w:space="0" w:color="auto"/>
              <w:left w:val="nil"/>
              <w:bottom w:val="single" w:sz="4" w:space="0" w:color="auto"/>
              <w:right w:val="nil"/>
            </w:tcBorders>
            <w:shd w:val="clear" w:color="auto" w:fill="D3C5D7"/>
            <w:noWrap/>
            <w:vAlign w:val="center"/>
            <w:hideMark/>
          </w:tcPr>
          <w:p w14:paraId="2333FCBF"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right w:val="nil"/>
            </w:tcBorders>
            <w:shd w:val="clear" w:color="auto" w:fill="D3C5D7"/>
            <w:noWrap/>
            <w:vAlign w:val="center"/>
            <w:hideMark/>
          </w:tcPr>
          <w:p w14:paraId="1C73E7DB"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3" w:type="dxa"/>
            <w:tcBorders>
              <w:top w:val="single" w:sz="4" w:space="0" w:color="auto"/>
              <w:left w:val="nil"/>
              <w:bottom w:val="single" w:sz="4" w:space="0" w:color="auto"/>
              <w:right w:val="nil"/>
            </w:tcBorders>
            <w:shd w:val="clear" w:color="auto" w:fill="D3C5D7"/>
            <w:noWrap/>
            <w:vAlign w:val="center"/>
            <w:hideMark/>
          </w:tcPr>
          <w:p w14:paraId="25928671"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right w:val="single" w:sz="4" w:space="0" w:color="auto"/>
            </w:tcBorders>
            <w:shd w:val="clear" w:color="auto" w:fill="D3C5D7"/>
            <w:noWrap/>
            <w:vAlign w:val="center"/>
            <w:hideMark/>
          </w:tcPr>
          <w:p w14:paraId="013C5447"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3" w:type="dxa"/>
            <w:tcBorders>
              <w:top w:val="single" w:sz="4" w:space="0" w:color="auto"/>
              <w:left w:val="nil"/>
              <w:bottom w:val="single" w:sz="4" w:space="0" w:color="auto"/>
              <w:right w:val="single" w:sz="4" w:space="0" w:color="auto"/>
            </w:tcBorders>
            <w:shd w:val="clear" w:color="auto" w:fill="D3C5D7"/>
            <w:noWrap/>
            <w:vAlign w:val="center"/>
            <w:hideMark/>
          </w:tcPr>
          <w:p w14:paraId="0279D641"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right w:val="nil"/>
            </w:tcBorders>
            <w:shd w:val="clear" w:color="auto" w:fill="D3C5D7"/>
            <w:noWrap/>
            <w:vAlign w:val="center"/>
            <w:hideMark/>
          </w:tcPr>
          <w:p w14:paraId="171D2068"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3" w:type="dxa"/>
            <w:tcBorders>
              <w:top w:val="single" w:sz="4" w:space="0" w:color="auto"/>
              <w:left w:val="nil"/>
              <w:bottom w:val="single" w:sz="4" w:space="0" w:color="auto"/>
              <w:right w:val="nil"/>
            </w:tcBorders>
            <w:shd w:val="clear" w:color="auto" w:fill="D3C5D7"/>
            <w:noWrap/>
            <w:vAlign w:val="center"/>
            <w:hideMark/>
          </w:tcPr>
          <w:p w14:paraId="5370FBE0"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right w:val="nil"/>
            </w:tcBorders>
            <w:shd w:val="clear" w:color="auto" w:fill="D3C5D7"/>
            <w:noWrap/>
            <w:vAlign w:val="center"/>
            <w:hideMark/>
          </w:tcPr>
          <w:p w14:paraId="307B9382"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24" w:type="dxa"/>
            <w:tcBorders>
              <w:top w:val="single" w:sz="4" w:space="0" w:color="auto"/>
              <w:left w:val="nil"/>
              <w:bottom w:val="single" w:sz="4" w:space="0" w:color="auto"/>
            </w:tcBorders>
            <w:shd w:val="clear" w:color="auto" w:fill="D3C5D7"/>
            <w:noWrap/>
            <w:vAlign w:val="center"/>
            <w:hideMark/>
          </w:tcPr>
          <w:p w14:paraId="0FD6BD31" w14:textId="77777777" w:rsidR="00287FA3" w:rsidRPr="007F6332" w:rsidRDefault="00287FA3" w:rsidP="00D02FA6">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r>
      <w:tr w:rsidR="00287FA3" w:rsidRPr="007F6332" w14:paraId="481E0FC3" w14:textId="77777777" w:rsidTr="00CE7E91">
        <w:trPr>
          <w:trHeight w:val="225"/>
        </w:trPr>
        <w:tc>
          <w:tcPr>
            <w:tcW w:w="2547" w:type="dxa"/>
            <w:tcBorders>
              <w:top w:val="single" w:sz="4" w:space="0" w:color="auto"/>
              <w:bottom w:val="single" w:sz="4" w:space="0" w:color="auto"/>
              <w:right w:val="single" w:sz="4" w:space="0" w:color="auto"/>
            </w:tcBorders>
            <w:noWrap/>
            <w:vAlign w:val="center"/>
            <w:hideMark/>
          </w:tcPr>
          <w:p w14:paraId="6A15F794"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Actual average participant payments</w:t>
            </w:r>
          </w:p>
        </w:tc>
        <w:tc>
          <w:tcPr>
            <w:tcW w:w="823" w:type="dxa"/>
            <w:tcBorders>
              <w:top w:val="single" w:sz="4" w:space="0" w:color="auto"/>
              <w:left w:val="nil"/>
              <w:bottom w:val="single" w:sz="4" w:space="0" w:color="auto"/>
              <w:right w:val="nil"/>
            </w:tcBorders>
            <w:shd w:val="clear" w:color="auto" w:fill="FFE699"/>
            <w:noWrap/>
            <w:vAlign w:val="center"/>
            <w:hideMark/>
          </w:tcPr>
          <w:p w14:paraId="67C7E2F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27,100</w:t>
            </w:r>
          </w:p>
        </w:tc>
        <w:tc>
          <w:tcPr>
            <w:tcW w:w="824" w:type="dxa"/>
            <w:tcBorders>
              <w:top w:val="single" w:sz="4" w:space="0" w:color="auto"/>
              <w:left w:val="nil"/>
              <w:bottom w:val="single" w:sz="4" w:space="0" w:color="auto"/>
              <w:right w:val="nil"/>
            </w:tcBorders>
            <w:shd w:val="clear" w:color="auto" w:fill="FFE699"/>
            <w:noWrap/>
            <w:vAlign w:val="center"/>
            <w:hideMark/>
          </w:tcPr>
          <w:p w14:paraId="7A5B4E1C"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34,100</w:t>
            </w:r>
          </w:p>
        </w:tc>
        <w:tc>
          <w:tcPr>
            <w:tcW w:w="823" w:type="dxa"/>
            <w:tcBorders>
              <w:top w:val="single" w:sz="4" w:space="0" w:color="auto"/>
              <w:left w:val="nil"/>
              <w:bottom w:val="single" w:sz="4" w:space="0" w:color="auto"/>
              <w:right w:val="nil"/>
            </w:tcBorders>
            <w:shd w:val="clear" w:color="auto" w:fill="FFE699"/>
            <w:noWrap/>
            <w:vAlign w:val="center"/>
            <w:hideMark/>
          </w:tcPr>
          <w:p w14:paraId="1BD07858"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38,600</w:t>
            </w:r>
          </w:p>
        </w:tc>
        <w:tc>
          <w:tcPr>
            <w:tcW w:w="824" w:type="dxa"/>
            <w:tcBorders>
              <w:top w:val="single" w:sz="4" w:space="0" w:color="auto"/>
              <w:left w:val="nil"/>
              <w:bottom w:val="single" w:sz="4" w:space="0" w:color="auto"/>
              <w:right w:val="single" w:sz="4" w:space="0" w:color="auto"/>
            </w:tcBorders>
            <w:shd w:val="clear" w:color="auto" w:fill="FFE699"/>
            <w:noWrap/>
            <w:vAlign w:val="center"/>
            <w:hideMark/>
          </w:tcPr>
          <w:p w14:paraId="27A5784D"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39,500</w:t>
            </w:r>
          </w:p>
        </w:tc>
        <w:tc>
          <w:tcPr>
            <w:tcW w:w="823" w:type="dxa"/>
            <w:tcBorders>
              <w:top w:val="single" w:sz="4" w:space="0" w:color="auto"/>
              <w:left w:val="nil"/>
              <w:bottom w:val="single" w:sz="4" w:space="0" w:color="auto"/>
              <w:right w:val="single" w:sz="4" w:space="0" w:color="auto"/>
            </w:tcBorders>
            <w:shd w:val="clear" w:color="auto" w:fill="FFE699"/>
            <w:noWrap/>
            <w:vAlign w:val="center"/>
            <w:hideMark/>
          </w:tcPr>
          <w:p w14:paraId="1204DB85"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42,700</w:t>
            </w:r>
          </w:p>
        </w:tc>
        <w:tc>
          <w:tcPr>
            <w:tcW w:w="824" w:type="dxa"/>
            <w:tcBorders>
              <w:top w:val="single" w:sz="4" w:space="0" w:color="auto"/>
              <w:left w:val="nil"/>
              <w:bottom w:val="single" w:sz="4" w:space="0" w:color="auto"/>
              <w:right w:val="nil"/>
            </w:tcBorders>
            <w:shd w:val="clear" w:color="auto" w:fill="BFBFBF"/>
            <w:noWrap/>
            <w:vAlign w:val="center"/>
            <w:hideMark/>
          </w:tcPr>
          <w:p w14:paraId="5F6643F9" w14:textId="77777777" w:rsidR="00287FA3" w:rsidRPr="007F6332" w:rsidRDefault="00287FA3" w:rsidP="00D02FA6">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823" w:type="dxa"/>
            <w:tcBorders>
              <w:top w:val="single" w:sz="4" w:space="0" w:color="auto"/>
              <w:left w:val="nil"/>
              <w:bottom w:val="single" w:sz="4" w:space="0" w:color="auto"/>
              <w:right w:val="nil"/>
            </w:tcBorders>
            <w:shd w:val="clear" w:color="auto" w:fill="BFBFBF"/>
            <w:noWrap/>
            <w:vAlign w:val="center"/>
            <w:hideMark/>
          </w:tcPr>
          <w:p w14:paraId="714A8C4F" w14:textId="77777777" w:rsidR="00287FA3" w:rsidRPr="007F6332" w:rsidRDefault="00287FA3" w:rsidP="00D02FA6">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53F59F45" w14:textId="77777777" w:rsidR="00287FA3" w:rsidRPr="007F6332" w:rsidRDefault="00287FA3" w:rsidP="00D02FA6">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824" w:type="dxa"/>
            <w:tcBorders>
              <w:top w:val="single" w:sz="4" w:space="0" w:color="auto"/>
              <w:left w:val="nil"/>
              <w:bottom w:val="single" w:sz="4" w:space="0" w:color="auto"/>
            </w:tcBorders>
            <w:shd w:val="clear" w:color="auto" w:fill="BFBFBF"/>
            <w:noWrap/>
            <w:vAlign w:val="center"/>
            <w:hideMark/>
          </w:tcPr>
          <w:p w14:paraId="10EBFB8D" w14:textId="77777777" w:rsidR="00287FA3" w:rsidRPr="007F6332" w:rsidRDefault="00287FA3" w:rsidP="00D02FA6">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r>
      <w:tr w:rsidR="00287FA3" w:rsidRPr="007F6332" w14:paraId="11AAD94E" w14:textId="77777777" w:rsidTr="00CE7E91">
        <w:trPr>
          <w:trHeight w:val="225"/>
        </w:trPr>
        <w:tc>
          <w:tcPr>
            <w:tcW w:w="2547" w:type="dxa"/>
            <w:tcBorders>
              <w:top w:val="single" w:sz="4" w:space="0" w:color="auto"/>
              <w:bottom w:val="single" w:sz="4" w:space="0" w:color="auto"/>
              <w:right w:val="single" w:sz="4" w:space="0" w:color="auto"/>
            </w:tcBorders>
            <w:vAlign w:val="center"/>
            <w:hideMark/>
          </w:tcPr>
          <w:p w14:paraId="444F86E1"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Actual average participant payments compared with AFSR ($)</w:t>
            </w:r>
          </w:p>
        </w:tc>
        <w:tc>
          <w:tcPr>
            <w:tcW w:w="823" w:type="dxa"/>
            <w:tcBorders>
              <w:top w:val="single" w:sz="4" w:space="0" w:color="auto"/>
              <w:left w:val="nil"/>
              <w:bottom w:val="single" w:sz="4" w:space="0" w:color="auto"/>
              <w:right w:val="nil"/>
            </w:tcBorders>
            <w:shd w:val="clear" w:color="auto" w:fill="FFE699"/>
            <w:noWrap/>
            <w:vAlign w:val="center"/>
            <w:hideMark/>
          </w:tcPr>
          <w:p w14:paraId="39F633D0"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3,800</w:t>
            </w:r>
          </w:p>
        </w:tc>
        <w:tc>
          <w:tcPr>
            <w:tcW w:w="824" w:type="dxa"/>
            <w:tcBorders>
              <w:top w:val="single" w:sz="4" w:space="0" w:color="auto"/>
              <w:left w:val="nil"/>
              <w:bottom w:val="single" w:sz="4" w:space="0" w:color="auto"/>
              <w:right w:val="nil"/>
            </w:tcBorders>
            <w:shd w:val="clear" w:color="auto" w:fill="FFE699"/>
            <w:noWrap/>
            <w:vAlign w:val="center"/>
            <w:hideMark/>
          </w:tcPr>
          <w:p w14:paraId="352E96BE"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700</w:t>
            </w:r>
          </w:p>
        </w:tc>
        <w:tc>
          <w:tcPr>
            <w:tcW w:w="823" w:type="dxa"/>
            <w:tcBorders>
              <w:top w:val="single" w:sz="4" w:space="0" w:color="auto"/>
              <w:left w:val="nil"/>
              <w:bottom w:val="single" w:sz="4" w:space="0" w:color="auto"/>
              <w:right w:val="nil"/>
            </w:tcBorders>
            <w:shd w:val="clear" w:color="auto" w:fill="FFE699"/>
            <w:noWrap/>
            <w:vAlign w:val="center"/>
            <w:hideMark/>
          </w:tcPr>
          <w:p w14:paraId="5759CB3E"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3,900</w:t>
            </w:r>
          </w:p>
        </w:tc>
        <w:tc>
          <w:tcPr>
            <w:tcW w:w="824" w:type="dxa"/>
            <w:tcBorders>
              <w:top w:val="single" w:sz="4" w:space="0" w:color="auto"/>
              <w:left w:val="nil"/>
              <w:bottom w:val="single" w:sz="4" w:space="0" w:color="auto"/>
              <w:right w:val="single" w:sz="4" w:space="0" w:color="auto"/>
            </w:tcBorders>
            <w:shd w:val="clear" w:color="auto" w:fill="FFE699"/>
            <w:noWrap/>
            <w:vAlign w:val="center"/>
            <w:hideMark/>
          </w:tcPr>
          <w:p w14:paraId="2AD6E9A8"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-2,700</w:t>
            </w:r>
          </w:p>
        </w:tc>
        <w:tc>
          <w:tcPr>
            <w:tcW w:w="823" w:type="dxa"/>
            <w:tcBorders>
              <w:top w:val="single" w:sz="4" w:space="0" w:color="auto"/>
              <w:left w:val="nil"/>
              <w:bottom w:val="single" w:sz="4" w:space="0" w:color="auto"/>
              <w:right w:val="single" w:sz="4" w:space="0" w:color="auto"/>
            </w:tcBorders>
            <w:shd w:val="clear" w:color="auto" w:fill="FFE699"/>
            <w:noWrap/>
            <w:vAlign w:val="center"/>
            <w:hideMark/>
          </w:tcPr>
          <w:p w14:paraId="11CEAD9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-500</w:t>
            </w:r>
          </w:p>
        </w:tc>
        <w:tc>
          <w:tcPr>
            <w:tcW w:w="824" w:type="dxa"/>
            <w:tcBorders>
              <w:top w:val="single" w:sz="4" w:space="0" w:color="auto"/>
              <w:left w:val="nil"/>
              <w:bottom w:val="single" w:sz="4" w:space="0" w:color="auto"/>
              <w:right w:val="nil"/>
            </w:tcBorders>
            <w:shd w:val="clear" w:color="auto" w:fill="BFBFBF"/>
            <w:noWrap/>
            <w:vAlign w:val="center"/>
            <w:hideMark/>
          </w:tcPr>
          <w:p w14:paraId="40E678B6"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shd w:val="clear" w:color="auto" w:fill="BFBFBF"/>
            <w:noWrap/>
            <w:vAlign w:val="center"/>
            <w:hideMark/>
          </w:tcPr>
          <w:p w14:paraId="64B1A57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0E25039F"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tcBorders>
            <w:shd w:val="clear" w:color="auto" w:fill="BFBFBF"/>
            <w:noWrap/>
            <w:vAlign w:val="center"/>
            <w:hideMark/>
          </w:tcPr>
          <w:p w14:paraId="3D08B23E"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r>
      <w:tr w:rsidR="00287FA3" w:rsidRPr="007F6332" w14:paraId="1FD0B81E" w14:textId="77777777" w:rsidTr="00CE7E91">
        <w:trPr>
          <w:trHeight w:val="450"/>
        </w:trPr>
        <w:tc>
          <w:tcPr>
            <w:tcW w:w="2547" w:type="dxa"/>
            <w:tcBorders>
              <w:top w:val="single" w:sz="4" w:space="0" w:color="auto"/>
              <w:bottom w:val="single" w:sz="4" w:space="0" w:color="auto"/>
              <w:right w:val="single" w:sz="4" w:space="0" w:color="auto"/>
            </w:tcBorders>
            <w:vAlign w:val="center"/>
            <w:hideMark/>
          </w:tcPr>
          <w:p w14:paraId="625F4493" w14:textId="77777777" w:rsidR="00287FA3" w:rsidRPr="007F6332" w:rsidRDefault="00287FA3" w:rsidP="00D02FA6">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Actual average participant payments compared with AFSR (%)</w:t>
            </w:r>
            <w:r w:rsidRPr="007F6332">
              <w:rPr>
                <w:rFonts w:eastAsia="Times New Roman" w:cs="Arial"/>
                <w:color w:val="000000"/>
                <w:sz w:val="16"/>
                <w:szCs w:val="16"/>
                <w:lang w:eastAsia="en-AU"/>
              </w:rPr>
              <w:br/>
              <w:t>(Actual - AFSR projection) / Actual</w:t>
            </w:r>
          </w:p>
        </w:tc>
        <w:tc>
          <w:tcPr>
            <w:tcW w:w="823" w:type="dxa"/>
            <w:tcBorders>
              <w:top w:val="single" w:sz="4" w:space="0" w:color="auto"/>
              <w:left w:val="nil"/>
              <w:bottom w:val="single" w:sz="4" w:space="0" w:color="auto"/>
              <w:right w:val="nil"/>
            </w:tcBorders>
            <w:shd w:val="clear" w:color="auto" w:fill="FFE699"/>
            <w:noWrap/>
            <w:vAlign w:val="center"/>
            <w:hideMark/>
          </w:tcPr>
          <w:p w14:paraId="7BD6A0ED"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14.1%</w:t>
            </w:r>
          </w:p>
        </w:tc>
        <w:tc>
          <w:tcPr>
            <w:tcW w:w="824" w:type="dxa"/>
            <w:tcBorders>
              <w:top w:val="single" w:sz="4" w:space="0" w:color="auto"/>
              <w:left w:val="nil"/>
              <w:bottom w:val="single" w:sz="4" w:space="0" w:color="auto"/>
              <w:right w:val="nil"/>
            </w:tcBorders>
            <w:shd w:val="clear" w:color="auto" w:fill="FFE699"/>
            <w:noWrap/>
            <w:vAlign w:val="center"/>
            <w:hideMark/>
          </w:tcPr>
          <w:p w14:paraId="73E8A905"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2.0%</w:t>
            </w:r>
          </w:p>
        </w:tc>
        <w:tc>
          <w:tcPr>
            <w:tcW w:w="823" w:type="dxa"/>
            <w:tcBorders>
              <w:top w:val="single" w:sz="4" w:space="0" w:color="auto"/>
              <w:left w:val="nil"/>
              <w:bottom w:val="single" w:sz="4" w:space="0" w:color="auto"/>
              <w:right w:val="nil"/>
            </w:tcBorders>
            <w:shd w:val="clear" w:color="auto" w:fill="FFE699"/>
            <w:noWrap/>
            <w:vAlign w:val="center"/>
            <w:hideMark/>
          </w:tcPr>
          <w:p w14:paraId="3FA907A6"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10.1%</w:t>
            </w:r>
          </w:p>
        </w:tc>
        <w:tc>
          <w:tcPr>
            <w:tcW w:w="824" w:type="dxa"/>
            <w:tcBorders>
              <w:top w:val="single" w:sz="4" w:space="0" w:color="auto"/>
              <w:left w:val="nil"/>
              <w:bottom w:val="single" w:sz="4" w:space="0" w:color="auto"/>
              <w:right w:val="single" w:sz="4" w:space="0" w:color="auto"/>
            </w:tcBorders>
            <w:shd w:val="clear" w:color="auto" w:fill="FFE699"/>
            <w:noWrap/>
            <w:vAlign w:val="center"/>
            <w:hideMark/>
          </w:tcPr>
          <w:p w14:paraId="52973542"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-7.0%</w:t>
            </w:r>
          </w:p>
        </w:tc>
        <w:tc>
          <w:tcPr>
            <w:tcW w:w="823" w:type="dxa"/>
            <w:tcBorders>
              <w:top w:val="single" w:sz="4" w:space="0" w:color="auto"/>
              <w:left w:val="nil"/>
              <w:bottom w:val="single" w:sz="4" w:space="0" w:color="auto"/>
              <w:right w:val="single" w:sz="4" w:space="0" w:color="auto"/>
            </w:tcBorders>
            <w:shd w:val="clear" w:color="auto" w:fill="FFE699"/>
            <w:noWrap/>
            <w:vAlign w:val="center"/>
            <w:hideMark/>
          </w:tcPr>
          <w:p w14:paraId="0DE30989"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-1.2%</w:t>
            </w:r>
          </w:p>
        </w:tc>
        <w:tc>
          <w:tcPr>
            <w:tcW w:w="824" w:type="dxa"/>
            <w:tcBorders>
              <w:top w:val="single" w:sz="4" w:space="0" w:color="auto"/>
              <w:left w:val="nil"/>
              <w:bottom w:val="single" w:sz="4" w:space="0" w:color="auto"/>
              <w:right w:val="nil"/>
            </w:tcBorders>
            <w:shd w:val="clear" w:color="auto" w:fill="BFBFBF"/>
            <w:noWrap/>
            <w:vAlign w:val="center"/>
            <w:hideMark/>
          </w:tcPr>
          <w:p w14:paraId="59F1771A"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3" w:type="dxa"/>
            <w:tcBorders>
              <w:top w:val="single" w:sz="4" w:space="0" w:color="auto"/>
              <w:left w:val="nil"/>
              <w:bottom w:val="single" w:sz="4" w:space="0" w:color="auto"/>
              <w:right w:val="nil"/>
            </w:tcBorders>
            <w:shd w:val="clear" w:color="auto" w:fill="BFBFBF"/>
            <w:noWrap/>
            <w:vAlign w:val="center"/>
            <w:hideMark/>
          </w:tcPr>
          <w:p w14:paraId="1F731257"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right w:val="nil"/>
            </w:tcBorders>
            <w:shd w:val="clear" w:color="auto" w:fill="BFBFBF"/>
            <w:noWrap/>
            <w:vAlign w:val="center"/>
            <w:hideMark/>
          </w:tcPr>
          <w:p w14:paraId="1C934AAE"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24" w:type="dxa"/>
            <w:tcBorders>
              <w:top w:val="single" w:sz="4" w:space="0" w:color="auto"/>
              <w:left w:val="nil"/>
              <w:bottom w:val="single" w:sz="4" w:space="0" w:color="auto"/>
            </w:tcBorders>
            <w:shd w:val="clear" w:color="auto" w:fill="BFBFBF"/>
            <w:noWrap/>
            <w:vAlign w:val="center"/>
            <w:hideMark/>
          </w:tcPr>
          <w:p w14:paraId="59A4BC18" w14:textId="77777777" w:rsidR="00287FA3" w:rsidRPr="007F6332" w:rsidRDefault="00287FA3" w:rsidP="00D02FA6">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r>
    </w:tbl>
    <w:p w14:paraId="253410BF" w14:textId="53A5B854" w:rsidR="00287FA3" w:rsidRPr="007F6332" w:rsidRDefault="00287FA3" w:rsidP="00F41A57">
      <w:pPr>
        <w:pStyle w:val="FiguresandTablesHeading4"/>
      </w:pPr>
      <w:r w:rsidRPr="007F6332">
        <w:t>Table N.2: Previous AFSR projections – average participant payments (participants with SIL) (cash flow basis)</w:t>
      </w:r>
    </w:p>
    <w:tbl>
      <w:tblPr>
        <w:tblpPr w:leftFromText="180" w:rightFromText="180" w:vertAnchor="text" w:horzAnchor="margin" w:tblpY="-42"/>
        <w:tblW w:w="9915" w:type="dxa"/>
        <w:tblLayout w:type="fixed"/>
        <w:tblLook w:val="04A0" w:firstRow="1" w:lastRow="0" w:firstColumn="1" w:lastColumn="0" w:noHBand="0" w:noVBand="1"/>
      </w:tblPr>
      <w:tblGrid>
        <w:gridCol w:w="2545"/>
        <w:gridCol w:w="818"/>
        <w:gridCol w:w="819"/>
        <w:gridCol w:w="819"/>
        <w:gridCol w:w="819"/>
        <w:gridCol w:w="819"/>
        <w:gridCol w:w="819"/>
        <w:gridCol w:w="819"/>
        <w:gridCol w:w="819"/>
        <w:gridCol w:w="819"/>
      </w:tblGrid>
      <w:tr w:rsidR="00AA5292" w:rsidRPr="007F6332" w14:paraId="3E2E51B6" w14:textId="77777777" w:rsidTr="00CE7E91">
        <w:trPr>
          <w:trHeight w:val="225"/>
        </w:trPr>
        <w:tc>
          <w:tcPr>
            <w:tcW w:w="2545" w:type="dxa"/>
            <w:tcBorders>
              <w:top w:val="single" w:sz="4" w:space="0" w:color="auto"/>
              <w:bottom w:val="single" w:sz="4" w:space="0" w:color="auto"/>
              <w:right w:val="single" w:sz="4" w:space="0" w:color="auto"/>
            </w:tcBorders>
            <w:shd w:val="clear" w:color="auto" w:fill="6B2976"/>
            <w:noWrap/>
            <w:vAlign w:val="center"/>
            <w:hideMark/>
          </w:tcPr>
          <w:p w14:paraId="1B79860D" w14:textId="77777777" w:rsidR="00AA5292" w:rsidRPr="007F6332" w:rsidRDefault="00AA5292" w:rsidP="00AA5292">
            <w:pPr>
              <w:spacing w:after="0" w:line="240" w:lineRule="auto"/>
              <w:rPr>
                <w:rFonts w:eastAsia="Times New Roman" w:cs="Arial"/>
                <w:b/>
                <w:bCs/>
                <w:color w:val="FFFFFF"/>
                <w:sz w:val="16"/>
                <w:szCs w:val="16"/>
                <w:lang w:eastAsia="en-AU"/>
              </w:rPr>
            </w:pPr>
            <w:r w:rsidRPr="007F6332">
              <w:rPr>
                <w:rFonts w:eastAsia="Times New Roman" w:cs="Arial"/>
                <w:b/>
                <w:bCs/>
                <w:color w:val="FFFFFF"/>
                <w:sz w:val="16"/>
                <w:szCs w:val="16"/>
                <w:lang w:eastAsia="en-AU"/>
              </w:rPr>
              <w:t>Average participant payments (SIL)</w:t>
            </w:r>
          </w:p>
        </w:tc>
        <w:tc>
          <w:tcPr>
            <w:tcW w:w="818" w:type="dxa"/>
            <w:tcBorders>
              <w:top w:val="single" w:sz="4" w:space="0" w:color="auto"/>
              <w:left w:val="nil"/>
              <w:bottom w:val="single" w:sz="4" w:space="0" w:color="auto"/>
              <w:right w:val="nil"/>
            </w:tcBorders>
            <w:shd w:val="clear" w:color="auto" w:fill="6B2976"/>
            <w:noWrap/>
            <w:vAlign w:val="center"/>
            <w:hideMark/>
          </w:tcPr>
          <w:p w14:paraId="20186C2D"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2018-19</w:t>
            </w:r>
          </w:p>
        </w:tc>
        <w:tc>
          <w:tcPr>
            <w:tcW w:w="819" w:type="dxa"/>
            <w:tcBorders>
              <w:top w:val="single" w:sz="4" w:space="0" w:color="auto"/>
              <w:left w:val="nil"/>
              <w:bottom w:val="single" w:sz="4" w:space="0" w:color="auto"/>
              <w:right w:val="nil"/>
            </w:tcBorders>
            <w:shd w:val="clear" w:color="auto" w:fill="6B2976"/>
            <w:noWrap/>
            <w:vAlign w:val="center"/>
            <w:hideMark/>
          </w:tcPr>
          <w:p w14:paraId="63FAD0D0"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2019-20</w:t>
            </w:r>
          </w:p>
        </w:tc>
        <w:tc>
          <w:tcPr>
            <w:tcW w:w="819" w:type="dxa"/>
            <w:tcBorders>
              <w:top w:val="single" w:sz="4" w:space="0" w:color="auto"/>
              <w:left w:val="nil"/>
              <w:bottom w:val="single" w:sz="4" w:space="0" w:color="auto"/>
              <w:right w:val="nil"/>
            </w:tcBorders>
            <w:shd w:val="clear" w:color="auto" w:fill="6B2976"/>
            <w:noWrap/>
            <w:vAlign w:val="center"/>
            <w:hideMark/>
          </w:tcPr>
          <w:p w14:paraId="2829ACEE"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2020-21</w:t>
            </w:r>
          </w:p>
        </w:tc>
        <w:tc>
          <w:tcPr>
            <w:tcW w:w="819" w:type="dxa"/>
            <w:tcBorders>
              <w:top w:val="single" w:sz="4" w:space="0" w:color="auto"/>
              <w:left w:val="nil"/>
              <w:bottom w:val="single" w:sz="4" w:space="0" w:color="auto"/>
              <w:right w:val="single" w:sz="4" w:space="0" w:color="auto"/>
            </w:tcBorders>
            <w:shd w:val="clear" w:color="auto" w:fill="6B2976"/>
            <w:noWrap/>
            <w:vAlign w:val="center"/>
            <w:hideMark/>
          </w:tcPr>
          <w:p w14:paraId="61DBF97B"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2021-22</w:t>
            </w:r>
          </w:p>
        </w:tc>
        <w:tc>
          <w:tcPr>
            <w:tcW w:w="819" w:type="dxa"/>
            <w:tcBorders>
              <w:top w:val="single" w:sz="4" w:space="0" w:color="auto"/>
              <w:left w:val="nil"/>
              <w:bottom w:val="single" w:sz="4" w:space="0" w:color="auto"/>
              <w:right w:val="single" w:sz="4" w:space="0" w:color="auto"/>
            </w:tcBorders>
            <w:shd w:val="clear" w:color="auto" w:fill="6B2976"/>
            <w:noWrap/>
            <w:vAlign w:val="center"/>
            <w:hideMark/>
          </w:tcPr>
          <w:p w14:paraId="4EFEC76A"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2022-23</w:t>
            </w:r>
          </w:p>
        </w:tc>
        <w:tc>
          <w:tcPr>
            <w:tcW w:w="819" w:type="dxa"/>
            <w:tcBorders>
              <w:top w:val="single" w:sz="4" w:space="0" w:color="auto"/>
              <w:left w:val="nil"/>
              <w:bottom w:val="single" w:sz="4" w:space="0" w:color="auto"/>
              <w:right w:val="nil"/>
            </w:tcBorders>
            <w:shd w:val="clear" w:color="auto" w:fill="6B2976"/>
            <w:noWrap/>
            <w:vAlign w:val="center"/>
            <w:hideMark/>
          </w:tcPr>
          <w:p w14:paraId="1F34FE48"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2023-24</w:t>
            </w:r>
          </w:p>
        </w:tc>
        <w:tc>
          <w:tcPr>
            <w:tcW w:w="819" w:type="dxa"/>
            <w:tcBorders>
              <w:top w:val="single" w:sz="4" w:space="0" w:color="auto"/>
              <w:left w:val="nil"/>
              <w:bottom w:val="single" w:sz="4" w:space="0" w:color="auto"/>
              <w:right w:val="nil"/>
            </w:tcBorders>
            <w:shd w:val="clear" w:color="auto" w:fill="6B2976"/>
            <w:noWrap/>
            <w:vAlign w:val="center"/>
            <w:hideMark/>
          </w:tcPr>
          <w:p w14:paraId="4F0BE2A7"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2024-25</w:t>
            </w:r>
          </w:p>
        </w:tc>
        <w:tc>
          <w:tcPr>
            <w:tcW w:w="819" w:type="dxa"/>
            <w:tcBorders>
              <w:top w:val="single" w:sz="4" w:space="0" w:color="auto"/>
              <w:left w:val="nil"/>
              <w:bottom w:val="single" w:sz="4" w:space="0" w:color="auto"/>
              <w:right w:val="nil"/>
            </w:tcBorders>
            <w:shd w:val="clear" w:color="auto" w:fill="6B2976"/>
            <w:noWrap/>
            <w:vAlign w:val="center"/>
            <w:hideMark/>
          </w:tcPr>
          <w:p w14:paraId="1602F9FC"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2025-26</w:t>
            </w:r>
          </w:p>
        </w:tc>
        <w:tc>
          <w:tcPr>
            <w:tcW w:w="819" w:type="dxa"/>
            <w:tcBorders>
              <w:top w:val="single" w:sz="4" w:space="0" w:color="auto"/>
              <w:left w:val="nil"/>
              <w:bottom w:val="single" w:sz="4" w:space="0" w:color="auto"/>
            </w:tcBorders>
            <w:shd w:val="clear" w:color="auto" w:fill="6B2976"/>
            <w:noWrap/>
            <w:vAlign w:val="center"/>
            <w:hideMark/>
          </w:tcPr>
          <w:p w14:paraId="0B3CFFCF" w14:textId="77777777" w:rsidR="00AA5292" w:rsidRPr="007F6332" w:rsidRDefault="00AA5292" w:rsidP="00AA5292">
            <w:pPr>
              <w:spacing w:after="0" w:line="240" w:lineRule="auto"/>
              <w:jc w:val="center"/>
              <w:rPr>
                <w:rFonts w:eastAsia="Times New Roman" w:cs="Arial"/>
                <w:b/>
                <w:bCs/>
                <w:color w:val="FFFFFF"/>
                <w:sz w:val="16"/>
                <w:szCs w:val="16"/>
                <w:lang w:eastAsia="en-AU"/>
              </w:rPr>
            </w:pPr>
            <w:r w:rsidRPr="007F6332">
              <w:rPr>
                <w:rFonts w:eastAsia="Times New Roman" w:cs="Arial"/>
                <w:b/>
                <w:bCs/>
                <w:color w:val="FFFFFF"/>
                <w:sz w:val="16"/>
                <w:szCs w:val="16"/>
                <w:lang w:eastAsia="en-AU"/>
              </w:rPr>
              <w:t>2026-27</w:t>
            </w:r>
          </w:p>
        </w:tc>
      </w:tr>
      <w:tr w:rsidR="00AA5292" w:rsidRPr="007F6332" w14:paraId="77BAEB5C" w14:textId="77777777" w:rsidTr="00CE7E91">
        <w:trPr>
          <w:trHeight w:val="225"/>
        </w:trPr>
        <w:tc>
          <w:tcPr>
            <w:tcW w:w="2545" w:type="dxa"/>
            <w:tcBorders>
              <w:top w:val="single" w:sz="4" w:space="0" w:color="auto"/>
              <w:bottom w:val="single" w:sz="4" w:space="0" w:color="auto"/>
              <w:right w:val="nil"/>
            </w:tcBorders>
            <w:shd w:val="clear" w:color="auto" w:fill="D3C5D7"/>
            <w:noWrap/>
            <w:vAlign w:val="center"/>
            <w:hideMark/>
          </w:tcPr>
          <w:p w14:paraId="12017EB9" w14:textId="77777777" w:rsidR="00AA5292" w:rsidRPr="007F6332" w:rsidRDefault="00AA5292" w:rsidP="00AA5292">
            <w:pPr>
              <w:spacing w:after="0" w:line="240" w:lineRule="auto"/>
              <w:rPr>
                <w:rFonts w:eastAsia="Times New Roman" w:cs="Arial"/>
                <w:b/>
                <w:bCs/>
                <w:color w:val="000000"/>
                <w:sz w:val="16"/>
                <w:szCs w:val="16"/>
                <w:lang w:eastAsia="en-AU"/>
              </w:rPr>
            </w:pPr>
            <w:r w:rsidRPr="007F6332">
              <w:rPr>
                <w:rFonts w:eastAsia="Times New Roman" w:cs="Arial"/>
                <w:b/>
                <w:bCs/>
                <w:color w:val="000000"/>
                <w:sz w:val="16"/>
                <w:szCs w:val="16"/>
                <w:lang w:eastAsia="en-AU"/>
              </w:rPr>
              <w:t>AFSR</w:t>
            </w:r>
          </w:p>
        </w:tc>
        <w:tc>
          <w:tcPr>
            <w:tcW w:w="818" w:type="dxa"/>
            <w:tcBorders>
              <w:top w:val="single" w:sz="4" w:space="0" w:color="auto"/>
              <w:left w:val="nil"/>
              <w:bottom w:val="single" w:sz="4" w:space="0" w:color="auto"/>
              <w:right w:val="nil"/>
            </w:tcBorders>
            <w:shd w:val="clear" w:color="auto" w:fill="D3C5D7"/>
            <w:noWrap/>
            <w:vAlign w:val="center"/>
            <w:hideMark/>
          </w:tcPr>
          <w:p w14:paraId="5E673D3F"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39A58303"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1D9FDDDD"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D3C5D7"/>
            <w:noWrap/>
            <w:vAlign w:val="center"/>
            <w:hideMark/>
          </w:tcPr>
          <w:p w14:paraId="190F1D9C"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D3C5D7"/>
            <w:noWrap/>
            <w:vAlign w:val="center"/>
            <w:hideMark/>
          </w:tcPr>
          <w:p w14:paraId="73EFB798"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4E633ED3"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506E0130"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273074CB"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tcBorders>
            <w:shd w:val="clear" w:color="auto" w:fill="D3C5D7"/>
            <w:noWrap/>
            <w:vAlign w:val="center"/>
            <w:hideMark/>
          </w:tcPr>
          <w:p w14:paraId="08FD47DF"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r>
      <w:tr w:rsidR="00AA5292" w:rsidRPr="007F6332" w14:paraId="6144DE31"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58E40ED9"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2023 AFSR projection</w:t>
            </w:r>
          </w:p>
        </w:tc>
        <w:tc>
          <w:tcPr>
            <w:tcW w:w="818" w:type="dxa"/>
            <w:tcBorders>
              <w:top w:val="single" w:sz="4" w:space="0" w:color="auto"/>
              <w:left w:val="nil"/>
              <w:bottom w:val="single" w:sz="4" w:space="0" w:color="auto"/>
              <w:right w:val="nil"/>
            </w:tcBorders>
            <w:shd w:val="clear" w:color="auto" w:fill="BFBFBF"/>
            <w:noWrap/>
            <w:vAlign w:val="center"/>
            <w:hideMark/>
          </w:tcPr>
          <w:p w14:paraId="401A805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53BB27FB"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4DF9AADD"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BFBFBF"/>
            <w:noWrap/>
            <w:vAlign w:val="center"/>
            <w:hideMark/>
          </w:tcPr>
          <w:p w14:paraId="7E1CC296"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BFBFBF"/>
            <w:noWrap/>
            <w:vAlign w:val="center"/>
            <w:hideMark/>
          </w:tcPr>
          <w:p w14:paraId="306200AF"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noWrap/>
            <w:vAlign w:val="center"/>
            <w:hideMark/>
          </w:tcPr>
          <w:p w14:paraId="3AC10DB8"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420,300</w:t>
            </w:r>
          </w:p>
        </w:tc>
        <w:tc>
          <w:tcPr>
            <w:tcW w:w="819" w:type="dxa"/>
            <w:tcBorders>
              <w:top w:val="single" w:sz="4" w:space="0" w:color="auto"/>
              <w:left w:val="nil"/>
              <w:bottom w:val="single" w:sz="4" w:space="0" w:color="auto"/>
              <w:right w:val="nil"/>
            </w:tcBorders>
            <w:noWrap/>
            <w:vAlign w:val="center"/>
            <w:hideMark/>
          </w:tcPr>
          <w:p w14:paraId="1B382503"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447,400</w:t>
            </w:r>
          </w:p>
        </w:tc>
        <w:tc>
          <w:tcPr>
            <w:tcW w:w="819" w:type="dxa"/>
            <w:tcBorders>
              <w:top w:val="single" w:sz="4" w:space="0" w:color="auto"/>
              <w:left w:val="nil"/>
              <w:bottom w:val="single" w:sz="4" w:space="0" w:color="auto"/>
              <w:right w:val="nil"/>
            </w:tcBorders>
            <w:noWrap/>
            <w:vAlign w:val="center"/>
            <w:hideMark/>
          </w:tcPr>
          <w:p w14:paraId="53F09D69"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470,800</w:t>
            </w:r>
          </w:p>
        </w:tc>
        <w:tc>
          <w:tcPr>
            <w:tcW w:w="819" w:type="dxa"/>
            <w:tcBorders>
              <w:top w:val="single" w:sz="4" w:space="0" w:color="auto"/>
              <w:left w:val="nil"/>
              <w:bottom w:val="single" w:sz="4" w:space="0" w:color="auto"/>
            </w:tcBorders>
            <w:noWrap/>
            <w:vAlign w:val="center"/>
            <w:hideMark/>
          </w:tcPr>
          <w:p w14:paraId="50D39D42"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491,200</w:t>
            </w:r>
          </w:p>
        </w:tc>
      </w:tr>
      <w:tr w:rsidR="00AA5292" w:rsidRPr="007F6332" w14:paraId="0E1B1D8C"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2A0CE940"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2022 projection</w:t>
            </w:r>
          </w:p>
        </w:tc>
        <w:tc>
          <w:tcPr>
            <w:tcW w:w="818" w:type="dxa"/>
            <w:tcBorders>
              <w:top w:val="single" w:sz="4" w:space="0" w:color="auto"/>
              <w:left w:val="nil"/>
              <w:bottom w:val="single" w:sz="4" w:space="0" w:color="auto"/>
              <w:right w:val="nil"/>
            </w:tcBorders>
            <w:shd w:val="clear" w:color="auto" w:fill="BFBFBF"/>
            <w:noWrap/>
            <w:vAlign w:val="center"/>
            <w:hideMark/>
          </w:tcPr>
          <w:p w14:paraId="4C5D01D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271D24F2"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241F3175"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BFBFBF"/>
            <w:noWrap/>
            <w:vAlign w:val="center"/>
            <w:hideMark/>
          </w:tcPr>
          <w:p w14:paraId="5BB90B4D"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BFBFBF"/>
            <w:noWrap/>
            <w:vAlign w:val="center"/>
            <w:hideMark/>
          </w:tcPr>
          <w:p w14:paraId="64F372D8"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noWrap/>
            <w:vAlign w:val="center"/>
            <w:hideMark/>
          </w:tcPr>
          <w:p w14:paraId="6A89BB8E"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396,900</w:t>
            </w:r>
          </w:p>
        </w:tc>
        <w:tc>
          <w:tcPr>
            <w:tcW w:w="819" w:type="dxa"/>
            <w:tcBorders>
              <w:top w:val="single" w:sz="4" w:space="0" w:color="auto"/>
              <w:left w:val="nil"/>
              <w:bottom w:val="single" w:sz="4" w:space="0" w:color="auto"/>
              <w:right w:val="nil"/>
            </w:tcBorders>
            <w:noWrap/>
            <w:vAlign w:val="center"/>
            <w:hideMark/>
          </w:tcPr>
          <w:p w14:paraId="40ED36C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424,700</w:t>
            </w:r>
          </w:p>
        </w:tc>
        <w:tc>
          <w:tcPr>
            <w:tcW w:w="819" w:type="dxa"/>
            <w:tcBorders>
              <w:top w:val="single" w:sz="4" w:space="0" w:color="auto"/>
              <w:left w:val="nil"/>
              <w:bottom w:val="single" w:sz="4" w:space="0" w:color="auto"/>
              <w:right w:val="nil"/>
            </w:tcBorders>
            <w:noWrap/>
            <w:vAlign w:val="center"/>
            <w:hideMark/>
          </w:tcPr>
          <w:p w14:paraId="675BB50D"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449,300</w:t>
            </w:r>
          </w:p>
        </w:tc>
        <w:tc>
          <w:tcPr>
            <w:tcW w:w="819" w:type="dxa"/>
            <w:tcBorders>
              <w:top w:val="single" w:sz="4" w:space="0" w:color="auto"/>
              <w:left w:val="nil"/>
              <w:bottom w:val="single" w:sz="4" w:space="0" w:color="auto"/>
            </w:tcBorders>
            <w:noWrap/>
            <w:vAlign w:val="center"/>
            <w:hideMark/>
          </w:tcPr>
          <w:p w14:paraId="443DB37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467,400</w:t>
            </w:r>
          </w:p>
        </w:tc>
      </w:tr>
      <w:tr w:rsidR="00AA5292" w:rsidRPr="007F6332" w14:paraId="227FF3D7"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41494F9D"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2022 AFSR projection</w:t>
            </w:r>
          </w:p>
        </w:tc>
        <w:tc>
          <w:tcPr>
            <w:tcW w:w="818" w:type="dxa"/>
            <w:tcBorders>
              <w:top w:val="single" w:sz="4" w:space="0" w:color="auto"/>
              <w:left w:val="nil"/>
              <w:bottom w:val="single" w:sz="4" w:space="0" w:color="auto"/>
              <w:right w:val="nil"/>
            </w:tcBorders>
            <w:shd w:val="clear" w:color="auto" w:fill="BFBFBF"/>
            <w:noWrap/>
            <w:vAlign w:val="center"/>
            <w:hideMark/>
          </w:tcPr>
          <w:p w14:paraId="34800603"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2E7381F9"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204E01F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BFBFBF"/>
            <w:noWrap/>
            <w:vAlign w:val="center"/>
            <w:hideMark/>
          </w:tcPr>
          <w:p w14:paraId="6BAEA976"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FFE699"/>
            <w:noWrap/>
            <w:vAlign w:val="center"/>
            <w:hideMark/>
          </w:tcPr>
          <w:p w14:paraId="26A8054F"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374,600</w:t>
            </w:r>
          </w:p>
        </w:tc>
        <w:tc>
          <w:tcPr>
            <w:tcW w:w="819" w:type="dxa"/>
            <w:tcBorders>
              <w:top w:val="single" w:sz="4" w:space="0" w:color="auto"/>
              <w:left w:val="nil"/>
              <w:bottom w:val="single" w:sz="4" w:space="0" w:color="auto"/>
              <w:right w:val="nil"/>
            </w:tcBorders>
            <w:noWrap/>
            <w:vAlign w:val="center"/>
            <w:hideMark/>
          </w:tcPr>
          <w:p w14:paraId="16E081D7"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391,500</w:t>
            </w:r>
          </w:p>
        </w:tc>
        <w:tc>
          <w:tcPr>
            <w:tcW w:w="819" w:type="dxa"/>
            <w:tcBorders>
              <w:top w:val="single" w:sz="4" w:space="0" w:color="auto"/>
              <w:left w:val="nil"/>
              <w:bottom w:val="single" w:sz="4" w:space="0" w:color="auto"/>
              <w:right w:val="nil"/>
            </w:tcBorders>
            <w:noWrap/>
            <w:vAlign w:val="center"/>
            <w:hideMark/>
          </w:tcPr>
          <w:p w14:paraId="3DE1DC4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426,900</w:t>
            </w:r>
          </w:p>
        </w:tc>
        <w:tc>
          <w:tcPr>
            <w:tcW w:w="819" w:type="dxa"/>
            <w:tcBorders>
              <w:top w:val="single" w:sz="4" w:space="0" w:color="auto"/>
              <w:left w:val="nil"/>
              <w:bottom w:val="single" w:sz="4" w:space="0" w:color="auto"/>
              <w:right w:val="nil"/>
            </w:tcBorders>
            <w:noWrap/>
            <w:vAlign w:val="center"/>
            <w:hideMark/>
          </w:tcPr>
          <w:p w14:paraId="1CCCCBC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461,300</w:t>
            </w:r>
          </w:p>
        </w:tc>
        <w:tc>
          <w:tcPr>
            <w:tcW w:w="819" w:type="dxa"/>
            <w:tcBorders>
              <w:top w:val="single" w:sz="4" w:space="0" w:color="auto"/>
              <w:left w:val="nil"/>
              <w:bottom w:val="single" w:sz="4" w:space="0" w:color="auto"/>
            </w:tcBorders>
            <w:noWrap/>
            <w:vAlign w:val="center"/>
            <w:hideMark/>
          </w:tcPr>
          <w:p w14:paraId="77B2D41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483,900</w:t>
            </w:r>
          </w:p>
        </w:tc>
      </w:tr>
      <w:tr w:rsidR="00AA5292" w:rsidRPr="007F6332" w14:paraId="27004612"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21BA4577"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2021 AFSR projection</w:t>
            </w:r>
          </w:p>
        </w:tc>
        <w:tc>
          <w:tcPr>
            <w:tcW w:w="818" w:type="dxa"/>
            <w:tcBorders>
              <w:top w:val="single" w:sz="4" w:space="0" w:color="auto"/>
              <w:left w:val="nil"/>
              <w:bottom w:val="single" w:sz="4" w:space="0" w:color="auto"/>
              <w:right w:val="nil"/>
            </w:tcBorders>
            <w:shd w:val="clear" w:color="auto" w:fill="BFBFBF"/>
            <w:noWrap/>
            <w:vAlign w:val="center"/>
            <w:hideMark/>
          </w:tcPr>
          <w:p w14:paraId="0207AF37"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7BD9814E"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6242939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FFE699"/>
            <w:noWrap/>
            <w:vAlign w:val="center"/>
            <w:hideMark/>
          </w:tcPr>
          <w:p w14:paraId="2F25A569"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343,000</w:t>
            </w:r>
          </w:p>
        </w:tc>
        <w:tc>
          <w:tcPr>
            <w:tcW w:w="819" w:type="dxa"/>
            <w:tcBorders>
              <w:top w:val="single" w:sz="4" w:space="0" w:color="auto"/>
              <w:left w:val="nil"/>
              <w:bottom w:val="single" w:sz="4" w:space="0" w:color="auto"/>
              <w:right w:val="single" w:sz="4" w:space="0" w:color="auto"/>
            </w:tcBorders>
            <w:noWrap/>
            <w:vAlign w:val="center"/>
            <w:hideMark/>
          </w:tcPr>
          <w:p w14:paraId="52476989"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360,800</w:t>
            </w:r>
          </w:p>
        </w:tc>
        <w:tc>
          <w:tcPr>
            <w:tcW w:w="819" w:type="dxa"/>
            <w:tcBorders>
              <w:top w:val="single" w:sz="4" w:space="0" w:color="auto"/>
              <w:left w:val="nil"/>
              <w:bottom w:val="single" w:sz="4" w:space="0" w:color="auto"/>
              <w:right w:val="nil"/>
            </w:tcBorders>
            <w:noWrap/>
            <w:vAlign w:val="center"/>
            <w:hideMark/>
          </w:tcPr>
          <w:p w14:paraId="18A8960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373,800</w:t>
            </w:r>
          </w:p>
        </w:tc>
        <w:tc>
          <w:tcPr>
            <w:tcW w:w="819" w:type="dxa"/>
            <w:tcBorders>
              <w:top w:val="single" w:sz="4" w:space="0" w:color="auto"/>
              <w:left w:val="nil"/>
              <w:bottom w:val="single" w:sz="4" w:space="0" w:color="auto"/>
              <w:right w:val="nil"/>
            </w:tcBorders>
            <w:noWrap/>
            <w:vAlign w:val="center"/>
            <w:hideMark/>
          </w:tcPr>
          <w:p w14:paraId="169105B5"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386,700</w:t>
            </w:r>
          </w:p>
        </w:tc>
        <w:tc>
          <w:tcPr>
            <w:tcW w:w="819" w:type="dxa"/>
            <w:tcBorders>
              <w:top w:val="single" w:sz="4" w:space="0" w:color="auto"/>
              <w:left w:val="nil"/>
              <w:bottom w:val="single" w:sz="4" w:space="0" w:color="auto"/>
              <w:right w:val="nil"/>
            </w:tcBorders>
            <w:noWrap/>
            <w:vAlign w:val="center"/>
            <w:hideMark/>
          </w:tcPr>
          <w:p w14:paraId="54949ED5"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400,100</w:t>
            </w:r>
          </w:p>
        </w:tc>
        <w:tc>
          <w:tcPr>
            <w:tcW w:w="819" w:type="dxa"/>
            <w:tcBorders>
              <w:top w:val="single" w:sz="4" w:space="0" w:color="auto"/>
              <w:left w:val="nil"/>
              <w:bottom w:val="single" w:sz="4" w:space="0" w:color="auto"/>
            </w:tcBorders>
            <w:noWrap/>
            <w:vAlign w:val="center"/>
            <w:hideMark/>
          </w:tcPr>
          <w:p w14:paraId="649E466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414,200</w:t>
            </w:r>
          </w:p>
        </w:tc>
      </w:tr>
      <w:tr w:rsidR="00AA5292" w:rsidRPr="007F6332" w14:paraId="49B6A502"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508CFA27"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2020 projection</w:t>
            </w:r>
          </w:p>
        </w:tc>
        <w:tc>
          <w:tcPr>
            <w:tcW w:w="818" w:type="dxa"/>
            <w:tcBorders>
              <w:top w:val="single" w:sz="4" w:space="0" w:color="auto"/>
              <w:left w:val="nil"/>
              <w:bottom w:val="single" w:sz="4" w:space="0" w:color="auto"/>
              <w:right w:val="nil"/>
            </w:tcBorders>
            <w:shd w:val="clear" w:color="auto" w:fill="BFBFBF"/>
            <w:noWrap/>
            <w:vAlign w:val="center"/>
            <w:hideMark/>
          </w:tcPr>
          <w:p w14:paraId="4B658D4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11EA825D"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6C97F6E2"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single" w:sz="4" w:space="0" w:color="auto"/>
            </w:tcBorders>
            <w:noWrap/>
            <w:vAlign w:val="center"/>
            <w:hideMark/>
          </w:tcPr>
          <w:p w14:paraId="1CE738C9"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340,000</w:t>
            </w:r>
          </w:p>
        </w:tc>
        <w:tc>
          <w:tcPr>
            <w:tcW w:w="819" w:type="dxa"/>
            <w:tcBorders>
              <w:top w:val="single" w:sz="4" w:space="0" w:color="auto"/>
              <w:left w:val="nil"/>
              <w:bottom w:val="single" w:sz="4" w:space="0" w:color="auto"/>
              <w:right w:val="single" w:sz="4" w:space="0" w:color="auto"/>
            </w:tcBorders>
            <w:noWrap/>
            <w:vAlign w:val="center"/>
            <w:hideMark/>
          </w:tcPr>
          <w:p w14:paraId="6D7A3415"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359,400</w:t>
            </w:r>
          </w:p>
        </w:tc>
        <w:tc>
          <w:tcPr>
            <w:tcW w:w="819" w:type="dxa"/>
            <w:tcBorders>
              <w:top w:val="single" w:sz="4" w:space="0" w:color="auto"/>
              <w:left w:val="nil"/>
              <w:bottom w:val="single" w:sz="4" w:space="0" w:color="auto"/>
              <w:right w:val="nil"/>
            </w:tcBorders>
            <w:noWrap/>
            <w:vAlign w:val="center"/>
            <w:hideMark/>
          </w:tcPr>
          <w:p w14:paraId="042D0B42"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372,600</w:t>
            </w:r>
          </w:p>
        </w:tc>
        <w:tc>
          <w:tcPr>
            <w:tcW w:w="819" w:type="dxa"/>
            <w:tcBorders>
              <w:top w:val="single" w:sz="4" w:space="0" w:color="auto"/>
              <w:left w:val="nil"/>
              <w:bottom w:val="single" w:sz="4" w:space="0" w:color="auto"/>
              <w:right w:val="nil"/>
            </w:tcBorders>
            <w:noWrap/>
            <w:vAlign w:val="center"/>
            <w:hideMark/>
          </w:tcPr>
          <w:p w14:paraId="4F159FBE"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382,500</w:t>
            </w:r>
          </w:p>
        </w:tc>
        <w:tc>
          <w:tcPr>
            <w:tcW w:w="819" w:type="dxa"/>
            <w:tcBorders>
              <w:top w:val="single" w:sz="4" w:space="0" w:color="auto"/>
              <w:left w:val="nil"/>
              <w:bottom w:val="single" w:sz="4" w:space="0" w:color="auto"/>
              <w:right w:val="nil"/>
            </w:tcBorders>
            <w:noWrap/>
            <w:vAlign w:val="center"/>
            <w:hideMark/>
          </w:tcPr>
          <w:p w14:paraId="0B9E21C8"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395,800</w:t>
            </w:r>
          </w:p>
        </w:tc>
        <w:tc>
          <w:tcPr>
            <w:tcW w:w="819" w:type="dxa"/>
            <w:tcBorders>
              <w:top w:val="single" w:sz="4" w:space="0" w:color="auto"/>
              <w:left w:val="nil"/>
              <w:bottom w:val="single" w:sz="4" w:space="0" w:color="auto"/>
            </w:tcBorders>
            <w:noWrap/>
            <w:vAlign w:val="center"/>
            <w:hideMark/>
          </w:tcPr>
          <w:p w14:paraId="4C829C65"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410,800</w:t>
            </w:r>
          </w:p>
        </w:tc>
      </w:tr>
      <w:tr w:rsidR="00AA5292" w:rsidRPr="007F6332" w14:paraId="4D76E4B1"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7EE52127"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2020 AFSR projection</w:t>
            </w:r>
          </w:p>
        </w:tc>
        <w:tc>
          <w:tcPr>
            <w:tcW w:w="818" w:type="dxa"/>
            <w:tcBorders>
              <w:top w:val="single" w:sz="4" w:space="0" w:color="auto"/>
              <w:left w:val="nil"/>
              <w:bottom w:val="single" w:sz="4" w:space="0" w:color="auto"/>
              <w:right w:val="nil"/>
            </w:tcBorders>
            <w:shd w:val="clear" w:color="auto" w:fill="BFBFBF"/>
            <w:noWrap/>
            <w:vAlign w:val="center"/>
            <w:hideMark/>
          </w:tcPr>
          <w:p w14:paraId="3735D6CB"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277E0CE1"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FFE699"/>
            <w:noWrap/>
            <w:vAlign w:val="center"/>
            <w:hideMark/>
          </w:tcPr>
          <w:p w14:paraId="29C0D321"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319,200</w:t>
            </w:r>
          </w:p>
        </w:tc>
        <w:tc>
          <w:tcPr>
            <w:tcW w:w="819" w:type="dxa"/>
            <w:tcBorders>
              <w:top w:val="single" w:sz="4" w:space="0" w:color="auto"/>
              <w:left w:val="nil"/>
              <w:bottom w:val="single" w:sz="4" w:space="0" w:color="auto"/>
              <w:right w:val="single" w:sz="4" w:space="0" w:color="auto"/>
            </w:tcBorders>
            <w:noWrap/>
            <w:vAlign w:val="center"/>
            <w:hideMark/>
          </w:tcPr>
          <w:p w14:paraId="65706616"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338,500</w:t>
            </w:r>
          </w:p>
        </w:tc>
        <w:tc>
          <w:tcPr>
            <w:tcW w:w="819" w:type="dxa"/>
            <w:tcBorders>
              <w:top w:val="single" w:sz="4" w:space="0" w:color="auto"/>
              <w:left w:val="nil"/>
              <w:bottom w:val="single" w:sz="4" w:space="0" w:color="auto"/>
              <w:right w:val="single" w:sz="4" w:space="0" w:color="auto"/>
            </w:tcBorders>
            <w:noWrap/>
            <w:vAlign w:val="center"/>
            <w:hideMark/>
          </w:tcPr>
          <w:p w14:paraId="240956AD"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354,200</w:t>
            </w:r>
          </w:p>
        </w:tc>
        <w:tc>
          <w:tcPr>
            <w:tcW w:w="819" w:type="dxa"/>
            <w:tcBorders>
              <w:top w:val="single" w:sz="4" w:space="0" w:color="auto"/>
              <w:left w:val="nil"/>
              <w:bottom w:val="single" w:sz="4" w:space="0" w:color="auto"/>
              <w:right w:val="nil"/>
            </w:tcBorders>
            <w:noWrap/>
            <w:vAlign w:val="center"/>
            <w:hideMark/>
          </w:tcPr>
          <w:p w14:paraId="154EE7EB"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370,500</w:t>
            </w:r>
          </w:p>
        </w:tc>
        <w:tc>
          <w:tcPr>
            <w:tcW w:w="819" w:type="dxa"/>
            <w:tcBorders>
              <w:top w:val="single" w:sz="4" w:space="0" w:color="auto"/>
              <w:left w:val="nil"/>
              <w:bottom w:val="single" w:sz="4" w:space="0" w:color="auto"/>
              <w:right w:val="nil"/>
            </w:tcBorders>
            <w:noWrap/>
            <w:vAlign w:val="center"/>
            <w:hideMark/>
          </w:tcPr>
          <w:p w14:paraId="0F23D746"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389,100</w:t>
            </w:r>
          </w:p>
        </w:tc>
        <w:tc>
          <w:tcPr>
            <w:tcW w:w="819" w:type="dxa"/>
            <w:tcBorders>
              <w:top w:val="single" w:sz="4" w:space="0" w:color="auto"/>
              <w:left w:val="nil"/>
              <w:bottom w:val="single" w:sz="4" w:space="0" w:color="auto"/>
              <w:right w:val="nil"/>
            </w:tcBorders>
            <w:noWrap/>
            <w:vAlign w:val="center"/>
            <w:hideMark/>
          </w:tcPr>
          <w:p w14:paraId="6D06550B"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407,500</w:t>
            </w:r>
          </w:p>
        </w:tc>
        <w:tc>
          <w:tcPr>
            <w:tcW w:w="819" w:type="dxa"/>
            <w:tcBorders>
              <w:top w:val="single" w:sz="4" w:space="0" w:color="auto"/>
              <w:left w:val="nil"/>
              <w:bottom w:val="single" w:sz="4" w:space="0" w:color="auto"/>
            </w:tcBorders>
            <w:noWrap/>
            <w:vAlign w:val="center"/>
            <w:hideMark/>
          </w:tcPr>
          <w:p w14:paraId="26F9852D"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425,600</w:t>
            </w:r>
          </w:p>
        </w:tc>
      </w:tr>
      <w:tr w:rsidR="00AA5292" w:rsidRPr="007F6332" w14:paraId="10ECC869"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65302FDE"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31 December 2019 projection</w:t>
            </w:r>
          </w:p>
        </w:tc>
        <w:tc>
          <w:tcPr>
            <w:tcW w:w="818" w:type="dxa"/>
            <w:tcBorders>
              <w:top w:val="single" w:sz="4" w:space="0" w:color="auto"/>
              <w:left w:val="nil"/>
              <w:bottom w:val="single" w:sz="4" w:space="0" w:color="auto"/>
              <w:right w:val="nil"/>
            </w:tcBorders>
            <w:shd w:val="clear" w:color="auto" w:fill="BFBFBF"/>
            <w:noWrap/>
            <w:vAlign w:val="center"/>
            <w:hideMark/>
          </w:tcPr>
          <w:p w14:paraId="04A94220"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6C5A7D5F"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noWrap/>
            <w:vAlign w:val="center"/>
            <w:hideMark/>
          </w:tcPr>
          <w:p w14:paraId="668884BE"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315,700</w:t>
            </w:r>
          </w:p>
        </w:tc>
        <w:tc>
          <w:tcPr>
            <w:tcW w:w="819" w:type="dxa"/>
            <w:tcBorders>
              <w:top w:val="single" w:sz="4" w:space="0" w:color="auto"/>
              <w:left w:val="nil"/>
              <w:bottom w:val="single" w:sz="4" w:space="0" w:color="auto"/>
              <w:right w:val="single" w:sz="4" w:space="0" w:color="auto"/>
            </w:tcBorders>
            <w:noWrap/>
            <w:vAlign w:val="center"/>
            <w:hideMark/>
          </w:tcPr>
          <w:p w14:paraId="1E596822"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336,600</w:t>
            </w:r>
          </w:p>
        </w:tc>
        <w:tc>
          <w:tcPr>
            <w:tcW w:w="819" w:type="dxa"/>
            <w:tcBorders>
              <w:top w:val="single" w:sz="4" w:space="0" w:color="auto"/>
              <w:left w:val="nil"/>
              <w:bottom w:val="single" w:sz="4" w:space="0" w:color="auto"/>
              <w:right w:val="single" w:sz="4" w:space="0" w:color="auto"/>
            </w:tcBorders>
            <w:noWrap/>
            <w:vAlign w:val="center"/>
            <w:hideMark/>
          </w:tcPr>
          <w:p w14:paraId="66FCA489"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357,100</w:t>
            </w:r>
          </w:p>
        </w:tc>
        <w:tc>
          <w:tcPr>
            <w:tcW w:w="819" w:type="dxa"/>
            <w:tcBorders>
              <w:top w:val="single" w:sz="4" w:space="0" w:color="auto"/>
              <w:left w:val="nil"/>
              <w:bottom w:val="single" w:sz="4" w:space="0" w:color="auto"/>
              <w:right w:val="nil"/>
            </w:tcBorders>
            <w:noWrap/>
            <w:vAlign w:val="center"/>
            <w:hideMark/>
          </w:tcPr>
          <w:p w14:paraId="054100D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379,400</w:t>
            </w:r>
          </w:p>
        </w:tc>
        <w:tc>
          <w:tcPr>
            <w:tcW w:w="819" w:type="dxa"/>
            <w:tcBorders>
              <w:top w:val="single" w:sz="4" w:space="0" w:color="auto"/>
              <w:left w:val="nil"/>
              <w:bottom w:val="single" w:sz="4" w:space="0" w:color="auto"/>
              <w:right w:val="nil"/>
            </w:tcBorders>
            <w:noWrap/>
            <w:vAlign w:val="center"/>
            <w:hideMark/>
          </w:tcPr>
          <w:p w14:paraId="29CA5FF2"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401,400</w:t>
            </w:r>
          </w:p>
        </w:tc>
        <w:tc>
          <w:tcPr>
            <w:tcW w:w="819" w:type="dxa"/>
            <w:tcBorders>
              <w:top w:val="single" w:sz="4" w:space="0" w:color="auto"/>
              <w:left w:val="nil"/>
              <w:bottom w:val="single" w:sz="4" w:space="0" w:color="auto"/>
              <w:right w:val="nil"/>
            </w:tcBorders>
            <w:noWrap/>
            <w:vAlign w:val="center"/>
            <w:hideMark/>
          </w:tcPr>
          <w:p w14:paraId="53CF9BF5"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417,900</w:t>
            </w:r>
          </w:p>
        </w:tc>
        <w:tc>
          <w:tcPr>
            <w:tcW w:w="819" w:type="dxa"/>
            <w:tcBorders>
              <w:top w:val="single" w:sz="4" w:space="0" w:color="auto"/>
              <w:left w:val="nil"/>
              <w:bottom w:val="single" w:sz="4" w:space="0" w:color="auto"/>
            </w:tcBorders>
            <w:noWrap/>
            <w:vAlign w:val="center"/>
            <w:hideMark/>
          </w:tcPr>
          <w:p w14:paraId="5E9EE60F"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435,200</w:t>
            </w:r>
          </w:p>
        </w:tc>
      </w:tr>
      <w:tr w:rsidR="00AA5292" w:rsidRPr="007F6332" w14:paraId="71CADEDD"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66D11A64"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2019 AFSR projection</w:t>
            </w:r>
          </w:p>
        </w:tc>
        <w:tc>
          <w:tcPr>
            <w:tcW w:w="818" w:type="dxa"/>
            <w:tcBorders>
              <w:top w:val="single" w:sz="4" w:space="0" w:color="auto"/>
              <w:left w:val="nil"/>
              <w:bottom w:val="single" w:sz="4" w:space="0" w:color="auto"/>
              <w:right w:val="nil"/>
            </w:tcBorders>
            <w:shd w:val="clear" w:color="auto" w:fill="BFBFBF"/>
            <w:noWrap/>
            <w:vAlign w:val="center"/>
            <w:hideMark/>
          </w:tcPr>
          <w:p w14:paraId="7EEE5BA5"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FFE699"/>
            <w:noWrap/>
            <w:vAlign w:val="center"/>
            <w:hideMark/>
          </w:tcPr>
          <w:p w14:paraId="193EC9A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262,600</w:t>
            </w:r>
          </w:p>
        </w:tc>
        <w:tc>
          <w:tcPr>
            <w:tcW w:w="819" w:type="dxa"/>
            <w:tcBorders>
              <w:top w:val="single" w:sz="4" w:space="0" w:color="auto"/>
              <w:left w:val="nil"/>
              <w:bottom w:val="single" w:sz="4" w:space="0" w:color="auto"/>
              <w:right w:val="nil"/>
            </w:tcBorders>
            <w:noWrap/>
            <w:vAlign w:val="center"/>
            <w:hideMark/>
          </w:tcPr>
          <w:p w14:paraId="18CB815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280,100</w:t>
            </w:r>
          </w:p>
        </w:tc>
        <w:tc>
          <w:tcPr>
            <w:tcW w:w="819" w:type="dxa"/>
            <w:tcBorders>
              <w:top w:val="single" w:sz="4" w:space="0" w:color="auto"/>
              <w:left w:val="nil"/>
              <w:bottom w:val="single" w:sz="4" w:space="0" w:color="auto"/>
              <w:right w:val="single" w:sz="4" w:space="0" w:color="auto"/>
            </w:tcBorders>
            <w:noWrap/>
            <w:vAlign w:val="center"/>
            <w:hideMark/>
          </w:tcPr>
          <w:p w14:paraId="522E70E6"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294,600</w:t>
            </w:r>
          </w:p>
        </w:tc>
        <w:tc>
          <w:tcPr>
            <w:tcW w:w="819" w:type="dxa"/>
            <w:tcBorders>
              <w:top w:val="single" w:sz="4" w:space="0" w:color="auto"/>
              <w:left w:val="nil"/>
              <w:bottom w:val="single" w:sz="4" w:space="0" w:color="auto"/>
              <w:right w:val="single" w:sz="4" w:space="0" w:color="auto"/>
            </w:tcBorders>
            <w:noWrap/>
            <w:vAlign w:val="center"/>
            <w:hideMark/>
          </w:tcPr>
          <w:p w14:paraId="5AAE1686"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309,700</w:t>
            </w:r>
          </w:p>
        </w:tc>
        <w:tc>
          <w:tcPr>
            <w:tcW w:w="819" w:type="dxa"/>
            <w:tcBorders>
              <w:top w:val="single" w:sz="4" w:space="0" w:color="auto"/>
              <w:left w:val="nil"/>
              <w:bottom w:val="single" w:sz="4" w:space="0" w:color="auto"/>
              <w:right w:val="nil"/>
            </w:tcBorders>
            <w:noWrap/>
            <w:vAlign w:val="center"/>
            <w:hideMark/>
          </w:tcPr>
          <w:p w14:paraId="63A2ECE4"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325,500</w:t>
            </w:r>
          </w:p>
        </w:tc>
        <w:tc>
          <w:tcPr>
            <w:tcW w:w="819" w:type="dxa"/>
            <w:tcBorders>
              <w:top w:val="single" w:sz="4" w:space="0" w:color="auto"/>
              <w:left w:val="nil"/>
              <w:bottom w:val="single" w:sz="4" w:space="0" w:color="auto"/>
              <w:right w:val="nil"/>
            </w:tcBorders>
            <w:noWrap/>
            <w:vAlign w:val="center"/>
            <w:hideMark/>
          </w:tcPr>
          <w:p w14:paraId="7C66DB57"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340,600</w:t>
            </w:r>
          </w:p>
        </w:tc>
        <w:tc>
          <w:tcPr>
            <w:tcW w:w="819" w:type="dxa"/>
            <w:tcBorders>
              <w:top w:val="single" w:sz="4" w:space="0" w:color="auto"/>
              <w:left w:val="nil"/>
              <w:bottom w:val="single" w:sz="4" w:space="0" w:color="auto"/>
              <w:right w:val="nil"/>
            </w:tcBorders>
            <w:noWrap/>
            <w:vAlign w:val="center"/>
            <w:hideMark/>
          </w:tcPr>
          <w:p w14:paraId="10F983C2"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354,400</w:t>
            </w:r>
          </w:p>
        </w:tc>
        <w:tc>
          <w:tcPr>
            <w:tcW w:w="819" w:type="dxa"/>
            <w:tcBorders>
              <w:top w:val="single" w:sz="4" w:space="0" w:color="auto"/>
              <w:left w:val="nil"/>
              <w:bottom w:val="single" w:sz="4" w:space="0" w:color="auto"/>
            </w:tcBorders>
            <w:noWrap/>
            <w:vAlign w:val="center"/>
            <w:hideMark/>
          </w:tcPr>
          <w:p w14:paraId="4F40535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368,800</w:t>
            </w:r>
          </w:p>
        </w:tc>
      </w:tr>
      <w:tr w:rsidR="00AA5292" w:rsidRPr="007F6332" w14:paraId="0C9DBEC3"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0ED4BA73"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30 June 2018 AFSR projection</w:t>
            </w:r>
          </w:p>
        </w:tc>
        <w:tc>
          <w:tcPr>
            <w:tcW w:w="818" w:type="dxa"/>
            <w:tcBorders>
              <w:top w:val="single" w:sz="4" w:space="0" w:color="auto"/>
              <w:left w:val="nil"/>
              <w:bottom w:val="single" w:sz="4" w:space="0" w:color="auto"/>
              <w:right w:val="nil"/>
            </w:tcBorders>
            <w:shd w:val="clear" w:color="auto" w:fill="FFE699"/>
            <w:noWrap/>
            <w:vAlign w:val="center"/>
            <w:hideMark/>
          </w:tcPr>
          <w:p w14:paraId="1201927D"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255,000</w:t>
            </w:r>
          </w:p>
        </w:tc>
        <w:tc>
          <w:tcPr>
            <w:tcW w:w="819" w:type="dxa"/>
            <w:tcBorders>
              <w:top w:val="single" w:sz="4" w:space="0" w:color="auto"/>
              <w:left w:val="nil"/>
              <w:bottom w:val="single" w:sz="4" w:space="0" w:color="auto"/>
              <w:right w:val="nil"/>
            </w:tcBorders>
            <w:noWrap/>
            <w:vAlign w:val="center"/>
            <w:hideMark/>
          </w:tcPr>
          <w:p w14:paraId="615D8E8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273,400</w:t>
            </w:r>
          </w:p>
        </w:tc>
        <w:tc>
          <w:tcPr>
            <w:tcW w:w="819" w:type="dxa"/>
            <w:tcBorders>
              <w:top w:val="single" w:sz="4" w:space="0" w:color="auto"/>
              <w:left w:val="nil"/>
              <w:bottom w:val="single" w:sz="4" w:space="0" w:color="auto"/>
              <w:right w:val="nil"/>
            </w:tcBorders>
            <w:noWrap/>
            <w:vAlign w:val="center"/>
            <w:hideMark/>
          </w:tcPr>
          <w:p w14:paraId="5D3228C3"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288,800</w:t>
            </w:r>
          </w:p>
        </w:tc>
        <w:tc>
          <w:tcPr>
            <w:tcW w:w="819" w:type="dxa"/>
            <w:tcBorders>
              <w:top w:val="single" w:sz="4" w:space="0" w:color="auto"/>
              <w:left w:val="nil"/>
              <w:bottom w:val="single" w:sz="4" w:space="0" w:color="auto"/>
              <w:right w:val="single" w:sz="4" w:space="0" w:color="auto"/>
            </w:tcBorders>
            <w:noWrap/>
            <w:vAlign w:val="center"/>
            <w:hideMark/>
          </w:tcPr>
          <w:p w14:paraId="68529881"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301,800</w:t>
            </w:r>
          </w:p>
        </w:tc>
        <w:tc>
          <w:tcPr>
            <w:tcW w:w="819" w:type="dxa"/>
            <w:tcBorders>
              <w:top w:val="single" w:sz="4" w:space="0" w:color="auto"/>
              <w:left w:val="nil"/>
              <w:bottom w:val="single" w:sz="4" w:space="0" w:color="auto"/>
              <w:right w:val="single" w:sz="4" w:space="0" w:color="auto"/>
            </w:tcBorders>
            <w:noWrap/>
            <w:vAlign w:val="center"/>
            <w:hideMark/>
          </w:tcPr>
          <w:p w14:paraId="43B17AA2"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314,000</w:t>
            </w:r>
          </w:p>
        </w:tc>
        <w:tc>
          <w:tcPr>
            <w:tcW w:w="819" w:type="dxa"/>
            <w:tcBorders>
              <w:top w:val="single" w:sz="4" w:space="0" w:color="auto"/>
              <w:left w:val="nil"/>
              <w:bottom w:val="single" w:sz="4" w:space="0" w:color="auto"/>
              <w:right w:val="nil"/>
            </w:tcBorders>
            <w:noWrap/>
            <w:vAlign w:val="center"/>
            <w:hideMark/>
          </w:tcPr>
          <w:p w14:paraId="0ABA76AA"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326,800</w:t>
            </w:r>
          </w:p>
        </w:tc>
        <w:tc>
          <w:tcPr>
            <w:tcW w:w="819" w:type="dxa"/>
            <w:tcBorders>
              <w:top w:val="single" w:sz="4" w:space="0" w:color="auto"/>
              <w:left w:val="nil"/>
              <w:bottom w:val="single" w:sz="4" w:space="0" w:color="auto"/>
              <w:right w:val="nil"/>
            </w:tcBorders>
            <w:noWrap/>
            <w:vAlign w:val="center"/>
            <w:hideMark/>
          </w:tcPr>
          <w:p w14:paraId="2E671B1F"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340,200</w:t>
            </w:r>
          </w:p>
        </w:tc>
        <w:tc>
          <w:tcPr>
            <w:tcW w:w="819" w:type="dxa"/>
            <w:tcBorders>
              <w:top w:val="single" w:sz="4" w:space="0" w:color="auto"/>
              <w:left w:val="nil"/>
              <w:bottom w:val="single" w:sz="4" w:space="0" w:color="auto"/>
              <w:right w:val="nil"/>
            </w:tcBorders>
            <w:noWrap/>
            <w:vAlign w:val="center"/>
            <w:hideMark/>
          </w:tcPr>
          <w:p w14:paraId="4488330D"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354,100</w:t>
            </w:r>
          </w:p>
        </w:tc>
        <w:tc>
          <w:tcPr>
            <w:tcW w:w="819" w:type="dxa"/>
            <w:tcBorders>
              <w:top w:val="single" w:sz="4" w:space="0" w:color="auto"/>
              <w:left w:val="nil"/>
              <w:bottom w:val="single" w:sz="4" w:space="0" w:color="auto"/>
            </w:tcBorders>
            <w:noWrap/>
            <w:vAlign w:val="center"/>
            <w:hideMark/>
          </w:tcPr>
          <w:p w14:paraId="381B5BCE"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368,700</w:t>
            </w:r>
          </w:p>
        </w:tc>
      </w:tr>
      <w:tr w:rsidR="00AA5292" w:rsidRPr="007F6332" w14:paraId="14E9A7D8" w14:textId="77777777" w:rsidTr="00CE7E91">
        <w:trPr>
          <w:trHeight w:val="225"/>
        </w:trPr>
        <w:tc>
          <w:tcPr>
            <w:tcW w:w="2545" w:type="dxa"/>
            <w:tcBorders>
              <w:top w:val="single" w:sz="4" w:space="0" w:color="auto"/>
              <w:bottom w:val="single" w:sz="4" w:space="0" w:color="auto"/>
              <w:right w:val="nil"/>
            </w:tcBorders>
            <w:shd w:val="clear" w:color="auto" w:fill="D3C5D7"/>
            <w:noWrap/>
            <w:vAlign w:val="center"/>
            <w:hideMark/>
          </w:tcPr>
          <w:p w14:paraId="1AABF8E9" w14:textId="77777777" w:rsidR="00AA5292" w:rsidRPr="007F6332" w:rsidRDefault="00AA5292" w:rsidP="00AA5292">
            <w:pPr>
              <w:spacing w:after="0" w:line="240" w:lineRule="auto"/>
              <w:rPr>
                <w:rFonts w:eastAsia="Times New Roman" w:cs="Arial"/>
                <w:b/>
                <w:bCs/>
                <w:color w:val="000000"/>
                <w:sz w:val="16"/>
                <w:szCs w:val="16"/>
                <w:lang w:eastAsia="en-AU"/>
              </w:rPr>
            </w:pPr>
            <w:r w:rsidRPr="007F6332">
              <w:rPr>
                <w:rFonts w:eastAsia="Times New Roman" w:cs="Arial"/>
                <w:b/>
                <w:bCs/>
                <w:color w:val="000000"/>
                <w:sz w:val="16"/>
                <w:szCs w:val="16"/>
                <w:lang w:eastAsia="en-AU"/>
              </w:rPr>
              <w:t>Comparison with actuals</w:t>
            </w:r>
          </w:p>
        </w:tc>
        <w:tc>
          <w:tcPr>
            <w:tcW w:w="818" w:type="dxa"/>
            <w:tcBorders>
              <w:top w:val="single" w:sz="4" w:space="0" w:color="auto"/>
              <w:left w:val="nil"/>
              <w:bottom w:val="single" w:sz="4" w:space="0" w:color="auto"/>
              <w:right w:val="nil"/>
            </w:tcBorders>
            <w:shd w:val="clear" w:color="auto" w:fill="D3C5D7"/>
            <w:noWrap/>
            <w:vAlign w:val="center"/>
            <w:hideMark/>
          </w:tcPr>
          <w:p w14:paraId="5278D3B7"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005F01DB"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57D6D106"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D3C5D7"/>
            <w:noWrap/>
            <w:vAlign w:val="center"/>
            <w:hideMark/>
          </w:tcPr>
          <w:p w14:paraId="671DC24C"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single" w:sz="4" w:space="0" w:color="auto"/>
            </w:tcBorders>
            <w:shd w:val="clear" w:color="auto" w:fill="D3C5D7"/>
            <w:noWrap/>
            <w:vAlign w:val="center"/>
            <w:hideMark/>
          </w:tcPr>
          <w:p w14:paraId="7BB3D425"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3CDE76EB"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3D84E95E"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D3C5D7"/>
            <w:noWrap/>
            <w:vAlign w:val="center"/>
            <w:hideMark/>
          </w:tcPr>
          <w:p w14:paraId="2EF98661"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c>
          <w:tcPr>
            <w:tcW w:w="819" w:type="dxa"/>
            <w:tcBorders>
              <w:top w:val="single" w:sz="4" w:space="0" w:color="auto"/>
              <w:left w:val="nil"/>
              <w:bottom w:val="single" w:sz="4" w:space="0" w:color="auto"/>
            </w:tcBorders>
            <w:shd w:val="clear" w:color="auto" w:fill="D3C5D7"/>
            <w:noWrap/>
            <w:vAlign w:val="center"/>
            <w:hideMark/>
          </w:tcPr>
          <w:p w14:paraId="35A4F8CD" w14:textId="77777777" w:rsidR="00AA5292" w:rsidRPr="007F6332" w:rsidRDefault="00AA5292" w:rsidP="00AA5292">
            <w:pPr>
              <w:spacing w:after="0" w:line="240" w:lineRule="auto"/>
              <w:jc w:val="center"/>
              <w:rPr>
                <w:rFonts w:eastAsia="Times New Roman" w:cs="Arial"/>
                <w:b/>
                <w:bCs/>
                <w:color w:val="000000"/>
                <w:sz w:val="16"/>
                <w:szCs w:val="16"/>
                <w:lang w:eastAsia="en-AU"/>
              </w:rPr>
            </w:pPr>
            <w:r w:rsidRPr="007F6332">
              <w:rPr>
                <w:rFonts w:eastAsia="Times New Roman" w:cs="Arial"/>
                <w:b/>
                <w:bCs/>
                <w:color w:val="000000"/>
                <w:sz w:val="16"/>
                <w:szCs w:val="16"/>
                <w:lang w:eastAsia="en-AU"/>
              </w:rPr>
              <w:t> </w:t>
            </w:r>
          </w:p>
        </w:tc>
      </w:tr>
      <w:tr w:rsidR="00AA5292" w:rsidRPr="007F6332" w14:paraId="0EC57609" w14:textId="77777777" w:rsidTr="00CE7E91">
        <w:trPr>
          <w:trHeight w:val="225"/>
        </w:trPr>
        <w:tc>
          <w:tcPr>
            <w:tcW w:w="2545" w:type="dxa"/>
            <w:tcBorders>
              <w:top w:val="single" w:sz="4" w:space="0" w:color="auto"/>
              <w:bottom w:val="single" w:sz="4" w:space="0" w:color="auto"/>
              <w:right w:val="single" w:sz="4" w:space="0" w:color="auto"/>
            </w:tcBorders>
            <w:noWrap/>
            <w:vAlign w:val="center"/>
            <w:hideMark/>
          </w:tcPr>
          <w:p w14:paraId="62D8B500" w14:textId="77777777" w:rsidR="00AA5292" w:rsidRPr="007F6332" w:rsidRDefault="00AA5292" w:rsidP="00AA5292">
            <w:pPr>
              <w:spacing w:after="0" w:line="240" w:lineRule="auto"/>
              <w:rPr>
                <w:rFonts w:eastAsia="Times New Roman" w:cs="Arial"/>
                <w:color w:val="000000"/>
                <w:sz w:val="16"/>
                <w:szCs w:val="16"/>
                <w:lang w:eastAsia="en-AU"/>
              </w:rPr>
            </w:pPr>
            <w:r w:rsidRPr="007F6332">
              <w:rPr>
                <w:rFonts w:eastAsia="Times New Roman" w:cs="Arial"/>
                <w:color w:val="000000"/>
                <w:sz w:val="16"/>
                <w:szCs w:val="16"/>
                <w:lang w:eastAsia="en-AU"/>
              </w:rPr>
              <w:t>Actual average participant payments</w:t>
            </w:r>
          </w:p>
        </w:tc>
        <w:tc>
          <w:tcPr>
            <w:tcW w:w="818" w:type="dxa"/>
            <w:tcBorders>
              <w:top w:val="single" w:sz="4" w:space="0" w:color="auto"/>
              <w:left w:val="nil"/>
              <w:bottom w:val="single" w:sz="4" w:space="0" w:color="auto"/>
              <w:right w:val="nil"/>
            </w:tcBorders>
            <w:shd w:val="clear" w:color="auto" w:fill="FFE699"/>
            <w:noWrap/>
            <w:vAlign w:val="center"/>
            <w:hideMark/>
          </w:tcPr>
          <w:p w14:paraId="2EA4AF4C"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249,600</w:t>
            </w:r>
          </w:p>
        </w:tc>
        <w:tc>
          <w:tcPr>
            <w:tcW w:w="819" w:type="dxa"/>
            <w:tcBorders>
              <w:top w:val="single" w:sz="4" w:space="0" w:color="auto"/>
              <w:left w:val="nil"/>
              <w:bottom w:val="single" w:sz="4" w:space="0" w:color="auto"/>
              <w:right w:val="nil"/>
            </w:tcBorders>
            <w:shd w:val="clear" w:color="auto" w:fill="FFE699"/>
            <w:noWrap/>
            <w:vAlign w:val="center"/>
            <w:hideMark/>
          </w:tcPr>
          <w:p w14:paraId="7EE5B878"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304,400</w:t>
            </w:r>
          </w:p>
        </w:tc>
        <w:tc>
          <w:tcPr>
            <w:tcW w:w="819" w:type="dxa"/>
            <w:tcBorders>
              <w:top w:val="single" w:sz="4" w:space="0" w:color="auto"/>
              <w:left w:val="nil"/>
              <w:bottom w:val="single" w:sz="4" w:space="0" w:color="auto"/>
              <w:right w:val="nil"/>
            </w:tcBorders>
            <w:shd w:val="clear" w:color="auto" w:fill="FFE699"/>
            <w:noWrap/>
            <w:vAlign w:val="center"/>
            <w:hideMark/>
          </w:tcPr>
          <w:p w14:paraId="4DE2C6D5"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325,500</w:t>
            </w:r>
          </w:p>
        </w:tc>
        <w:tc>
          <w:tcPr>
            <w:tcW w:w="819" w:type="dxa"/>
            <w:tcBorders>
              <w:top w:val="single" w:sz="4" w:space="0" w:color="auto"/>
              <w:left w:val="nil"/>
              <w:bottom w:val="single" w:sz="4" w:space="0" w:color="auto"/>
              <w:right w:val="single" w:sz="4" w:space="0" w:color="auto"/>
            </w:tcBorders>
            <w:shd w:val="clear" w:color="auto" w:fill="FFE699"/>
            <w:noWrap/>
            <w:vAlign w:val="center"/>
            <w:hideMark/>
          </w:tcPr>
          <w:p w14:paraId="0FF2C14F"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343,900</w:t>
            </w:r>
          </w:p>
        </w:tc>
        <w:tc>
          <w:tcPr>
            <w:tcW w:w="819" w:type="dxa"/>
            <w:tcBorders>
              <w:top w:val="single" w:sz="4" w:space="0" w:color="auto"/>
              <w:left w:val="nil"/>
              <w:bottom w:val="single" w:sz="4" w:space="0" w:color="auto"/>
              <w:right w:val="single" w:sz="4" w:space="0" w:color="auto"/>
            </w:tcBorders>
            <w:shd w:val="clear" w:color="auto" w:fill="FFE699"/>
            <w:noWrap/>
            <w:vAlign w:val="center"/>
            <w:hideMark/>
          </w:tcPr>
          <w:p w14:paraId="6EEEA4B3" w14:textId="77777777" w:rsidR="00AA5292" w:rsidRPr="007F6332" w:rsidRDefault="00AA5292" w:rsidP="00AA5292">
            <w:pPr>
              <w:spacing w:after="0" w:line="240" w:lineRule="auto"/>
              <w:jc w:val="center"/>
              <w:rPr>
                <w:rFonts w:eastAsia="Times New Roman" w:cs="Arial"/>
                <w:color w:val="000000"/>
                <w:sz w:val="16"/>
                <w:szCs w:val="16"/>
                <w:lang w:eastAsia="en-AU"/>
              </w:rPr>
            </w:pPr>
            <w:r w:rsidRPr="007F6332">
              <w:rPr>
                <w:rFonts w:eastAsia="Times New Roman" w:cs="Arial"/>
                <w:color w:val="000000"/>
                <w:sz w:val="16"/>
                <w:szCs w:val="16"/>
                <w:lang w:eastAsia="en-AU"/>
              </w:rPr>
              <w:t>392,800</w:t>
            </w:r>
          </w:p>
        </w:tc>
        <w:tc>
          <w:tcPr>
            <w:tcW w:w="819" w:type="dxa"/>
            <w:tcBorders>
              <w:top w:val="single" w:sz="4" w:space="0" w:color="auto"/>
              <w:left w:val="nil"/>
              <w:bottom w:val="single" w:sz="4" w:space="0" w:color="auto"/>
              <w:right w:val="nil"/>
            </w:tcBorders>
            <w:shd w:val="clear" w:color="auto" w:fill="BFBFBF"/>
            <w:noWrap/>
            <w:vAlign w:val="center"/>
            <w:hideMark/>
          </w:tcPr>
          <w:p w14:paraId="54315F49" w14:textId="77777777" w:rsidR="00AA5292" w:rsidRPr="007F6332" w:rsidRDefault="00AA5292" w:rsidP="00AA5292">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052161E5" w14:textId="77777777" w:rsidR="00AA5292" w:rsidRPr="007F6332" w:rsidRDefault="00AA5292" w:rsidP="00AA5292">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6CB530A8" w14:textId="77777777" w:rsidR="00AA5292" w:rsidRPr="007F6332" w:rsidRDefault="00AA5292" w:rsidP="00AA5292">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c>
          <w:tcPr>
            <w:tcW w:w="819" w:type="dxa"/>
            <w:tcBorders>
              <w:top w:val="single" w:sz="4" w:space="0" w:color="auto"/>
              <w:left w:val="nil"/>
              <w:bottom w:val="single" w:sz="4" w:space="0" w:color="auto"/>
            </w:tcBorders>
            <w:shd w:val="clear" w:color="auto" w:fill="BFBFBF"/>
            <w:noWrap/>
            <w:vAlign w:val="center"/>
            <w:hideMark/>
          </w:tcPr>
          <w:p w14:paraId="7E188C25" w14:textId="77777777" w:rsidR="00AA5292" w:rsidRPr="007F6332" w:rsidRDefault="00AA5292" w:rsidP="00AA5292">
            <w:pPr>
              <w:spacing w:after="0" w:line="240" w:lineRule="auto"/>
              <w:jc w:val="center"/>
              <w:rPr>
                <w:rFonts w:eastAsia="Times New Roman" w:cs="Arial"/>
                <w:i/>
                <w:iCs/>
                <w:color w:val="000000"/>
                <w:sz w:val="16"/>
                <w:szCs w:val="16"/>
                <w:lang w:eastAsia="en-AU"/>
              </w:rPr>
            </w:pPr>
            <w:r w:rsidRPr="007F6332">
              <w:rPr>
                <w:rFonts w:eastAsia="Times New Roman" w:cs="Arial"/>
                <w:i/>
                <w:iCs/>
                <w:color w:val="000000"/>
                <w:sz w:val="16"/>
                <w:szCs w:val="16"/>
                <w:lang w:eastAsia="en-AU"/>
              </w:rPr>
              <w:t> </w:t>
            </w:r>
          </w:p>
        </w:tc>
      </w:tr>
      <w:tr w:rsidR="00AA5292" w:rsidRPr="007F6332" w14:paraId="5963C00B" w14:textId="77777777" w:rsidTr="00CE7E91">
        <w:trPr>
          <w:trHeight w:val="225"/>
        </w:trPr>
        <w:tc>
          <w:tcPr>
            <w:tcW w:w="2545" w:type="dxa"/>
            <w:tcBorders>
              <w:top w:val="single" w:sz="4" w:space="0" w:color="auto"/>
              <w:bottom w:val="single" w:sz="4" w:space="0" w:color="auto"/>
              <w:right w:val="single" w:sz="4" w:space="0" w:color="auto"/>
            </w:tcBorders>
            <w:vAlign w:val="center"/>
            <w:hideMark/>
          </w:tcPr>
          <w:p w14:paraId="484DDDDC" w14:textId="77777777" w:rsidR="00AA5292" w:rsidRPr="007F6332" w:rsidRDefault="00AA5292" w:rsidP="00AA5292">
            <w:pPr>
              <w:spacing w:after="0" w:line="240" w:lineRule="auto"/>
              <w:outlineLvl w:val="0"/>
              <w:rPr>
                <w:rFonts w:eastAsia="Times New Roman" w:cs="Arial"/>
                <w:color w:val="000000"/>
                <w:sz w:val="16"/>
                <w:szCs w:val="16"/>
                <w:lang w:eastAsia="en-AU"/>
              </w:rPr>
            </w:pPr>
            <w:r w:rsidRPr="007F6332">
              <w:rPr>
                <w:rFonts w:eastAsia="Times New Roman" w:cs="Arial"/>
                <w:color w:val="000000"/>
                <w:sz w:val="16"/>
                <w:szCs w:val="16"/>
                <w:lang w:eastAsia="en-AU"/>
              </w:rPr>
              <w:t>Actual average participant payments compared with AFSR ($)</w:t>
            </w:r>
          </w:p>
        </w:tc>
        <w:tc>
          <w:tcPr>
            <w:tcW w:w="818" w:type="dxa"/>
            <w:tcBorders>
              <w:top w:val="single" w:sz="4" w:space="0" w:color="auto"/>
              <w:left w:val="nil"/>
              <w:bottom w:val="single" w:sz="4" w:space="0" w:color="auto"/>
              <w:right w:val="nil"/>
            </w:tcBorders>
            <w:shd w:val="clear" w:color="auto" w:fill="FFE699"/>
            <w:noWrap/>
            <w:vAlign w:val="center"/>
            <w:hideMark/>
          </w:tcPr>
          <w:p w14:paraId="6E45094D"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-5,400</w:t>
            </w:r>
          </w:p>
        </w:tc>
        <w:tc>
          <w:tcPr>
            <w:tcW w:w="819" w:type="dxa"/>
            <w:tcBorders>
              <w:top w:val="single" w:sz="4" w:space="0" w:color="auto"/>
              <w:left w:val="nil"/>
              <w:bottom w:val="single" w:sz="4" w:space="0" w:color="auto"/>
              <w:right w:val="nil"/>
            </w:tcBorders>
            <w:shd w:val="clear" w:color="auto" w:fill="FFE699"/>
            <w:noWrap/>
            <w:vAlign w:val="center"/>
            <w:hideMark/>
          </w:tcPr>
          <w:p w14:paraId="6982BAA4"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41,800</w:t>
            </w:r>
          </w:p>
        </w:tc>
        <w:tc>
          <w:tcPr>
            <w:tcW w:w="819" w:type="dxa"/>
            <w:tcBorders>
              <w:top w:val="single" w:sz="4" w:space="0" w:color="auto"/>
              <w:left w:val="nil"/>
              <w:bottom w:val="single" w:sz="4" w:space="0" w:color="auto"/>
              <w:right w:val="nil"/>
            </w:tcBorders>
            <w:shd w:val="clear" w:color="auto" w:fill="FFE699"/>
            <w:noWrap/>
            <w:vAlign w:val="center"/>
            <w:hideMark/>
          </w:tcPr>
          <w:p w14:paraId="573F2687"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6,300</w:t>
            </w:r>
          </w:p>
        </w:tc>
        <w:tc>
          <w:tcPr>
            <w:tcW w:w="819" w:type="dxa"/>
            <w:tcBorders>
              <w:top w:val="single" w:sz="4" w:space="0" w:color="auto"/>
              <w:left w:val="nil"/>
              <w:bottom w:val="single" w:sz="4" w:space="0" w:color="auto"/>
              <w:right w:val="single" w:sz="4" w:space="0" w:color="auto"/>
            </w:tcBorders>
            <w:shd w:val="clear" w:color="auto" w:fill="FFE699"/>
            <w:noWrap/>
            <w:vAlign w:val="center"/>
            <w:hideMark/>
          </w:tcPr>
          <w:p w14:paraId="2CB5FA09"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900</w:t>
            </w:r>
          </w:p>
        </w:tc>
        <w:tc>
          <w:tcPr>
            <w:tcW w:w="819" w:type="dxa"/>
            <w:tcBorders>
              <w:top w:val="single" w:sz="4" w:space="0" w:color="auto"/>
              <w:left w:val="nil"/>
              <w:bottom w:val="single" w:sz="4" w:space="0" w:color="auto"/>
              <w:right w:val="single" w:sz="4" w:space="0" w:color="auto"/>
            </w:tcBorders>
            <w:shd w:val="clear" w:color="auto" w:fill="FFE699"/>
            <w:noWrap/>
            <w:vAlign w:val="center"/>
            <w:hideMark/>
          </w:tcPr>
          <w:p w14:paraId="5C4601CF"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18,200</w:t>
            </w:r>
          </w:p>
        </w:tc>
        <w:tc>
          <w:tcPr>
            <w:tcW w:w="819" w:type="dxa"/>
            <w:tcBorders>
              <w:top w:val="single" w:sz="4" w:space="0" w:color="auto"/>
              <w:left w:val="nil"/>
              <w:bottom w:val="single" w:sz="4" w:space="0" w:color="auto"/>
              <w:right w:val="nil"/>
            </w:tcBorders>
            <w:shd w:val="clear" w:color="auto" w:fill="BFBFBF"/>
            <w:noWrap/>
            <w:vAlign w:val="center"/>
            <w:hideMark/>
          </w:tcPr>
          <w:p w14:paraId="04C05A8A"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625E08AB"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4C7F6C3A"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tcBorders>
            <w:shd w:val="clear" w:color="auto" w:fill="BFBFBF"/>
            <w:noWrap/>
            <w:vAlign w:val="center"/>
            <w:hideMark/>
          </w:tcPr>
          <w:p w14:paraId="4F67BA52"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 </w:t>
            </w:r>
          </w:p>
        </w:tc>
      </w:tr>
      <w:tr w:rsidR="00AA5292" w:rsidRPr="007F6332" w14:paraId="414BF7FF" w14:textId="77777777" w:rsidTr="00CE7E91">
        <w:trPr>
          <w:trHeight w:val="450"/>
        </w:trPr>
        <w:tc>
          <w:tcPr>
            <w:tcW w:w="2545" w:type="dxa"/>
            <w:tcBorders>
              <w:top w:val="single" w:sz="4" w:space="0" w:color="auto"/>
              <w:bottom w:val="single" w:sz="4" w:space="0" w:color="auto"/>
              <w:right w:val="single" w:sz="4" w:space="0" w:color="auto"/>
            </w:tcBorders>
            <w:vAlign w:val="center"/>
            <w:hideMark/>
          </w:tcPr>
          <w:p w14:paraId="62CB412F" w14:textId="77777777" w:rsidR="00AA5292" w:rsidRPr="007F6332" w:rsidRDefault="00AA5292" w:rsidP="00AA5292">
            <w:pPr>
              <w:spacing w:after="0" w:line="240" w:lineRule="auto"/>
              <w:outlineLvl w:val="0"/>
              <w:rPr>
                <w:rFonts w:eastAsia="Times New Roman" w:cs="Arial"/>
                <w:color w:val="000000"/>
                <w:sz w:val="16"/>
                <w:szCs w:val="16"/>
                <w:lang w:eastAsia="en-AU"/>
              </w:rPr>
            </w:pPr>
            <w:r w:rsidRPr="007F6332">
              <w:rPr>
                <w:rFonts w:eastAsia="Times New Roman" w:cs="Arial"/>
                <w:color w:val="000000"/>
                <w:sz w:val="16"/>
                <w:szCs w:val="16"/>
                <w:lang w:eastAsia="en-AU"/>
              </w:rPr>
              <w:t>Actual average participant payments compared with AFSR (%)</w:t>
            </w:r>
            <w:r w:rsidRPr="007F6332">
              <w:rPr>
                <w:rFonts w:eastAsia="Times New Roman" w:cs="Arial"/>
                <w:color w:val="000000"/>
                <w:sz w:val="16"/>
                <w:szCs w:val="16"/>
                <w:lang w:eastAsia="en-AU"/>
              </w:rPr>
              <w:br/>
              <w:t>(Actual - AFSR projected) / Actual</w:t>
            </w:r>
          </w:p>
        </w:tc>
        <w:tc>
          <w:tcPr>
            <w:tcW w:w="818" w:type="dxa"/>
            <w:tcBorders>
              <w:top w:val="single" w:sz="4" w:space="0" w:color="auto"/>
              <w:left w:val="nil"/>
              <w:bottom w:val="single" w:sz="4" w:space="0" w:color="auto"/>
              <w:right w:val="nil"/>
            </w:tcBorders>
            <w:shd w:val="clear" w:color="auto" w:fill="FFE699"/>
            <w:noWrap/>
            <w:vAlign w:val="center"/>
            <w:hideMark/>
          </w:tcPr>
          <w:p w14:paraId="2A908416"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-2.1%</w:t>
            </w:r>
          </w:p>
        </w:tc>
        <w:tc>
          <w:tcPr>
            <w:tcW w:w="819" w:type="dxa"/>
            <w:tcBorders>
              <w:top w:val="single" w:sz="4" w:space="0" w:color="auto"/>
              <w:left w:val="nil"/>
              <w:bottom w:val="single" w:sz="4" w:space="0" w:color="auto"/>
              <w:right w:val="nil"/>
            </w:tcBorders>
            <w:shd w:val="clear" w:color="auto" w:fill="FFE699"/>
            <w:noWrap/>
            <w:vAlign w:val="center"/>
            <w:hideMark/>
          </w:tcPr>
          <w:p w14:paraId="05281BEF"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13.7%</w:t>
            </w:r>
          </w:p>
        </w:tc>
        <w:tc>
          <w:tcPr>
            <w:tcW w:w="819" w:type="dxa"/>
            <w:tcBorders>
              <w:top w:val="single" w:sz="4" w:space="0" w:color="auto"/>
              <w:left w:val="nil"/>
              <w:bottom w:val="single" w:sz="4" w:space="0" w:color="auto"/>
              <w:right w:val="nil"/>
            </w:tcBorders>
            <w:shd w:val="clear" w:color="auto" w:fill="FFE699"/>
            <w:noWrap/>
            <w:vAlign w:val="center"/>
            <w:hideMark/>
          </w:tcPr>
          <w:p w14:paraId="6EC44E6D"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2.0%</w:t>
            </w:r>
          </w:p>
        </w:tc>
        <w:tc>
          <w:tcPr>
            <w:tcW w:w="819" w:type="dxa"/>
            <w:tcBorders>
              <w:top w:val="single" w:sz="4" w:space="0" w:color="auto"/>
              <w:left w:val="nil"/>
              <w:bottom w:val="single" w:sz="4" w:space="0" w:color="auto"/>
              <w:right w:val="single" w:sz="4" w:space="0" w:color="auto"/>
            </w:tcBorders>
            <w:shd w:val="clear" w:color="auto" w:fill="FFE699"/>
            <w:noWrap/>
            <w:vAlign w:val="center"/>
            <w:hideMark/>
          </w:tcPr>
          <w:p w14:paraId="7C01AB0C"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0.2%</w:t>
            </w:r>
          </w:p>
        </w:tc>
        <w:tc>
          <w:tcPr>
            <w:tcW w:w="819" w:type="dxa"/>
            <w:tcBorders>
              <w:top w:val="single" w:sz="4" w:space="0" w:color="auto"/>
              <w:left w:val="nil"/>
              <w:bottom w:val="single" w:sz="4" w:space="0" w:color="auto"/>
              <w:right w:val="single" w:sz="4" w:space="0" w:color="auto"/>
            </w:tcBorders>
            <w:shd w:val="clear" w:color="auto" w:fill="FFE699"/>
            <w:noWrap/>
            <w:vAlign w:val="center"/>
            <w:hideMark/>
          </w:tcPr>
          <w:p w14:paraId="670BEA83"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4.6%</w:t>
            </w:r>
          </w:p>
        </w:tc>
        <w:tc>
          <w:tcPr>
            <w:tcW w:w="819" w:type="dxa"/>
            <w:tcBorders>
              <w:top w:val="single" w:sz="4" w:space="0" w:color="auto"/>
              <w:left w:val="nil"/>
              <w:bottom w:val="single" w:sz="4" w:space="0" w:color="auto"/>
              <w:right w:val="nil"/>
            </w:tcBorders>
            <w:shd w:val="clear" w:color="auto" w:fill="BFBFBF"/>
            <w:noWrap/>
            <w:vAlign w:val="center"/>
            <w:hideMark/>
          </w:tcPr>
          <w:p w14:paraId="4F3086DF"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13B2E657"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right w:val="nil"/>
            </w:tcBorders>
            <w:shd w:val="clear" w:color="auto" w:fill="BFBFBF"/>
            <w:noWrap/>
            <w:vAlign w:val="center"/>
            <w:hideMark/>
          </w:tcPr>
          <w:p w14:paraId="513B5C77"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 </w:t>
            </w:r>
          </w:p>
        </w:tc>
        <w:tc>
          <w:tcPr>
            <w:tcW w:w="819" w:type="dxa"/>
            <w:tcBorders>
              <w:top w:val="single" w:sz="4" w:space="0" w:color="auto"/>
              <w:left w:val="nil"/>
              <w:bottom w:val="single" w:sz="4" w:space="0" w:color="auto"/>
            </w:tcBorders>
            <w:shd w:val="clear" w:color="auto" w:fill="BFBFBF"/>
            <w:noWrap/>
            <w:vAlign w:val="center"/>
            <w:hideMark/>
          </w:tcPr>
          <w:p w14:paraId="6D57184B" w14:textId="77777777" w:rsidR="00AA5292" w:rsidRPr="007F6332" w:rsidRDefault="00AA5292" w:rsidP="00AA5292">
            <w:pPr>
              <w:spacing w:after="0" w:line="240" w:lineRule="auto"/>
              <w:jc w:val="center"/>
              <w:outlineLvl w:val="0"/>
              <w:rPr>
                <w:rFonts w:eastAsia="Times New Roman" w:cs="Arial"/>
                <w:color w:val="000000"/>
                <w:sz w:val="16"/>
                <w:szCs w:val="16"/>
                <w:lang w:eastAsia="en-AU"/>
              </w:rPr>
            </w:pPr>
            <w:r w:rsidRPr="007F6332">
              <w:rPr>
                <w:rFonts w:eastAsia="Times New Roman" w:cs="Arial"/>
                <w:color w:val="000000"/>
                <w:sz w:val="16"/>
                <w:szCs w:val="16"/>
                <w:lang w:eastAsia="en-AU"/>
              </w:rPr>
              <w:t> </w:t>
            </w:r>
          </w:p>
        </w:tc>
      </w:tr>
    </w:tbl>
    <w:p w14:paraId="2EF75A05" w14:textId="77777777" w:rsidR="00B445CE" w:rsidRPr="007F6332" w:rsidRDefault="00B445CE" w:rsidP="00AA5292">
      <w:pPr>
        <w:rPr>
          <w:rFonts w:cs="Arial"/>
        </w:rPr>
      </w:pPr>
    </w:p>
    <w:sectPr w:rsidR="00B445CE" w:rsidRPr="007F6332" w:rsidSect="00CE7E91">
      <w:pgSz w:w="11906" w:h="16838"/>
      <w:pgMar w:top="1440" w:right="1416" w:bottom="1440" w:left="1440" w:header="708"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56FEE" w14:textId="77777777" w:rsidR="0054762F" w:rsidRDefault="0054762F" w:rsidP="007219F1">
      <w:pPr>
        <w:spacing w:after="0" w:line="240" w:lineRule="auto"/>
      </w:pPr>
      <w:r>
        <w:separator/>
      </w:r>
    </w:p>
    <w:p w14:paraId="23B3EE3B" w14:textId="77777777" w:rsidR="0054762F" w:rsidRDefault="0054762F"/>
  </w:endnote>
  <w:endnote w:type="continuationSeparator" w:id="0">
    <w:p w14:paraId="179CE3BF" w14:textId="77777777" w:rsidR="0054762F" w:rsidRDefault="0054762F" w:rsidP="007219F1">
      <w:pPr>
        <w:spacing w:after="0" w:line="240" w:lineRule="auto"/>
      </w:pPr>
      <w:r>
        <w:continuationSeparator/>
      </w:r>
    </w:p>
    <w:p w14:paraId="78D9E00A" w14:textId="77777777" w:rsidR="0054762F" w:rsidRDefault="0054762F"/>
  </w:endnote>
  <w:endnote w:type="continuationNotice" w:id="1">
    <w:p w14:paraId="7129A42D" w14:textId="77777777" w:rsidR="0054762F" w:rsidRDefault="005476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Times New Roman"/>
    <w:charset w:val="00"/>
    <w:family w:val="auto"/>
    <w:pitch w:val="variable"/>
    <w:sig w:usb0="00000000" w:usb1="4000207B" w:usb2="00000000" w:usb3="00000000" w:csb0="FFFFFFFF" w:csb1="00000000"/>
  </w:font>
  <w:font w:name="FS Me">
    <w:altName w:val="Calibri"/>
    <w:panose1 w:val="00000000000000000000"/>
    <w:charset w:val="00"/>
    <w:family w:val="modern"/>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1C00" w14:textId="1ADC81D6" w:rsidR="00AD5D8E" w:rsidRDefault="00AD5D8E" w:rsidP="00CE7E91">
    <w:pPr>
      <w:tabs>
        <w:tab w:val="left" w:pos="4678"/>
      </w:tabs>
      <w:spacing w:after="120" w:line="36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0939" w14:textId="412F77F0" w:rsidR="001114C0" w:rsidRPr="00E53368" w:rsidRDefault="003045B2" w:rsidP="001114C0">
    <w:pPr>
      <w:pStyle w:val="Footer"/>
      <w:pBdr>
        <w:top w:val="single" w:sz="4" w:space="3" w:color="EEECE1" w:themeColor="background2"/>
      </w:pBdr>
      <w:rPr>
        <w:sz w:val="20"/>
        <w:szCs w:val="20"/>
      </w:rPr>
    </w:pPr>
    <w:r w:rsidRPr="00E53368">
      <w:rPr>
        <w:sz w:val="20"/>
        <w:szCs w:val="20"/>
      </w:rPr>
      <w:t xml:space="preserve">National Disability Insurance Scheme: Annual Financial Sustainability Report 2022-23        </w:t>
    </w:r>
    <w:r w:rsidR="00501F4C">
      <w:rPr>
        <w:sz w:val="20"/>
        <w:szCs w:val="20"/>
      </w:rPr>
      <w:tab/>
    </w:r>
    <w:r w:rsidR="001114C0" w:rsidRPr="00E53368">
      <w:rPr>
        <w:sz w:val="20"/>
        <w:szCs w:val="20"/>
      </w:rPr>
      <w:fldChar w:fldCharType="begin"/>
    </w:r>
    <w:r w:rsidR="001114C0" w:rsidRPr="00E53368">
      <w:rPr>
        <w:sz w:val="20"/>
        <w:szCs w:val="20"/>
      </w:rPr>
      <w:instrText xml:space="preserve"> PAGE   \* MERGEFORMAT </w:instrText>
    </w:r>
    <w:r w:rsidR="001114C0" w:rsidRPr="00E53368">
      <w:rPr>
        <w:sz w:val="20"/>
        <w:szCs w:val="20"/>
      </w:rPr>
      <w:fldChar w:fldCharType="separate"/>
    </w:r>
    <w:r w:rsidR="001114C0" w:rsidRPr="00E53368">
      <w:rPr>
        <w:sz w:val="20"/>
        <w:szCs w:val="20"/>
      </w:rPr>
      <w:t>71</w:t>
    </w:r>
    <w:r w:rsidR="001114C0" w:rsidRPr="00E53368">
      <w:rPr>
        <w:noProof/>
        <w:sz w:val="20"/>
        <w:szCs w:val="20"/>
      </w:rPr>
      <w:fldChar w:fldCharType="end"/>
    </w:r>
  </w:p>
  <w:p w14:paraId="7CCEE0BB" w14:textId="164C0EDD" w:rsidR="00612119" w:rsidRPr="001114C0" w:rsidRDefault="00612119" w:rsidP="001114C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6E07C" w14:textId="69EC6D78" w:rsidR="002E7F61" w:rsidRPr="009226A9" w:rsidRDefault="003045B2" w:rsidP="00431D3F">
    <w:pPr>
      <w:pStyle w:val="Footer"/>
      <w:pBdr>
        <w:top w:val="single" w:sz="4" w:space="3" w:color="EEECE1" w:themeColor="background2"/>
      </w:pBdr>
      <w:rPr>
        <w:sz w:val="20"/>
        <w:szCs w:val="20"/>
      </w:rPr>
    </w:pPr>
    <w:r w:rsidRPr="009226A9">
      <w:rPr>
        <w:sz w:val="20"/>
        <w:szCs w:val="20"/>
      </w:rPr>
      <w:t xml:space="preserve">National Disability Insurance Scheme: Annual Financial Sustainability Report 2022-23        </w:t>
    </w:r>
    <w:r w:rsidR="00E5064F" w:rsidRPr="009226A9">
      <w:rPr>
        <w:sz w:val="20"/>
        <w:szCs w:val="20"/>
      </w:rPr>
      <w:fldChar w:fldCharType="begin"/>
    </w:r>
    <w:r w:rsidR="00E5064F" w:rsidRPr="009226A9">
      <w:rPr>
        <w:sz w:val="20"/>
        <w:szCs w:val="20"/>
      </w:rPr>
      <w:instrText xml:space="preserve"> PAGE   \* MERGEFORMAT </w:instrText>
    </w:r>
    <w:r w:rsidR="00E5064F" w:rsidRPr="009226A9">
      <w:rPr>
        <w:sz w:val="20"/>
        <w:szCs w:val="20"/>
      </w:rPr>
      <w:fldChar w:fldCharType="separate"/>
    </w:r>
    <w:r w:rsidR="00E5064F" w:rsidRPr="009226A9">
      <w:rPr>
        <w:sz w:val="20"/>
        <w:szCs w:val="20"/>
      </w:rPr>
      <w:t>107</w:t>
    </w:r>
    <w:r w:rsidR="00E5064F" w:rsidRPr="009226A9">
      <w:rPr>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9D80" w14:textId="77777777" w:rsidR="00653D3D" w:rsidRDefault="00653D3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E4AB" w14:textId="4A047499" w:rsidR="00885FD1" w:rsidRDefault="004907FD" w:rsidP="00885FD1">
    <w:pPr>
      <w:pStyle w:val="Footer"/>
      <w:pBdr>
        <w:top w:val="single" w:sz="4" w:space="3" w:color="EEECE1" w:themeColor="background2"/>
      </w:pBdr>
    </w:pPr>
    <w:r w:rsidRPr="004907FD">
      <w:t xml:space="preserve">National Disability Insurance Scheme: Annual Financial Sustainability Report 2022-23     </w:t>
    </w:r>
    <w:r w:rsidR="00885FD1">
      <w:fldChar w:fldCharType="begin"/>
    </w:r>
    <w:r w:rsidR="00885FD1">
      <w:instrText xml:space="preserve"> PAGE   \* MERGEFORMAT </w:instrText>
    </w:r>
    <w:r w:rsidR="00885FD1">
      <w:fldChar w:fldCharType="separate"/>
    </w:r>
    <w:r w:rsidR="00885FD1">
      <w:t>117</w:t>
    </w:r>
    <w:r w:rsidR="00885FD1">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86FE" w14:textId="76A3DC2F" w:rsidR="00822C9E" w:rsidRPr="00CD756B" w:rsidRDefault="00F41E08" w:rsidP="00822C9E">
    <w:pPr>
      <w:pStyle w:val="Footer"/>
      <w:pBdr>
        <w:top w:val="single" w:sz="4" w:space="3" w:color="EEECE1" w:themeColor="background2"/>
      </w:pBdr>
      <w:rPr>
        <w:sz w:val="20"/>
        <w:szCs w:val="20"/>
      </w:rPr>
    </w:pPr>
    <w:r w:rsidRPr="00CD756B">
      <w:rPr>
        <w:sz w:val="20"/>
        <w:szCs w:val="20"/>
      </w:rPr>
      <w:t xml:space="preserve">National Disability Insurance Scheme: Annual Financial Sustainability Report 2022-23      </w:t>
    </w:r>
    <w:r w:rsidR="00822C9E" w:rsidRPr="00CD756B">
      <w:rPr>
        <w:sz w:val="20"/>
        <w:szCs w:val="20"/>
      </w:rPr>
      <w:fldChar w:fldCharType="begin"/>
    </w:r>
    <w:r w:rsidR="00822C9E" w:rsidRPr="00CD756B">
      <w:rPr>
        <w:sz w:val="20"/>
        <w:szCs w:val="20"/>
      </w:rPr>
      <w:instrText xml:space="preserve"> PAGE   \* MERGEFORMAT </w:instrText>
    </w:r>
    <w:r w:rsidR="00822C9E" w:rsidRPr="00CD756B">
      <w:rPr>
        <w:sz w:val="20"/>
        <w:szCs w:val="20"/>
      </w:rPr>
      <w:fldChar w:fldCharType="separate"/>
    </w:r>
    <w:r w:rsidR="00822C9E" w:rsidRPr="00CD756B">
      <w:rPr>
        <w:sz w:val="20"/>
        <w:szCs w:val="20"/>
      </w:rPr>
      <w:t>127</w:t>
    </w:r>
    <w:r w:rsidR="00822C9E" w:rsidRPr="00CD756B">
      <w:rPr>
        <w:noProof/>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FE3D" w14:textId="4EC823D1" w:rsidR="00700C61" w:rsidRPr="009238F7" w:rsidRDefault="004907FD" w:rsidP="00700C61">
    <w:pPr>
      <w:pStyle w:val="Footer"/>
      <w:pBdr>
        <w:top w:val="single" w:sz="4" w:space="3" w:color="EEECE1" w:themeColor="background2"/>
      </w:pBdr>
      <w:rPr>
        <w:sz w:val="20"/>
        <w:szCs w:val="20"/>
      </w:rPr>
    </w:pPr>
    <w:r w:rsidRPr="009238F7">
      <w:rPr>
        <w:sz w:val="20"/>
        <w:szCs w:val="20"/>
      </w:rPr>
      <w:t xml:space="preserve">National Disability Insurance Scheme: Annual Financial Sustainability Report 2022-23        </w:t>
    </w:r>
    <w:r w:rsidR="00700C61" w:rsidRPr="009238F7">
      <w:rPr>
        <w:sz w:val="20"/>
        <w:szCs w:val="20"/>
      </w:rPr>
      <w:fldChar w:fldCharType="begin"/>
    </w:r>
    <w:r w:rsidR="00700C61" w:rsidRPr="009238F7">
      <w:rPr>
        <w:sz w:val="20"/>
        <w:szCs w:val="20"/>
      </w:rPr>
      <w:instrText xml:space="preserve"> PAGE   \* MERGEFORMAT </w:instrText>
    </w:r>
    <w:r w:rsidR="00700C61" w:rsidRPr="009238F7">
      <w:rPr>
        <w:sz w:val="20"/>
        <w:szCs w:val="20"/>
      </w:rPr>
      <w:fldChar w:fldCharType="separate"/>
    </w:r>
    <w:r w:rsidR="00700C61" w:rsidRPr="009238F7">
      <w:rPr>
        <w:sz w:val="20"/>
        <w:szCs w:val="20"/>
      </w:rPr>
      <w:t>117</w:t>
    </w:r>
    <w:r w:rsidR="00700C61" w:rsidRPr="009238F7">
      <w:rPr>
        <w:noProof/>
        <w:sz w:val="20"/>
        <w:szCs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6F1D" w14:textId="7386D203" w:rsidR="00A85756" w:rsidRDefault="004907FD" w:rsidP="00624BC3">
    <w:pPr>
      <w:pStyle w:val="Footer"/>
      <w:pBdr>
        <w:top w:val="single" w:sz="4" w:space="3" w:color="EEECE1" w:themeColor="background2"/>
      </w:pBdr>
      <w:tabs>
        <w:tab w:val="clear" w:pos="9026"/>
        <w:tab w:val="left" w:pos="13183"/>
      </w:tabs>
    </w:pPr>
    <w:r w:rsidRPr="00264660">
      <w:t xml:space="preserve">National Disability Insurance Scheme: Annual Financial Sustainability Report 2022-23       </w:t>
    </w:r>
    <w:r w:rsidR="00624BC3">
      <w:tab/>
    </w:r>
    <w:r w:rsidRPr="00264660">
      <w:t xml:space="preserve"> </w:t>
    </w:r>
    <w:r w:rsidR="00A85756">
      <w:fldChar w:fldCharType="begin"/>
    </w:r>
    <w:r w:rsidR="00A85756">
      <w:instrText xml:space="preserve"> PAGE   \* MERGEFORMAT </w:instrText>
    </w:r>
    <w:r w:rsidR="00A85756">
      <w:fldChar w:fldCharType="separate"/>
    </w:r>
    <w:r w:rsidR="00A85756">
      <w:t>127</w:t>
    </w:r>
    <w:r w:rsidR="00A85756">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C5D2" w14:textId="66B8CAD0" w:rsidR="00790133" w:rsidRPr="00624BC3" w:rsidRDefault="004907FD" w:rsidP="00790133">
    <w:pPr>
      <w:pStyle w:val="Footer"/>
      <w:pBdr>
        <w:top w:val="single" w:sz="4" w:space="3" w:color="EEECE1" w:themeColor="background2"/>
      </w:pBdr>
      <w:rPr>
        <w:sz w:val="20"/>
        <w:szCs w:val="20"/>
      </w:rPr>
    </w:pPr>
    <w:r w:rsidRPr="00624BC3">
      <w:rPr>
        <w:sz w:val="20"/>
        <w:szCs w:val="20"/>
      </w:rPr>
      <w:t xml:space="preserve">National Disability Insurance Scheme: Annual Financial Sustainability Report 2022-23      </w:t>
    </w:r>
    <w:r w:rsidR="00790133" w:rsidRPr="00624BC3">
      <w:rPr>
        <w:sz w:val="20"/>
        <w:szCs w:val="20"/>
      </w:rPr>
      <w:fldChar w:fldCharType="begin"/>
    </w:r>
    <w:r w:rsidR="00790133" w:rsidRPr="00624BC3">
      <w:rPr>
        <w:sz w:val="20"/>
        <w:szCs w:val="20"/>
      </w:rPr>
      <w:instrText xml:space="preserve"> PAGE   \* MERGEFORMAT </w:instrText>
    </w:r>
    <w:r w:rsidR="00790133" w:rsidRPr="00624BC3">
      <w:rPr>
        <w:sz w:val="20"/>
        <w:szCs w:val="20"/>
      </w:rPr>
      <w:fldChar w:fldCharType="separate"/>
    </w:r>
    <w:r w:rsidR="00790133" w:rsidRPr="00624BC3">
      <w:rPr>
        <w:sz w:val="20"/>
        <w:szCs w:val="20"/>
      </w:rPr>
      <w:t>127</w:t>
    </w:r>
    <w:r w:rsidR="00790133" w:rsidRPr="00624BC3">
      <w:rPr>
        <w:noProof/>
        <w:sz w:val="20"/>
        <w:szCs w:val="20"/>
      </w:rPr>
      <w:fldChar w:fldCharType="end"/>
    </w:r>
  </w:p>
  <w:p w14:paraId="3B45EC00" w14:textId="77777777" w:rsidR="0032159E" w:rsidRPr="00790133" w:rsidRDefault="0032159E" w:rsidP="00790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99BD" w14:textId="11A44CBC" w:rsidR="00961598" w:rsidRPr="00E53368" w:rsidRDefault="00961598" w:rsidP="00E53368">
    <w:pPr>
      <w:tabs>
        <w:tab w:val="left" w:pos="4678"/>
        <w:tab w:val="left" w:pos="8647"/>
      </w:tabs>
      <w:spacing w:after="120" w:line="360" w:lineRule="auto"/>
      <w:ind w:right="95"/>
      <w:rPr>
        <w:sz w:val="20"/>
        <w:szCs w:val="20"/>
      </w:rPr>
    </w:pPr>
    <w:r w:rsidRPr="00E53368">
      <w:rPr>
        <w:rFonts w:cs="Arial"/>
        <w:b/>
        <w:noProof/>
        <w:color w:val="5E2D73"/>
        <w:sz w:val="20"/>
        <w:szCs w:val="20"/>
      </w:rPr>
      <mc:AlternateContent>
        <mc:Choice Requires="wps">
          <w:drawing>
            <wp:anchor distT="0" distB="0" distL="114300" distR="114300" simplePos="0" relativeHeight="251686927" behindDoc="0" locked="0" layoutInCell="1" allowOverlap="1" wp14:anchorId="453C9B10" wp14:editId="41157F84">
              <wp:simplePos x="0" y="0"/>
              <wp:positionH relativeFrom="margin">
                <wp:align>left</wp:align>
              </wp:positionH>
              <wp:positionV relativeFrom="paragraph">
                <wp:posOffset>-145572</wp:posOffset>
              </wp:positionV>
              <wp:extent cx="5712031" cy="0"/>
              <wp:effectExtent l="0" t="0" r="0" b="0"/>
              <wp:wrapNone/>
              <wp:docPr id="559112025" name="Straight Connector 5591120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12031" cy="0"/>
                      </a:xfrm>
                      <a:prstGeom prst="line">
                        <a:avLst/>
                      </a:prstGeom>
                      <a:noFill/>
                      <a:ln w="9525" cap="flat" cmpd="sng" algn="ctr">
                        <a:solidFill>
                          <a:srgbClr val="FEF3D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FEAD5F" id="Straight Connector 559112025" o:spid="_x0000_s1026" alt="&quot;&quot;" style="position:absolute;flip:y;z-index:25168692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449.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" strokecolor="#fef3d6">
              <w10:wrap anchorx="margin"/>
            </v:line>
          </w:pict>
        </mc:Fallback>
      </mc:AlternateContent>
    </w:r>
    <w:r w:rsidRPr="00E53368">
      <w:rPr>
        <w:sz w:val="20"/>
        <w:szCs w:val="20"/>
      </w:rPr>
      <w:t xml:space="preserve">National Disability Insurance Scheme: Annual Financial Sustainability Report 2022-23    </w:t>
    </w:r>
    <w:r w:rsidR="00116446">
      <w:rPr>
        <w:sz w:val="20"/>
        <w:szCs w:val="20"/>
      </w:rPr>
      <w:tab/>
    </w:r>
    <w:r w:rsidRPr="00E53368">
      <w:rPr>
        <w:sz w:val="20"/>
        <w:szCs w:val="20"/>
      </w:rPr>
      <w:fldChar w:fldCharType="begin"/>
    </w:r>
    <w:r w:rsidRPr="00E53368">
      <w:rPr>
        <w:sz w:val="20"/>
        <w:szCs w:val="20"/>
      </w:rPr>
      <w:instrText xml:space="preserve"> PAGE   \* MERGEFORMAT </w:instrText>
    </w:r>
    <w:r w:rsidRPr="00E53368">
      <w:rPr>
        <w:sz w:val="20"/>
        <w:szCs w:val="20"/>
      </w:rPr>
      <w:fldChar w:fldCharType="separate"/>
    </w:r>
    <w:r w:rsidRPr="00E53368">
      <w:rPr>
        <w:sz w:val="20"/>
        <w:szCs w:val="20"/>
      </w:rPr>
      <w:t>216</w:t>
    </w:r>
    <w:r w:rsidRPr="00E53368">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8AA0" w14:textId="67207A1F" w:rsidR="00403772" w:rsidRPr="00E53368" w:rsidRDefault="00264660" w:rsidP="00403772">
    <w:pPr>
      <w:pStyle w:val="Footer"/>
      <w:pBdr>
        <w:top w:val="single" w:sz="4" w:space="3" w:color="EEECE1" w:themeColor="background2"/>
      </w:pBdr>
      <w:rPr>
        <w:sz w:val="20"/>
        <w:szCs w:val="20"/>
      </w:rPr>
    </w:pPr>
    <w:r w:rsidRPr="00E53368">
      <w:rPr>
        <w:sz w:val="20"/>
        <w:szCs w:val="20"/>
      </w:rPr>
      <w:t xml:space="preserve">National Disability Insurance Scheme: Annual Financial Sustainability Report 2022-23        </w:t>
    </w:r>
    <w:r w:rsidR="00403772" w:rsidRPr="00E53368">
      <w:rPr>
        <w:sz w:val="20"/>
        <w:szCs w:val="20"/>
      </w:rPr>
      <w:fldChar w:fldCharType="begin"/>
    </w:r>
    <w:r w:rsidR="00403772" w:rsidRPr="00E53368">
      <w:rPr>
        <w:sz w:val="20"/>
        <w:szCs w:val="20"/>
      </w:rPr>
      <w:instrText xml:space="preserve"> PAGE   \* MERGEFORMAT </w:instrText>
    </w:r>
    <w:r w:rsidR="00403772" w:rsidRPr="00E53368">
      <w:rPr>
        <w:sz w:val="20"/>
        <w:szCs w:val="20"/>
      </w:rPr>
      <w:fldChar w:fldCharType="separate"/>
    </w:r>
    <w:r w:rsidR="00403772" w:rsidRPr="00E53368">
      <w:rPr>
        <w:sz w:val="20"/>
        <w:szCs w:val="20"/>
      </w:rPr>
      <w:t>11</w:t>
    </w:r>
    <w:r w:rsidR="00403772" w:rsidRPr="00E53368">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7C1D" w14:textId="3E257202" w:rsidR="00CC206A" w:rsidRPr="00E53368" w:rsidRDefault="00264660" w:rsidP="00E53368">
    <w:pPr>
      <w:pStyle w:val="Footer"/>
      <w:pBdr>
        <w:top w:val="single" w:sz="4" w:space="3" w:color="EEECE1" w:themeColor="background2"/>
      </w:pBdr>
      <w:tabs>
        <w:tab w:val="clear" w:pos="9026"/>
        <w:tab w:val="right" w:pos="9498"/>
      </w:tabs>
      <w:rPr>
        <w:sz w:val="20"/>
        <w:szCs w:val="20"/>
      </w:rPr>
    </w:pPr>
    <w:bookmarkStart w:id="6" w:name="_Hlk150357938"/>
    <w:r w:rsidRPr="00E53368">
      <w:rPr>
        <w:sz w:val="20"/>
        <w:szCs w:val="20"/>
      </w:rPr>
      <w:t xml:space="preserve">National Disability Insurance Scheme: Annual Financial Sustainability Report 2022-23        </w:t>
    </w:r>
    <w:bookmarkEnd w:id="6"/>
    <w:r w:rsidR="00CC206A" w:rsidRPr="00E53368">
      <w:rPr>
        <w:sz w:val="20"/>
        <w:szCs w:val="20"/>
      </w:rPr>
      <w:fldChar w:fldCharType="begin"/>
    </w:r>
    <w:r w:rsidR="00CC206A" w:rsidRPr="00E53368">
      <w:rPr>
        <w:sz w:val="20"/>
        <w:szCs w:val="20"/>
      </w:rPr>
      <w:instrText xml:space="preserve"> PAGE   \* MERGEFORMAT </w:instrText>
    </w:r>
    <w:r w:rsidR="00CC206A" w:rsidRPr="00E53368">
      <w:rPr>
        <w:sz w:val="20"/>
        <w:szCs w:val="20"/>
      </w:rPr>
      <w:fldChar w:fldCharType="separate"/>
    </w:r>
    <w:r w:rsidR="00CC206A" w:rsidRPr="00E53368">
      <w:rPr>
        <w:sz w:val="20"/>
        <w:szCs w:val="20"/>
      </w:rPr>
      <w:t>11</w:t>
    </w:r>
    <w:r w:rsidR="00CC206A" w:rsidRPr="00E53368">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D735" w14:textId="450D4C24" w:rsidR="0029100A" w:rsidRDefault="00FA59E8" w:rsidP="0029100A">
    <w:pPr>
      <w:pStyle w:val="Footer"/>
      <w:pBdr>
        <w:top w:val="single" w:sz="4" w:space="3" w:color="EEECE1" w:themeColor="background2"/>
      </w:pBdr>
    </w:pPr>
    <w:r w:rsidRPr="00FA59E8">
      <w:t xml:space="preserve">National Disability Insurance Scheme: Annual Financial Sustainability Report 2022-23        </w:t>
    </w:r>
    <w:r w:rsidR="0029100A">
      <w:fldChar w:fldCharType="begin"/>
    </w:r>
    <w:r w:rsidR="0029100A">
      <w:instrText xml:space="preserve"> PAGE   \* MERGEFORMAT </w:instrText>
    </w:r>
    <w:r w:rsidR="0029100A">
      <w:fldChar w:fldCharType="separate"/>
    </w:r>
    <w:r w:rsidR="0029100A">
      <w:t>42</w:t>
    </w:r>
    <w:r w:rsidR="0029100A">
      <w:rPr>
        <w:noProof/>
      </w:rPr>
      <w:fldChar w:fldCharType="end"/>
    </w:r>
  </w:p>
  <w:p w14:paraId="5F9F1C20" w14:textId="77777777" w:rsidR="00EE6F84" w:rsidRPr="0029100A" w:rsidRDefault="00EE6F84" w:rsidP="002910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03B4" w14:textId="7C58CAD6" w:rsidR="00196301" w:rsidRPr="00E53368" w:rsidRDefault="00196301" w:rsidP="0029100A">
    <w:pPr>
      <w:pStyle w:val="Footer"/>
      <w:pBdr>
        <w:top w:val="single" w:sz="4" w:space="3" w:color="EEECE1" w:themeColor="background2"/>
      </w:pBdr>
      <w:rPr>
        <w:sz w:val="20"/>
        <w:szCs w:val="20"/>
      </w:rPr>
    </w:pPr>
    <w:r w:rsidRPr="00E53368">
      <w:rPr>
        <w:sz w:val="20"/>
        <w:szCs w:val="20"/>
      </w:rPr>
      <w:t xml:space="preserve">National Disability Insurance Scheme: Annual Financial Sustainability Report 2022-23       </w:t>
    </w:r>
    <w:r>
      <w:rPr>
        <w:sz w:val="20"/>
        <w:szCs w:val="20"/>
      </w:rPr>
      <w:tab/>
    </w:r>
    <w:r w:rsidRPr="00E53368">
      <w:rPr>
        <w:sz w:val="20"/>
        <w:szCs w:val="20"/>
      </w:rPr>
      <w:t xml:space="preserve"> </w:t>
    </w:r>
    <w:r w:rsidRPr="00E53368">
      <w:rPr>
        <w:sz w:val="20"/>
        <w:szCs w:val="20"/>
      </w:rPr>
      <w:fldChar w:fldCharType="begin"/>
    </w:r>
    <w:r w:rsidRPr="00E53368">
      <w:rPr>
        <w:sz w:val="20"/>
        <w:szCs w:val="20"/>
      </w:rPr>
      <w:instrText xml:space="preserve"> PAGE   \* MERGEFORMAT </w:instrText>
    </w:r>
    <w:r w:rsidRPr="00E53368">
      <w:rPr>
        <w:sz w:val="20"/>
        <w:szCs w:val="20"/>
      </w:rPr>
      <w:fldChar w:fldCharType="separate"/>
    </w:r>
    <w:r w:rsidRPr="00E53368">
      <w:rPr>
        <w:sz w:val="20"/>
        <w:szCs w:val="20"/>
      </w:rPr>
      <w:t>42</w:t>
    </w:r>
    <w:r w:rsidRPr="00E53368">
      <w:rPr>
        <w:noProof/>
        <w:sz w:val="20"/>
        <w:szCs w:val="20"/>
      </w:rPr>
      <w:fldChar w:fldCharType="end"/>
    </w:r>
  </w:p>
  <w:p w14:paraId="3173D8D9" w14:textId="77777777" w:rsidR="00196301" w:rsidRPr="0029100A" w:rsidRDefault="00196301" w:rsidP="0029100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61B1D" w14:textId="3D93833B" w:rsidR="00196301" w:rsidRPr="00E53368" w:rsidRDefault="00196301" w:rsidP="00E53368">
    <w:pPr>
      <w:pStyle w:val="Footer"/>
      <w:pBdr>
        <w:top w:val="single" w:sz="4" w:space="3" w:color="EEECE1" w:themeColor="background2"/>
      </w:pBdr>
      <w:tabs>
        <w:tab w:val="clear" w:pos="9026"/>
        <w:tab w:val="right" w:pos="13467"/>
      </w:tabs>
      <w:rPr>
        <w:sz w:val="20"/>
        <w:szCs w:val="20"/>
      </w:rPr>
    </w:pPr>
    <w:r w:rsidRPr="00E53368">
      <w:rPr>
        <w:sz w:val="20"/>
        <w:szCs w:val="20"/>
      </w:rPr>
      <w:t xml:space="preserve">National Disability Insurance Scheme: Annual Financial Sustainability Report 2022-23        </w:t>
    </w:r>
    <w:r>
      <w:rPr>
        <w:sz w:val="20"/>
        <w:szCs w:val="20"/>
      </w:rPr>
      <w:tab/>
    </w:r>
    <w:r w:rsidRPr="00E53368">
      <w:rPr>
        <w:sz w:val="20"/>
        <w:szCs w:val="20"/>
      </w:rPr>
      <w:fldChar w:fldCharType="begin"/>
    </w:r>
    <w:r w:rsidRPr="00E53368">
      <w:rPr>
        <w:sz w:val="20"/>
        <w:szCs w:val="20"/>
      </w:rPr>
      <w:instrText xml:space="preserve"> PAGE   \* MERGEFORMAT </w:instrText>
    </w:r>
    <w:r w:rsidRPr="00E53368">
      <w:rPr>
        <w:sz w:val="20"/>
        <w:szCs w:val="20"/>
      </w:rPr>
      <w:fldChar w:fldCharType="separate"/>
    </w:r>
    <w:r w:rsidRPr="00E53368">
      <w:rPr>
        <w:sz w:val="20"/>
        <w:szCs w:val="20"/>
      </w:rPr>
      <w:t>11</w:t>
    </w:r>
    <w:r w:rsidRPr="00E53368">
      <w:rPr>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CED2" w14:textId="5F1E335E" w:rsidR="00196301" w:rsidRPr="00E53368" w:rsidRDefault="00196301" w:rsidP="00E53368">
    <w:pPr>
      <w:pStyle w:val="Footer"/>
      <w:pBdr>
        <w:top w:val="single" w:sz="4" w:space="3" w:color="EEECE1" w:themeColor="background2"/>
      </w:pBdr>
      <w:tabs>
        <w:tab w:val="clear" w:pos="9026"/>
        <w:tab w:val="right" w:pos="9498"/>
      </w:tabs>
      <w:rPr>
        <w:sz w:val="20"/>
        <w:szCs w:val="20"/>
      </w:rPr>
    </w:pPr>
    <w:r w:rsidRPr="00E53368">
      <w:rPr>
        <w:sz w:val="20"/>
        <w:szCs w:val="20"/>
      </w:rPr>
      <w:t xml:space="preserve">National Disability Insurance Scheme: Annual Financial Sustainability Report 2022-23        </w:t>
    </w:r>
    <w:r w:rsidRPr="00E53368">
      <w:rPr>
        <w:sz w:val="20"/>
        <w:szCs w:val="20"/>
      </w:rPr>
      <w:fldChar w:fldCharType="begin"/>
    </w:r>
    <w:r w:rsidRPr="00E53368">
      <w:rPr>
        <w:sz w:val="20"/>
        <w:szCs w:val="20"/>
      </w:rPr>
      <w:instrText xml:space="preserve"> PAGE   \* MERGEFORMAT </w:instrText>
    </w:r>
    <w:r w:rsidRPr="00E53368">
      <w:rPr>
        <w:sz w:val="20"/>
        <w:szCs w:val="20"/>
      </w:rPr>
      <w:fldChar w:fldCharType="separate"/>
    </w:r>
    <w:r w:rsidRPr="00E53368">
      <w:rPr>
        <w:sz w:val="20"/>
        <w:szCs w:val="20"/>
      </w:rPr>
      <w:t>11</w:t>
    </w:r>
    <w:r w:rsidRPr="00E53368">
      <w:rPr>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63B5" w14:textId="6E303891" w:rsidR="00141B2D" w:rsidRPr="00E53368" w:rsidRDefault="00FA59E8" w:rsidP="00141B2D">
    <w:pPr>
      <w:pStyle w:val="Footer"/>
      <w:pBdr>
        <w:top w:val="single" w:sz="4" w:space="3" w:color="EEECE1" w:themeColor="background2"/>
      </w:pBdr>
      <w:rPr>
        <w:sz w:val="20"/>
        <w:szCs w:val="20"/>
      </w:rPr>
    </w:pPr>
    <w:r w:rsidRPr="00E53368">
      <w:rPr>
        <w:sz w:val="20"/>
        <w:szCs w:val="20"/>
      </w:rPr>
      <w:t xml:space="preserve">National Disability Insurance Scheme: Annual Financial Sustainability Report 2022-23        </w:t>
    </w:r>
    <w:r w:rsidR="00141B2D" w:rsidRPr="00E53368">
      <w:rPr>
        <w:sz w:val="20"/>
        <w:szCs w:val="20"/>
      </w:rPr>
      <w:fldChar w:fldCharType="begin"/>
    </w:r>
    <w:r w:rsidR="00141B2D" w:rsidRPr="00E53368">
      <w:rPr>
        <w:sz w:val="20"/>
        <w:szCs w:val="20"/>
      </w:rPr>
      <w:instrText xml:space="preserve"> PAGE   \* MERGEFORMAT </w:instrText>
    </w:r>
    <w:r w:rsidR="00141B2D" w:rsidRPr="00E53368">
      <w:rPr>
        <w:sz w:val="20"/>
        <w:szCs w:val="20"/>
      </w:rPr>
      <w:fldChar w:fldCharType="separate"/>
    </w:r>
    <w:r w:rsidR="00141B2D" w:rsidRPr="00E53368">
      <w:rPr>
        <w:sz w:val="20"/>
        <w:szCs w:val="20"/>
      </w:rPr>
      <w:t>61</w:t>
    </w:r>
    <w:r w:rsidR="00141B2D" w:rsidRPr="00E53368">
      <w:rPr>
        <w:noProof/>
        <w:sz w:val="20"/>
        <w:szCs w:val="20"/>
      </w:rPr>
      <w:fldChar w:fldCharType="end"/>
    </w:r>
  </w:p>
  <w:p w14:paraId="4D10E0B8" w14:textId="77777777" w:rsidR="00FE66E1" w:rsidRPr="00141B2D" w:rsidRDefault="00FE66E1" w:rsidP="00141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870F" w14:textId="77777777" w:rsidR="0054762F" w:rsidRDefault="0054762F" w:rsidP="007219F1">
      <w:pPr>
        <w:spacing w:after="0" w:line="240" w:lineRule="auto"/>
      </w:pPr>
      <w:r>
        <w:separator/>
      </w:r>
    </w:p>
    <w:p w14:paraId="6BA21440" w14:textId="77777777" w:rsidR="0054762F" w:rsidRDefault="0054762F"/>
  </w:footnote>
  <w:footnote w:type="continuationSeparator" w:id="0">
    <w:p w14:paraId="6347285F" w14:textId="77777777" w:rsidR="0054762F" w:rsidRDefault="0054762F" w:rsidP="007219F1">
      <w:pPr>
        <w:spacing w:after="0" w:line="240" w:lineRule="auto"/>
      </w:pPr>
      <w:r>
        <w:continuationSeparator/>
      </w:r>
    </w:p>
    <w:p w14:paraId="3BE4B5A7" w14:textId="77777777" w:rsidR="0054762F" w:rsidRDefault="0054762F"/>
  </w:footnote>
  <w:footnote w:type="continuationNotice" w:id="1">
    <w:p w14:paraId="03EDF78A" w14:textId="77777777" w:rsidR="0054762F" w:rsidRDefault="0054762F">
      <w:pPr>
        <w:spacing w:after="0" w:line="240" w:lineRule="auto"/>
      </w:pPr>
    </w:p>
  </w:footnote>
  <w:footnote w:id="2">
    <w:p w14:paraId="2EF94C59" w14:textId="77777777" w:rsidR="00154D6D" w:rsidRPr="00252EAF" w:rsidRDefault="00154D6D" w:rsidP="00154D6D">
      <w:pPr>
        <w:pStyle w:val="FootnoteText"/>
      </w:pPr>
      <w:r>
        <w:rPr>
          <w:rStyle w:val="FootnoteReference"/>
        </w:rPr>
        <w:footnoteRef/>
      </w:r>
      <w:r>
        <w:t xml:space="preserve"> </w:t>
      </w:r>
      <w:hyperlink r:id="rId1" w:anchor="afsr" w:history="1">
        <w:r w:rsidRPr="00DB43C0">
          <w:rPr>
            <w:rStyle w:val="Hyperlink"/>
          </w:rPr>
          <w:t>NDIS Publications</w:t>
        </w:r>
      </w:hyperlink>
      <w:r>
        <w:rPr>
          <w:rStyle w:val="Hyperlink"/>
        </w:rPr>
        <w:t xml:space="preserve"> </w:t>
      </w:r>
    </w:p>
  </w:footnote>
  <w:footnote w:id="3">
    <w:p w14:paraId="23873765" w14:textId="4CC41945" w:rsidR="00154D6D" w:rsidRDefault="00154D6D">
      <w:pPr>
        <w:pStyle w:val="FootnoteText"/>
      </w:pPr>
      <w:r>
        <w:rPr>
          <w:rStyle w:val="FootnoteReference"/>
        </w:rPr>
        <w:footnoteRef/>
      </w:r>
      <w:r>
        <w:t xml:space="preserve"> </w:t>
      </w:r>
      <w:hyperlink r:id="rId2" w:history="1">
        <w:r w:rsidR="00DA137F" w:rsidRPr="00DA137F">
          <w:rPr>
            <w:rStyle w:val="cf01"/>
            <w:rFonts w:ascii="Arial" w:hAnsi="Arial" w:cs="Arial"/>
            <w:color w:val="0000FF"/>
            <w:sz w:val="20"/>
            <w:szCs w:val="20"/>
            <w:u w:val="single"/>
          </w:rPr>
          <w:t>Annual Financial Sustainability Reports | NDIS</w:t>
        </w:r>
      </w:hyperlink>
    </w:p>
  </w:footnote>
  <w:footnote w:id="4">
    <w:p w14:paraId="61521177" w14:textId="04A45A07" w:rsidR="00154D6D" w:rsidRDefault="00154D6D">
      <w:pPr>
        <w:pStyle w:val="FootnoteText"/>
      </w:pPr>
      <w:r>
        <w:rPr>
          <w:rStyle w:val="FootnoteReference"/>
        </w:rPr>
        <w:footnoteRef/>
      </w:r>
      <w:r>
        <w:t xml:space="preserve"> </w:t>
      </w:r>
      <w:hyperlink r:id="rId3" w:history="1">
        <w:r w:rsidR="003C4038">
          <w:rPr>
            <w:rStyle w:val="Hyperlink"/>
          </w:rPr>
          <w:t>Budget Paper No. 2: Budget Measures</w:t>
        </w:r>
      </w:hyperlink>
      <w:r w:rsidR="003C4038">
        <w:t xml:space="preserve">: </w:t>
      </w:r>
      <w:r w:rsidR="003C4038" w:rsidRPr="00154D6D">
        <w:t>Improving the Effectiveness and Sustainability of the National Disability Insurance Scheme, pgs. 197-8</w:t>
      </w:r>
    </w:p>
  </w:footnote>
  <w:footnote w:id="5">
    <w:p w14:paraId="6D45F885" w14:textId="7FCB5BB8" w:rsidR="00154D6D" w:rsidRDefault="00154D6D">
      <w:pPr>
        <w:pStyle w:val="FootnoteText"/>
      </w:pPr>
      <w:r>
        <w:rPr>
          <w:rStyle w:val="FootnoteReference"/>
        </w:rPr>
        <w:footnoteRef/>
      </w:r>
      <w:r>
        <w:t xml:space="preserve"> </w:t>
      </w:r>
      <w:hyperlink r:id="rId4" w:history="1">
        <w:r w:rsidR="003C4038">
          <w:rPr>
            <w:rStyle w:val="Hyperlink"/>
          </w:rPr>
          <w:t>National Cabinet commits to a sustainable NDIS | Department of Social Services Ministers (dss.gov.au)</w:t>
        </w:r>
      </w:hyperlink>
    </w:p>
  </w:footnote>
  <w:footnote w:id="6">
    <w:p w14:paraId="29E05734" w14:textId="18AB0247" w:rsidR="00154D6D" w:rsidRDefault="00154D6D">
      <w:pPr>
        <w:pStyle w:val="FootnoteText"/>
      </w:pPr>
      <w:r>
        <w:rPr>
          <w:rStyle w:val="FootnoteReference"/>
        </w:rPr>
        <w:footnoteRef/>
      </w:r>
      <w:r>
        <w:t xml:space="preserve"> </w:t>
      </w:r>
      <w:hyperlink r:id="rId5" w:history="1">
        <w:r>
          <w:rPr>
            <w:rStyle w:val="Hyperlink"/>
          </w:rPr>
          <w:t>2023 Intergenerational Report | Treasury.gov.au</w:t>
        </w:r>
      </w:hyperlink>
    </w:p>
  </w:footnote>
  <w:footnote w:id="7">
    <w:p w14:paraId="5121AC12" w14:textId="49FFFA92" w:rsidR="00154D6D" w:rsidRDefault="00154D6D">
      <w:pPr>
        <w:pStyle w:val="FootnoteText"/>
      </w:pPr>
      <w:r>
        <w:rPr>
          <w:rStyle w:val="FootnoteReference"/>
        </w:rPr>
        <w:footnoteRef/>
      </w:r>
      <w:r>
        <w:t xml:space="preserve"> </w:t>
      </w:r>
      <w:hyperlink r:id="rId6" w:history="1">
        <w:r w:rsidR="00DA137F">
          <w:rPr>
            <w:rStyle w:val="Hyperlink"/>
          </w:rPr>
          <w:t>Terms of Reference: Building a strong, effective NDIS | NDIS Review</w:t>
        </w:r>
      </w:hyperlink>
    </w:p>
  </w:footnote>
  <w:footnote w:id="8">
    <w:p w14:paraId="3C80DADE" w14:textId="77777777" w:rsidR="00154D6D" w:rsidRDefault="00154D6D" w:rsidP="00154D6D">
      <w:pPr>
        <w:pStyle w:val="FootnoteText"/>
      </w:pPr>
      <w:r>
        <w:rPr>
          <w:rStyle w:val="FootnoteReference"/>
        </w:rPr>
        <w:footnoteRef/>
      </w:r>
      <w:r>
        <w:t xml:space="preserve"> Scheme expenses relate to the payments made for participant supports and does not include operating expenses. It</w:t>
      </w:r>
      <w:r w:rsidRPr="00921CFB">
        <w:t xml:space="preserve"> is based on when the service was provided to the participant recognising some services are paid f</w:t>
      </w:r>
      <w:r>
        <w:t>or after the end of the period.</w:t>
      </w:r>
    </w:p>
  </w:footnote>
  <w:footnote w:id="9">
    <w:p w14:paraId="0ECE7D99" w14:textId="77777777" w:rsidR="00AD5D8E" w:rsidRDefault="00AD5D8E" w:rsidP="00AD5D8E">
      <w:pPr>
        <w:pStyle w:val="FootnoteText"/>
      </w:pPr>
      <w:r w:rsidRPr="00586E2C">
        <w:rPr>
          <w:rStyle w:val="FootnoteReference"/>
        </w:rPr>
        <w:footnoteRef/>
      </w:r>
      <w:r w:rsidRPr="00586E2C">
        <w:t xml:space="preserve"> </w:t>
      </w:r>
      <w:r>
        <w:t>P</w:t>
      </w:r>
      <w:r w:rsidRPr="00586E2C">
        <w:t>rojected Scheme expenses for 203</w:t>
      </w:r>
      <w:r>
        <w:t>1</w:t>
      </w:r>
      <w:r w:rsidRPr="00586E2C">
        <w:t>-3</w:t>
      </w:r>
      <w:r>
        <w:t>2</w:t>
      </w:r>
      <w:r w:rsidRPr="00586E2C">
        <w:t xml:space="preserve"> on an accrual basis are projected to be </w:t>
      </w:r>
      <w:r w:rsidRPr="003739E8">
        <w:t>$</w:t>
      </w:r>
      <w:r>
        <w:t>84.8</w:t>
      </w:r>
      <w:r w:rsidRPr="00586E2C">
        <w:t xml:space="preserve"> billion, in comparison with </w:t>
      </w:r>
      <w:r w:rsidRPr="003739E8">
        <w:t>$</w:t>
      </w:r>
      <w:r>
        <w:t>89.4</w:t>
      </w:r>
      <w:r w:rsidRPr="00586E2C">
        <w:t xml:space="preserve"> billion reported in the 2021-22 AFSR.</w:t>
      </w:r>
    </w:p>
  </w:footnote>
  <w:footnote w:id="10">
    <w:p w14:paraId="5119D4F9" w14:textId="78178AB4" w:rsidR="00E7089F" w:rsidRDefault="00E7089F" w:rsidP="00E7089F">
      <w:pPr>
        <w:pStyle w:val="FootnoteText"/>
      </w:pPr>
      <w:r>
        <w:rPr>
          <w:rStyle w:val="FootnoteReference"/>
        </w:rPr>
        <w:footnoteRef/>
      </w:r>
      <w:r>
        <w:t xml:space="preserve"> The 2023-24 Budget for 2026-27 is $54,376m, </w:t>
      </w:r>
      <w:r w:rsidR="00C17366">
        <w:t xml:space="preserve">which is </w:t>
      </w:r>
      <w:r>
        <w:t>$623m lower than the December 2022 projections.</w:t>
      </w:r>
    </w:p>
  </w:footnote>
  <w:footnote w:id="11">
    <w:p w14:paraId="177DA4EE" w14:textId="6711A1E4" w:rsidR="00AD59AC" w:rsidRDefault="00AD59AC">
      <w:pPr>
        <w:pStyle w:val="FootnoteText"/>
      </w:pPr>
      <w:r>
        <w:rPr>
          <w:rStyle w:val="FootnoteReference"/>
        </w:rPr>
        <w:footnoteRef/>
      </w:r>
      <w:r>
        <w:t xml:space="preserve"> </w:t>
      </w:r>
      <w:r w:rsidR="00C57C5D">
        <w:t xml:space="preserve">SAP is a software company that makes enterprise software. Also known as </w:t>
      </w:r>
      <w:r w:rsidR="00C57C5D" w:rsidRPr="002708E6">
        <w:t>Systems, Applications and Products</w:t>
      </w:r>
      <w:r w:rsidR="00C57C5D">
        <w:t xml:space="preserve"> in Data Processing.</w:t>
      </w:r>
    </w:p>
  </w:footnote>
  <w:footnote w:id="12">
    <w:p w14:paraId="58CD1416" w14:textId="6D0B61D5" w:rsidR="00AD5D8E" w:rsidRDefault="00AD5D8E" w:rsidP="00AD5D8E">
      <w:pPr>
        <w:pStyle w:val="FootnoteText"/>
      </w:pPr>
      <w:r>
        <w:rPr>
          <w:rStyle w:val="FootnoteReference"/>
        </w:rPr>
        <w:footnoteRef/>
      </w:r>
      <w:r>
        <w:t xml:space="preserve"> Information was provided relating to</w:t>
      </w:r>
      <w:r w:rsidR="00332873">
        <w:t xml:space="preserve"> the</w:t>
      </w:r>
      <w:r>
        <w:t xml:space="preserve"> Permanent Migration Program </w:t>
      </w:r>
      <w:r w:rsidR="00332873">
        <w:t>2023-24 and</w:t>
      </w:r>
      <w:r>
        <w:t xml:space="preserve"> Transitioning Temporary Protection Visa (TPV)/ Safe Haven Enterprise Visa (SHEV) Holder</w:t>
      </w:r>
      <w:r w:rsidR="00332873">
        <w:t>s</w:t>
      </w:r>
      <w:r>
        <w:t xml:space="preserve"> to Permanent Residence.</w:t>
      </w:r>
    </w:p>
  </w:footnote>
  <w:footnote w:id="13">
    <w:p w14:paraId="4655B606" w14:textId="198B1B89" w:rsidR="001157EC" w:rsidRDefault="001157EC">
      <w:pPr>
        <w:pStyle w:val="FootnoteText"/>
      </w:pPr>
      <w:r>
        <w:rPr>
          <w:rStyle w:val="FootnoteReference"/>
        </w:rPr>
        <w:footnoteRef/>
      </w:r>
      <w:r>
        <w:t xml:space="preserve"> Allows for changes in immigration policy settings for New Zealand </w:t>
      </w:r>
      <w:r w:rsidR="00612A70">
        <w:t>c</w:t>
      </w:r>
      <w:r>
        <w:t xml:space="preserve">itizens, that </w:t>
      </w:r>
      <w:r w:rsidR="00612A70">
        <w:t>fast tracks their eligibility to become</w:t>
      </w:r>
      <w:r>
        <w:t xml:space="preserve"> Australia</w:t>
      </w:r>
      <w:r w:rsidR="00612A70">
        <w:t>n citizens</w:t>
      </w:r>
      <w:r>
        <w:t>.</w:t>
      </w:r>
    </w:p>
  </w:footnote>
  <w:footnote w:id="14">
    <w:p w14:paraId="63819457" w14:textId="77777777" w:rsidR="00AD5D8E" w:rsidRDefault="00AD5D8E" w:rsidP="00AD5D8E">
      <w:pPr>
        <w:pStyle w:val="FootnoteText"/>
      </w:pPr>
      <w:r>
        <w:rPr>
          <w:rStyle w:val="FootnoteReference"/>
        </w:rPr>
        <w:footnoteRef/>
      </w:r>
      <w:r>
        <w:t xml:space="preserve"> </w:t>
      </w:r>
      <w:r w:rsidRPr="00756ACE">
        <w:t>Participant cohorts are based on age, primary disability type, recorded level of function, gender, whether a participant is in Supported Independent Living arrangements, and duration in the Scheme.</w:t>
      </w:r>
    </w:p>
  </w:footnote>
  <w:footnote w:id="15">
    <w:p w14:paraId="7D24BE85" w14:textId="77777777" w:rsidR="00AD5D8E" w:rsidRDefault="00AD5D8E" w:rsidP="00AD5D8E">
      <w:pPr>
        <w:pStyle w:val="FootnoteText"/>
      </w:pPr>
      <w:r>
        <w:rPr>
          <w:rStyle w:val="FootnoteReference"/>
        </w:rPr>
        <w:footnoteRef/>
      </w:r>
      <w:r>
        <w:t xml:space="preserve"> </w:t>
      </w:r>
      <w:r w:rsidRPr="006C15CA">
        <w:t>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p>
  </w:footnote>
  <w:footnote w:id="16">
    <w:p w14:paraId="55F510B7" w14:textId="77777777" w:rsidR="004236EE" w:rsidRDefault="004236EE" w:rsidP="004236EE">
      <w:pPr>
        <w:pStyle w:val="FootnoteText"/>
      </w:pPr>
      <w:r>
        <w:rPr>
          <w:rStyle w:val="FootnoteReference"/>
        </w:rPr>
        <w:footnoteRef/>
      </w:r>
      <w:r>
        <w:t xml:space="preserve"> </w:t>
      </w:r>
      <w:r w:rsidRPr="006C15CA">
        <w:t>Developmental delay includes both developmental delay (DD) and global developmental delay (GDD); GDD involves a formal diagnosis, whilst DD does not have such a requirement and access to the Scheme may be based on parental observation or identification of delay in a child’s development in an early childhood setting</w:t>
      </w:r>
      <w:r>
        <w:t>.</w:t>
      </w:r>
    </w:p>
  </w:footnote>
  <w:footnote w:id="17">
    <w:p w14:paraId="05E1CD46" w14:textId="77777777" w:rsidR="00246A95" w:rsidRDefault="00246A95" w:rsidP="00246A95">
      <w:pPr>
        <w:pStyle w:val="FootnoteText"/>
      </w:pPr>
      <w:r>
        <w:rPr>
          <w:rStyle w:val="FootnoteReference"/>
        </w:rPr>
        <w:footnoteRef/>
      </w:r>
      <w:r>
        <w:t xml:space="preserve"> For reasons other than mortality</w:t>
      </w:r>
    </w:p>
  </w:footnote>
  <w:footnote w:id="18">
    <w:p w14:paraId="5A8F28F5" w14:textId="77777777" w:rsidR="00246A95" w:rsidRDefault="00246A95" w:rsidP="00246A95">
      <w:pPr>
        <w:pStyle w:val="FootnoteText"/>
      </w:pPr>
      <w:r>
        <w:rPr>
          <w:rStyle w:val="FootnoteReference"/>
        </w:rPr>
        <w:footnoteRef/>
      </w:r>
      <w:r>
        <w:t xml:space="preserve"> Scheme expenses are before allowance for Agency operating costs.</w:t>
      </w:r>
    </w:p>
  </w:footnote>
  <w:footnote w:id="19">
    <w:p w14:paraId="3D81CF05" w14:textId="77777777" w:rsidR="00AD5D8E" w:rsidRDefault="00AD5D8E" w:rsidP="00AD5D8E">
      <w:pPr>
        <w:pStyle w:val="FootnoteText"/>
      </w:pPr>
      <w:r>
        <w:rPr>
          <w:rStyle w:val="FootnoteReference"/>
        </w:rPr>
        <w:footnoteRef/>
      </w:r>
      <w:r>
        <w:t xml:space="preserve"> </w:t>
      </w:r>
      <w:r w:rsidRPr="007D0D83">
        <w:t>Average annualised payments have been calculated on a cash basis using the 12 months over each year ending 30 June.</w:t>
      </w:r>
    </w:p>
  </w:footnote>
  <w:footnote w:id="20">
    <w:p w14:paraId="37EFD25A" w14:textId="77777777" w:rsidR="00AD5D8E" w:rsidRDefault="00AD5D8E" w:rsidP="00AD5D8E">
      <w:pPr>
        <w:pStyle w:val="FootnoteText"/>
      </w:pPr>
      <w:r>
        <w:rPr>
          <w:rStyle w:val="FootnoteReference"/>
        </w:rPr>
        <w:footnoteRef/>
      </w:r>
      <w:r>
        <w:t xml:space="preserve"> Additional Growth was referred to as ‘Additional Inflation’ and ‘Superimposed Inflation’ at previous reviews.</w:t>
      </w:r>
    </w:p>
  </w:footnote>
  <w:footnote w:id="21">
    <w:p w14:paraId="066590E1" w14:textId="77777777" w:rsidR="00AD5D8E" w:rsidRDefault="00AD5D8E" w:rsidP="00AD5D8E">
      <w:pPr>
        <w:pStyle w:val="FootnoteText"/>
      </w:pPr>
      <w:r>
        <w:rPr>
          <w:rStyle w:val="FootnoteReference"/>
        </w:rPr>
        <w:footnoteRef/>
      </w:r>
      <w:r>
        <w:t>. Historic inflation rates for prior years have been restated using data as at 30 June 2023. There are some minor changes in these rates die to retrospective changes in the underlying data.</w:t>
      </w:r>
    </w:p>
  </w:footnote>
  <w:footnote w:id="22">
    <w:p w14:paraId="0173B47A" w14:textId="46DA776E" w:rsidR="00AD5D8E" w:rsidRDefault="00AD5D8E" w:rsidP="00AD5D8E">
      <w:pPr>
        <w:pStyle w:val="FootnoteText"/>
      </w:pPr>
      <w:r>
        <w:rPr>
          <w:rStyle w:val="FootnoteReference"/>
        </w:rPr>
        <w:footnoteRef/>
      </w:r>
      <w:r>
        <w:t xml:space="preserve"> </w:t>
      </w:r>
      <w:r w:rsidRPr="00904636">
        <w:t xml:space="preserve">Change in mix refers to the impact on </w:t>
      </w:r>
      <w:r w:rsidRPr="00F87426">
        <w:t xml:space="preserve">growth in average payments, </w:t>
      </w:r>
      <w:r w:rsidRPr="00904636">
        <w:t>of changes in the profile of the participant population (</w:t>
      </w:r>
      <w:r w:rsidR="00301824" w:rsidRPr="00904636">
        <w:t>i.e.,</w:t>
      </w:r>
      <w:r w:rsidRPr="00904636">
        <w:t xml:space="preserve"> more new entrants in cohorts with a </w:t>
      </w:r>
      <w:r w:rsidR="00F27331" w:rsidRPr="00904636">
        <w:t>lower-than-average</w:t>
      </w:r>
      <w:r w:rsidRPr="00904636">
        <w:t xml:space="preserve"> payment per participant would lead to a negative impact) rather than changes in the average payment per participant within specific cohorts. This is excluded from additional </w:t>
      </w:r>
      <w:r w:rsidRPr="00F87426">
        <w:t xml:space="preserve">growth </w:t>
      </w:r>
      <w:r w:rsidRPr="00904636">
        <w:t xml:space="preserve">as it is explicitly modelled in the </w:t>
      </w:r>
      <w:r w:rsidRPr="00F87426">
        <w:t>Scheme projections</w:t>
      </w:r>
      <w:r w:rsidRPr="00904636">
        <w:t xml:space="preserve">. In this table, change in mix excludes the </w:t>
      </w:r>
      <w:r w:rsidRPr="00F87426">
        <w:t xml:space="preserve">growth in average payments </w:t>
      </w:r>
      <w:r w:rsidRPr="00904636">
        <w:t>impact of change in reported level of function over time. This impact is included in additional growth.</w:t>
      </w:r>
    </w:p>
  </w:footnote>
  <w:footnote w:id="23">
    <w:p w14:paraId="4EDF4A4B" w14:textId="5EEBF303" w:rsidR="00AD5D8E" w:rsidRDefault="00AD5D8E" w:rsidP="00AD5D8E">
      <w:pPr>
        <w:pStyle w:val="FootnoteText"/>
      </w:pPr>
      <w:r>
        <w:rPr>
          <w:rStyle w:val="FootnoteReference"/>
        </w:rPr>
        <w:footnoteRef/>
      </w:r>
      <w:r>
        <w:t xml:space="preserve"> </w:t>
      </w:r>
      <w:r w:rsidRPr="00A54521">
        <w:t xml:space="preserve">The observed growth in plan budgets per participant in this chart is after adjusting for the impact of the change in mix of participant </w:t>
      </w:r>
      <w:r w:rsidR="00301824" w:rsidRPr="00A54521">
        <w:t>profile.</w:t>
      </w:r>
    </w:p>
  </w:footnote>
  <w:footnote w:id="24">
    <w:p w14:paraId="6731EBE6" w14:textId="77777777" w:rsidR="00AD5D8E" w:rsidRDefault="00AD5D8E" w:rsidP="00AD5D8E">
      <w:pPr>
        <w:pStyle w:val="FootnoteText"/>
      </w:pPr>
      <w:r>
        <w:rPr>
          <w:rStyle w:val="FootnoteReference"/>
        </w:rPr>
        <w:footnoteRef/>
      </w:r>
      <w:r>
        <w:t xml:space="preserve"> Details of the 2022-23 Annual Pricing Review (APR) are available on the NDIS website. </w:t>
      </w:r>
      <w:hyperlink r:id="rId7" w:history="1">
        <w:r>
          <w:rPr>
            <w:rStyle w:val="Hyperlink"/>
          </w:rPr>
          <w:t>Annual pricing review | NDIS</w:t>
        </w:r>
      </w:hyperlink>
    </w:p>
  </w:footnote>
  <w:footnote w:id="25">
    <w:p w14:paraId="0133B4E5" w14:textId="77777777" w:rsidR="00AD5D8E" w:rsidRDefault="00AD5D8E" w:rsidP="00AD5D8E">
      <w:pPr>
        <w:pStyle w:val="FootnoteText"/>
      </w:pPr>
      <w:r>
        <w:rPr>
          <w:rStyle w:val="FootnoteReference"/>
        </w:rPr>
        <w:footnoteRef/>
      </w:r>
      <w:r>
        <w:t xml:space="preserve"> The latest economic forecasts at May 2023, available on the RBA website, have been used in setting assumptions for normal inflation. </w:t>
      </w:r>
      <w:hyperlink r:id="rId8" w:history="1">
        <w:r>
          <w:rPr>
            <w:rStyle w:val="Hyperlink"/>
          </w:rPr>
          <w:t>https://www.rba.gov.au/publications/smp/2023/may/forecasts.html</w:t>
        </w:r>
      </w:hyperlink>
    </w:p>
  </w:footnote>
  <w:footnote w:id="26">
    <w:p w14:paraId="5046EA90" w14:textId="77777777" w:rsidR="00F41B41" w:rsidRDefault="00F41B41" w:rsidP="00F41B41">
      <w:pPr>
        <w:pStyle w:val="FootnoteText"/>
      </w:pPr>
      <w:r>
        <w:rPr>
          <w:rStyle w:val="FootnoteReference"/>
        </w:rPr>
        <w:footnoteRef/>
      </w:r>
      <w:r>
        <w:t xml:space="preserve"> </w:t>
      </w:r>
      <w:r w:rsidRPr="00252EAF">
        <w:t>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p>
  </w:footnote>
  <w:footnote w:id="27">
    <w:p w14:paraId="4BA166C9" w14:textId="07D5A5E1" w:rsidR="00F41B41" w:rsidRDefault="00F41B41" w:rsidP="00F41B41">
      <w:pPr>
        <w:pStyle w:val="FootnoteText"/>
      </w:pPr>
      <w:r>
        <w:rPr>
          <w:rStyle w:val="FootnoteReference"/>
        </w:rPr>
        <w:footnoteRef/>
      </w:r>
      <w:r>
        <w:t xml:space="preserve"> Additional growth is growth from cost pressures over and above normal inflationary sources (such as general increases in wages and consumer prices). It has been referred to as “additional inflation” or “superimposed inflation” at previous reviews.</w:t>
      </w:r>
    </w:p>
  </w:footnote>
  <w:footnote w:id="28">
    <w:p w14:paraId="09F10A02" w14:textId="4A76BFBA" w:rsidR="00F41B41" w:rsidRDefault="00F41B41" w:rsidP="00F41B41">
      <w:pPr>
        <w:pStyle w:val="FootnoteText"/>
      </w:pPr>
      <w:r>
        <w:rPr>
          <w:rStyle w:val="FootnoteReference"/>
        </w:rPr>
        <w:footnoteRef/>
      </w:r>
      <w:r>
        <w:t xml:space="preserve"> </w:t>
      </w:r>
      <w:r w:rsidRPr="00373BEE">
        <w:t xml:space="preserve">Model specification risk is the risk that the inputs and parameters of the model used </w:t>
      </w:r>
      <w:r>
        <w:t xml:space="preserve">to project </w:t>
      </w:r>
      <w:r w:rsidRPr="00373BEE">
        <w:t xml:space="preserve">future </w:t>
      </w:r>
      <w:r>
        <w:t>Scheme expenses</w:t>
      </w:r>
      <w:r w:rsidRPr="00373BEE">
        <w:t xml:space="preserve"> is not a true representation of Scheme processes or participant behaviour, and that this leads to biases in the projections</w:t>
      </w:r>
      <w:r>
        <w:t>.</w:t>
      </w:r>
    </w:p>
  </w:footnote>
  <w:footnote w:id="29">
    <w:p w14:paraId="7F19B229" w14:textId="77777777" w:rsidR="00F41B41" w:rsidRDefault="00F41B41" w:rsidP="00F41B41">
      <w:pPr>
        <w:pStyle w:val="FootnoteText"/>
      </w:pPr>
      <w:r>
        <w:rPr>
          <w:rStyle w:val="FootnoteReference"/>
        </w:rPr>
        <w:footnoteRef/>
      </w:r>
      <w:r>
        <w:t xml:space="preserve"> </w:t>
      </w:r>
      <w:r w:rsidRPr="00373BEE">
        <w:t>A confidence interval, here, represents the simulated probability that the Scheme expense will fall between the specified range of outcomes of the stochastic model</w:t>
      </w:r>
      <w:r>
        <w:t>.</w:t>
      </w:r>
    </w:p>
  </w:footnote>
  <w:footnote w:id="30">
    <w:p w14:paraId="17D4BB05" w14:textId="77777777" w:rsidR="00F41B41" w:rsidRDefault="00F41B41" w:rsidP="00F41B41">
      <w:pPr>
        <w:pStyle w:val="FootnoteText"/>
      </w:pPr>
      <w:r>
        <w:rPr>
          <w:rStyle w:val="FootnoteReference"/>
        </w:rPr>
        <w:footnoteRef/>
      </w:r>
      <w:r w:rsidRPr="00373BEE">
        <w:t>Legislative and/or policy changes could be expected to constrain the range of possible Scheme expense outcomes</w:t>
      </w:r>
      <w:r>
        <w:t xml:space="preserve">. </w:t>
      </w:r>
    </w:p>
  </w:footnote>
  <w:footnote w:id="31">
    <w:p w14:paraId="090747DF" w14:textId="1CA20C87" w:rsidR="00D46E12" w:rsidRDefault="00D46E12" w:rsidP="00D46E12">
      <w:pPr>
        <w:pStyle w:val="FootnoteText"/>
      </w:pPr>
      <w:r>
        <w:rPr>
          <w:rStyle w:val="FootnoteReference"/>
        </w:rPr>
        <w:footnoteRef/>
      </w:r>
      <w:r>
        <w:t xml:space="preserve"> Level of judgement: Low = assumptions influenced by experience and/or data that is known, Medium = assumptions influenced by experience and operational processes, introducing some variability, High = assumptions influenced by experience, operational process, economic conditions etc., with higher variability.</w:t>
      </w:r>
    </w:p>
  </w:footnote>
  <w:footnote w:id="32">
    <w:p w14:paraId="5973662A" w14:textId="13BD7C5C" w:rsidR="00AD5D8E" w:rsidRDefault="00AD5D8E" w:rsidP="00AD5D8E">
      <w:pPr>
        <w:pStyle w:val="FootnoteText"/>
      </w:pPr>
      <w:r w:rsidRPr="00F5230A">
        <w:rPr>
          <w:rStyle w:val="FootnoteReference"/>
        </w:rPr>
        <w:footnoteRef/>
      </w:r>
      <w:r w:rsidRPr="00F5230A">
        <w:t xml:space="preserve"> </w:t>
      </w:r>
      <w:bookmarkStart w:id="16" w:name="_Hlk150363868"/>
      <w:r w:rsidR="00172A59">
        <w:t xml:space="preserve">The impact on total Scheme expenses for each level of materiality: Low: </w:t>
      </w:r>
      <w:r w:rsidR="00172A59" w:rsidRPr="00CB2ECA">
        <w:t>≤1%</w:t>
      </w:r>
      <w:r w:rsidR="00172A59">
        <w:t>, Medium: 1-5%, High: &gt;5%</w:t>
      </w:r>
      <w:bookmarkEnd w:id="16"/>
      <w:r w:rsidR="00172A59">
        <w:t>.</w:t>
      </w:r>
    </w:p>
  </w:footnote>
  <w:footnote w:id="33">
    <w:p w14:paraId="27CAFEE0" w14:textId="0674B281" w:rsidR="00CC1C76" w:rsidRDefault="00CC1C76" w:rsidP="00CC1C76">
      <w:r>
        <w:rPr>
          <w:rStyle w:val="FootnoteReference"/>
        </w:rPr>
        <w:footnoteRef/>
      </w:r>
      <w:r>
        <w:t xml:space="preserve"> </w:t>
      </w:r>
      <w:hyperlink r:id="rId9" w:history="1">
        <w:r w:rsidR="003C4038" w:rsidRPr="00D46E12">
          <w:rPr>
            <w:rStyle w:val="Hyperlink"/>
            <w:sz w:val="20"/>
            <w:szCs w:val="20"/>
          </w:rPr>
          <w:t>Corporate Plan | NDIS</w:t>
        </w:r>
      </w:hyperlink>
      <w:r w:rsidR="003C4038" w:rsidRPr="00D46E12">
        <w:rPr>
          <w:sz w:val="20"/>
          <w:szCs w:val="20"/>
        </w:rPr>
        <w:t xml:space="preserve"> - The NDIS Corporate Plan 2023-27 has also been released and includes the same Aspiration 1. However, the 2022-26 version is referenced in this report, as it includes targets for 2022-23 on outcomes-based performance metrics against which experience for the 2022-23 year can be measured.</w:t>
      </w:r>
    </w:p>
    <w:p w14:paraId="09B8A37D" w14:textId="31A08D1A" w:rsidR="00CC1C76" w:rsidRDefault="00CC1C76">
      <w:pPr>
        <w:pStyle w:val="FootnoteText"/>
      </w:pPr>
    </w:p>
  </w:footnote>
  <w:footnote w:id="34">
    <w:p w14:paraId="2BEECDF4" w14:textId="10D218BD" w:rsidR="00657B3F" w:rsidRDefault="00657B3F">
      <w:pPr>
        <w:pStyle w:val="FootnoteText"/>
      </w:pPr>
      <w:r>
        <w:rPr>
          <w:rStyle w:val="FootnoteReference"/>
        </w:rPr>
        <w:footnoteRef/>
      </w:r>
      <w:r>
        <w:t xml:space="preserve"> </w:t>
      </w:r>
      <w:hyperlink r:id="rId10" w:history="1">
        <w:r>
          <w:rPr>
            <w:rStyle w:val="Hyperlink"/>
          </w:rPr>
          <w:t>Annual Financial Sustainability Reports | NDIS</w:t>
        </w:r>
      </w:hyperlink>
    </w:p>
  </w:footnote>
  <w:footnote w:id="35">
    <w:p w14:paraId="3BA3C872" w14:textId="6FE37DDE" w:rsidR="00657B3F" w:rsidRDefault="00657B3F">
      <w:pPr>
        <w:pStyle w:val="FootnoteText"/>
      </w:pPr>
      <w:r>
        <w:rPr>
          <w:rStyle w:val="FootnoteReference"/>
        </w:rPr>
        <w:footnoteRef/>
      </w:r>
      <w:r>
        <w:t xml:space="preserve"> </w:t>
      </w:r>
      <w:hyperlink r:id="rId11">
        <w:r w:rsidRPr="11461FFC">
          <w:rPr>
            <w:rStyle w:val="Hyperlink"/>
          </w:rPr>
          <w:t>Service charter | NDIS</w:t>
        </w:r>
      </w:hyperlink>
    </w:p>
  </w:footnote>
  <w:footnote w:id="36">
    <w:p w14:paraId="3B40A814" w14:textId="51D49696" w:rsidR="00657B3F" w:rsidRDefault="00657B3F">
      <w:pPr>
        <w:pStyle w:val="FootnoteText"/>
      </w:pPr>
      <w:r>
        <w:rPr>
          <w:rStyle w:val="FootnoteReference"/>
        </w:rPr>
        <w:footnoteRef/>
      </w:r>
      <w:r>
        <w:t xml:space="preserve"> </w:t>
      </w:r>
      <w:hyperlink r:id="rId12">
        <w:r w:rsidRPr="11461FFC">
          <w:rPr>
            <w:rStyle w:val="Hyperlink"/>
          </w:rPr>
          <w:t>Participant Service Improvement Plan | NDIS</w:t>
        </w:r>
      </w:hyperlink>
    </w:p>
  </w:footnote>
  <w:footnote w:id="37">
    <w:p w14:paraId="5D1DF60B" w14:textId="4FB2772E" w:rsidR="003A75CB" w:rsidRDefault="003A75CB" w:rsidP="003A75CB">
      <w:pPr>
        <w:pStyle w:val="FootnoteText"/>
      </w:pPr>
      <w:r>
        <w:rPr>
          <w:rStyle w:val="FootnoteReference"/>
        </w:rPr>
        <w:footnoteRef/>
      </w:r>
      <w:r>
        <w:t xml:space="preserve">  </w:t>
      </w:r>
      <w:hyperlink r:id="rId13" w:history="1">
        <w:r w:rsidR="00292238" w:rsidRPr="00DA137F">
          <w:rPr>
            <w:rStyle w:val="cf01"/>
            <w:rFonts w:ascii="Arial" w:hAnsi="Arial" w:cs="Arial"/>
            <w:color w:val="0000FF"/>
            <w:sz w:val="20"/>
            <w:szCs w:val="20"/>
            <w:u w:val="single"/>
          </w:rPr>
          <w:t>Annual Financial Sustainability Reports | NDIS</w:t>
        </w:r>
      </w:hyperlink>
    </w:p>
  </w:footnote>
  <w:footnote w:id="38">
    <w:p w14:paraId="6174E45A" w14:textId="77777777" w:rsidR="003A75CB" w:rsidRDefault="003A75CB" w:rsidP="003A75CB">
      <w:pPr>
        <w:pStyle w:val="FootnoteText"/>
      </w:pPr>
      <w:r>
        <w:rPr>
          <w:rStyle w:val="FootnoteReference"/>
        </w:rPr>
        <w:footnoteRef/>
      </w:r>
      <w:r>
        <w:t xml:space="preserve"> </w:t>
      </w:r>
      <w:hyperlink r:id="rId14" w:history="1">
        <w:r>
          <w:rPr>
            <w:rStyle w:val="Hyperlink"/>
          </w:rPr>
          <w:t>Quarterly Reports | NDIS</w:t>
        </w:r>
      </w:hyperlink>
    </w:p>
  </w:footnote>
  <w:footnote w:id="39">
    <w:p w14:paraId="5C694129" w14:textId="77777777" w:rsidR="003A75CB" w:rsidRDefault="003A75CB" w:rsidP="003A75CB">
      <w:pPr>
        <w:pStyle w:val="FootnoteText"/>
      </w:pPr>
      <w:r>
        <w:rPr>
          <w:rStyle w:val="FootnoteReference"/>
        </w:rPr>
        <w:footnoteRef/>
      </w:r>
      <w:r>
        <w:t xml:space="preserve"> </w:t>
      </w:r>
      <w:hyperlink r:id="rId15" w:history="1">
        <w:r w:rsidRPr="005932FC">
          <w:rPr>
            <w:rStyle w:val="Hyperlink"/>
          </w:rPr>
          <w:t>NDIS outcomes and goals</w:t>
        </w:r>
      </w:hyperlink>
      <w:r>
        <w:t xml:space="preserve"> </w:t>
      </w:r>
    </w:p>
  </w:footnote>
  <w:footnote w:id="40">
    <w:p w14:paraId="41106235" w14:textId="77777777" w:rsidR="00657B3F" w:rsidRDefault="00657B3F" w:rsidP="00657B3F">
      <w:pPr>
        <w:pStyle w:val="FootnoteText"/>
      </w:pPr>
      <w:r>
        <w:rPr>
          <w:rStyle w:val="FootnoteReference"/>
        </w:rPr>
        <w:footnoteRef/>
      </w:r>
      <w:r>
        <w:t xml:space="preserve"> </w:t>
      </w:r>
      <w:hyperlink r:id="rId16" w:history="1">
        <w:r>
          <w:rPr>
            <w:rStyle w:val="Hyperlink"/>
          </w:rPr>
          <w:t>Budget Paper No. 2: Budget Measures</w:t>
        </w:r>
      </w:hyperlink>
      <w:r>
        <w:t>: Improving the Effectiveness and Sustainability of the National Disability Insurance Scheme, pgs. 197-8.</w:t>
      </w:r>
    </w:p>
  </w:footnote>
  <w:footnote w:id="41">
    <w:p w14:paraId="2C94688B" w14:textId="77777777" w:rsidR="00657B3F" w:rsidRDefault="00657B3F" w:rsidP="00657B3F">
      <w:pPr>
        <w:pStyle w:val="FootnoteText"/>
      </w:pPr>
      <w:r>
        <w:rPr>
          <w:rStyle w:val="FootnoteReference"/>
        </w:rPr>
        <w:footnoteRef/>
      </w:r>
      <w:r>
        <w:t xml:space="preserve"> </w:t>
      </w:r>
      <w:hyperlink r:id="rId17" w:history="1">
        <w:r>
          <w:rPr>
            <w:rStyle w:val="Hyperlink"/>
          </w:rPr>
          <w:t>National Cabinet commits to a sustainable NDIS | Department of Social Services Ministers (dss.gov.au)</w:t>
        </w:r>
      </w:hyperlink>
    </w:p>
  </w:footnote>
  <w:footnote w:id="42">
    <w:p w14:paraId="547B5571" w14:textId="77777777" w:rsidR="00657B3F" w:rsidRDefault="00657B3F" w:rsidP="00657B3F">
      <w:pPr>
        <w:pStyle w:val="FootnoteText"/>
      </w:pPr>
      <w:r>
        <w:rPr>
          <w:rStyle w:val="FootnoteReference"/>
        </w:rPr>
        <w:footnoteRef/>
      </w:r>
      <w:r>
        <w:t xml:space="preserve"> </w:t>
      </w:r>
      <w:hyperlink r:id="rId18" w:history="1">
        <w:r>
          <w:rPr>
            <w:rStyle w:val="Hyperlink"/>
          </w:rPr>
          <w:t>2023 Intergenerational Report | Treasury.gov.au</w:t>
        </w:r>
      </w:hyperlink>
    </w:p>
  </w:footnote>
  <w:footnote w:id="43">
    <w:p w14:paraId="3B8BA908" w14:textId="77777777" w:rsidR="00280794" w:rsidRDefault="00280794" w:rsidP="00280794">
      <w:pPr>
        <w:pStyle w:val="FootnoteText"/>
      </w:pPr>
      <w:r>
        <w:rPr>
          <w:rStyle w:val="FootnoteReference"/>
        </w:rPr>
        <w:footnoteRef/>
      </w:r>
      <w:r>
        <w:t xml:space="preserve"> </w:t>
      </w:r>
      <w:hyperlink r:id="rId19" w:history="1">
        <w:r>
          <w:rPr>
            <w:rStyle w:val="Hyperlink"/>
          </w:rPr>
          <w:t>Terms of Reference: Building a strong, effective NDIS | NDIS Review</w:t>
        </w:r>
      </w:hyperlink>
    </w:p>
  </w:footnote>
  <w:footnote w:id="44">
    <w:p w14:paraId="42D54B25" w14:textId="77777777" w:rsidR="00657B3F" w:rsidRDefault="00657B3F" w:rsidP="00657B3F">
      <w:pPr>
        <w:pStyle w:val="FootnoteText"/>
      </w:pPr>
      <w:r>
        <w:rPr>
          <w:rStyle w:val="FootnoteReference"/>
        </w:rPr>
        <w:footnoteRef/>
      </w:r>
      <w:r>
        <w:t xml:space="preserve"> </w:t>
      </w:r>
      <w:hyperlink r:id="rId20" w:history="1">
        <w:r w:rsidRPr="00B65393">
          <w:rPr>
            <w:rStyle w:val="Hyperlink"/>
          </w:rPr>
          <w:t>NDIA Data and Insights Website</w:t>
        </w:r>
      </w:hyperlink>
    </w:p>
  </w:footnote>
  <w:footnote w:id="45">
    <w:p w14:paraId="2793CAC3" w14:textId="77777777" w:rsidR="00D823B0" w:rsidRPr="00A233A2" w:rsidRDefault="00D823B0" w:rsidP="00D823B0">
      <w:pPr>
        <w:pStyle w:val="FootnoteText"/>
      </w:pPr>
      <w:r>
        <w:rPr>
          <w:rStyle w:val="FootnoteReference"/>
        </w:rPr>
        <w:footnoteRef/>
      </w:r>
      <w:r>
        <w:t xml:space="preserve"> SAP is a software company that makes enterprise software. Also known as </w:t>
      </w:r>
      <w:r w:rsidRPr="002708E6">
        <w:t>Systems, Applications and Products</w:t>
      </w:r>
      <w:r>
        <w:t xml:space="preserve"> in Data Processing.</w:t>
      </w:r>
    </w:p>
  </w:footnote>
  <w:footnote w:id="46">
    <w:p w14:paraId="6BD66637" w14:textId="58558660" w:rsidR="00D823B0" w:rsidRDefault="00D823B0" w:rsidP="00D823B0">
      <w:pPr>
        <w:pStyle w:val="FootnoteText"/>
      </w:pPr>
      <w:r>
        <w:rPr>
          <w:rStyle w:val="FootnoteReference"/>
        </w:rPr>
        <w:footnoteRef/>
      </w:r>
      <w:r>
        <w:t xml:space="preserve"> Information was provided relating to </w:t>
      </w:r>
      <w:r w:rsidR="00C036B8">
        <w:t>the</w:t>
      </w:r>
      <w:r>
        <w:t xml:space="preserve"> Permanent Migration Program 2023-24 and Transitioning Temporary Protection Visa” (TPV)/ “Safe Haven Enterprise Visa (SHEV) Holder</w:t>
      </w:r>
      <w:r w:rsidR="00C036B8">
        <w:t>s</w:t>
      </w:r>
      <w:r>
        <w:t xml:space="preserve"> to Permanent Residence.</w:t>
      </w:r>
    </w:p>
  </w:footnote>
  <w:footnote w:id="47">
    <w:p w14:paraId="1B1C41D8" w14:textId="6CD6E078" w:rsidR="00D823B0" w:rsidRDefault="00D823B0" w:rsidP="00D823B0">
      <w:pPr>
        <w:pStyle w:val="FootnoteText"/>
      </w:pPr>
      <w:r>
        <w:rPr>
          <w:rStyle w:val="FootnoteReference"/>
        </w:rPr>
        <w:footnoteRef/>
      </w:r>
      <w:r>
        <w:t xml:space="preserve"> </w:t>
      </w:r>
      <w:r w:rsidR="00AD65E3" w:rsidRPr="00AD65E3">
        <w:t>Allows for changes in immigration policy settings for New Zealand citizens that fast tracks their eligibility to become Australian citizens</w:t>
      </w:r>
      <w:r w:rsidRPr="00AD65E3">
        <w:t>.</w:t>
      </w:r>
    </w:p>
  </w:footnote>
  <w:footnote w:id="48">
    <w:p w14:paraId="7C54A53B" w14:textId="3BC43954" w:rsidR="005D0964" w:rsidRDefault="005D0964" w:rsidP="005D0964">
      <w:pPr>
        <w:pStyle w:val="FootnoteText"/>
      </w:pPr>
      <w:r>
        <w:rPr>
          <w:rStyle w:val="FootnoteReference"/>
        </w:rPr>
        <w:footnoteRef/>
      </w:r>
      <w:r>
        <w:t xml:space="preserve"> </w:t>
      </w:r>
      <w:r w:rsidRPr="006309AA">
        <w:t xml:space="preserve">Participant cohorts </w:t>
      </w:r>
      <w:r>
        <w:t xml:space="preserve">are </w:t>
      </w:r>
      <w:r w:rsidRPr="006309AA">
        <w:t xml:space="preserve">based on age, primary disability type, recorded level of function, gender, whether a participant is in </w:t>
      </w:r>
      <w:r w:rsidR="00034135">
        <w:t>S</w:t>
      </w:r>
      <w:r w:rsidRPr="006309AA">
        <w:t xml:space="preserve">upported </w:t>
      </w:r>
      <w:r w:rsidR="00034135">
        <w:t>I</w:t>
      </w:r>
      <w:r w:rsidRPr="006309AA">
        <w:t xml:space="preserve">ndependent </w:t>
      </w:r>
      <w:r w:rsidR="00034135">
        <w:t>L</w:t>
      </w:r>
      <w:r w:rsidRPr="000A1D39">
        <w:t>iving</w:t>
      </w:r>
      <w:r w:rsidRPr="006309AA">
        <w:t xml:space="preserve"> arrangements, and duration in the Scheme.</w:t>
      </w:r>
    </w:p>
  </w:footnote>
  <w:footnote w:id="49">
    <w:p w14:paraId="06A47311" w14:textId="77777777" w:rsidR="003C710B" w:rsidRDefault="003C710B" w:rsidP="003C710B">
      <w:pPr>
        <w:pStyle w:val="FootnoteText"/>
      </w:pPr>
      <w:r>
        <w:rPr>
          <w:rStyle w:val="FootnoteReference"/>
        </w:rPr>
        <w:footnoteRef/>
      </w:r>
      <w:r w:rsidRPr="008212C1">
        <w:t>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r>
        <w:t xml:space="preserve"> </w:t>
      </w:r>
    </w:p>
  </w:footnote>
  <w:footnote w:id="50">
    <w:p w14:paraId="119383C7" w14:textId="77777777" w:rsidR="004F269A" w:rsidRDefault="004F269A" w:rsidP="004F269A">
      <w:pPr>
        <w:pStyle w:val="FootnoteText"/>
      </w:pPr>
      <w:r>
        <w:rPr>
          <w:rStyle w:val="FootnoteReference"/>
        </w:rPr>
        <w:footnoteRef/>
      </w:r>
      <w:r w:rsidRPr="00CC6397">
        <w:t>Plan budgets represent the dollar amount of support that has been made available to participants in their plan. The proportion of plan budgets which are used is referred to as the ‘utilisation rate’, and the dollar amount of the plan budget used is referred to as ‘payments’. Payments are modelled as this is the actual cost to the Scheme.</w:t>
      </w:r>
      <w:r>
        <w:t xml:space="preserve"> </w:t>
      </w:r>
    </w:p>
  </w:footnote>
  <w:footnote w:id="51">
    <w:p w14:paraId="234B6B89" w14:textId="77777777" w:rsidR="007718D0" w:rsidRDefault="007718D0" w:rsidP="007718D0">
      <w:pPr>
        <w:pStyle w:val="FootnoteText"/>
      </w:pPr>
      <w:r>
        <w:rPr>
          <w:rStyle w:val="FootnoteReference"/>
        </w:rPr>
        <w:footnoteRef/>
      </w:r>
      <w:r>
        <w:t xml:space="preserve"> </w:t>
      </w:r>
      <w:r w:rsidRPr="00DF4EAB">
        <w:t>The 15 support categories include four core support categories (Transport, Consumables, Daily Activities and Social Community Civic), two capital support categories (Assistive Technology and Home Modifications) and nine capacity building (CB) support categories (Support Coordination, CB Relationships, CB Lifelong Learning, CB Home Living, CB Health and Wellbeing, CB Employment, CB Daily Activities, CB Choice and Control and CB Social Community Civic).</w:t>
      </w:r>
    </w:p>
  </w:footnote>
  <w:footnote w:id="52">
    <w:p w14:paraId="5454BF11" w14:textId="51EBC25C" w:rsidR="00737BF0" w:rsidRDefault="00737BF0">
      <w:pPr>
        <w:pStyle w:val="FootnoteText"/>
      </w:pPr>
      <w:r>
        <w:rPr>
          <w:rStyle w:val="FootnoteReference"/>
        </w:rPr>
        <w:footnoteRef/>
      </w:r>
      <w:r>
        <w:t xml:space="preserve"> </w:t>
      </w:r>
      <w:bookmarkStart w:id="49" w:name="_Hlk150366162"/>
      <w:r>
        <w:t>Active and mature participants refer to active participants who have been in the Scheme for at least 12 months.</w:t>
      </w:r>
      <w:bookmarkEnd w:id="49"/>
    </w:p>
  </w:footnote>
  <w:footnote w:id="53">
    <w:p w14:paraId="734B5FBB" w14:textId="77777777" w:rsidR="004F269A" w:rsidRDefault="004F269A" w:rsidP="004F269A">
      <w:pPr>
        <w:pStyle w:val="FootnoteText"/>
      </w:pPr>
      <w:r>
        <w:rPr>
          <w:rStyle w:val="FootnoteReference"/>
        </w:rPr>
        <w:footnoteRef/>
      </w:r>
      <w:r>
        <w:t xml:space="preserve"> A deterministic projection model is a projection model which does not allow for uncertainty in its outputs.</w:t>
      </w:r>
    </w:p>
  </w:footnote>
  <w:footnote w:id="54">
    <w:p w14:paraId="2DA47B0D" w14:textId="77777777" w:rsidR="004F269A" w:rsidRDefault="004F269A" w:rsidP="004F269A">
      <w:pPr>
        <w:pStyle w:val="FootnoteText"/>
      </w:pPr>
      <w:r>
        <w:rPr>
          <w:rStyle w:val="FootnoteReference"/>
        </w:rPr>
        <w:footnoteRef/>
      </w:r>
      <w:r>
        <w:t xml:space="preserve"> In the previous review, a set of model points was used to model cohorts with similar characteristics together, resulting in an approximation to the results of the AFSR model. </w:t>
      </w:r>
    </w:p>
  </w:footnote>
  <w:footnote w:id="55">
    <w:p w14:paraId="11EF45FB" w14:textId="77777777" w:rsidR="00E426C3" w:rsidRDefault="00E426C3" w:rsidP="00E426C3">
      <w:pPr>
        <w:pStyle w:val="FootnoteText"/>
      </w:pPr>
      <w:r>
        <w:rPr>
          <w:rStyle w:val="FootnoteReference"/>
        </w:rPr>
        <w:footnoteRef/>
      </w:r>
      <w:r>
        <w:t xml:space="preserve"> </w:t>
      </w:r>
      <w:r w:rsidRPr="00A35717">
        <w:t>This include</w:t>
      </w:r>
      <w:r>
        <w:t>d</w:t>
      </w:r>
      <w:r w:rsidRPr="00A35717">
        <w:t xml:space="preserve"> </w:t>
      </w:r>
      <w:r>
        <w:t xml:space="preserve">new entrants to the </w:t>
      </w:r>
      <w:r w:rsidRPr="00A35717">
        <w:t>Scheme</w:t>
      </w:r>
      <w:r>
        <w:t xml:space="preserve">, less </w:t>
      </w:r>
      <w:r w:rsidRPr="00A35717">
        <w:t xml:space="preserve">those whose primary disability changed to </w:t>
      </w:r>
      <w:r>
        <w:t>a</w:t>
      </w:r>
      <w:r w:rsidRPr="00A35717">
        <w:t xml:space="preserve">utism </w:t>
      </w:r>
      <w:r>
        <w:t>or i</w:t>
      </w:r>
      <w:r w:rsidRPr="00A35717">
        <w:t xml:space="preserve">ntellectual </w:t>
      </w:r>
      <w:r>
        <w:t>d</w:t>
      </w:r>
      <w:r w:rsidRPr="00A35717">
        <w:t>isabilities, left the Scheme or passed away.</w:t>
      </w:r>
    </w:p>
  </w:footnote>
  <w:footnote w:id="56">
    <w:p w14:paraId="2E3B795A" w14:textId="3FF267AB" w:rsidR="008E7D15" w:rsidRDefault="008E7D15" w:rsidP="008E7D15">
      <w:pPr>
        <w:pStyle w:val="FootnoteText"/>
      </w:pPr>
      <w:r>
        <w:rPr>
          <w:rStyle w:val="FootnoteReference"/>
        </w:rPr>
        <w:footnoteRef/>
      </w:r>
      <w:r>
        <w:t xml:space="preserve"> It was expected the 263 participants with missing level of function at 30 June 2022 would have correct level of information recorded by 30 June 2023, and thus a net reduction.</w:t>
      </w:r>
    </w:p>
  </w:footnote>
  <w:footnote w:id="57">
    <w:p w14:paraId="2DEF4A3E" w14:textId="77777777" w:rsidR="00936337" w:rsidRDefault="00936337" w:rsidP="00936337">
      <w:pPr>
        <w:pStyle w:val="FootnoteText"/>
      </w:pPr>
      <w:r>
        <w:rPr>
          <w:rStyle w:val="FootnoteReference"/>
        </w:rPr>
        <w:footnoteRef/>
      </w:r>
      <w:r>
        <w:t xml:space="preserve"> For further information, refer to Addendum 1 to NDIA’s Quarterly Report to Disability Ministers at 30 June 2021: https://www.ndis.gov.au/media/3476/download?attachment</w:t>
      </w:r>
    </w:p>
  </w:footnote>
  <w:footnote w:id="58">
    <w:p w14:paraId="700F4B24" w14:textId="77777777" w:rsidR="005A5D34" w:rsidRDefault="005A5D34" w:rsidP="005A5D34">
      <w:pPr>
        <w:pStyle w:val="FootnoteText"/>
      </w:pPr>
      <w:r>
        <w:rPr>
          <w:rStyle w:val="FootnoteReference"/>
        </w:rPr>
        <w:footnoteRef/>
      </w:r>
      <w:r>
        <w:t xml:space="preserve"> The regions that commenced phasing during the Scheme’s trial and early transition period.</w:t>
      </w:r>
    </w:p>
  </w:footnote>
  <w:footnote w:id="59">
    <w:p w14:paraId="35E1396C" w14:textId="5202F065" w:rsidR="00F3796B" w:rsidRPr="00F3796B" w:rsidRDefault="00F3796B">
      <w:pPr>
        <w:pStyle w:val="FootnoteText"/>
        <w:rPr>
          <w:lang w:val="en-GB"/>
        </w:rPr>
      </w:pPr>
      <w:r>
        <w:rPr>
          <w:rStyle w:val="FootnoteReference"/>
        </w:rPr>
        <w:footnoteRef/>
      </w:r>
      <w:r>
        <w:t xml:space="preserve"> Includes participants with global developmental delay.</w:t>
      </w:r>
    </w:p>
  </w:footnote>
  <w:footnote w:id="60">
    <w:p w14:paraId="39D18773" w14:textId="16DBF132" w:rsidR="00E7308B" w:rsidRDefault="00E7308B" w:rsidP="00E7308B">
      <w:pPr>
        <w:pStyle w:val="FootnoteText"/>
      </w:pPr>
      <w:r>
        <w:rPr>
          <w:rStyle w:val="FootnoteReference"/>
        </w:rPr>
        <w:footnoteRef/>
      </w:r>
      <w:r>
        <w:t xml:space="preserve"> </w:t>
      </w:r>
      <w:r w:rsidR="00C57AA6">
        <w:t xml:space="preserve">An additional </w:t>
      </w:r>
      <w:r w:rsidRPr="00932F06">
        <w:t xml:space="preserve">309 participants </w:t>
      </w:r>
      <w:r w:rsidR="00C57AA6">
        <w:t>have been included in the net increase in participants</w:t>
      </w:r>
      <w:r w:rsidR="00336B43">
        <w:t xml:space="preserve"> </w:t>
      </w:r>
      <w:r w:rsidR="00C57AA6">
        <w:t>with SIL in 2022-23.</w:t>
      </w:r>
      <w:r w:rsidRPr="00932F06">
        <w:t xml:space="preserve"> This is different to the 4,559 participants with SIL reported in the Quarterly Report to Disability Ministers for 2022-23 Q4. </w:t>
      </w:r>
      <w:r w:rsidR="00336B43">
        <w:t>Based on their previous SIL access and recent payment experience, t</w:t>
      </w:r>
      <w:r w:rsidR="002F435B">
        <w:t>hese 309 participants are highly likely to be accessing SIL supports and are expected to ‘reemerge’ as accessing SIL during the September 2023 quarter.</w:t>
      </w:r>
    </w:p>
  </w:footnote>
  <w:footnote w:id="61">
    <w:p w14:paraId="5065FFD4" w14:textId="26B6F1FA" w:rsidR="00E7308B" w:rsidRDefault="00E7308B" w:rsidP="00E7308B">
      <w:pPr>
        <w:pStyle w:val="FootnoteText"/>
      </w:pPr>
      <w:r>
        <w:rPr>
          <w:rStyle w:val="FootnoteReference"/>
        </w:rPr>
        <w:footnoteRef/>
      </w:r>
      <w:r>
        <w:t xml:space="preserve"> </w:t>
      </w:r>
      <w:r w:rsidR="002F435B">
        <w:t xml:space="preserve">An </w:t>
      </w:r>
      <w:r w:rsidRPr="001B3D58">
        <w:t xml:space="preserve">operational change </w:t>
      </w:r>
      <w:r w:rsidR="002F435B">
        <w:t>in</w:t>
      </w:r>
      <w:r w:rsidRPr="001B3D58">
        <w:t xml:space="preserve"> July 2020</w:t>
      </w:r>
      <w:r w:rsidR="002F435B">
        <w:t xml:space="preserve"> impeded the ability to </w:t>
      </w:r>
      <w:r w:rsidRPr="001B3D58">
        <w:t>identify SIL in plans</w:t>
      </w:r>
      <w:r w:rsidR="002F435B">
        <w:t xml:space="preserve"> reliably</w:t>
      </w:r>
      <w:r w:rsidR="00336B43">
        <w:t>.</w:t>
      </w:r>
      <w:r w:rsidR="002F435B">
        <w:t xml:space="preserve"> </w:t>
      </w:r>
      <w:r w:rsidR="00336B43">
        <w:t>A</w:t>
      </w:r>
      <w:r w:rsidRPr="001B3D58">
        <w:t xml:space="preserve"> temporary</w:t>
      </w:r>
      <w:r w:rsidR="00336B43">
        <w:t xml:space="preserve"> </w:t>
      </w:r>
      <w:r w:rsidRPr="001B3D58">
        <w:t>solution was implemented</w:t>
      </w:r>
      <w:r w:rsidR="00336B43">
        <w:t xml:space="preserve">, </w:t>
      </w:r>
      <w:r w:rsidRPr="001B3D58">
        <w:t xml:space="preserve">to estimate the number of participants </w:t>
      </w:r>
      <w:r w:rsidR="002F435B">
        <w:t xml:space="preserve">with </w:t>
      </w:r>
      <w:r w:rsidRPr="001B3D58">
        <w:t xml:space="preserve">SIL in their plans </w:t>
      </w:r>
      <w:r w:rsidR="002F435B">
        <w:t>in the interim.</w:t>
      </w:r>
      <w:r w:rsidRPr="001B3D58">
        <w:t xml:space="preserve"> </w:t>
      </w:r>
      <w:r w:rsidR="002F435B">
        <w:t xml:space="preserve">Since </w:t>
      </w:r>
      <w:r w:rsidRPr="001B3D58">
        <w:t xml:space="preserve">May 2022, </w:t>
      </w:r>
      <w:r w:rsidR="002F435B">
        <w:t>a more robust solu</w:t>
      </w:r>
      <w:r w:rsidR="00336B43">
        <w:t xml:space="preserve">tion has been implemented, </w:t>
      </w:r>
      <w:r w:rsidRPr="001B3D58">
        <w:t xml:space="preserve">leading to a restatement in the number of participants </w:t>
      </w:r>
      <w:r w:rsidR="00336B43">
        <w:t xml:space="preserve">with </w:t>
      </w:r>
      <w:r w:rsidRPr="001B3D58">
        <w:t xml:space="preserve">SIL from July 2020 to April 2022. </w:t>
      </w:r>
      <w:r w:rsidR="00336B43">
        <w:t>As a result, the net increase in participants with SIL, and year-on-year trends over the past four years, are not comparable.</w:t>
      </w:r>
    </w:p>
  </w:footnote>
  <w:footnote w:id="62">
    <w:p w14:paraId="781C6D85" w14:textId="55487241" w:rsidR="008448AF" w:rsidRDefault="008448AF" w:rsidP="008448AF">
      <w:pPr>
        <w:pStyle w:val="FootnoteText"/>
      </w:pPr>
      <w:r>
        <w:rPr>
          <w:rStyle w:val="FootnoteReference"/>
        </w:rPr>
        <w:footnoteRef/>
      </w:r>
      <w:r>
        <w:t xml:space="preserve">This includes the additional 309 participants identified as highly likely to be accessing SIL supports that were not flagged as having SIL supports </w:t>
      </w:r>
      <w:r w:rsidR="00B6526E">
        <w:t>at 30 June 2023</w:t>
      </w:r>
      <w:r w:rsidR="00E90B38">
        <w:t xml:space="preserve"> but are highly likely to be accessing SIL supports</w:t>
      </w:r>
      <w:r>
        <w:t>.</w:t>
      </w:r>
    </w:p>
  </w:footnote>
  <w:footnote w:id="63">
    <w:p w14:paraId="03641319" w14:textId="77777777" w:rsidR="00EF5457" w:rsidRDefault="00EF5457" w:rsidP="00EF5457">
      <w:pPr>
        <w:pStyle w:val="FootnoteText"/>
      </w:pPr>
      <w:r>
        <w:rPr>
          <w:rStyle w:val="FootnoteReference"/>
        </w:rPr>
        <w:footnoteRef/>
      </w:r>
      <w:r>
        <w:t xml:space="preserve"> </w:t>
      </w:r>
      <w:r w:rsidRPr="005B1747">
        <w:t xml:space="preserve">The number of participants ceasing SIL supports </w:t>
      </w:r>
      <w:r>
        <w:t xml:space="preserve">are not included </w:t>
      </w:r>
      <w:r w:rsidRPr="005B1747">
        <w:t>due to data issue</w:t>
      </w:r>
      <w:r>
        <w:t>s</w:t>
      </w:r>
      <w:r w:rsidRPr="005B1747">
        <w:t xml:space="preserve"> around identifying participants ceasing SIL supports and re-entering SIL. The </w:t>
      </w:r>
      <w:r>
        <w:t>impact is considered immaterial for the purpose of these charts and is a dynamic that continues to be monitored.</w:t>
      </w:r>
    </w:p>
  </w:footnote>
  <w:footnote w:id="64">
    <w:p w14:paraId="3506F2F7" w14:textId="77777777" w:rsidR="00897954" w:rsidRPr="004B75E2" w:rsidRDefault="00897954" w:rsidP="00897954">
      <w:pPr>
        <w:pStyle w:val="FootnoteText"/>
      </w:pPr>
      <w:r>
        <w:rPr>
          <w:rStyle w:val="FootnoteReference"/>
        </w:rPr>
        <w:footnoteRef/>
      </w:r>
      <w:r>
        <w:t xml:space="preserve"> </w:t>
      </w:r>
      <w:r w:rsidRPr="004B75E2">
        <w:t>Scheme expenses are before allowance for Agency operating expenses.</w:t>
      </w:r>
    </w:p>
  </w:footnote>
  <w:footnote w:id="65">
    <w:p w14:paraId="66A3C698" w14:textId="77777777" w:rsidR="00897954" w:rsidRPr="004B75E2" w:rsidRDefault="00897954" w:rsidP="00897954">
      <w:pPr>
        <w:pStyle w:val="FootnoteText"/>
      </w:pPr>
      <w:r w:rsidRPr="004B75E2">
        <w:rPr>
          <w:rStyle w:val="FootnoteReference"/>
        </w:rPr>
        <w:footnoteRef/>
      </w:r>
      <w:r w:rsidRPr="004B75E2">
        <w:t xml:space="preserve"> Time period relates to when the payment was made, rather than when the support was provided.</w:t>
      </w:r>
    </w:p>
  </w:footnote>
  <w:footnote w:id="66">
    <w:p w14:paraId="34069F65" w14:textId="77777777" w:rsidR="00897954" w:rsidRDefault="00897954" w:rsidP="00897954">
      <w:pPr>
        <w:pStyle w:val="FootnoteText"/>
      </w:pPr>
      <w:r w:rsidRPr="004B75E2">
        <w:rPr>
          <w:rStyle w:val="FootnoteReference"/>
        </w:rPr>
        <w:footnoteRef/>
      </w:r>
      <w:r w:rsidRPr="004B75E2">
        <w:t xml:space="preserve"> The June 2022 projections are those reported in the previous review (2021-22 AFSR), with estimates for the 2022-23 financial year referred to as “expected”.</w:t>
      </w:r>
    </w:p>
  </w:footnote>
  <w:footnote w:id="67">
    <w:p w14:paraId="2F103D76" w14:textId="77777777" w:rsidR="00C97220" w:rsidRPr="00AF2D4F" w:rsidRDefault="00C97220" w:rsidP="00C97220">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68">
    <w:p w14:paraId="01652C20" w14:textId="09086A7E" w:rsidR="009D3223" w:rsidRPr="009D3223" w:rsidRDefault="009D3223">
      <w:pPr>
        <w:pStyle w:val="FootnoteText"/>
        <w:rPr>
          <w:lang w:val="en-GB"/>
        </w:rPr>
      </w:pPr>
      <w:r>
        <w:rPr>
          <w:rStyle w:val="FootnoteReference"/>
        </w:rPr>
        <w:footnoteRef/>
      </w:r>
      <w:r>
        <w:t xml:space="preserve"> </w:t>
      </w:r>
      <w:r w:rsidRPr="00D31FF4">
        <w:t xml:space="preserve">Average annualised payments have been calculated on a cash basis using the 12 months over each year ending 30 </w:t>
      </w:r>
      <w:r w:rsidR="00F27331" w:rsidRPr="00D31FF4">
        <w:t>June.</w:t>
      </w:r>
    </w:p>
  </w:footnote>
  <w:footnote w:id="69">
    <w:p w14:paraId="220BC89F" w14:textId="77777777" w:rsidR="00EF5457" w:rsidRDefault="00EF5457" w:rsidP="00EF5457">
      <w:pPr>
        <w:pStyle w:val="FootnoteText"/>
      </w:pPr>
      <w:r>
        <w:rPr>
          <w:rStyle w:val="FootnoteReference"/>
        </w:rPr>
        <w:footnoteRef/>
      </w:r>
      <w:r>
        <w:t xml:space="preserve"> </w:t>
      </w:r>
      <w:r w:rsidRPr="000C082A">
        <w:t>Average payments per participant</w:t>
      </w:r>
      <w:r w:rsidRPr="00D90406">
        <w:t xml:space="preserve"> have been calculated on a cash basis using the 12 months over each year ending 30 June</w:t>
      </w:r>
      <w:r>
        <w:t>.</w:t>
      </w:r>
    </w:p>
  </w:footnote>
  <w:footnote w:id="70">
    <w:p w14:paraId="6A1895A3" w14:textId="5D5F1A30" w:rsidR="00623A2E" w:rsidRDefault="00623A2E">
      <w:pPr>
        <w:pStyle w:val="FootnoteText"/>
      </w:pPr>
      <w:r>
        <w:rPr>
          <w:rStyle w:val="FootnoteReference"/>
        </w:rPr>
        <w:footnoteRef/>
      </w:r>
      <w:r>
        <w:t xml:space="preserve"> </w:t>
      </w:r>
      <w:r w:rsidR="003D1D2E" w:rsidRPr="003D1D2E">
        <w:t>Mix-adjusted average payments per participant show the average payments for each cohort on a comparable basis, i.e., based on the distribution of recent new entrants to the Scheme by age, disability type and level of function. As a result, the mix adjusted average for all participants of $39,600 is lower than the average of $42,700 for participants without SIL shown in Table 4.14. Using mix-adjustment ensure that the variance in average payments between all participants and recent entrants relates purely to lower payments per participant, and not due to any change to the cohort mix</w:t>
      </w:r>
      <w:r w:rsidR="00CA045F">
        <w:t>.</w:t>
      </w:r>
    </w:p>
  </w:footnote>
  <w:footnote w:id="71">
    <w:p w14:paraId="381E1A62" w14:textId="4667A284" w:rsidR="00E748F2" w:rsidRDefault="00E748F2" w:rsidP="00E748F2">
      <w:pPr>
        <w:pStyle w:val="FootnoteText"/>
      </w:pPr>
      <w:r>
        <w:rPr>
          <w:rStyle w:val="FootnoteReference"/>
        </w:rPr>
        <w:footnoteRef/>
      </w:r>
      <w:r>
        <w:t xml:space="preserve"> Referred to as “additional inflation” </w:t>
      </w:r>
      <w:r w:rsidR="00BC34A2">
        <w:t>or</w:t>
      </w:r>
      <w:r>
        <w:t xml:space="preserve"> “superimposed inflation” at previous reviews.</w:t>
      </w:r>
    </w:p>
  </w:footnote>
  <w:footnote w:id="72">
    <w:p w14:paraId="36CA8ABE" w14:textId="77777777" w:rsidR="00E748F2" w:rsidRDefault="00E748F2" w:rsidP="00E748F2">
      <w:pPr>
        <w:pStyle w:val="FootnoteText"/>
      </w:pPr>
      <w:r>
        <w:rPr>
          <w:rStyle w:val="FootnoteReference"/>
        </w:rPr>
        <w:footnoteRef/>
      </w:r>
      <w:r>
        <w:t xml:space="preserve"> Historic growth rates for prior years have been restated using data as at 30 June 2023</w:t>
      </w:r>
      <w:r w:rsidRPr="00146101">
        <w:t>.</w:t>
      </w:r>
      <w:r>
        <w:t xml:space="preserve"> </w:t>
      </w:r>
      <w:r w:rsidRPr="00146101">
        <w:t>There</w:t>
      </w:r>
      <w:r>
        <w:t xml:space="preserve"> are some minor changes to these rates due to retrospective changes in the underlying data. </w:t>
      </w:r>
    </w:p>
  </w:footnote>
  <w:footnote w:id="73">
    <w:p w14:paraId="3ABBBF0A" w14:textId="77777777" w:rsidR="00E748F2" w:rsidRDefault="00E748F2" w:rsidP="00E748F2">
      <w:pPr>
        <w:pStyle w:val="FootnoteText"/>
      </w:pPr>
      <w:r>
        <w:rPr>
          <w:rStyle w:val="FootnoteReference"/>
        </w:rPr>
        <w:footnoteRef/>
      </w:r>
      <w:r>
        <w:t xml:space="preserve"> Change in mix excludes the impact from change in participants’ level of function over time. This is because the model does not explicitly allow participants to change their level of function over time. It is allowed for in the additional growth assumptions. When breaking down the observed growth, the impact of level of function change is removed from change in mix and reflected in the additional growth for this reason.     </w:t>
      </w:r>
    </w:p>
  </w:footnote>
  <w:footnote w:id="74">
    <w:p w14:paraId="3A224C3C" w14:textId="79AF506B" w:rsidR="00F64928" w:rsidRDefault="00F64928" w:rsidP="00F64928">
      <w:pPr>
        <w:pStyle w:val="FootnoteText"/>
      </w:pPr>
      <w:r>
        <w:rPr>
          <w:rStyle w:val="FootnoteReference"/>
        </w:rPr>
        <w:footnoteRef/>
      </w:r>
      <w:r>
        <w:t xml:space="preserve"> The plan </w:t>
      </w:r>
      <w:r w:rsidR="006B7F4B">
        <w:t>growth</w:t>
      </w:r>
      <w:r>
        <w:t xml:space="preserve"> metric measures the change in annualised committed supports for participants who were active at both the start and the end of a month, thereby removing the impact of new entrants and participants leaving the Scheme. The rolling 12-month result is based on compounding the relevant set of monthly results.</w:t>
      </w:r>
    </w:p>
  </w:footnote>
  <w:footnote w:id="75">
    <w:p w14:paraId="4995CF56" w14:textId="5D5BF36B" w:rsidR="005A56FB" w:rsidRDefault="005A56FB">
      <w:pPr>
        <w:pStyle w:val="FootnoteText"/>
      </w:pPr>
      <w:r>
        <w:rPr>
          <w:rStyle w:val="FootnoteReference"/>
        </w:rPr>
        <w:footnoteRef/>
      </w:r>
      <w:r>
        <w:t xml:space="preserve"> </w:t>
      </w:r>
      <w:bookmarkStart w:id="113" w:name="_Hlk148106855"/>
      <w:r>
        <w:t xml:space="preserve">The plan growth analysis shows the drivers of change in total plan budgets at the Scheme level, with </w:t>
      </w:r>
      <w:r w:rsidR="00BB5805">
        <w:t xml:space="preserve">growth </w:t>
      </w:r>
      <w:r>
        <w:t>in plan budgets due to</w:t>
      </w:r>
      <w:r w:rsidR="00BB5805">
        <w:t xml:space="preserve"> participants transitioning into SIL arrangements, and in participants plans during the first 12 months shown separately. In analysing the average payments growth, using participant data, these items are not easily separated and are reflected as the change in mix component. The additional growth component is consistent across both analyses.</w:t>
      </w:r>
      <w:bookmarkEnd w:id="113"/>
      <w:r w:rsidR="00BB5805">
        <w:t xml:space="preserve">  </w:t>
      </w:r>
    </w:p>
  </w:footnote>
  <w:footnote w:id="76">
    <w:p w14:paraId="2E772C2B" w14:textId="2E0BD0A5" w:rsidR="0046437C" w:rsidRDefault="0046437C">
      <w:pPr>
        <w:pStyle w:val="FootnoteText"/>
      </w:pPr>
      <w:r w:rsidRPr="00092FF7">
        <w:rPr>
          <w:rStyle w:val="FootnoteReference"/>
        </w:rPr>
        <w:footnoteRef/>
      </w:r>
      <w:r w:rsidRPr="00092FF7">
        <w:t xml:space="preserve"> </w:t>
      </w:r>
      <w:r w:rsidRPr="00557AF4">
        <w:rPr>
          <w:rStyle w:val="ui-provider"/>
        </w:rPr>
        <w:t xml:space="preserve">The </w:t>
      </w:r>
      <w:r w:rsidR="002376F8" w:rsidRPr="00557AF4">
        <w:rPr>
          <w:rStyle w:val="ui-provider"/>
        </w:rPr>
        <w:t>first three</w:t>
      </w:r>
      <w:r w:rsidR="002376F8" w:rsidRPr="00092FF7">
        <w:rPr>
          <w:rStyle w:val="ui-provider"/>
        </w:rPr>
        <w:t xml:space="preserve"> </w:t>
      </w:r>
      <w:r w:rsidRPr="00092FF7">
        <w:rPr>
          <w:rStyle w:val="ui-provider"/>
        </w:rPr>
        <w:t>components are allowed for through normal inflation assumptions, transitions of participants to SIL supports</w:t>
      </w:r>
      <w:r w:rsidR="002376F8" w:rsidRPr="00092FF7">
        <w:rPr>
          <w:rStyle w:val="ui-provider"/>
        </w:rPr>
        <w:t>,</w:t>
      </w:r>
      <w:r w:rsidRPr="00092FF7">
        <w:rPr>
          <w:rStyle w:val="ui-provider"/>
        </w:rPr>
        <w:t xml:space="preserve"> and adjustments for the payment levels for participants in their first year respectively.</w:t>
      </w:r>
    </w:p>
  </w:footnote>
  <w:footnote w:id="77">
    <w:p w14:paraId="5A592166" w14:textId="77777777" w:rsidR="00FE66E1" w:rsidRDefault="00FE66E1" w:rsidP="00FE66E1">
      <w:pPr>
        <w:pStyle w:val="FootnoteText"/>
      </w:pPr>
      <w:r>
        <w:rPr>
          <w:rStyle w:val="FootnoteReference"/>
        </w:rPr>
        <w:footnoteRef/>
      </w:r>
      <w:r>
        <w:t xml:space="preserve"> “Ultimate” rates consider both payments already made and payments for supports already provided but not yet paid. In addition, the “ultimate” utilisation rates are calculated relative to “ultimate” plan budget figures which include an estimate of future changes to plan budgets for past support periods.</w:t>
      </w:r>
    </w:p>
  </w:footnote>
  <w:footnote w:id="78">
    <w:p w14:paraId="6BBED726" w14:textId="2D353F2F" w:rsidR="003C1462" w:rsidRDefault="003C1462">
      <w:pPr>
        <w:pStyle w:val="FootnoteText"/>
      </w:pPr>
      <w:r>
        <w:rPr>
          <w:rStyle w:val="FootnoteReference"/>
        </w:rPr>
        <w:footnoteRef/>
      </w:r>
      <w:r>
        <w:t xml:space="preserve"> For periods prior to </w:t>
      </w:r>
      <w:r w:rsidR="001C7064">
        <w:t>20</w:t>
      </w:r>
      <w:r>
        <w:t xml:space="preserve">22-23 there is no material difference between planned budgets </w:t>
      </w:r>
      <w:r w:rsidR="001C7064">
        <w:t>recorded at 30 June 2023</w:t>
      </w:r>
      <w:r>
        <w:t xml:space="preserve"> and </w:t>
      </w:r>
      <w:r w:rsidR="001C7064">
        <w:t xml:space="preserve">projected </w:t>
      </w:r>
      <w:r>
        <w:t>ultimate plan budgets</w:t>
      </w:r>
      <w:r w:rsidR="001C7064">
        <w:t xml:space="preserve">. For 2022-23 plan budgets recorded at 30 June 2023 were $44.8b and estimated future changes to planned budgets were $1.1b. </w:t>
      </w:r>
    </w:p>
  </w:footnote>
  <w:footnote w:id="79">
    <w:p w14:paraId="5FBB5F5E" w14:textId="5251398F" w:rsidR="00EB2824" w:rsidRDefault="00EB2824" w:rsidP="00EB2824">
      <w:pPr>
        <w:pStyle w:val="FootnoteText"/>
      </w:pPr>
      <w:r>
        <w:rPr>
          <w:rStyle w:val="FootnoteReference"/>
        </w:rPr>
        <w:footnoteRef/>
      </w:r>
      <w:r>
        <w:t xml:space="preserve"> The utilisation rates shown are based on payments to date (</w:t>
      </w:r>
      <w:r w:rsidR="00F27331">
        <w:t>i.e.,</w:t>
      </w:r>
      <w:r>
        <w:t xml:space="preserve"> payments </w:t>
      </w:r>
      <w:r w:rsidRPr="00B90E7D">
        <w:t>already made</w:t>
      </w:r>
      <w:r>
        <w:t>)</w:t>
      </w:r>
      <w:r w:rsidRPr="00B90E7D">
        <w:t xml:space="preserve"> and plan budgets</w:t>
      </w:r>
      <w:r>
        <w:t xml:space="preserve"> to date</w:t>
      </w:r>
      <w:r w:rsidRPr="00B90E7D">
        <w:t>.</w:t>
      </w:r>
    </w:p>
  </w:footnote>
  <w:footnote w:id="80">
    <w:p w14:paraId="0470AB51" w14:textId="77777777" w:rsidR="00343ADE" w:rsidRDefault="00343ADE" w:rsidP="00343ADE">
      <w:pPr>
        <w:pStyle w:val="FootnoteText"/>
      </w:pPr>
      <w:r>
        <w:rPr>
          <w:rStyle w:val="FootnoteReference"/>
        </w:rPr>
        <w:footnoteRef/>
      </w:r>
      <w:r>
        <w:t xml:space="preserve"> Utilisation for all plans includes both cash and in-kind supports. However, the calculation of utilisation by plan number excludes participants with in-kind supports as it is not possible to accurately separate in-kind payments and plan budgets between plans. Only utilisation of plan budgets between </w:t>
      </w:r>
    </w:p>
    <w:p w14:paraId="7168E531" w14:textId="77777777" w:rsidR="00343ADE" w:rsidRDefault="00343ADE" w:rsidP="00343ADE">
      <w:pPr>
        <w:pStyle w:val="FootnoteText"/>
      </w:pPr>
      <w:r>
        <w:t>31 October 2022 and 31 March 2023 is shown, as experience in the most recent quarter is still emerging.</w:t>
      </w:r>
    </w:p>
  </w:footnote>
  <w:footnote w:id="81">
    <w:p w14:paraId="70FB8AAE" w14:textId="77777777" w:rsidR="005473B6" w:rsidRDefault="005473B6" w:rsidP="005473B6">
      <w:pPr>
        <w:pStyle w:val="FootnoteText"/>
      </w:pPr>
      <w:r>
        <w:rPr>
          <w:rStyle w:val="FootnoteReference"/>
        </w:rPr>
        <w:footnoteRef/>
      </w:r>
      <w:r>
        <w:t xml:space="preserve"> </w:t>
      </w:r>
      <w:hyperlink r:id="rId21" w:history="1">
        <w:r>
          <w:rPr>
            <w:rStyle w:val="Hyperlink"/>
          </w:rPr>
          <w:t>Budget Paper No. 2: Budget Measures</w:t>
        </w:r>
      </w:hyperlink>
      <w:r>
        <w:t xml:space="preserve">: Improving the Effectiveness and Sustainability of the National Disability Insurance Scheme, pgs. 197-8. </w:t>
      </w:r>
    </w:p>
  </w:footnote>
  <w:footnote w:id="82">
    <w:p w14:paraId="7D042B38" w14:textId="77777777" w:rsidR="005473B6" w:rsidRDefault="005473B6" w:rsidP="005473B6">
      <w:pPr>
        <w:pStyle w:val="FootnoteText"/>
      </w:pPr>
      <w:r>
        <w:rPr>
          <w:rStyle w:val="FootnoteReference"/>
        </w:rPr>
        <w:footnoteRef/>
      </w:r>
      <w:r>
        <w:t xml:space="preserve"> Scheme expenses relate to the payments made for participant supports and does not include operating expenses. It</w:t>
      </w:r>
      <w:r w:rsidRPr="00921CFB">
        <w:t xml:space="preserve"> is based on when the service was provided to the participant recognising some services are paid f</w:t>
      </w:r>
      <w:r>
        <w:t>or after the end of the period.</w:t>
      </w:r>
    </w:p>
  </w:footnote>
  <w:footnote w:id="83">
    <w:p w14:paraId="6ECF0C49" w14:textId="0EC81590" w:rsidR="00C61CD4" w:rsidRDefault="00C61CD4">
      <w:pPr>
        <w:pStyle w:val="FootnoteText"/>
      </w:pPr>
      <w:r>
        <w:rPr>
          <w:rStyle w:val="FootnoteReference"/>
        </w:rPr>
        <w:footnoteRef/>
      </w:r>
      <w:r>
        <w:t xml:space="preserve"> Total Scheme expenses shown in today’s dollars is calculated by discounting the nominal total Scheme expenses in each financial year,</w:t>
      </w:r>
      <w:r w:rsidRPr="00C61CD4">
        <w:t xml:space="preserve"> </w:t>
      </w:r>
      <w:r>
        <w:t xml:space="preserve">using the expected nominal GDP growth rate, back to the monetary value at 30 June 2023. The expected nominal GDP growth rate is lower for financial years 2023-24 and 2024-25 year, increasing </w:t>
      </w:r>
      <w:r w:rsidR="00C77C0D">
        <w:t xml:space="preserve">from 2025-26 onwards </w:t>
      </w:r>
      <w:r>
        <w:t xml:space="preserve">to </w:t>
      </w:r>
      <w:r w:rsidR="00C77C0D">
        <w:t>the long-term</w:t>
      </w:r>
      <w:r>
        <w:t xml:space="preserve"> nominal GDP growth projection</w:t>
      </w:r>
      <w:r w:rsidR="00C77C0D">
        <w:t xml:space="preserve"> of c.5%</w:t>
      </w:r>
      <w:r>
        <w:t>.</w:t>
      </w:r>
    </w:p>
  </w:footnote>
  <w:footnote w:id="84">
    <w:p w14:paraId="343D1FB5" w14:textId="77777777" w:rsidR="00EC2CD2" w:rsidRDefault="00EC2CD2" w:rsidP="00EC2CD2">
      <w:pPr>
        <w:pStyle w:val="FootnoteText"/>
      </w:pPr>
      <w:r>
        <w:rPr>
          <w:rStyle w:val="FootnoteReference"/>
        </w:rPr>
        <w:footnoteRef/>
      </w:r>
      <w:r>
        <w:t xml:space="preserve"> At previous reviews additional growth has been referred to as either “additional inflation” or “superimposed inflation”.</w:t>
      </w:r>
    </w:p>
  </w:footnote>
  <w:footnote w:id="85">
    <w:p w14:paraId="74980528" w14:textId="77777777" w:rsidR="00031CDE" w:rsidRDefault="00031CDE" w:rsidP="00A52167">
      <w:pPr>
        <w:pStyle w:val="FootnoteText"/>
      </w:pPr>
      <w:r>
        <w:rPr>
          <w:rStyle w:val="FootnoteReference"/>
        </w:rPr>
        <w:footnoteRef/>
      </w:r>
      <w:r>
        <w:t xml:space="preserve"> The 2023-24 Budget for 2026-27 is $54,376 million, $623 million lower than the December 2022 projections.</w:t>
      </w:r>
    </w:p>
  </w:footnote>
  <w:footnote w:id="86">
    <w:p w14:paraId="6275991C" w14:textId="77777777" w:rsidR="00723E93" w:rsidRDefault="00723E93" w:rsidP="00723E93">
      <w:pPr>
        <w:pStyle w:val="FootnoteText"/>
      </w:pPr>
      <w:r>
        <w:rPr>
          <w:rStyle w:val="FootnoteReference"/>
        </w:rPr>
        <w:footnoteRef/>
      </w:r>
      <w:r>
        <w:t xml:space="preserve"> Figures are shown to the nearest hundred dollars. Blanks mean there are no or few participants in that age/disability cohort</w:t>
      </w:r>
      <w:r>
        <w:rPr>
          <w:sz w:val="16"/>
          <w:szCs w:val="16"/>
        </w:rPr>
        <w:t>.</w:t>
      </w:r>
    </w:p>
  </w:footnote>
  <w:footnote w:id="87">
    <w:p w14:paraId="547FABCD" w14:textId="77777777" w:rsidR="00723E93" w:rsidRDefault="00723E93" w:rsidP="00723E93">
      <w:pPr>
        <w:pStyle w:val="FootnoteText"/>
      </w:pPr>
      <w:r>
        <w:rPr>
          <w:rStyle w:val="FootnoteReference"/>
        </w:rPr>
        <w:footnoteRef/>
      </w:r>
      <w:r>
        <w:t xml:space="preserve"> Figures are shown to the nearest hundred dollars. Blanks mean there are no or few participants in that age/disability cohort. Most participants in SIL would be at least 18 years of age.</w:t>
      </w:r>
    </w:p>
  </w:footnote>
  <w:footnote w:id="88">
    <w:p w14:paraId="1814DBFE" w14:textId="77777777" w:rsidR="00AA097F" w:rsidRDefault="00AA097F" w:rsidP="00AA097F">
      <w:pPr>
        <w:pStyle w:val="FootnoteText"/>
      </w:pPr>
      <w:r>
        <w:rPr>
          <w:rStyle w:val="FootnoteReference"/>
        </w:rPr>
        <w:footnoteRef/>
      </w:r>
      <w:r>
        <w:t xml:space="preserve"> Note, the utilisation rate for 2022-23 includes estimates of payments for supports provided in the period but were not yet paid for at 30 June 2023. It also includes an estimate of how plan budget amounts for 2022-23 may change retrospectively.</w:t>
      </w:r>
    </w:p>
  </w:footnote>
  <w:footnote w:id="89">
    <w:p w14:paraId="64C7EB95" w14:textId="77777777" w:rsidR="00723E93" w:rsidRDefault="00723E93" w:rsidP="00723E93">
      <w:pPr>
        <w:pStyle w:val="FootnoteText"/>
      </w:pPr>
      <w:r>
        <w:rPr>
          <w:rStyle w:val="FootnoteReference"/>
        </w:rPr>
        <w:footnoteRef/>
      </w:r>
      <w:r>
        <w:t xml:space="preserve"> Including participants with global developmental delay.</w:t>
      </w:r>
    </w:p>
  </w:footnote>
  <w:footnote w:id="90">
    <w:p w14:paraId="4F00E58C" w14:textId="1F0B6CAF" w:rsidR="007C6BE3" w:rsidRDefault="007C6BE3">
      <w:pPr>
        <w:pStyle w:val="FootnoteText"/>
      </w:pPr>
      <w:r>
        <w:rPr>
          <w:rStyle w:val="FootnoteReference"/>
        </w:rPr>
        <w:footnoteRef/>
      </w:r>
      <w:r>
        <w:t xml:space="preserve"> This is due to higher projected numbers of participants with developmental delay in the June 2023 projections. Children with developmental delay are linked to relatively higher expected rates of leaving the Scheme, compared with participants with other disabilities, therefore increasing the overall assumed rate of participants leaving at the Scheme level</w:t>
      </w:r>
      <w:r w:rsidR="00570C75">
        <w:t>.</w:t>
      </w:r>
    </w:p>
  </w:footnote>
  <w:footnote w:id="91">
    <w:p w14:paraId="64A58E3D" w14:textId="77777777" w:rsidR="00723E93" w:rsidRDefault="00723E93" w:rsidP="00723E93">
      <w:pPr>
        <w:pStyle w:val="FootnoteText"/>
      </w:pPr>
      <w:r>
        <w:rPr>
          <w:rStyle w:val="FootnoteReference"/>
        </w:rPr>
        <w:footnoteRef/>
      </w:r>
      <w:r>
        <w:t xml:space="preserve"> </w:t>
      </w:r>
      <w:r w:rsidRPr="0035617F">
        <w:t>The increase in Scheme mortality since early 2022 corresponds to trends observed in Australian population mortality, both in terms of “excess mortality” and COVID-19 mortality. However, it is not currently possible to fully identify Scheme mortality due to COVID-19 because “cause of death” information is not currently collected by the Scheme.</w:t>
      </w:r>
    </w:p>
  </w:footnote>
  <w:footnote w:id="92">
    <w:p w14:paraId="2F47A90A" w14:textId="5F8C462D" w:rsidR="00920124" w:rsidRDefault="00920124">
      <w:pPr>
        <w:pStyle w:val="FootnoteText"/>
      </w:pPr>
      <w:r>
        <w:rPr>
          <w:rStyle w:val="FootnoteReference"/>
        </w:rPr>
        <w:footnoteRef/>
      </w:r>
      <w:r>
        <w:t xml:space="preserve"> </w:t>
      </w:r>
      <w:r w:rsidR="0071778E" w:rsidRPr="0089499D">
        <w:t>Expected mortality rates are based on the mix of participants over the period from January 2018 to February 2023. This was the period of data used to inform the comprehensive mortality review conducted in early 2023 and is the basis of mortality assumptions for the June 2023 projections.</w:t>
      </w:r>
    </w:p>
  </w:footnote>
  <w:footnote w:id="93">
    <w:p w14:paraId="26FA694D" w14:textId="5A4A17AE" w:rsidR="0071778E" w:rsidRDefault="0071778E">
      <w:pPr>
        <w:pStyle w:val="FootnoteText"/>
      </w:pPr>
      <w:r>
        <w:rPr>
          <w:rStyle w:val="FootnoteReference"/>
        </w:rPr>
        <w:footnoteRef/>
      </w:r>
      <w:r>
        <w:t xml:space="preserve"> </w:t>
      </w:r>
      <w:r w:rsidRPr="0071778E">
        <w:t xml:space="preserve">Life tables are produced to show the probabilities of an individual living or dying at a particular age, based on the experience over the period analysed. The Australian Life Table 2018-20 (ALT18-20) is based on mortality experience in Australia over the period 2018 to 2020 and forms the basis of mortality rate assumptions for the 2022-23 AFSR. The latest Australian Life Table ALT2019-21 was released just prior to the mortality review. The changes compared with ALT2018-20 were considered immaterial for the purpose of this </w:t>
      </w:r>
      <w:r w:rsidR="00F27331" w:rsidRPr="0071778E">
        <w:t>AFSR.</w:t>
      </w:r>
    </w:p>
  </w:footnote>
  <w:footnote w:id="94">
    <w:p w14:paraId="5505E5C0" w14:textId="2CBF6A7C" w:rsidR="0071778E" w:rsidRDefault="0071778E">
      <w:pPr>
        <w:pStyle w:val="FootnoteText"/>
      </w:pPr>
      <w:r>
        <w:rPr>
          <w:rStyle w:val="FootnoteReference"/>
        </w:rPr>
        <w:footnoteRef/>
      </w:r>
      <w:r>
        <w:t xml:space="preserve">  </w:t>
      </w:r>
      <w:hyperlink r:id="rId22" w:history="1">
        <w:r>
          <w:rPr>
            <w:rStyle w:val="Hyperlink"/>
          </w:rPr>
          <w:t>Life tables, 2018 - 2020 | Australian Bureau of Statistics (abs.gov.au)</w:t>
        </w:r>
      </w:hyperlink>
    </w:p>
  </w:footnote>
  <w:footnote w:id="95">
    <w:p w14:paraId="0310377D" w14:textId="0B23D0FC" w:rsidR="00BC7BD4" w:rsidRPr="004919CA" w:rsidRDefault="00BC7BD4" w:rsidP="00BC7BD4">
      <w:pPr>
        <w:pStyle w:val="FootnoteText"/>
        <w:rPr>
          <w:lang w:val="en-US"/>
        </w:rPr>
      </w:pPr>
      <w:r>
        <w:rPr>
          <w:rStyle w:val="FootnoteReference"/>
        </w:rPr>
        <w:footnoteRef/>
      </w:r>
      <w:r>
        <w:t xml:space="preserve"> As with other cohorts</w:t>
      </w:r>
      <w:r w:rsidRPr="008F253A">
        <w:t xml:space="preserve">, </w:t>
      </w:r>
      <w:r>
        <w:t xml:space="preserve">assumptions are made about </w:t>
      </w:r>
      <w:r w:rsidRPr="008F253A">
        <w:t>participants with SIL leav</w:t>
      </w:r>
      <w:r>
        <w:t>ing</w:t>
      </w:r>
      <w:r w:rsidRPr="008F253A">
        <w:t xml:space="preserve"> the Scheme</w:t>
      </w:r>
      <w:r w:rsidR="000E36A4">
        <w:t xml:space="preserve"> </w:t>
      </w:r>
      <w:r>
        <w:t>due to mortality,</w:t>
      </w:r>
      <w:r w:rsidRPr="008F253A">
        <w:t xml:space="preserve"> moving into aged care at age 65 and above</w:t>
      </w:r>
      <w:r>
        <w:t>, or leaving the Scheme for other reasons</w:t>
      </w:r>
      <w:r w:rsidRPr="008F253A">
        <w:t>.</w:t>
      </w:r>
    </w:p>
  </w:footnote>
  <w:footnote w:id="96">
    <w:p w14:paraId="5F7E3C57" w14:textId="4402F01E" w:rsidR="00F32CAE" w:rsidRDefault="00F32CAE">
      <w:pPr>
        <w:pStyle w:val="FootnoteText"/>
      </w:pPr>
      <w:r>
        <w:rPr>
          <w:rStyle w:val="FootnoteReference"/>
        </w:rPr>
        <w:footnoteRef/>
      </w:r>
      <w:r>
        <w:t xml:space="preserve"> </w:t>
      </w:r>
      <w:r w:rsidRPr="00F32CAE">
        <w:t>Due to operational changes since July 2020, there has been an issue with identifying SIL in plans as they are being completed. A temporary and manual solution was implemented to estimate the number of active participants who should be identified as having SIL in their plans but do not appear as such on the Agency’s system. From May 2022, an automated and more accurate method has been applied in identifying participants in SIL leading to a restatement in the number of participants in SIL from July 2020 to April 2022. Given the basis for identifying participants in SIL has changed since July 2020, the comparison of the number of participants with SIL and the movements from year to year are not entirely on a like for like basis.</w:t>
      </w:r>
    </w:p>
  </w:footnote>
  <w:footnote w:id="97">
    <w:p w14:paraId="32E27A84" w14:textId="77777777" w:rsidR="00723E93" w:rsidRDefault="00723E93" w:rsidP="00723E93">
      <w:pPr>
        <w:pStyle w:val="FootnoteText"/>
      </w:pPr>
      <w:r>
        <w:rPr>
          <w:rStyle w:val="FootnoteReference"/>
        </w:rPr>
        <w:footnoteRef/>
      </w:r>
      <w:r>
        <w:t xml:space="preserve"> </w:t>
      </w:r>
      <w:r w:rsidRPr="0009429D">
        <w:t>Figures</w:t>
      </w:r>
      <w:r>
        <w:t xml:space="preserve"> are</w:t>
      </w:r>
      <w:r w:rsidRPr="0009429D">
        <w:t xml:space="preserve"> shown to the nearest hundred dollars. Blanks mean there are no or few participants in that age/</w:t>
      </w:r>
      <w:r>
        <w:t xml:space="preserve"> </w:t>
      </w:r>
      <w:r w:rsidRPr="0009429D">
        <w:t>disability cohort</w:t>
      </w:r>
      <w:r>
        <w:rPr>
          <w:sz w:val="16"/>
          <w:szCs w:val="16"/>
        </w:rPr>
        <w:t>.</w:t>
      </w:r>
    </w:p>
  </w:footnote>
  <w:footnote w:id="98">
    <w:p w14:paraId="60F0B00A" w14:textId="781513E8" w:rsidR="00CC0DAB" w:rsidRDefault="00CC0DAB">
      <w:pPr>
        <w:pStyle w:val="FootnoteText"/>
      </w:pPr>
      <w:r>
        <w:rPr>
          <w:rStyle w:val="FootnoteReference"/>
        </w:rPr>
        <w:footnoteRef/>
      </w:r>
      <w:r>
        <w:t xml:space="preserve"> </w:t>
      </w:r>
      <w:r w:rsidRPr="0009429D">
        <w:t>Figures</w:t>
      </w:r>
      <w:r>
        <w:t xml:space="preserve"> are</w:t>
      </w:r>
      <w:r w:rsidRPr="0009429D">
        <w:t xml:space="preserve"> shown to the nearest hundred dollars. Blanks mean there are no or few participants in that age/disability cohort</w:t>
      </w:r>
      <w:r>
        <w:t>.</w:t>
      </w:r>
    </w:p>
  </w:footnote>
  <w:footnote w:id="99">
    <w:p w14:paraId="19271AB5" w14:textId="5BA9AC9B" w:rsidR="00CC0DAB" w:rsidRDefault="00CC0DAB">
      <w:pPr>
        <w:pStyle w:val="FootnoteText"/>
      </w:pPr>
      <w:r>
        <w:rPr>
          <w:rStyle w:val="FootnoteReference"/>
        </w:rPr>
        <w:footnoteRef/>
      </w:r>
      <w:r>
        <w:t xml:space="preserve"> </w:t>
      </w:r>
      <w:r w:rsidRPr="0009429D">
        <w:t>Figures</w:t>
      </w:r>
      <w:r>
        <w:t xml:space="preserve"> are</w:t>
      </w:r>
      <w:r w:rsidRPr="0009429D">
        <w:t xml:space="preserve"> shown to the nearest hundred dollars. Blanks mean there are no or few participants in that age/disability cohort</w:t>
      </w:r>
      <w:r>
        <w:t>.</w:t>
      </w:r>
    </w:p>
  </w:footnote>
  <w:footnote w:id="100">
    <w:p w14:paraId="655C11A5" w14:textId="6550B155" w:rsidR="00723E93" w:rsidRDefault="00723E93" w:rsidP="00723E93">
      <w:pPr>
        <w:pStyle w:val="FootnoteText"/>
      </w:pPr>
      <w:r>
        <w:rPr>
          <w:rStyle w:val="FootnoteReference"/>
        </w:rPr>
        <w:footnoteRef/>
      </w:r>
      <w:r>
        <w:t xml:space="preserve"> Price changes </w:t>
      </w:r>
      <w:r w:rsidRPr="00F41180">
        <w:t>associated with attendant care predominantly applie</w:t>
      </w:r>
      <w:r>
        <w:t>s</w:t>
      </w:r>
      <w:r w:rsidRPr="00F41180">
        <w:t xml:space="preserve"> to Core Daily Activities, Core Social Community Civic, C</w:t>
      </w:r>
      <w:r>
        <w:t xml:space="preserve">apacity </w:t>
      </w:r>
      <w:r w:rsidRPr="00F41180">
        <w:t>B</w:t>
      </w:r>
      <w:r>
        <w:t>uilding</w:t>
      </w:r>
      <w:r w:rsidRPr="00F41180">
        <w:t xml:space="preserve"> Lifelong Learning and C</w:t>
      </w:r>
      <w:r>
        <w:t xml:space="preserve">apacity </w:t>
      </w:r>
      <w:r w:rsidRPr="00F41180">
        <w:t>B</w:t>
      </w:r>
      <w:r>
        <w:t>uilding</w:t>
      </w:r>
      <w:r w:rsidRPr="00F41180">
        <w:t xml:space="preserve"> Home and Living</w:t>
      </w:r>
      <w:r>
        <w:t xml:space="preserve"> support categories</w:t>
      </w:r>
      <w:r w:rsidRPr="00F41180">
        <w:t>.</w:t>
      </w:r>
    </w:p>
  </w:footnote>
  <w:footnote w:id="101">
    <w:p w14:paraId="181DC67A" w14:textId="77777777" w:rsidR="00723E93" w:rsidRPr="00612D69" w:rsidRDefault="00723E93" w:rsidP="00723E93">
      <w:pPr>
        <w:pStyle w:val="FootnoteText"/>
        <w:spacing w:before="60"/>
        <w:rPr>
          <w:sz w:val="16"/>
          <w:szCs w:val="16"/>
        </w:rPr>
      </w:pPr>
      <w:r w:rsidRPr="0042465D">
        <w:rPr>
          <w:rStyle w:val="FootnoteReference"/>
        </w:rPr>
        <w:footnoteRef/>
      </w:r>
      <w:r w:rsidRPr="00612D69">
        <w:rPr>
          <w:sz w:val="16"/>
          <w:szCs w:val="16"/>
        </w:rPr>
        <w:t xml:space="preserve"> </w:t>
      </w:r>
      <w:r w:rsidRPr="00F41180">
        <w:t>Prices for non-quotable items in the Consumables, Transport, Assistive Technology and Home Modifications support categories were proposed to go through a separate pricing process per the APR. Hence inflation for these supports were assumed to align with the forecasts of</w:t>
      </w:r>
      <w:r>
        <w:t xml:space="preserve"> the</w:t>
      </w:r>
      <w:r w:rsidRPr="00F41180">
        <w:t xml:space="preserve"> C</w:t>
      </w:r>
      <w:r>
        <w:t xml:space="preserve">onsumer </w:t>
      </w:r>
      <w:r w:rsidRPr="00F41180">
        <w:t>P</w:t>
      </w:r>
      <w:r>
        <w:t xml:space="preserve">rice </w:t>
      </w:r>
      <w:r w:rsidRPr="00F41180">
        <w:t>I</w:t>
      </w:r>
      <w:r>
        <w:t>ndex</w:t>
      </w:r>
      <w:r w:rsidRPr="00F41180">
        <w:t xml:space="preserve"> (3.6%) for the 2023-24 financial year.</w:t>
      </w:r>
    </w:p>
  </w:footnote>
  <w:footnote w:id="102">
    <w:p w14:paraId="49540080" w14:textId="77777777" w:rsidR="00723E93" w:rsidRDefault="00723E93" w:rsidP="00723E93">
      <w:pPr>
        <w:pStyle w:val="FootnoteText"/>
      </w:pPr>
      <w:r>
        <w:rPr>
          <w:rStyle w:val="FootnoteReference"/>
        </w:rPr>
        <w:footnoteRef/>
      </w:r>
      <w:r>
        <w:t xml:space="preserve"> RBA CPI/WPI forecast- </w:t>
      </w:r>
      <w:hyperlink r:id="rId23" w:history="1">
        <w:r w:rsidRPr="00674152">
          <w:rPr>
            <w:rStyle w:val="Hyperlink"/>
          </w:rPr>
          <w:t>https://www.rba.gov.au/publications/smp/2023/may/forecasts.html</w:t>
        </w:r>
      </w:hyperlink>
    </w:p>
  </w:footnote>
  <w:footnote w:id="103">
    <w:p w14:paraId="29A2748F" w14:textId="30602F1D" w:rsidR="00853D47" w:rsidRDefault="00853D47" w:rsidP="00853D47">
      <w:pPr>
        <w:pStyle w:val="FootnoteText"/>
      </w:pPr>
      <w:r>
        <w:rPr>
          <w:rStyle w:val="FootnoteReference"/>
        </w:rPr>
        <w:footnoteRef/>
      </w:r>
      <w:r>
        <w:t xml:space="preserve"> Figures are shown to the nearest hundred dollars. </w:t>
      </w:r>
      <w:r w:rsidR="007D5444">
        <w:t>A dash</w:t>
      </w:r>
      <w:r>
        <w:t xml:space="preserve"> mean</w:t>
      </w:r>
      <w:r w:rsidR="007D5444">
        <w:t>s</w:t>
      </w:r>
      <w:r>
        <w:t xml:space="preserve"> there are no or few participants in </w:t>
      </w:r>
    </w:p>
    <w:p w14:paraId="7C0D3AA9" w14:textId="25980A24" w:rsidR="00853D47" w:rsidRDefault="00853D47" w:rsidP="00853D47">
      <w:pPr>
        <w:pStyle w:val="FootnoteText"/>
      </w:pPr>
      <w:r>
        <w:t>that age/disability cohort</w:t>
      </w:r>
      <w:r w:rsidR="0013502A">
        <w:t>.</w:t>
      </w:r>
    </w:p>
  </w:footnote>
  <w:footnote w:id="104">
    <w:p w14:paraId="30A15703" w14:textId="77777777" w:rsidR="00F677E3" w:rsidRDefault="00F677E3" w:rsidP="00F677E3">
      <w:pPr>
        <w:pStyle w:val="FootnoteText"/>
      </w:pPr>
      <w:r>
        <w:rPr>
          <w:rStyle w:val="FootnoteReference"/>
        </w:rPr>
        <w:footnoteRef/>
      </w:r>
      <w:r>
        <w:t xml:space="preserve"> </w:t>
      </w:r>
      <w:r w:rsidRPr="00AA44C0">
        <w:t xml:space="preserve">There is considerable uncertainty in the calculation of lifetime </w:t>
      </w:r>
      <w:r>
        <w:t>expense</w:t>
      </w:r>
      <w:r w:rsidRPr="00AA44C0">
        <w:t xml:space="preserve"> estimates in this section. There is limited longitudinal experience within the Scheme to inform assumptions, with most participants having been in the Scheme for </w:t>
      </w:r>
      <w:r>
        <w:t xml:space="preserve">six </w:t>
      </w:r>
      <w:r w:rsidRPr="00AA44C0">
        <w:t xml:space="preserve">years or less. These estimates therefore reflect emerging experience, assuming the same </w:t>
      </w:r>
      <w:r>
        <w:t xml:space="preserve">average payments </w:t>
      </w:r>
      <w:r w:rsidRPr="00AA44C0">
        <w:t xml:space="preserve">and rates </w:t>
      </w:r>
      <w:r>
        <w:t xml:space="preserve">of leaving and mortality </w:t>
      </w:r>
      <w:r w:rsidRPr="00AA44C0">
        <w:t>were to continue over the lifetime of participants.</w:t>
      </w:r>
    </w:p>
  </w:footnote>
  <w:footnote w:id="105">
    <w:p w14:paraId="3893E143" w14:textId="28DE4345" w:rsidR="00F677E3" w:rsidRDefault="00F677E3" w:rsidP="00F677E3">
      <w:pPr>
        <w:pStyle w:val="FootnoteText"/>
      </w:pPr>
      <w:r>
        <w:rPr>
          <w:rStyle w:val="FootnoteReference"/>
        </w:rPr>
        <w:footnoteRef/>
      </w:r>
      <w:r>
        <w:t xml:space="preserve"> The adopted long-term </w:t>
      </w:r>
      <w:r w:rsidRPr="00AA44C0">
        <w:t xml:space="preserve">discount rate </w:t>
      </w:r>
      <w:r>
        <w:t xml:space="preserve">of 5.0% corresponds to the long-term expectation for nominal GDP growth, which is the combination of </w:t>
      </w:r>
      <w:r w:rsidRPr="00DC34C9">
        <w:t>average long</w:t>
      </w:r>
      <w:r>
        <w:t>-</w:t>
      </w:r>
      <w:r w:rsidRPr="00DC34C9">
        <w:t>term productivity growth of 1 per cent per annum, employment growth of 1.5 per cent per annum (noting employment growth is expected to fall over time due to the impact of ageing and slowing population growth on the labo</w:t>
      </w:r>
      <w:r>
        <w:t>u</w:t>
      </w:r>
      <w:r w:rsidRPr="00DC34C9">
        <w:t xml:space="preserve">r force) and price inflation of 2.5 per cent per annum. </w:t>
      </w:r>
      <w:bookmarkStart w:id="197" w:name="_Hlk148110984"/>
      <w:r w:rsidRPr="007D265F">
        <w:t xml:space="preserve">This </w:t>
      </w:r>
      <w:r w:rsidR="007C6BE3" w:rsidRPr="007D265F">
        <w:t xml:space="preserve">is consistent with the GDP growth </w:t>
      </w:r>
      <w:r w:rsidRPr="007D265F">
        <w:t xml:space="preserve">assumption </w:t>
      </w:r>
      <w:r w:rsidR="007C6BE3" w:rsidRPr="007D265F">
        <w:t>in the 2023 Intergenerational Report (IGR).</w:t>
      </w:r>
      <w:bookmarkEnd w:id="197"/>
    </w:p>
  </w:footnote>
  <w:footnote w:id="106">
    <w:p w14:paraId="1C3592A5" w14:textId="77777777" w:rsidR="00F677E3" w:rsidRDefault="00F677E3" w:rsidP="00F677E3">
      <w:pPr>
        <w:pStyle w:val="FootnoteText"/>
      </w:pPr>
      <w:r>
        <w:rPr>
          <w:rStyle w:val="FootnoteReference"/>
        </w:rPr>
        <w:footnoteRef/>
      </w:r>
      <w:r w:rsidRPr="008F5358">
        <w:t>The point at which the rate of new incidence to disability and entrants to the Scheme reach a stable rate over time</w:t>
      </w:r>
      <w:r>
        <w:t xml:space="preserve">. </w:t>
      </w:r>
    </w:p>
  </w:footnote>
  <w:footnote w:id="107">
    <w:p w14:paraId="35535F16" w14:textId="77777777" w:rsidR="008F5358" w:rsidRDefault="008F5358" w:rsidP="008F5358">
      <w:pPr>
        <w:pStyle w:val="FootnoteText"/>
      </w:pPr>
      <w:r>
        <w:rPr>
          <w:rStyle w:val="FootnoteReference"/>
        </w:rPr>
        <w:footnoteRef/>
      </w:r>
      <w:r>
        <w:t xml:space="preserve"> Allows for $730 million of funding for </w:t>
      </w:r>
      <w:r w:rsidRPr="004D0430">
        <w:t>Budget</w:t>
      </w:r>
      <w:r>
        <w:t xml:space="preserve"> measures over four years from 2023-24.</w:t>
      </w:r>
    </w:p>
  </w:footnote>
  <w:footnote w:id="108">
    <w:p w14:paraId="0CCDAED5" w14:textId="77777777" w:rsidR="008F5358" w:rsidRDefault="008F5358" w:rsidP="008F5358">
      <w:pPr>
        <w:pStyle w:val="FootnoteText"/>
      </w:pPr>
      <w:r>
        <w:rPr>
          <w:rStyle w:val="FootnoteReference"/>
        </w:rPr>
        <w:footnoteRef/>
      </w:r>
      <w:r>
        <w:t xml:space="preserve"> </w:t>
      </w:r>
      <w:r w:rsidRPr="00036D6E">
        <w:t xml:space="preserve">Productivity Commission 2017, </w:t>
      </w:r>
      <w:r w:rsidRPr="00036D6E">
        <w:rPr>
          <w:i/>
        </w:rPr>
        <w:t>National Disability Insurance Scheme (NDIS) Costs</w:t>
      </w:r>
      <w:r w:rsidRPr="00036D6E">
        <w:t>, St</w:t>
      </w:r>
      <w:r>
        <w:t>udy Report, Canberra (Page 412)</w:t>
      </w:r>
      <w:r w:rsidRPr="00036D6E">
        <w:t>.</w:t>
      </w:r>
    </w:p>
  </w:footnote>
  <w:footnote w:id="109">
    <w:p w14:paraId="37AA72B3" w14:textId="77777777" w:rsidR="00D34123" w:rsidRDefault="00D34123" w:rsidP="00D34123">
      <w:pPr>
        <w:pStyle w:val="FootnoteText"/>
      </w:pPr>
      <w:r>
        <w:rPr>
          <w:rStyle w:val="FootnoteReference"/>
        </w:rPr>
        <w:footnoteRef/>
      </w:r>
      <w:r>
        <w:t xml:space="preserve"> 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p>
  </w:footnote>
  <w:footnote w:id="110">
    <w:p w14:paraId="38C0D860" w14:textId="77777777" w:rsidR="0057206A" w:rsidRPr="000E3360" w:rsidRDefault="0057206A" w:rsidP="0057206A">
      <w:pPr>
        <w:pStyle w:val="FootnoteText"/>
      </w:pPr>
      <w:r w:rsidRPr="009C3029">
        <w:rPr>
          <w:rStyle w:val="FootnoteReference"/>
        </w:rPr>
        <w:footnoteRef/>
      </w:r>
      <w:r w:rsidRPr="009C3029">
        <w:t xml:space="preserve"> High level analysis indicates that the ongoing Scheme expense in respect of new entrants is approximately </w:t>
      </w:r>
      <w:r w:rsidRPr="00A20A5E">
        <w:t>14%</w:t>
      </w:r>
      <w:r w:rsidRPr="009C3029">
        <w:t xml:space="preserve"> lower than of existing participants, after allowing for difference in participant mix. A credibility weighting of 62% is applied to this figure to arrive at the baseline assumption of </w:t>
      </w:r>
      <w:r w:rsidRPr="00A20A5E">
        <w:t>8.4%,</w:t>
      </w:r>
      <w:r w:rsidRPr="009C3029">
        <w:t xml:space="preserve"> due to the high level of uncertainty regarding future experience.</w:t>
      </w:r>
    </w:p>
  </w:footnote>
  <w:footnote w:id="111">
    <w:p w14:paraId="261A47B2" w14:textId="77777777" w:rsidR="0057206A" w:rsidRPr="00B80109" w:rsidRDefault="0057206A" w:rsidP="0057206A">
      <w:pPr>
        <w:pStyle w:val="FootnoteText"/>
      </w:pPr>
      <w:r>
        <w:rPr>
          <w:rStyle w:val="FootnoteReference"/>
        </w:rPr>
        <w:footnoteRef/>
      </w:r>
      <w:r>
        <w:t xml:space="preserve"> Recent experience has shown rising rates of new female participants with autism, possibly linked to a growing recognition of ASD in females, prior underdiagnosis or misdiagnosis and later diagnosis of autism in females compared with males.</w:t>
      </w:r>
    </w:p>
  </w:footnote>
  <w:footnote w:id="112">
    <w:p w14:paraId="66D1537E" w14:textId="32DC9B9A" w:rsidR="0006157F" w:rsidRDefault="0006157F">
      <w:pPr>
        <w:pStyle w:val="FootnoteText"/>
      </w:pPr>
      <w:r>
        <w:rPr>
          <w:rStyle w:val="FootnoteReference"/>
        </w:rPr>
        <w:footnoteRef/>
      </w:r>
      <w:r>
        <w:t xml:space="preserve"> In the 2023-27 Corporate Plan, the risk to Scheme sustainability is defined as Scheme scope, growth and/or costs/expenses deviating significantly.</w:t>
      </w:r>
    </w:p>
  </w:footnote>
  <w:footnote w:id="113">
    <w:p w14:paraId="50CAE631" w14:textId="77777777" w:rsidR="008603DE" w:rsidRDefault="008603DE" w:rsidP="008603DE">
      <w:pPr>
        <w:pStyle w:val="FootnoteText"/>
      </w:pPr>
      <w:r>
        <w:rPr>
          <w:rStyle w:val="FootnoteReference"/>
        </w:rPr>
        <w:footnoteRef/>
      </w:r>
      <w:r>
        <w:t xml:space="preserve"> A total of 20,000 simulations were produced using the R programming language.</w:t>
      </w:r>
    </w:p>
  </w:footnote>
  <w:footnote w:id="114">
    <w:p w14:paraId="0791A76C" w14:textId="557AA214" w:rsidR="00B5477F" w:rsidRDefault="00B5477F">
      <w:pPr>
        <w:pStyle w:val="FootnoteText"/>
      </w:pPr>
      <w:r w:rsidRPr="00557AF4">
        <w:rPr>
          <w:rStyle w:val="FootnoteReference"/>
        </w:rPr>
        <w:footnoteRef/>
      </w:r>
      <w:r w:rsidRPr="00557AF4">
        <w:t xml:space="preserve"> </w:t>
      </w:r>
      <w:bookmarkStart w:id="209" w:name="_Hlk148111310"/>
      <w:r w:rsidRPr="00557AF4">
        <w:t>A confidence interval, here, represents the simulated probability that the Scheme expense will fall between the specified range of outcomes of the stochastic model.</w:t>
      </w:r>
      <w:bookmarkEnd w:id="209"/>
    </w:p>
  </w:footnote>
  <w:footnote w:id="115">
    <w:p w14:paraId="5B15184C" w14:textId="77777777" w:rsidR="008603DE" w:rsidRDefault="008603DE" w:rsidP="008603DE">
      <w:pPr>
        <w:pStyle w:val="FootnoteText"/>
      </w:pPr>
      <w:r>
        <w:rPr>
          <w:rStyle w:val="FootnoteReference"/>
        </w:rPr>
        <w:footnoteRef/>
      </w:r>
      <w:r>
        <w:t xml:space="preserve"> </w:t>
      </w:r>
      <w:r w:rsidRPr="00FD1CC7">
        <w:rPr>
          <w:rFonts w:cs="Arial"/>
          <w:sz w:val="19"/>
          <w:szCs w:val="19"/>
        </w:rPr>
        <w:t>Coefficient of variation (CoV) has been used to measure</w:t>
      </w:r>
      <w:r>
        <w:rPr>
          <w:rFonts w:cs="Arial"/>
          <w:sz w:val="19"/>
          <w:szCs w:val="19"/>
        </w:rPr>
        <w:t xml:space="preserve"> uncertainty</w:t>
      </w:r>
      <w:r w:rsidRPr="00FD1CC7">
        <w:rPr>
          <w:rFonts w:cs="Arial"/>
          <w:sz w:val="19"/>
          <w:szCs w:val="19"/>
        </w:rPr>
        <w:t xml:space="preserve">. It is defined as the standard deviation divided by the mean of a distribution. </w:t>
      </w:r>
      <w:r>
        <w:rPr>
          <w:rFonts w:cs="Arial"/>
          <w:sz w:val="19"/>
          <w:szCs w:val="19"/>
        </w:rPr>
        <w:t xml:space="preserve">A </w:t>
      </w:r>
      <w:r w:rsidRPr="00FD1CC7">
        <w:rPr>
          <w:rFonts w:cs="Arial"/>
          <w:sz w:val="19"/>
          <w:szCs w:val="19"/>
        </w:rPr>
        <w:t>higher CoV</w:t>
      </w:r>
      <w:r>
        <w:rPr>
          <w:rFonts w:cs="Arial"/>
          <w:sz w:val="19"/>
          <w:szCs w:val="19"/>
        </w:rPr>
        <w:t xml:space="preserve"> implies a </w:t>
      </w:r>
      <w:r w:rsidRPr="00FD1CC7">
        <w:rPr>
          <w:rFonts w:cs="Arial"/>
          <w:sz w:val="19"/>
          <w:szCs w:val="19"/>
        </w:rPr>
        <w:t>higher level of uncertainty</w:t>
      </w:r>
      <w:r w:rsidRPr="000979BD">
        <w:rPr>
          <w:rFonts w:cs="Arial"/>
          <w:sz w:val="18"/>
          <w:szCs w:val="18"/>
        </w:rPr>
        <w:t>.</w:t>
      </w:r>
    </w:p>
  </w:footnote>
  <w:footnote w:id="116">
    <w:p w14:paraId="2BD78782" w14:textId="77777777" w:rsidR="008603DE" w:rsidRDefault="008603DE" w:rsidP="008603DE">
      <w:pPr>
        <w:pStyle w:val="FootnoteText"/>
      </w:pPr>
      <w:r>
        <w:rPr>
          <w:rStyle w:val="FootnoteReference"/>
        </w:rPr>
        <w:footnoteRef/>
      </w:r>
      <w:r>
        <w:t xml:space="preserve"> The 5</w:t>
      </w:r>
      <w:r w:rsidRPr="00E1102F">
        <w:rPr>
          <w:vertAlign w:val="superscript"/>
        </w:rPr>
        <w:t>th</w:t>
      </w:r>
      <w:r>
        <w:t xml:space="preserve"> (95</w:t>
      </w:r>
      <w:r w:rsidRPr="00E1102F">
        <w:rPr>
          <w:vertAlign w:val="superscript"/>
        </w:rPr>
        <w:t>th</w:t>
      </w:r>
      <w:r>
        <w:t xml:space="preserve">) percentile, here, is the simulated Scheme expense at or below which 5 (95) percent of the simulated Scheme expenses lie. </w:t>
      </w:r>
    </w:p>
  </w:footnote>
  <w:footnote w:id="117">
    <w:p w14:paraId="15F8E4EE" w14:textId="77777777" w:rsidR="0006157F" w:rsidRDefault="0006157F" w:rsidP="0006157F">
      <w:pPr>
        <w:pStyle w:val="FootnoteText"/>
      </w:pPr>
      <w:r>
        <w:rPr>
          <w:rStyle w:val="FootnoteReference"/>
        </w:rPr>
        <w:footnoteRef/>
      </w:r>
      <w:r>
        <w:t xml:space="preserve"> </w:t>
      </w:r>
      <w:r w:rsidRPr="008603DE">
        <w:t>Since the outcome of the Annual Pricing Review 2022-23 Review is known, there is no variation relating to the normal inflation assumption during the first projection year.</w:t>
      </w:r>
    </w:p>
  </w:footnote>
  <w:footnote w:id="118">
    <w:p w14:paraId="1EAEC2B2" w14:textId="130384FB" w:rsidR="00536E9E" w:rsidRDefault="00536E9E" w:rsidP="00536E9E">
      <w:pPr>
        <w:pStyle w:val="FootnoteText"/>
      </w:pPr>
      <w:r w:rsidRPr="00F5230A">
        <w:rPr>
          <w:rStyle w:val="FootnoteReference"/>
        </w:rPr>
        <w:footnoteRef/>
      </w:r>
      <w:r w:rsidRPr="00F5230A">
        <w:t xml:space="preserve"> </w:t>
      </w:r>
      <w:r w:rsidR="005B51E6">
        <w:t xml:space="preserve">The impact on total Scheme expenses for each level of materiality: Low: </w:t>
      </w:r>
      <w:r w:rsidR="005B51E6" w:rsidRPr="00CB2ECA">
        <w:t>≤1%</w:t>
      </w:r>
      <w:r w:rsidR="005B51E6">
        <w:t>, Medium: 1-5%, High: &gt;5%.</w:t>
      </w:r>
    </w:p>
  </w:footnote>
  <w:footnote w:id="119">
    <w:p w14:paraId="6D338363" w14:textId="77777777" w:rsidR="005B4951" w:rsidRDefault="005B4951" w:rsidP="005B4951">
      <w:pPr>
        <w:pStyle w:val="FootnoteText"/>
      </w:pPr>
      <w:r>
        <w:rPr>
          <w:rStyle w:val="FootnoteReference"/>
        </w:rPr>
        <w:footnoteRef/>
      </w:r>
      <w:r>
        <w:t xml:space="preserve"> Level of judgement: Low = assumptions influenced by experience and/or data that is known, Medium = assumptions influenced by experience and operational processes, introducing some variability, High = assumptions influenced by experience, operational process, economic conditions etc., with higher variability.</w:t>
      </w:r>
    </w:p>
  </w:footnote>
  <w:footnote w:id="120">
    <w:p w14:paraId="01B3E069" w14:textId="67982DEC" w:rsidR="005A6E4E" w:rsidRDefault="005A6E4E" w:rsidP="005A6E4E">
      <w:pPr>
        <w:pStyle w:val="FootnoteText"/>
      </w:pPr>
      <w:r>
        <w:rPr>
          <w:rStyle w:val="FootnoteReference"/>
        </w:rPr>
        <w:footnoteRef/>
      </w:r>
      <w:r>
        <w:t xml:space="preserve"> Projection at Dec 22 </w:t>
      </w:r>
      <w:r w:rsidR="008F7264">
        <w:t xml:space="preserve">informed </w:t>
      </w:r>
      <w:r>
        <w:t>the 2023-24 Budget Estimates.</w:t>
      </w:r>
    </w:p>
  </w:footnote>
  <w:footnote w:id="121">
    <w:p w14:paraId="6C95E8AD" w14:textId="5426ADB8" w:rsidR="00622E1C" w:rsidRDefault="00622E1C">
      <w:pPr>
        <w:pStyle w:val="FootnoteText"/>
      </w:pPr>
      <w:r>
        <w:rPr>
          <w:rStyle w:val="FootnoteReference"/>
        </w:rPr>
        <w:footnoteRef/>
      </w:r>
      <w:r>
        <w:t xml:space="preserve"> </w:t>
      </w:r>
      <w:r w:rsidR="00AD4307">
        <w:t>The 31 December 2022 projection inform</w:t>
      </w:r>
      <w:r w:rsidR="00B9630E">
        <w:t>ed</w:t>
      </w:r>
      <w:r w:rsidR="00AD4307">
        <w:t xml:space="preserve"> the 2023-24 Budget Estimates.</w:t>
      </w:r>
    </w:p>
  </w:footnote>
  <w:footnote w:id="122">
    <w:p w14:paraId="7780DF99" w14:textId="2EB8DFF6" w:rsidR="00C96360" w:rsidRDefault="00C96360">
      <w:pPr>
        <w:pStyle w:val="FootnoteText"/>
      </w:pPr>
      <w:r>
        <w:rPr>
          <w:rStyle w:val="FootnoteReference"/>
        </w:rPr>
        <w:footnoteRef/>
      </w:r>
      <w:r>
        <w:t xml:space="preserve"> </w:t>
      </w:r>
      <w:bookmarkStart w:id="216" w:name="_Hlk145673896"/>
      <w:r w:rsidR="001D10D7" w:rsidRPr="00DC4977">
        <w:t>Released on 3 July 2021</w:t>
      </w:r>
      <w:bookmarkEnd w:id="216"/>
    </w:p>
  </w:footnote>
  <w:footnote w:id="123">
    <w:p w14:paraId="3FEEC95A" w14:textId="0EED482C" w:rsidR="00C96360" w:rsidRDefault="00C96360">
      <w:pPr>
        <w:pStyle w:val="FootnoteText"/>
      </w:pPr>
      <w:r>
        <w:rPr>
          <w:rStyle w:val="FootnoteReference"/>
        </w:rPr>
        <w:footnoteRef/>
      </w:r>
      <w:r>
        <w:t xml:space="preserve"> </w:t>
      </w:r>
      <w:r w:rsidR="00207ED1" w:rsidRPr="00DC4977">
        <w:t>Projections have been adjusted from a cash basis to an accrual basis using accrual factors from the 30 June 2019 AFSR</w:t>
      </w:r>
    </w:p>
  </w:footnote>
  <w:footnote w:id="124">
    <w:p w14:paraId="717D0E3E" w14:textId="77777777" w:rsidR="00B042DF" w:rsidRDefault="00B042DF" w:rsidP="00B042DF">
      <w:pPr>
        <w:pStyle w:val="FootnoteText"/>
      </w:pPr>
      <w:r>
        <w:rPr>
          <w:rStyle w:val="FootnoteReference"/>
        </w:rPr>
        <w:footnoteRef/>
      </w:r>
      <w:r>
        <w:t xml:space="preserve"> </w:t>
      </w:r>
      <w:r w:rsidRPr="00DC4977">
        <w:t>Projections have been adjusted from a cash basis to an accrual basis using accrual factors from the 30 June 2019 AFSR</w:t>
      </w:r>
      <w:r>
        <w:t>.</w:t>
      </w:r>
    </w:p>
  </w:footnote>
  <w:footnote w:id="125">
    <w:p w14:paraId="0E5F4674" w14:textId="77777777" w:rsidR="00A83786" w:rsidRPr="00043824" w:rsidRDefault="00A83786" w:rsidP="00A83786">
      <w:pPr>
        <w:pStyle w:val="FootnoteText"/>
      </w:pPr>
      <w:r w:rsidRPr="00043824">
        <w:rPr>
          <w:rStyle w:val="FootnoteReference"/>
        </w:rPr>
        <w:footnoteRef/>
      </w:r>
      <w:r w:rsidRPr="00043824">
        <w:t xml:space="preserve"> </w:t>
      </w:r>
      <w:hyperlink r:id="rId24" w:history="1">
        <w:r w:rsidRPr="00043824">
          <w:rPr>
            <w:rStyle w:val="Hyperlink"/>
          </w:rPr>
          <w:t>http://www.comlaw.gov.au/Details/C2019C00332/Download</w:t>
        </w:r>
      </w:hyperlink>
      <w:r w:rsidRPr="00043824">
        <w:t xml:space="preserve"> </w:t>
      </w:r>
    </w:p>
  </w:footnote>
  <w:footnote w:id="126">
    <w:p w14:paraId="781E9A8B" w14:textId="77777777" w:rsidR="00A83786" w:rsidRDefault="00A83786" w:rsidP="00A83786">
      <w:pPr>
        <w:pStyle w:val="FootnoteText"/>
      </w:pPr>
      <w:r>
        <w:rPr>
          <w:rStyle w:val="FootnoteReference"/>
        </w:rPr>
        <w:footnoteRef/>
      </w:r>
      <w:r>
        <w:t xml:space="preserve"> Part 2, section 4, (11).</w:t>
      </w:r>
    </w:p>
  </w:footnote>
  <w:footnote w:id="127">
    <w:p w14:paraId="491BAE7F" w14:textId="77777777" w:rsidR="00A83786" w:rsidRDefault="00A83786" w:rsidP="00A83786">
      <w:pPr>
        <w:pStyle w:val="FootnoteText"/>
      </w:pPr>
      <w:r>
        <w:rPr>
          <w:rStyle w:val="FootnoteReference"/>
        </w:rPr>
        <w:footnoteRef/>
      </w:r>
      <w:r>
        <w:t xml:space="preserve"> Further, the National Disability Insurance Scheme forms part of the broader Australia’s Disability Strategy 2021-2031. The strategy is a commitment from all governments to a </w:t>
      </w:r>
      <w:r w:rsidRPr="007475B4">
        <w:t xml:space="preserve">shared vision </w:t>
      </w:r>
      <w:r>
        <w:t xml:space="preserve">of </w:t>
      </w:r>
      <w:r w:rsidRPr="007475B4">
        <w:t>an inclusive Australian society that enables people with disability to fulfil their potential as equal citizens.</w:t>
      </w:r>
      <w:r>
        <w:t xml:space="preserve"> In particular, the strategy emphasises the need for </w:t>
      </w:r>
      <w:r w:rsidRPr="007475B4">
        <w:t>improved performance of mainstream services in delivering outcomes for people with disability</w:t>
      </w:r>
      <w:r>
        <w:t>.</w:t>
      </w:r>
    </w:p>
    <w:p w14:paraId="46021C79" w14:textId="77777777" w:rsidR="00A83786" w:rsidRDefault="00A83786" w:rsidP="00A83786">
      <w:pPr>
        <w:pStyle w:val="FootnoteText"/>
      </w:pPr>
      <w:r>
        <w:t xml:space="preserve"> </w:t>
      </w:r>
    </w:p>
  </w:footnote>
  <w:footnote w:id="128">
    <w:p w14:paraId="5A0B1BBB" w14:textId="3371750E" w:rsidR="00A83786" w:rsidRDefault="00A83786" w:rsidP="00A83786">
      <w:pPr>
        <w:pStyle w:val="FootnoteText"/>
      </w:pPr>
      <w:r>
        <w:rPr>
          <w:rStyle w:val="FootnoteReference"/>
        </w:rPr>
        <w:footnoteRef/>
      </w:r>
      <w:r>
        <w:t xml:space="preserve"> “Causal” in the sense that the marginal expenditure is responsible for producing the observed change in outcomes. Establishing a causal link is much more difficult than establishing a </w:t>
      </w:r>
      <w:r w:rsidR="003905B8">
        <w:t>correlation and</w:t>
      </w:r>
      <w:r>
        <w:t xml:space="preserve"> requires (amongst other things) that all potential confounders are properly accounted for.</w:t>
      </w:r>
    </w:p>
  </w:footnote>
  <w:footnote w:id="129">
    <w:p w14:paraId="7733C39A" w14:textId="77777777" w:rsidR="00A83786" w:rsidRDefault="00A83786" w:rsidP="00A83786">
      <w:pPr>
        <w:pStyle w:val="FootnoteText"/>
      </w:pPr>
      <w:r>
        <w:rPr>
          <w:rStyle w:val="FootnoteReference"/>
        </w:rPr>
        <w:footnoteRef/>
      </w:r>
      <w:r>
        <w:t xml:space="preserve"> See, for example, the detailed modelling in </w:t>
      </w:r>
      <w:hyperlink r:id="rId25" w:history="1">
        <w:r>
          <w:rPr>
            <w:rStyle w:val="Hyperlink"/>
          </w:rPr>
          <w:t>Participant Outcomes 30 June 2020 | NDIS</w:t>
        </w:r>
      </w:hyperlink>
      <w:r>
        <w:t xml:space="preserve"> and </w:t>
      </w:r>
      <w:hyperlink r:id="rId26" w:history="1">
        <w:r>
          <w:rPr>
            <w:rStyle w:val="Hyperlink"/>
          </w:rPr>
          <w:t>Employment outcomes - participants, their families and carers | NDIS</w:t>
        </w:r>
      </w:hyperlink>
      <w:r>
        <w:t>.</w:t>
      </w:r>
    </w:p>
  </w:footnote>
  <w:footnote w:id="130">
    <w:p w14:paraId="17E3CFA7" w14:textId="77777777" w:rsidR="00A83786" w:rsidRDefault="00A83786" w:rsidP="00A83786">
      <w:pPr>
        <w:pStyle w:val="FootnoteText"/>
      </w:pPr>
      <w:r>
        <w:rPr>
          <w:rStyle w:val="FootnoteReference"/>
        </w:rPr>
        <w:footnoteRef/>
      </w:r>
      <w:r>
        <w:t xml:space="preserve"> Part 2, section 4, (12) and (12A).</w:t>
      </w:r>
    </w:p>
  </w:footnote>
  <w:footnote w:id="131">
    <w:p w14:paraId="19A1F1F1" w14:textId="77777777" w:rsidR="00A83786" w:rsidRDefault="00A83786" w:rsidP="00A83786">
      <w:pPr>
        <w:pStyle w:val="FootnoteText"/>
      </w:pPr>
      <w:r>
        <w:rPr>
          <w:rStyle w:val="FootnoteReference"/>
        </w:rPr>
        <w:footnoteRef/>
      </w:r>
      <w:r>
        <w:t xml:space="preserve"> </w:t>
      </w:r>
      <w:hyperlink r:id="rId27" w:history="1">
        <w:r>
          <w:rPr>
            <w:rStyle w:val="Hyperlink"/>
          </w:rPr>
          <w:t>Outcomes Framework Pilot Study: Summary Report 2015 | NDIS</w:t>
        </w:r>
      </w:hyperlink>
    </w:p>
  </w:footnote>
  <w:footnote w:id="132">
    <w:p w14:paraId="09E21250" w14:textId="77777777" w:rsidR="0053415F" w:rsidRPr="00EC620B" w:rsidRDefault="0053415F" w:rsidP="0053415F">
      <w:pPr>
        <w:pStyle w:val="FootnoteText"/>
      </w:pPr>
      <w:r>
        <w:rPr>
          <w:rStyle w:val="FootnoteReference"/>
        </w:rPr>
        <w:footnoteRef/>
      </w:r>
      <w:r>
        <w:t xml:space="preserve"> </w:t>
      </w:r>
      <w:hyperlink r:id="rId28" w:history="1">
        <w:r w:rsidRPr="00EC620B">
          <w:rPr>
            <w:rStyle w:val="Hyperlink"/>
          </w:rPr>
          <w:t>Participant and family/carer outcomes: COVID-19 impact | Executive summary, to 30 June 2020</w:t>
        </w:r>
      </w:hyperlink>
    </w:p>
  </w:footnote>
  <w:footnote w:id="133">
    <w:p w14:paraId="40E53BE3" w14:textId="77777777" w:rsidR="0053415F" w:rsidRDefault="0053415F" w:rsidP="0053415F">
      <w:pPr>
        <w:pStyle w:val="FootnoteText"/>
      </w:pPr>
      <w:r>
        <w:rPr>
          <w:rStyle w:val="FootnoteReference"/>
        </w:rPr>
        <w:footnoteRef/>
      </w:r>
      <w:r>
        <w:t xml:space="preserve"> </w:t>
      </w:r>
      <w:hyperlink r:id="rId29" w:history="1">
        <w:r>
          <w:rPr>
            <w:rStyle w:val="Hyperlink"/>
          </w:rPr>
          <w:t>Employment outcomes - participants, their families and carers | NDIS</w:t>
        </w:r>
      </w:hyperlink>
    </w:p>
  </w:footnote>
  <w:footnote w:id="134">
    <w:p w14:paraId="5C2ED260" w14:textId="77777777" w:rsidR="00A83786" w:rsidRDefault="00A83786" w:rsidP="00A83786">
      <w:pPr>
        <w:pStyle w:val="FootnoteText"/>
      </w:pPr>
      <w:r>
        <w:rPr>
          <w:rStyle w:val="FootnoteReference"/>
        </w:rPr>
        <w:footnoteRef/>
      </w:r>
      <w:r>
        <w:t xml:space="preserve"> </w:t>
      </w:r>
      <w:hyperlink r:id="rId30" w:history="1">
        <w:r>
          <w:rPr>
            <w:rStyle w:val="Hyperlink"/>
          </w:rPr>
          <w:t>Corporate Plan | NDIS</w:t>
        </w:r>
      </w:hyperlink>
      <w:r>
        <w:rPr>
          <w:rStyle w:val="Hyperlink"/>
        </w:rPr>
        <w:t xml:space="preserve"> </w:t>
      </w:r>
    </w:p>
  </w:footnote>
  <w:footnote w:id="135">
    <w:p w14:paraId="0B498465" w14:textId="77777777" w:rsidR="00A83786" w:rsidRPr="00665AF1" w:rsidRDefault="00A83786" w:rsidP="00A83786">
      <w:pPr>
        <w:pStyle w:val="FootnoteText"/>
      </w:pPr>
      <w:r w:rsidRPr="000D6ECE">
        <w:rPr>
          <w:rStyle w:val="FootnoteReference"/>
        </w:rPr>
        <w:footnoteRef/>
      </w:r>
      <w:r w:rsidRPr="000D6ECE">
        <w:t xml:space="preserve"> More details can be found here:</w:t>
      </w:r>
      <w:r w:rsidRPr="008A123C">
        <w:t xml:space="preserve"> </w:t>
      </w:r>
      <w:hyperlink r:id="rId31" w:history="1">
        <w:r w:rsidRPr="00A439CE">
          <w:rPr>
            <w:rStyle w:val="Hyperlink"/>
          </w:rPr>
          <w:t>The NDIS Participant Employment Strategy 2019-22</w:t>
        </w:r>
      </w:hyperlink>
      <w:r w:rsidRPr="00665AF1">
        <w:t xml:space="preserve"> </w:t>
      </w:r>
    </w:p>
  </w:footnote>
  <w:footnote w:id="136">
    <w:p w14:paraId="1E68D02A" w14:textId="77777777" w:rsidR="00A83786" w:rsidRDefault="00A83786" w:rsidP="00A83786">
      <w:pPr>
        <w:pStyle w:val="FootnoteText"/>
      </w:pPr>
      <w:r>
        <w:rPr>
          <w:rStyle w:val="FootnoteReference"/>
        </w:rPr>
        <w:footnoteRef/>
      </w:r>
      <w:r>
        <w:t xml:space="preserve"> Also available on the same webpage as the NDIS Participant Employment Strategy 2019-22</w:t>
      </w:r>
    </w:p>
  </w:footnote>
  <w:footnote w:id="137">
    <w:p w14:paraId="36069AF3" w14:textId="77777777" w:rsidR="00A83786" w:rsidRDefault="00A83786" w:rsidP="00A83786">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38">
    <w:p w14:paraId="36731EE4" w14:textId="357C7BFE" w:rsidR="00A83786" w:rsidRDefault="00A83786" w:rsidP="00A83786">
      <w:pPr>
        <w:pStyle w:val="FootnoteText"/>
      </w:pPr>
      <w:r>
        <w:rPr>
          <w:rStyle w:val="FootnoteReference"/>
        </w:rPr>
        <w:footnoteRef/>
      </w:r>
      <w:r>
        <w:t xml:space="preserve"> </w:t>
      </w:r>
      <w:hyperlink r:id="rId32" w:history="1">
        <w:r>
          <w:rPr>
            <w:rStyle w:val="Hyperlink"/>
          </w:rPr>
          <w:t>Employment outcomes - participants, their families and carers | NDIS</w:t>
        </w:r>
      </w:hyperlink>
      <w:r w:rsidR="00F718E9">
        <w:rPr>
          <w:rStyle w:val="Hyperlink"/>
        </w:rPr>
        <w:t>.</w:t>
      </w:r>
      <w:r w:rsidR="00F718E9" w:rsidRPr="00B23E63">
        <w:rPr>
          <w:rStyle w:val="Hyperlink"/>
          <w:color w:val="auto"/>
          <w:u w:val="none"/>
        </w:rPr>
        <w:t xml:space="preserve"> An updated report on employment outcomes for NDIS participants using date up to 31 December 2022 is due to be published before the end of 2023.</w:t>
      </w:r>
    </w:p>
  </w:footnote>
  <w:footnote w:id="139">
    <w:p w14:paraId="2E49702C" w14:textId="77777777" w:rsidR="00F718E9" w:rsidRDefault="00F718E9" w:rsidP="00F718E9">
      <w:pPr>
        <w:pStyle w:val="FootnoteText"/>
      </w:pPr>
      <w:r>
        <w:rPr>
          <w:rStyle w:val="FootnoteReference"/>
        </w:rPr>
        <w:footnoteRef/>
      </w:r>
      <w:r>
        <w:t xml:space="preserve"> </w:t>
      </w:r>
      <w:hyperlink r:id="rId33" w:history="1">
        <w:r>
          <w:rPr>
            <w:rStyle w:val="Hyperlink"/>
          </w:rPr>
          <w:t>Quarterly Reports | NDIS</w:t>
        </w:r>
      </w:hyperlink>
    </w:p>
  </w:footnote>
  <w:footnote w:id="140">
    <w:p w14:paraId="7974D6A8" w14:textId="77777777" w:rsidR="00A83786" w:rsidRDefault="00A83786" w:rsidP="00A83786">
      <w:pPr>
        <w:pStyle w:val="FootnoteText"/>
      </w:pPr>
      <w:r>
        <w:rPr>
          <w:rStyle w:val="FootnoteReference"/>
        </w:rPr>
        <w:footnoteRef/>
      </w:r>
      <w:r>
        <w:t xml:space="preserve"> </w:t>
      </w:r>
      <w:hyperlink r:id="rId34" w:history="1">
        <w:r>
          <w:rPr>
            <w:rStyle w:val="Hyperlink"/>
          </w:rPr>
          <w:t>Social inclusion and community access - our research | NDIS</w:t>
        </w:r>
      </w:hyperlink>
    </w:p>
  </w:footnote>
  <w:footnote w:id="141">
    <w:p w14:paraId="125BF653" w14:textId="77777777" w:rsidR="00A83786" w:rsidRDefault="00A83786" w:rsidP="00A83786">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2">
    <w:p w14:paraId="6D059B67" w14:textId="77777777" w:rsidR="00A83786" w:rsidRDefault="00A83786" w:rsidP="00A83786">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3">
    <w:p w14:paraId="4D4D9D93" w14:textId="77777777" w:rsidR="00F40CE1" w:rsidRDefault="00F40CE1" w:rsidP="00F40CE1">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4">
    <w:p w14:paraId="09CB59D9" w14:textId="77777777" w:rsidR="00F40CE1" w:rsidRDefault="00F40CE1" w:rsidP="00F40CE1">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5">
    <w:p w14:paraId="16D3113E" w14:textId="77777777" w:rsidR="00A83786" w:rsidRDefault="00A83786" w:rsidP="00A83786">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6">
    <w:p w14:paraId="3A4924DB" w14:textId="77777777" w:rsidR="00A83786" w:rsidRDefault="00A83786" w:rsidP="00A83786">
      <w:pPr>
        <w:pStyle w:val="FootnoteText"/>
      </w:pPr>
      <w:r>
        <w:rPr>
          <w:rStyle w:val="FootnoteReference"/>
        </w:rPr>
        <w:footnoteRef/>
      </w:r>
      <w:r>
        <w:t xml:space="preserve"> Noting that the education and housing systems have a major role to play in the lifelong learning and home domains.</w:t>
      </w:r>
    </w:p>
  </w:footnote>
  <w:footnote w:id="147">
    <w:p w14:paraId="2317BB47" w14:textId="77777777" w:rsidR="00A83786" w:rsidRDefault="00A83786" w:rsidP="00A83786">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8">
    <w:p w14:paraId="607864D6" w14:textId="77777777" w:rsidR="00A83786" w:rsidRDefault="00A83786" w:rsidP="00A83786">
      <w:pPr>
        <w:pStyle w:val="FootnoteText"/>
      </w:pPr>
      <w:r>
        <w:rPr>
          <w:rStyle w:val="FootnoteReference"/>
        </w:rPr>
        <w:footnoteRef/>
      </w:r>
      <w:r>
        <w:t xml:space="preserve"> Noting that the education and housing systems have a major role to play in the lifelong learning and home domains.</w:t>
      </w:r>
    </w:p>
  </w:footnote>
  <w:footnote w:id="149">
    <w:p w14:paraId="05C161FA" w14:textId="77777777" w:rsidR="00A83786" w:rsidRDefault="00A83786" w:rsidP="00A83786">
      <w:pPr>
        <w:pStyle w:val="FootnoteText"/>
      </w:pPr>
      <w:r>
        <w:rPr>
          <w:rStyle w:val="FootnoteReference"/>
        </w:rPr>
        <w:footnoteRef/>
      </w:r>
      <w:r>
        <w:t xml:space="preserve"> </w:t>
      </w:r>
      <w:hyperlink r:id="rId35" w:history="1">
        <w:r>
          <w:rPr>
            <w:rStyle w:val="Hyperlink"/>
          </w:rPr>
          <w:t>Family and Carer Outcomes 30 June 2020 | NDIS</w:t>
        </w:r>
      </w:hyperlink>
    </w:p>
  </w:footnote>
  <w:footnote w:id="150">
    <w:p w14:paraId="66D86D70" w14:textId="77777777" w:rsidR="00A83786" w:rsidRPr="000D6ECE" w:rsidRDefault="00A83786" w:rsidP="00A83786">
      <w:pPr>
        <w:pStyle w:val="FootnoteText"/>
        <w:rPr>
          <w:highlight w:val="red"/>
        </w:rPr>
      </w:pPr>
      <w:r w:rsidRPr="000D6ECE">
        <w:rPr>
          <w:rStyle w:val="FootnoteReference"/>
        </w:rPr>
        <w:footnoteRef/>
      </w:r>
      <w:r w:rsidRPr="000D6ECE">
        <w:t xml:space="preserve"> </w:t>
      </w:r>
      <w:r>
        <w:t xml:space="preserve">See also </w:t>
      </w:r>
      <w:hyperlink r:id="rId36" w:history="1">
        <w:r>
          <w:rPr>
            <w:rStyle w:val="Hyperlink"/>
          </w:rPr>
          <w:t>Volume 1 - Inquiry report - Disability Care and Support (pc.gov.au)</w:t>
        </w:r>
      </w:hyperlink>
      <w:r w:rsidRPr="000D6ECE">
        <w:t xml:space="preserve"> pp. 54-55,131</w:t>
      </w:r>
    </w:p>
  </w:footnote>
  <w:footnote w:id="151">
    <w:p w14:paraId="17EB55AE" w14:textId="77777777" w:rsidR="00A83786" w:rsidRDefault="00A83786" w:rsidP="00A83786">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52">
    <w:p w14:paraId="3A42AE95" w14:textId="77777777" w:rsidR="00A83786" w:rsidRDefault="00A83786" w:rsidP="00A83786">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53">
    <w:p w14:paraId="10EE4A3A" w14:textId="77777777" w:rsidR="00DE38C9" w:rsidRDefault="00DE38C9" w:rsidP="00DE38C9">
      <w:pPr>
        <w:pStyle w:val="FootnoteText"/>
      </w:pPr>
      <w:r>
        <w:rPr>
          <w:rStyle w:val="FootnoteReference"/>
        </w:rPr>
        <w:footnoteRef/>
      </w:r>
      <w:r>
        <w:t xml:space="preserve"> </w:t>
      </w:r>
      <w:hyperlink r:id="rId37" w:anchor="_Toc108533892" w:history="1">
        <w:r w:rsidRPr="00184C01">
          <w:rPr>
            <w:rStyle w:val="Hyperlink"/>
          </w:rPr>
          <w:t>NDIS Act Section 180B (4)</w:t>
        </w:r>
      </w:hyperlink>
    </w:p>
  </w:footnote>
  <w:footnote w:id="154">
    <w:p w14:paraId="20A25EC0" w14:textId="77777777" w:rsidR="00DE38C9" w:rsidRDefault="00DE38C9" w:rsidP="00DE38C9">
      <w:pPr>
        <w:pStyle w:val="FootnoteText"/>
      </w:pPr>
      <w:r>
        <w:rPr>
          <w:rStyle w:val="FootnoteReference"/>
        </w:rPr>
        <w:footnoteRef/>
      </w:r>
      <w:r>
        <w:t xml:space="preserve"> </w:t>
      </w:r>
      <w:hyperlink r:id="rId38" w:anchor="_Toc359847984" w:history="1">
        <w:r w:rsidRPr="004F7357">
          <w:rPr>
            <w:rStyle w:val="Hyperlink"/>
          </w:rPr>
          <w:t>NDIS Risk Management Rules Part 2 4 (2)</w:t>
        </w:r>
      </w:hyperlink>
    </w:p>
  </w:footnote>
  <w:footnote w:id="155">
    <w:p w14:paraId="1019B0C3" w14:textId="77777777" w:rsidR="00DE38C9" w:rsidRDefault="00DE38C9" w:rsidP="00DE38C9">
      <w:pPr>
        <w:pStyle w:val="FootnoteText"/>
      </w:pPr>
      <w:r>
        <w:rPr>
          <w:rStyle w:val="FootnoteReference"/>
        </w:rPr>
        <w:footnoteRef/>
      </w:r>
      <w:r>
        <w:t xml:space="preserve"> </w:t>
      </w:r>
      <w:hyperlink r:id="rId39" w:anchor="_Toc359310112" w:history="1">
        <w:r w:rsidRPr="0084189C">
          <w:rPr>
            <w:rStyle w:val="Hyperlink"/>
          </w:rPr>
          <w:t>NDIS Rules of the Scheme Actuary Part 3 8</w:t>
        </w:r>
      </w:hyperlink>
    </w:p>
  </w:footnote>
  <w:footnote w:id="156">
    <w:p w14:paraId="449EE77B" w14:textId="77777777" w:rsidR="00DE38C9" w:rsidRDefault="00DE38C9" w:rsidP="00DE38C9">
      <w:pPr>
        <w:pStyle w:val="FootnoteText"/>
      </w:pPr>
      <w:r>
        <w:rPr>
          <w:rStyle w:val="FootnoteReference"/>
        </w:rPr>
        <w:footnoteRef/>
      </w:r>
      <w:r>
        <w:t xml:space="preserve"> </w:t>
      </w:r>
      <w:hyperlink r:id="rId40" w:anchor="_Toc359310107" w:history="1">
        <w:r w:rsidRPr="00965AC2">
          <w:rPr>
            <w:rStyle w:val="Hyperlink"/>
          </w:rPr>
          <w:t>NDIS Rules of the Scheme Actuary Part 2 4 1</w:t>
        </w:r>
      </w:hyperlink>
    </w:p>
  </w:footnote>
  <w:footnote w:id="157">
    <w:p w14:paraId="1F232DD5" w14:textId="77777777" w:rsidR="00DE38C9" w:rsidRDefault="00DE38C9" w:rsidP="00DE38C9">
      <w:pPr>
        <w:pStyle w:val="FootnoteText"/>
      </w:pPr>
      <w:r>
        <w:rPr>
          <w:rStyle w:val="FootnoteReference"/>
        </w:rPr>
        <w:footnoteRef/>
      </w:r>
      <w:r>
        <w:t xml:space="preserve"> </w:t>
      </w:r>
      <w:hyperlink r:id="rId41" w:anchor="_Toc359310115" w:history="1">
        <w:r w:rsidRPr="006653C2">
          <w:rPr>
            <w:rStyle w:val="Hyperlink"/>
          </w:rPr>
          <w:t>NDIS Rules of the Scheme Actuary Part 3 11</w:t>
        </w:r>
      </w:hyperlink>
    </w:p>
  </w:footnote>
  <w:footnote w:id="158">
    <w:p w14:paraId="23A1F72F" w14:textId="77777777" w:rsidR="00DE38C9" w:rsidRDefault="00DE38C9" w:rsidP="00DE38C9">
      <w:pPr>
        <w:pStyle w:val="FootnoteText"/>
      </w:pPr>
      <w:r>
        <w:rPr>
          <w:rStyle w:val="FootnoteReference"/>
        </w:rPr>
        <w:footnoteRef/>
      </w:r>
      <w:r>
        <w:t xml:space="preserve"> </w:t>
      </w:r>
      <w:hyperlink r:id="rId42" w:anchor="_Toc359310105" w:history="1">
        <w:r w:rsidRPr="0030112C">
          <w:rPr>
            <w:rStyle w:val="Hyperlink"/>
          </w:rPr>
          <w:t>NDIS Rules of the Scheme Actuary Part 1 3</w:t>
        </w:r>
      </w:hyperlink>
    </w:p>
  </w:footnote>
  <w:footnote w:id="159">
    <w:p w14:paraId="17947F66" w14:textId="77777777" w:rsidR="00DE38C9" w:rsidRDefault="00DE38C9" w:rsidP="00DE38C9">
      <w:pPr>
        <w:pStyle w:val="FootnoteText"/>
      </w:pPr>
      <w:r>
        <w:rPr>
          <w:rStyle w:val="FootnoteReference"/>
        </w:rPr>
        <w:footnoteRef/>
      </w:r>
      <w:r>
        <w:t xml:space="preserve"> NDIA Risk Management Strategy Appendix A</w:t>
      </w:r>
    </w:p>
  </w:footnote>
  <w:footnote w:id="160">
    <w:p w14:paraId="36E81DCF" w14:textId="77777777" w:rsidR="00DE38C9" w:rsidRDefault="00DE38C9" w:rsidP="00DE38C9">
      <w:pPr>
        <w:pStyle w:val="FootnoteText"/>
      </w:pPr>
      <w:r>
        <w:rPr>
          <w:rStyle w:val="FootnoteReference"/>
        </w:rPr>
        <w:footnoteRef/>
      </w:r>
      <w:r>
        <w:t xml:space="preserve"> </w:t>
      </w:r>
      <w:hyperlink r:id="rId43" w:history="1">
        <w:r w:rsidRPr="00477C79">
          <w:rPr>
            <w:rStyle w:val="Hyperlink"/>
          </w:rPr>
          <w:t>NDIS Insurance Principles and Financial Sustainability Manual Page 18</w:t>
        </w:r>
      </w:hyperlink>
    </w:p>
  </w:footnote>
  <w:footnote w:id="161">
    <w:p w14:paraId="01CC590F" w14:textId="77777777" w:rsidR="00DE38C9" w:rsidRDefault="00DE38C9" w:rsidP="00DE38C9">
      <w:pPr>
        <w:pStyle w:val="FootnoteText"/>
      </w:pPr>
      <w:r>
        <w:rPr>
          <w:rStyle w:val="FootnoteReference"/>
        </w:rPr>
        <w:footnoteRef/>
      </w:r>
      <w:r>
        <w:t xml:space="preserve"> </w:t>
      </w:r>
      <w:hyperlink r:id="rId44" w:history="1">
        <w:r>
          <w:rPr>
            <w:rStyle w:val="Hyperlink"/>
          </w:rPr>
          <w:t>Home and living demonstration projects | NDIS</w:t>
        </w:r>
      </w:hyperlink>
    </w:p>
  </w:footnote>
  <w:footnote w:id="162">
    <w:p w14:paraId="1781332C" w14:textId="77777777" w:rsidR="00DE38C9" w:rsidRDefault="00DE38C9" w:rsidP="00DE38C9">
      <w:pPr>
        <w:pStyle w:val="FootnoteText"/>
      </w:pPr>
      <w:r>
        <w:rPr>
          <w:rStyle w:val="FootnoteReference"/>
        </w:rPr>
        <w:footnoteRef/>
      </w:r>
      <w:r>
        <w:t xml:space="preserve"> </w:t>
      </w:r>
      <w:hyperlink r:id="rId45" w:history="1">
        <w:r w:rsidRPr="00F02E61">
          <w:rPr>
            <w:rStyle w:val="Hyperlink"/>
          </w:rPr>
          <w:t>https://www.ndis.gov.au/participantsafeguarding</w:t>
        </w:r>
      </w:hyperlink>
    </w:p>
  </w:footnote>
  <w:footnote w:id="163">
    <w:p w14:paraId="34DD4CF5" w14:textId="77777777" w:rsidR="003A0B93" w:rsidRDefault="003A0B93" w:rsidP="003A0B93">
      <w:pPr>
        <w:pStyle w:val="FootnoteText"/>
      </w:pPr>
      <w:r>
        <w:rPr>
          <w:rStyle w:val="FootnoteReference"/>
        </w:rPr>
        <w:footnoteRef/>
      </w:r>
      <w:r>
        <w:t xml:space="preserve"> From paragraph 8b of the Rules for the Scheme Actuary. </w:t>
      </w:r>
      <w:hyperlink r:id="rId46" w:history="1">
        <w:r>
          <w:rPr>
            <w:rStyle w:val="Hyperlink"/>
          </w:rPr>
          <w:t>National Disability Insurance Scheme—Rules for the Scheme Actuary 2013 (legislation.gov.au)</w:t>
        </w:r>
      </w:hyperlink>
      <w:r>
        <w:t xml:space="preserve">. </w:t>
      </w:r>
    </w:p>
  </w:footnote>
  <w:footnote w:id="164">
    <w:p w14:paraId="28DE13E5" w14:textId="77777777" w:rsidR="003A0B93" w:rsidRDefault="003A0B93" w:rsidP="003A0B93">
      <w:pPr>
        <w:spacing w:after="0" w:line="240" w:lineRule="auto"/>
      </w:pPr>
      <w:r>
        <w:rPr>
          <w:rStyle w:val="FootnoteReference"/>
          <w:sz w:val="20"/>
          <w:szCs w:val="20"/>
        </w:rPr>
        <w:footnoteRef/>
      </w:r>
      <w:r>
        <w:t xml:space="preserve"> </w:t>
      </w:r>
      <w:hyperlink r:id="rId47" w:history="1">
        <w:r w:rsidRPr="00B477F0">
          <w:rPr>
            <w:rStyle w:val="Hyperlink"/>
            <w:sz w:val="20"/>
            <w:szCs w:val="20"/>
          </w:rPr>
          <w:t>Budget Paper No. 2: Budget Measures</w:t>
        </w:r>
      </w:hyperlink>
      <w:r w:rsidRPr="00B477F0">
        <w:rPr>
          <w:sz w:val="20"/>
          <w:szCs w:val="20"/>
        </w:rPr>
        <w:t>: Improving the Effectiveness and Sustainability of the National Disability Insurance Scheme, pgs. 197-8.</w:t>
      </w:r>
    </w:p>
  </w:footnote>
  <w:footnote w:id="165">
    <w:p w14:paraId="6AADF734" w14:textId="77777777" w:rsidR="003A0B93" w:rsidRDefault="003A0B93" w:rsidP="003A0B93">
      <w:pPr>
        <w:pStyle w:val="FootnoteText"/>
      </w:pPr>
      <w:r>
        <w:rPr>
          <w:rStyle w:val="FootnoteReference"/>
        </w:rPr>
        <w:footnoteRef/>
      </w:r>
      <w:r>
        <w:t xml:space="preserve"> </w:t>
      </w:r>
      <w:hyperlink r:id="rId48" w:history="1">
        <w:r>
          <w:rPr>
            <w:rStyle w:val="Hyperlink"/>
          </w:rPr>
          <w:t>Terms of Reference: Building a strong, effective NDIS | NDIS Review</w:t>
        </w:r>
      </w:hyperlink>
    </w:p>
  </w:footnote>
  <w:footnote w:id="166">
    <w:p w14:paraId="0150884D" w14:textId="095817CB" w:rsidR="003A0B93" w:rsidRDefault="003A0B93" w:rsidP="003A0B93">
      <w:pPr>
        <w:pStyle w:val="FootnoteText"/>
      </w:pPr>
      <w:r>
        <w:rPr>
          <w:rStyle w:val="FootnoteReference"/>
        </w:rPr>
        <w:footnoteRef/>
      </w:r>
      <w:r>
        <w:t xml:space="preserve"> Participants with previously unmet needs (PUN) are participants who </w:t>
      </w:r>
      <w:r w:rsidR="00102E44">
        <w:t>acquired their disability some years prior and only accessed the Scheme recently (for various reasons)</w:t>
      </w:r>
      <w:r>
        <w:t>.</w:t>
      </w:r>
    </w:p>
  </w:footnote>
  <w:footnote w:id="167">
    <w:p w14:paraId="0989AD2B" w14:textId="77777777" w:rsidR="003A0B93" w:rsidRDefault="003A0B93" w:rsidP="003A0B93">
      <w:pPr>
        <w:pStyle w:val="FootnoteText"/>
      </w:pPr>
      <w:r>
        <w:rPr>
          <w:rStyle w:val="FootnoteReference"/>
        </w:rPr>
        <w:footnoteRef/>
      </w:r>
      <w:r>
        <w:t xml:space="preserve"> </w:t>
      </w:r>
      <w:hyperlink r:id="rId49" w:history="1">
        <w:r>
          <w:rPr>
            <w:rStyle w:val="Hyperlink"/>
          </w:rPr>
          <w:t>2023 Intergenerational Report | Treasury.gov.au</w:t>
        </w:r>
      </w:hyperlink>
    </w:p>
  </w:footnote>
  <w:footnote w:id="168">
    <w:p w14:paraId="2260DA3E" w14:textId="77777777" w:rsidR="0045538E" w:rsidRPr="00E36194" w:rsidRDefault="0045538E" w:rsidP="0045538E">
      <w:pPr>
        <w:pStyle w:val="FootnoteText"/>
        <w:rPr>
          <w:lang w:val="en-US"/>
        </w:rPr>
      </w:pPr>
      <w:r>
        <w:rPr>
          <w:rStyle w:val="FootnoteReference"/>
        </w:rPr>
        <w:footnoteRef/>
      </w:r>
      <w:r>
        <w:t xml:space="preserve"> These assumptions relate to the proportion of children with developmental delay who are assumed to change to a primary disability of autism or intellectual disability over time. It also includes the impact of changing assumptions related to the proportion of participants transitioning to SIL. The impact of the SIL transition assumption on the overall number of projected participants in the Scheme is very minor as it primarily changes the distribution of participants with and without SIL supports as opposed to changing total participant numbers.</w:t>
      </w:r>
    </w:p>
  </w:footnote>
  <w:footnote w:id="169">
    <w:p w14:paraId="66EB35D9" w14:textId="77777777" w:rsidR="0045538E" w:rsidRPr="00E36194" w:rsidRDefault="0045538E" w:rsidP="0045538E">
      <w:pPr>
        <w:pStyle w:val="FootnoteText"/>
        <w:rPr>
          <w:lang w:val="en-US"/>
        </w:rPr>
      </w:pPr>
      <w:r>
        <w:rPr>
          <w:rStyle w:val="FootnoteReference"/>
        </w:rPr>
        <w:footnoteRef/>
      </w:r>
      <w:r>
        <w:t xml:space="preserve"> These assumptions relate to the proportion of children with developmental delay who are assumed to change to a primary disability of autism or intellectual disability.</w:t>
      </w:r>
    </w:p>
  </w:footnote>
  <w:footnote w:id="170">
    <w:p w14:paraId="55269C64" w14:textId="77777777" w:rsidR="00541F54" w:rsidRDefault="00541F54" w:rsidP="00541F54">
      <w:pPr>
        <w:pStyle w:val="FootnoteText"/>
      </w:pPr>
      <w:r w:rsidRPr="10CA49BD">
        <w:rPr>
          <w:rStyle w:val="FootnoteReference"/>
        </w:rPr>
        <w:footnoteRef/>
      </w:r>
      <w:r>
        <w:t xml:space="preserve"> In the last 3 years, about 61% of participants were male.</w:t>
      </w:r>
    </w:p>
  </w:footnote>
  <w:footnote w:id="171">
    <w:p w14:paraId="3649A136" w14:textId="77777777" w:rsidR="00893BA1" w:rsidRDefault="00893BA1" w:rsidP="00893BA1">
      <w:pPr>
        <w:pStyle w:val="FootnoteText"/>
      </w:pPr>
      <w:r>
        <w:rPr>
          <w:rStyle w:val="FootnoteReference"/>
        </w:rPr>
        <w:footnoteRef/>
      </w:r>
      <w:r>
        <w:t xml:space="preserve"> Figures are shown to the nearest hundred dollars.</w:t>
      </w:r>
    </w:p>
  </w:footnote>
  <w:footnote w:id="172">
    <w:p w14:paraId="41BA71C1" w14:textId="77777777" w:rsidR="00893BA1" w:rsidRDefault="00893BA1" w:rsidP="00893BA1">
      <w:pPr>
        <w:pStyle w:val="FootnoteText"/>
      </w:pPr>
      <w:r>
        <w:rPr>
          <w:rStyle w:val="FootnoteReference"/>
        </w:rPr>
        <w:footnoteRef/>
      </w:r>
      <w:r>
        <w:t xml:space="preserve"> Figures are shown to the nearest hundred dollars.</w:t>
      </w:r>
    </w:p>
  </w:footnote>
  <w:footnote w:id="173">
    <w:p w14:paraId="00D78A04" w14:textId="77777777" w:rsidR="00DD7722" w:rsidRPr="005D1642" w:rsidRDefault="00DD7722" w:rsidP="00DD7722">
      <w:pPr>
        <w:pStyle w:val="FootnoteText"/>
        <w:rPr>
          <w:rFonts w:cs="Arial"/>
        </w:rPr>
      </w:pPr>
      <w:r w:rsidRPr="005D1642">
        <w:rPr>
          <w:rStyle w:val="FootnoteReference"/>
          <w:rFonts w:cs="Arial"/>
        </w:rPr>
        <w:footnoteRef/>
      </w:r>
      <w:r w:rsidRPr="005D1642">
        <w:rPr>
          <w:rFonts w:cs="Arial"/>
        </w:rPr>
        <w:t xml:space="preserve"> Developmental delay includes both developmental delay (DD) and global development delay (GDD). GDD involves a formal diagnosis, whilst DD does not have such a requirement and access to the Scheme may be based on parental observation or identification of delay in a child’s development in an early childhood setting.</w:t>
      </w:r>
    </w:p>
  </w:footnote>
  <w:footnote w:id="174">
    <w:p w14:paraId="782FCB28" w14:textId="09115B97" w:rsidR="00893BA1" w:rsidRDefault="00893BA1" w:rsidP="00893BA1">
      <w:pPr>
        <w:pStyle w:val="FootnoteText"/>
        <w:rPr>
          <w:rFonts w:cs="Arial"/>
        </w:rPr>
      </w:pPr>
      <w:r>
        <w:rPr>
          <w:rStyle w:val="FootnoteReference"/>
          <w:rFonts w:cs="Arial"/>
        </w:rPr>
        <w:footnoteRef/>
      </w:r>
      <w:r>
        <w:rPr>
          <w:rFonts w:cs="Arial"/>
        </w:rPr>
        <w:t xml:space="preserve"> Examples include ensuring the mortality rates </w:t>
      </w:r>
      <w:r w:rsidR="00D73C85" w:rsidRPr="00D73C85">
        <w:rPr>
          <w:rFonts w:cs="Arial"/>
        </w:rPr>
        <w:t>are increasing with increasing age and deterioration in participants' level of function</w:t>
      </w:r>
      <w:r w:rsidR="00D73C85">
        <w:rPr>
          <w:rFonts w:cs="Arial"/>
        </w:rPr>
        <w:t>.</w:t>
      </w:r>
    </w:p>
  </w:footnote>
  <w:footnote w:id="175">
    <w:p w14:paraId="5C91B723" w14:textId="77777777" w:rsidR="00893BA1" w:rsidRDefault="00893BA1" w:rsidP="00893BA1">
      <w:pPr>
        <w:pStyle w:val="FootnoteText"/>
        <w:rPr>
          <w:rFonts w:cs="Arial"/>
        </w:rPr>
      </w:pPr>
      <w:r>
        <w:rPr>
          <w:rStyle w:val="FootnoteReference"/>
          <w:rFonts w:cs="Arial"/>
        </w:rPr>
        <w:footnoteRef/>
      </w:r>
      <w:r>
        <w:rPr>
          <w:rFonts w:cs="Arial"/>
        </w:rPr>
        <w:t xml:space="preserve"> 2023 experience is based on the two months to 28 February 2023.</w:t>
      </w:r>
    </w:p>
  </w:footnote>
  <w:footnote w:id="176">
    <w:p w14:paraId="5D2BB26C" w14:textId="77777777" w:rsidR="00893BA1" w:rsidRDefault="00893BA1" w:rsidP="00893BA1">
      <w:pPr>
        <w:pStyle w:val="FootnoteText"/>
        <w:rPr>
          <w:rFonts w:cs="Arial"/>
        </w:rPr>
      </w:pPr>
      <w:r>
        <w:rPr>
          <w:rStyle w:val="FootnoteReference"/>
          <w:rFonts w:cs="Arial"/>
        </w:rPr>
        <w:footnoteRef/>
      </w:r>
      <w:r>
        <w:rPr>
          <w:rFonts w:cs="Arial"/>
        </w:rPr>
        <w:t xml:space="preserve"> </w:t>
      </w:r>
      <w:hyperlink r:id="rId50" w:history="1">
        <w:r>
          <w:rPr>
            <w:rStyle w:val="Hyperlink"/>
            <w:color w:val="auto"/>
          </w:rPr>
          <w:t>Provisional Mortality Statistics, Jan - Dec 2022 | Australian Bureau of Statistics (abs.gov.au)</w:t>
        </w:r>
      </w:hyperlink>
      <w:r>
        <w:rPr>
          <w:rStyle w:val="Hyperlink"/>
          <w:color w:val="auto"/>
        </w:rPr>
        <w:t>.</w:t>
      </w:r>
    </w:p>
  </w:footnote>
  <w:footnote w:id="177">
    <w:p w14:paraId="7068CAF9" w14:textId="77777777" w:rsidR="00893BA1" w:rsidRDefault="00893BA1" w:rsidP="00893BA1">
      <w:pPr>
        <w:pStyle w:val="FootnoteText"/>
        <w:rPr>
          <w:rFonts w:cs="Arial"/>
        </w:rPr>
      </w:pPr>
      <w:r>
        <w:rPr>
          <w:rStyle w:val="FootnoteReference"/>
          <w:rFonts w:cs="Arial"/>
        </w:rPr>
        <w:footnoteRef/>
      </w:r>
      <w:r>
        <w:rPr>
          <w:rFonts w:cs="Arial"/>
        </w:rPr>
        <w:t xml:space="preserve"> The Actuaries Institute COVID-19 mortality working group estimated excess mortality of 12% for 2022 (</w:t>
      </w:r>
      <w:hyperlink r:id="rId51" w:history="1">
        <w:r>
          <w:rPr>
            <w:rStyle w:val="Hyperlink"/>
            <w:i/>
            <w:iCs/>
            <w:color w:val="auto"/>
          </w:rPr>
          <w:t>COVID-19 Mortality Working Group: Confirmation of 20,000 excess deaths for 2022 in Australia - Actuaries Digital</w:t>
        </w:r>
      </w:hyperlink>
      <w:r>
        <w:rPr>
          <w:rStyle w:val="Hyperlink"/>
          <w:color w:val="auto"/>
        </w:rPr>
        <w:t>).</w:t>
      </w:r>
    </w:p>
  </w:footnote>
  <w:footnote w:id="178">
    <w:p w14:paraId="7F3FA851" w14:textId="27F1AA75" w:rsidR="00893BA1" w:rsidRDefault="00893BA1" w:rsidP="00893BA1">
      <w:pPr>
        <w:pStyle w:val="FootnoteText"/>
        <w:rPr>
          <w:rFonts w:asciiTheme="minorHAnsi" w:hAnsiTheme="minorHAnsi"/>
        </w:rPr>
      </w:pPr>
      <w:r>
        <w:rPr>
          <w:rStyle w:val="FootnoteReference"/>
          <w:rFonts w:cs="Arial"/>
        </w:rPr>
        <w:footnoteRef/>
      </w:r>
      <w:r>
        <w:rPr>
          <w:rFonts w:cs="Arial"/>
        </w:rPr>
        <w:t xml:space="preserve"> The increase in Scheme mortality since early 2022 corresponds to trends observed in Australian population mortality, both in terms of “excess mortality” and COVID-19 mortality. However, it is not currently possible to fully identify Scheme mortality due to COVID-19 because cause</w:t>
      </w:r>
      <w:r w:rsidR="00E66F9F">
        <w:rPr>
          <w:rFonts w:cs="Arial"/>
        </w:rPr>
        <w:t>-</w:t>
      </w:r>
      <w:r>
        <w:rPr>
          <w:rFonts w:cs="Arial"/>
        </w:rPr>
        <w:t>of</w:t>
      </w:r>
      <w:r w:rsidR="00E66F9F">
        <w:rPr>
          <w:rFonts w:cs="Arial"/>
        </w:rPr>
        <w:t>-</w:t>
      </w:r>
      <w:r>
        <w:rPr>
          <w:rFonts w:cs="Arial"/>
        </w:rPr>
        <w:t>death information is not currently collected by the Scheme.</w:t>
      </w:r>
    </w:p>
  </w:footnote>
  <w:footnote w:id="179">
    <w:p w14:paraId="69FC6D7F" w14:textId="0BDDBBDF" w:rsidR="00E90411" w:rsidRPr="00092FF7" w:rsidRDefault="00E90411">
      <w:pPr>
        <w:pStyle w:val="FootnoteText"/>
        <w:rPr>
          <w:lang w:val="en-US"/>
        </w:rPr>
      </w:pPr>
      <w:r>
        <w:rPr>
          <w:rStyle w:val="FootnoteReference"/>
        </w:rPr>
        <w:footnoteRef/>
      </w:r>
      <w:r>
        <w:t xml:space="preserve"> </w:t>
      </w:r>
      <w:bookmarkStart w:id="313" w:name="_Hlk148111964"/>
      <w:r>
        <w:rPr>
          <w:lang w:val="en-US"/>
        </w:rPr>
        <w:t>The increase in mortality rates for participants aged over 65 can also be attributed to ageing and a changing mix of disabilities in this group.</w:t>
      </w:r>
      <w:bookmarkEnd w:id="313"/>
    </w:p>
  </w:footnote>
  <w:footnote w:id="180">
    <w:p w14:paraId="13281BA8" w14:textId="2ED9C825" w:rsidR="007916C5" w:rsidRDefault="007916C5" w:rsidP="007916C5">
      <w:pPr>
        <w:pStyle w:val="FootnoteText"/>
      </w:pPr>
      <w:r>
        <w:rPr>
          <w:rStyle w:val="FootnoteReference"/>
        </w:rPr>
        <w:footnoteRef/>
      </w:r>
      <w:r>
        <w:t xml:space="preserve"> Participants who have been accessing SIL </w:t>
      </w:r>
      <w:r w:rsidR="00B86180">
        <w:t xml:space="preserve">prior to </w:t>
      </w:r>
      <w:r>
        <w:t xml:space="preserve">July 2020 and through in-kind </w:t>
      </w:r>
      <w:r w:rsidR="00B86180">
        <w:t xml:space="preserve">programs </w:t>
      </w:r>
      <w:r>
        <w:t>are not included in this analysis for modelling purpose</w:t>
      </w:r>
      <w:r w:rsidR="00B86180">
        <w:t>s</w:t>
      </w:r>
      <w:r>
        <w:t xml:space="preserve">. These participants will be included </w:t>
      </w:r>
      <w:r w:rsidR="00B86180">
        <w:t xml:space="preserve">as part of </w:t>
      </w:r>
      <w:r>
        <w:t xml:space="preserve">existing participants with SIL in </w:t>
      </w:r>
      <w:r w:rsidR="00B86180">
        <w:t xml:space="preserve">the Scheme </w:t>
      </w:r>
      <w:r>
        <w:t>projection</w:t>
      </w:r>
      <w:r w:rsidR="00B86180">
        <w:t>s</w:t>
      </w:r>
      <w:r>
        <w:t xml:space="preserve">. </w:t>
      </w:r>
    </w:p>
  </w:footnote>
  <w:footnote w:id="181">
    <w:p w14:paraId="62FE2847" w14:textId="77777777" w:rsidR="00A12E65" w:rsidRPr="00D2672A" w:rsidRDefault="00A12E65" w:rsidP="00A12E65">
      <w:pPr>
        <w:pStyle w:val="FootnoteText"/>
        <w:rPr>
          <w:highlight w:val="yellow"/>
        </w:rPr>
      </w:pPr>
      <w:r w:rsidRPr="00422110">
        <w:rPr>
          <w:rStyle w:val="FootnoteReference"/>
        </w:rPr>
        <w:footnoteRef/>
      </w:r>
      <w:r w:rsidRPr="00422110">
        <w:t xml:space="preserve"> This approach was taken to remove any timing bias related to payments, given that there is a general lag between when supports are provided and when data is received from States/Territory and Commonwealth governments.</w:t>
      </w:r>
    </w:p>
  </w:footnote>
  <w:footnote w:id="182">
    <w:p w14:paraId="4B5C15AB" w14:textId="7D2504DF" w:rsidR="00A12E65" w:rsidRPr="00D2672A" w:rsidRDefault="00A12E65" w:rsidP="00A12E65">
      <w:pPr>
        <w:pStyle w:val="FootnoteText"/>
        <w:rPr>
          <w:highlight w:val="yellow"/>
        </w:rPr>
      </w:pPr>
      <w:r w:rsidRPr="00422110">
        <w:rPr>
          <w:rStyle w:val="FootnoteReference"/>
        </w:rPr>
        <w:footnoteRef/>
      </w:r>
      <w:r w:rsidRPr="00422110">
        <w:t xml:space="preserve"> </w:t>
      </w:r>
      <w:r w:rsidRPr="0074732F">
        <w:t xml:space="preserve">By comparison, the </w:t>
      </w:r>
      <w:r w:rsidR="00494F88">
        <w:t>June 2022 projections</w:t>
      </w:r>
      <w:r w:rsidRPr="0074732F">
        <w:t xml:space="preserve"> considered average annualised payments for the three months to 31 May 2022.</w:t>
      </w:r>
    </w:p>
  </w:footnote>
  <w:footnote w:id="183">
    <w:p w14:paraId="26B80DD9" w14:textId="77777777" w:rsidR="00A12E65" w:rsidRDefault="00A12E65" w:rsidP="00A12E65">
      <w:pPr>
        <w:pStyle w:val="FootnoteText"/>
      </w:pPr>
      <w:r>
        <w:rPr>
          <w:rStyle w:val="FootnoteReference"/>
        </w:rPr>
        <w:footnoteRef/>
      </w:r>
      <w:r>
        <w:t xml:space="preserve"> Figure includes a credibility allowance of about 50%.</w:t>
      </w:r>
    </w:p>
  </w:footnote>
  <w:footnote w:id="184">
    <w:p w14:paraId="7DF817AB" w14:textId="77777777" w:rsidR="00A12E65" w:rsidRDefault="00A12E65" w:rsidP="00A12E65">
      <w:pPr>
        <w:pStyle w:val="FootnoteText"/>
      </w:pPr>
      <w:r>
        <w:rPr>
          <w:rStyle w:val="FootnoteReference"/>
        </w:rPr>
        <w:footnoteRef/>
      </w:r>
      <w:r>
        <w:t xml:space="preserve"> Those participants who </w:t>
      </w:r>
      <w:r w:rsidRPr="000E6D8A">
        <w:t>had been in the Scheme for at l</w:t>
      </w:r>
      <w:r>
        <w:t>east one year as at 30 June 2022</w:t>
      </w:r>
    </w:p>
  </w:footnote>
  <w:footnote w:id="185">
    <w:p w14:paraId="31B0F328" w14:textId="181B5E6C" w:rsidR="00A12E65" w:rsidRDefault="00A12E65" w:rsidP="00A12E65">
      <w:pPr>
        <w:pStyle w:val="FootnoteText"/>
      </w:pPr>
      <w:r>
        <w:rPr>
          <w:rStyle w:val="FootnoteReference"/>
        </w:rPr>
        <w:footnoteRef/>
      </w:r>
      <w:r>
        <w:t xml:space="preserve"> The top 10% is equivalent to ventiles 19 and </w:t>
      </w:r>
      <w:r w:rsidR="00F27331">
        <w:t>20.</w:t>
      </w:r>
    </w:p>
  </w:footnote>
  <w:footnote w:id="186">
    <w:p w14:paraId="6C6D1F11" w14:textId="09BFCCBF" w:rsidR="00A12E65" w:rsidRDefault="00A12E65" w:rsidP="00A12E65">
      <w:pPr>
        <w:pStyle w:val="FootnoteText"/>
      </w:pPr>
      <w:r>
        <w:rPr>
          <w:rStyle w:val="FootnoteReference"/>
        </w:rPr>
        <w:footnoteRef/>
      </w:r>
      <w:r>
        <w:t xml:space="preserve"> The bottom 40% is equivalent to ventiles 1 to </w:t>
      </w:r>
      <w:r w:rsidR="00F27331">
        <w:t>8.</w:t>
      </w:r>
    </w:p>
  </w:footnote>
  <w:footnote w:id="187">
    <w:p w14:paraId="4A2BCCD5" w14:textId="77777777" w:rsidR="00287FA3" w:rsidRDefault="00287FA3" w:rsidP="00287FA3">
      <w:pPr>
        <w:pStyle w:val="FootnoteText"/>
      </w:pPr>
      <w:r>
        <w:rPr>
          <w:rStyle w:val="FootnoteReference"/>
        </w:rPr>
        <w:footnoteRef/>
      </w:r>
      <w:r>
        <w:t xml:space="preserve"> Recent experience has shown rising rates of new female participants with autism, possibly linked to a growing recognition of ASD in females, prior underdiagnosis or misdiagnosis and later diagnosis of autism in females compared with males.</w:t>
      </w:r>
    </w:p>
  </w:footnote>
  <w:footnote w:id="188">
    <w:p w14:paraId="58176E45" w14:textId="77777777" w:rsidR="00287FA3" w:rsidRDefault="00287FA3" w:rsidP="00287FA3">
      <w:pPr>
        <w:pStyle w:val="FootnoteText"/>
      </w:pPr>
      <w:r>
        <w:rPr>
          <w:rStyle w:val="FootnoteReference"/>
        </w:rPr>
        <w:footnoteRef/>
      </w:r>
      <w:r>
        <w:t xml:space="preserve"> 31 December 2022 projection represents the projection which informed the 2023-24 Budget Estimates.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C5BA" w14:textId="28B4F1F3" w:rsidR="00AD5D8E" w:rsidRPr="0048638A" w:rsidRDefault="00AD5D8E">
    <w:pPr>
      <w:pStyle w:val="Header"/>
      <w:rPr>
        <w:b/>
      </w:rPr>
    </w:pPr>
    <w:r w:rsidRPr="0048638A">
      <w:rPr>
        <w:b/>
      </w:rPr>
      <w:tab/>
    </w:r>
    <w:r w:rsidRPr="0048638A">
      <w:rPr>
        <w:b/>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9073" w14:textId="153D1199" w:rsidR="00196301" w:rsidRPr="00452389" w:rsidRDefault="00196301" w:rsidP="0045238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813B" w14:textId="77777777" w:rsidR="0042404F" w:rsidRDefault="0042404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5926" w14:textId="31E76CD0" w:rsidR="0042404F" w:rsidRPr="00452389" w:rsidRDefault="0042404F" w:rsidP="0045238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6302" w14:textId="62D8CAC2" w:rsidR="0042404F" w:rsidRDefault="00A85049">
    <w:pPr>
      <w:pStyle w:val="Header"/>
    </w:pPr>
    <w:r>
      <w:rPr>
        <w:b/>
        <w:color w:val="FF0000"/>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9151" w14:textId="77777777" w:rsidR="0042404F" w:rsidRDefault="0042404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C010" w14:textId="1EA430F9" w:rsidR="0042404F" w:rsidRPr="00452389" w:rsidRDefault="0042404F" w:rsidP="0045238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2389" w14:textId="16463677" w:rsidR="0042404F" w:rsidRPr="00452389" w:rsidRDefault="0042404F" w:rsidP="0045238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2463" w14:textId="1486A5A4" w:rsidR="00E426C3" w:rsidRDefault="00E426C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7766" w14:textId="53098C6F" w:rsidR="002E7F61" w:rsidRPr="00452389" w:rsidRDefault="002E7F61" w:rsidP="0045238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1B95F" w14:textId="2D2DD9CE" w:rsidR="00E426C3" w:rsidRPr="00452389" w:rsidRDefault="00E426C3" w:rsidP="00452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6D50" w14:textId="1D48506D" w:rsidR="00E426C3" w:rsidRDefault="00E426C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7F74A" w14:textId="2CF710EA" w:rsidR="00653D3D" w:rsidRDefault="00653D3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A9750" w14:textId="1FE19FF9" w:rsidR="00653D3D" w:rsidRPr="00452389" w:rsidRDefault="00653D3D" w:rsidP="0045238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E207C" w14:textId="25F949FD" w:rsidR="00653D3D" w:rsidRDefault="00974CAD">
    <w:pPr>
      <w:pStyle w:val="Header"/>
    </w:pPr>
    <w:r>
      <w:tab/>
    </w: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B932" w14:textId="2DC2E594" w:rsidR="0006157F" w:rsidRPr="00452389" w:rsidRDefault="0006157F" w:rsidP="0045238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0391" w14:textId="28EE3B9A" w:rsidR="0006157F" w:rsidRPr="00452389" w:rsidRDefault="0006157F" w:rsidP="0045238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B4AB" w14:textId="56715ECE" w:rsidR="0032159E" w:rsidRPr="00452389" w:rsidRDefault="0032159E" w:rsidP="004523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76C1" w14:textId="0E09B41E" w:rsidR="00BC0C9C" w:rsidRDefault="00BC0C9C">
    <w:pPr>
      <w:pStyle w:val="Header"/>
    </w:pP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4932" w14:textId="40B2C9EC" w:rsidR="00637C28" w:rsidRPr="00497401" w:rsidRDefault="00637C28" w:rsidP="00637C28">
    <w:pPr>
      <w:pStyle w:val="Header"/>
      <w:rPr>
        <w:b/>
        <w:color w:val="FF0000"/>
      </w:rPr>
    </w:pPr>
    <w:r w:rsidRPr="00497401">
      <w:rPr>
        <w:b/>
        <w:color w:val="FF0000"/>
      </w:rPr>
      <w:tab/>
    </w:r>
    <w:r w:rsidRPr="00497401">
      <w:rPr>
        <w:b/>
        <w:color w:val="FF0000"/>
      </w:rPr>
      <w:tab/>
    </w:r>
  </w:p>
  <w:p w14:paraId="77287BE4" w14:textId="16D09149" w:rsidR="00BC0C9C" w:rsidRDefault="00BC0C9C" w:rsidP="00BC0C9C">
    <w:pPr>
      <w:pStyle w:val="Header"/>
      <w:spacing w:after="12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49FA" w14:textId="77777777" w:rsidR="0042404F" w:rsidRDefault="004240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28CE" w14:textId="342B5623" w:rsidR="007624D5" w:rsidRDefault="007624D5">
    <w:pPr>
      <w:pStyle w:val="Header"/>
    </w:pPr>
    <w:r>
      <w:ptab w:relativeTo="margin" w:alignment="center" w:leader="none"/>
    </w:r>
    <w:r w:rsidR="007072FE" w:rsidRPr="00570051">
      <w:rPr>
        <w:b/>
        <w:color w:val="FF0000"/>
      </w:rPr>
      <w:tab/>
      <w:t>OFFICIAL: SENSITIVE</w:t>
    </w:r>
    <w:r w:rsidR="007072FE">
      <w:t xml:space="preserve"> </w:t>
    </w:r>
    <w:r>
      <w:ptab w:relativeTo="margin" w:alignment="right" w:leader="none"/>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D9F7" w14:textId="0187A734" w:rsidR="0042404F" w:rsidRDefault="007072FE" w:rsidP="00E53368">
    <w:pPr>
      <w:pStyle w:val="Header"/>
      <w:tabs>
        <w:tab w:val="clear" w:pos="9026"/>
      </w:tabs>
    </w:pPr>
    <w:r>
      <w:tab/>
    </w:r>
    <w:r>
      <w:tab/>
    </w:r>
    <w:r w:rsidR="00B876AF">
      <w:tab/>
    </w:r>
    <w:r w:rsidR="00B876AF">
      <w:tab/>
    </w:r>
    <w:r w:rsidR="00196301">
      <w:tab/>
    </w:r>
    <w:r w:rsidR="00196301">
      <w:tab/>
    </w:r>
    <w:r w:rsidR="00196301">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44EA" w14:textId="4C2624F2" w:rsidR="00196301" w:rsidRDefault="00196301">
    <w:pPr>
      <w:pStyle w:val="Header"/>
    </w:pPr>
    <w:r>
      <w:ptab w:relativeTo="margin" w:alignment="right" w:leader="none"/>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2098" w14:textId="6E643473" w:rsidR="00196301" w:rsidRPr="00452389" w:rsidRDefault="00196301" w:rsidP="004523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63AA"/>
    <w:multiLevelType w:val="hybridMultilevel"/>
    <w:tmpl w:val="9E54743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694389"/>
    <w:multiLevelType w:val="hybridMultilevel"/>
    <w:tmpl w:val="8846552E"/>
    <w:lvl w:ilvl="0" w:tplc="D4B6064E">
      <w:start w:val="1"/>
      <w:numFmt w:val="bullet"/>
      <w:pStyle w:val="Heading5"/>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942E5E"/>
    <w:multiLevelType w:val="hybridMultilevel"/>
    <w:tmpl w:val="EE9ED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235782"/>
    <w:multiLevelType w:val="hybridMultilevel"/>
    <w:tmpl w:val="A3E2AD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6A65D02"/>
    <w:multiLevelType w:val="hybridMultilevel"/>
    <w:tmpl w:val="5E3E06E6"/>
    <w:lvl w:ilvl="0" w:tplc="0C09000B">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Courier New" w:hAnsi="Courier New"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CDA702D"/>
    <w:multiLevelType w:val="hybridMultilevel"/>
    <w:tmpl w:val="6AE8BFB8"/>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 w15:restartNumberingAfterBreak="0">
    <w:nsid w:val="2EBA4A53"/>
    <w:multiLevelType w:val="hybridMultilevel"/>
    <w:tmpl w:val="30A48FE2"/>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8" w15:restartNumberingAfterBreak="0">
    <w:nsid w:val="2FA17977"/>
    <w:multiLevelType w:val="hybridMultilevel"/>
    <w:tmpl w:val="3B546668"/>
    <w:lvl w:ilvl="0" w:tplc="FFFFFFFF">
      <w:start w:val="1"/>
      <w:numFmt w:val="bullet"/>
      <w:lvlText w:val=""/>
      <w:lvlJc w:val="left"/>
      <w:pPr>
        <w:ind w:left="360" w:hanging="360"/>
      </w:pPr>
      <w:rPr>
        <w:rFonts w:ascii="Symbol" w:eastAsiaTheme="minorEastAsia" w:hAnsi="Symbol" w:cstheme="minorBidi" w:hint="default"/>
      </w:rPr>
    </w:lvl>
    <w:lvl w:ilvl="1" w:tplc="0C0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2B45E47"/>
    <w:multiLevelType w:val="hybridMultilevel"/>
    <w:tmpl w:val="22B86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142179"/>
    <w:multiLevelType w:val="hybridMultilevel"/>
    <w:tmpl w:val="E89AED3C"/>
    <w:lvl w:ilvl="0" w:tplc="920C78AE">
      <w:start w:val="1"/>
      <w:numFmt w:val="bullet"/>
      <w:pStyle w:val="FSRlist"/>
      <w:lvlText w:val=""/>
      <w:lvlJc w:val="left"/>
      <w:pPr>
        <w:ind w:left="720" w:hanging="360"/>
      </w:pPr>
      <w:rPr>
        <w:rFonts w:ascii="Symbol" w:hAnsi="Symbol" w:hint="default"/>
      </w:rPr>
    </w:lvl>
    <w:lvl w:ilvl="1" w:tplc="6592FE5E">
      <w:start w:val="1"/>
      <w:numFmt w:val="lowerLetter"/>
      <w:lvlText w:val="%2)"/>
      <w:lvlJc w:val="left"/>
      <w:pPr>
        <w:ind w:left="1440" w:hanging="360"/>
      </w:pPr>
      <w:rPr>
        <w:rFonts w:ascii="Arial" w:eastAsiaTheme="minorEastAsia" w:hAnsi="Arial" w:cstheme="minorBidi"/>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645A9C"/>
    <w:multiLevelType w:val="hybridMultilevel"/>
    <w:tmpl w:val="A836D1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74927C8"/>
    <w:multiLevelType w:val="hybridMultilevel"/>
    <w:tmpl w:val="48E0275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210B2F"/>
    <w:multiLevelType w:val="multilevel"/>
    <w:tmpl w:val="DABABFFA"/>
    <w:lvl w:ilvl="0">
      <w:numFmt w:val="decimal"/>
      <w:pStyle w:val="Heading2"/>
      <w:lvlText w:val="%1."/>
      <w:lvlJc w:val="left"/>
      <w:pPr>
        <w:ind w:left="1080" w:hanging="720"/>
      </w:pPr>
    </w:lvl>
    <w:lvl w:ilvl="1">
      <w:start w:val="1"/>
      <w:numFmt w:val="decimal"/>
      <w:pStyle w:val="Heading3"/>
      <w:isLgl/>
      <w:lvlText w:val="%1.%2"/>
      <w:lvlJc w:val="left"/>
      <w:pPr>
        <w:ind w:left="1854" w:hanging="720"/>
      </w:pPr>
    </w:lvl>
    <w:lvl w:ilvl="2">
      <w:start w:val="1"/>
      <w:numFmt w:val="decimal"/>
      <w:pStyle w:val="Heading4"/>
      <w:isLgl/>
      <w:lvlText w:val="%1.%2.%3"/>
      <w:lvlJc w:val="left"/>
      <w:pPr>
        <w:ind w:left="3414"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Figure %1.%2:"/>
      <w:lvlJc w:val="left"/>
      <w:pPr>
        <w:ind w:left="2160" w:hanging="1803"/>
      </w:pPr>
      <w:rPr>
        <w:rFonts w:hint="default"/>
      </w:rPr>
    </w:lvl>
    <w:lvl w:ilvl="7">
      <w:start w:val="1"/>
      <w:numFmt w:val="decimal"/>
      <w:isLgl/>
      <w:lvlText w:val="%8Table %1.%2:"/>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39C16B17"/>
    <w:multiLevelType w:val="hybridMultilevel"/>
    <w:tmpl w:val="6368E8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9E41630"/>
    <w:multiLevelType w:val="hybridMultilevel"/>
    <w:tmpl w:val="15B2A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767B1B"/>
    <w:multiLevelType w:val="hybridMultilevel"/>
    <w:tmpl w:val="090EC162"/>
    <w:lvl w:ilvl="0" w:tplc="4C2EF174">
      <w:start w:val="1"/>
      <w:numFmt w:val="decimal"/>
      <w:pStyle w:val="1jb"/>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844D33"/>
    <w:multiLevelType w:val="hybridMultilevel"/>
    <w:tmpl w:val="7A580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147BEE"/>
    <w:multiLevelType w:val="hybridMultilevel"/>
    <w:tmpl w:val="5BDC7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1C0AE9"/>
    <w:multiLevelType w:val="hybridMultilevel"/>
    <w:tmpl w:val="86AE2718"/>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1" w15:restartNumberingAfterBreak="0">
    <w:nsid w:val="40832158"/>
    <w:multiLevelType w:val="hybridMultilevel"/>
    <w:tmpl w:val="077A4D7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510738"/>
    <w:multiLevelType w:val="hybridMultilevel"/>
    <w:tmpl w:val="2AF8E8A4"/>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3" w15:restartNumberingAfterBreak="0">
    <w:nsid w:val="44286F30"/>
    <w:multiLevelType w:val="hybridMultilevel"/>
    <w:tmpl w:val="12F0F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6767E5"/>
    <w:multiLevelType w:val="hybridMultilevel"/>
    <w:tmpl w:val="E884A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B3E5874"/>
    <w:multiLevelType w:val="hybridMultilevel"/>
    <w:tmpl w:val="2712215C"/>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7" w15:restartNumberingAfterBreak="0">
    <w:nsid w:val="4DFB4BF0"/>
    <w:multiLevelType w:val="hybridMultilevel"/>
    <w:tmpl w:val="ED8E0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61175F"/>
    <w:multiLevelType w:val="hybridMultilevel"/>
    <w:tmpl w:val="AF34ED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DE07A8"/>
    <w:multiLevelType w:val="hybridMultilevel"/>
    <w:tmpl w:val="58B69B6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6D0A9E62">
      <w:start w:val="70"/>
      <w:numFmt w:val="bullet"/>
      <w:lvlText w:val="-"/>
      <w:lvlJc w:val="left"/>
      <w:pPr>
        <w:ind w:left="2880" w:hanging="360"/>
      </w:pPr>
      <w:rPr>
        <w:rFonts w:ascii="Arial" w:eastAsia="Times New Roman" w:hAnsi="Arial" w:cs="Aria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3D01C9B"/>
    <w:multiLevelType w:val="hybridMultilevel"/>
    <w:tmpl w:val="876259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4FC7D60"/>
    <w:multiLevelType w:val="hybridMultilevel"/>
    <w:tmpl w:val="41E8F1D6"/>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2" w15:restartNumberingAfterBreak="0">
    <w:nsid w:val="55666025"/>
    <w:multiLevelType w:val="hybridMultilevel"/>
    <w:tmpl w:val="B606BCFE"/>
    <w:lvl w:ilvl="0" w:tplc="FFFFFFFF">
      <w:start w:val="1"/>
      <w:numFmt w:val="bullet"/>
      <w:lvlText w:val=""/>
      <w:lvlJc w:val="left"/>
      <w:pPr>
        <w:ind w:left="720" w:hanging="360"/>
      </w:pPr>
      <w:rPr>
        <w:rFonts w:ascii="Symbol" w:hAnsi="Symbol" w:hint="default"/>
      </w:rPr>
    </w:lvl>
    <w:lvl w:ilvl="1" w:tplc="6D0A9E62">
      <w:start w:val="70"/>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9D0229"/>
    <w:multiLevelType w:val="hybridMultilevel"/>
    <w:tmpl w:val="9D344188"/>
    <w:lvl w:ilvl="0" w:tplc="722A24E8">
      <w:start w:val="1"/>
      <w:numFmt w:val="lowerLetter"/>
      <w:pStyle w:val="LetterBulletList"/>
      <w:lvlText w:val="%1)"/>
      <w:lvlJc w:val="left"/>
      <w:pPr>
        <w:ind w:left="106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B65686B"/>
    <w:multiLevelType w:val="hybridMultilevel"/>
    <w:tmpl w:val="189C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A50362"/>
    <w:multiLevelType w:val="hybridMultilevel"/>
    <w:tmpl w:val="F8A21696"/>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6" w15:restartNumberingAfterBreak="0">
    <w:nsid w:val="5F272414"/>
    <w:multiLevelType w:val="hybridMultilevel"/>
    <w:tmpl w:val="7D00D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F62C9D"/>
    <w:multiLevelType w:val="multilevel"/>
    <w:tmpl w:val="DABABFFA"/>
    <w:lvl w:ilvl="0">
      <w:numFmt w:val="decimal"/>
      <w:lvlText w:val="%1."/>
      <w:lvlJc w:val="left"/>
      <w:pPr>
        <w:ind w:left="1080" w:hanging="720"/>
      </w:pPr>
    </w:lvl>
    <w:lvl w:ilvl="1">
      <w:start w:val="1"/>
      <w:numFmt w:val="decimal"/>
      <w:isLgl/>
      <w:lvlText w:val="%1.%2"/>
      <w:lvlJc w:val="left"/>
      <w:pPr>
        <w:ind w:left="1854" w:hanging="720"/>
      </w:pPr>
    </w:lvl>
    <w:lvl w:ilvl="2">
      <w:start w:val="1"/>
      <w:numFmt w:val="decimal"/>
      <w:isLgl/>
      <w:lvlText w:val="%1.%2.%3"/>
      <w:lvlJc w:val="left"/>
      <w:pPr>
        <w:ind w:left="3414"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Figure %1.%2:"/>
      <w:lvlJc w:val="left"/>
      <w:pPr>
        <w:ind w:left="2160" w:hanging="1803"/>
      </w:pPr>
      <w:rPr>
        <w:rFonts w:hint="default"/>
      </w:rPr>
    </w:lvl>
    <w:lvl w:ilvl="7">
      <w:start w:val="1"/>
      <w:numFmt w:val="decimal"/>
      <w:isLgl/>
      <w:lvlText w:val="%8Table %1.%2:"/>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65677C15"/>
    <w:multiLevelType w:val="hybridMultilevel"/>
    <w:tmpl w:val="2A927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8F6FB8"/>
    <w:multiLevelType w:val="hybridMultilevel"/>
    <w:tmpl w:val="8DDCC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C27DD0"/>
    <w:multiLevelType w:val="hybridMultilevel"/>
    <w:tmpl w:val="B89A99EE"/>
    <w:lvl w:ilvl="0" w:tplc="FA3A27EA">
      <w:start w:val="1"/>
      <w:numFmt w:val="bullet"/>
      <w:pStyle w:val="Heading8"/>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EC3266"/>
    <w:multiLevelType w:val="hybridMultilevel"/>
    <w:tmpl w:val="11205348"/>
    <w:lvl w:ilvl="0" w:tplc="950C7974">
      <w:start w:val="6"/>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B1B3729"/>
    <w:multiLevelType w:val="hybridMultilevel"/>
    <w:tmpl w:val="48428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CA714FB"/>
    <w:multiLevelType w:val="hybridMultilevel"/>
    <w:tmpl w:val="6138FBF0"/>
    <w:lvl w:ilvl="0" w:tplc="A9243A7A">
      <w:start w:val="1"/>
      <w:numFmt w:val="decimal"/>
      <w:lvlText w:val="%1."/>
      <w:lvlJc w:val="left"/>
      <w:pPr>
        <w:ind w:left="720" w:hanging="360"/>
      </w:pPr>
      <w:rPr>
        <w:rFonts w:ascii="Arial" w:hAnsi="Arial" w:cs="Arial" w:hint="default"/>
        <w:b/>
        <w:bCs/>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4" w15:restartNumberingAfterBreak="0">
    <w:nsid w:val="6DC6201C"/>
    <w:multiLevelType w:val="hybridMultilevel"/>
    <w:tmpl w:val="0CEC2C14"/>
    <w:lvl w:ilvl="0" w:tplc="FFFFFFFF">
      <w:start w:val="1"/>
      <w:numFmt w:val="bullet"/>
      <w:lvlText w:val=""/>
      <w:lvlJc w:val="left"/>
      <w:pPr>
        <w:ind w:left="720" w:hanging="360"/>
      </w:pPr>
      <w:rPr>
        <w:rFonts w:ascii="Symbol" w:hAnsi="Symbol" w:hint="default"/>
      </w:rPr>
    </w:lvl>
    <w:lvl w:ilvl="1" w:tplc="6D0A9E62">
      <w:start w:val="70"/>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DF23016"/>
    <w:multiLevelType w:val="hybridMultilevel"/>
    <w:tmpl w:val="C1FE9D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DF531BA"/>
    <w:multiLevelType w:val="hybridMultilevel"/>
    <w:tmpl w:val="E63C27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6FD17492"/>
    <w:multiLevelType w:val="hybridMultilevel"/>
    <w:tmpl w:val="EE34F910"/>
    <w:lvl w:ilvl="0" w:tplc="764A6D1A">
      <w:start w:val="1"/>
      <w:numFmt w:val="bullet"/>
      <w:pStyle w:val="DotPoint"/>
      <w:lvlText w:val=""/>
      <w:lvlJc w:val="left"/>
      <w:pPr>
        <w:ind w:left="-2680" w:hanging="360"/>
      </w:pPr>
      <w:rPr>
        <w:rFonts w:ascii="Symbol" w:hAnsi="Symbol" w:hint="default"/>
      </w:rPr>
    </w:lvl>
    <w:lvl w:ilvl="1" w:tplc="0C090003">
      <w:start w:val="1"/>
      <w:numFmt w:val="bullet"/>
      <w:lvlText w:val="o"/>
      <w:lvlJc w:val="left"/>
      <w:pPr>
        <w:ind w:left="-1960" w:hanging="360"/>
      </w:pPr>
      <w:rPr>
        <w:rFonts w:ascii="Courier New" w:hAnsi="Courier New" w:cs="Courier New" w:hint="default"/>
      </w:rPr>
    </w:lvl>
    <w:lvl w:ilvl="2" w:tplc="0C090005" w:tentative="1">
      <w:start w:val="1"/>
      <w:numFmt w:val="bullet"/>
      <w:lvlText w:val=""/>
      <w:lvlJc w:val="left"/>
      <w:pPr>
        <w:ind w:left="-1240" w:hanging="360"/>
      </w:pPr>
      <w:rPr>
        <w:rFonts w:ascii="Wingdings" w:hAnsi="Wingdings" w:hint="default"/>
      </w:rPr>
    </w:lvl>
    <w:lvl w:ilvl="3" w:tplc="0C090001" w:tentative="1">
      <w:start w:val="1"/>
      <w:numFmt w:val="bullet"/>
      <w:lvlText w:val=""/>
      <w:lvlJc w:val="left"/>
      <w:pPr>
        <w:ind w:left="-520" w:hanging="360"/>
      </w:pPr>
      <w:rPr>
        <w:rFonts w:ascii="Symbol" w:hAnsi="Symbol" w:hint="default"/>
      </w:rPr>
    </w:lvl>
    <w:lvl w:ilvl="4" w:tplc="0C090003" w:tentative="1">
      <w:start w:val="1"/>
      <w:numFmt w:val="bullet"/>
      <w:lvlText w:val="o"/>
      <w:lvlJc w:val="left"/>
      <w:pPr>
        <w:ind w:left="200" w:hanging="360"/>
      </w:pPr>
      <w:rPr>
        <w:rFonts w:ascii="Courier New" w:hAnsi="Courier New" w:cs="Courier New" w:hint="default"/>
      </w:rPr>
    </w:lvl>
    <w:lvl w:ilvl="5" w:tplc="0C090005" w:tentative="1">
      <w:start w:val="1"/>
      <w:numFmt w:val="bullet"/>
      <w:lvlText w:val=""/>
      <w:lvlJc w:val="left"/>
      <w:pPr>
        <w:ind w:left="920" w:hanging="360"/>
      </w:pPr>
      <w:rPr>
        <w:rFonts w:ascii="Wingdings" w:hAnsi="Wingdings" w:hint="default"/>
      </w:rPr>
    </w:lvl>
    <w:lvl w:ilvl="6" w:tplc="0C090001" w:tentative="1">
      <w:start w:val="1"/>
      <w:numFmt w:val="bullet"/>
      <w:lvlText w:val=""/>
      <w:lvlJc w:val="left"/>
      <w:pPr>
        <w:ind w:left="1640" w:hanging="360"/>
      </w:pPr>
      <w:rPr>
        <w:rFonts w:ascii="Symbol" w:hAnsi="Symbol" w:hint="default"/>
      </w:rPr>
    </w:lvl>
    <w:lvl w:ilvl="7" w:tplc="0C090003" w:tentative="1">
      <w:start w:val="1"/>
      <w:numFmt w:val="bullet"/>
      <w:lvlText w:val="o"/>
      <w:lvlJc w:val="left"/>
      <w:pPr>
        <w:ind w:left="2360" w:hanging="360"/>
      </w:pPr>
      <w:rPr>
        <w:rFonts w:ascii="Courier New" w:hAnsi="Courier New" w:cs="Courier New" w:hint="default"/>
      </w:rPr>
    </w:lvl>
    <w:lvl w:ilvl="8" w:tplc="0C090005" w:tentative="1">
      <w:start w:val="1"/>
      <w:numFmt w:val="bullet"/>
      <w:lvlText w:val=""/>
      <w:lvlJc w:val="left"/>
      <w:pPr>
        <w:ind w:left="3080" w:hanging="360"/>
      </w:pPr>
      <w:rPr>
        <w:rFonts w:ascii="Wingdings" w:hAnsi="Wingdings" w:hint="default"/>
      </w:rPr>
    </w:lvl>
  </w:abstractNum>
  <w:abstractNum w:abstractNumId="48"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5563230"/>
    <w:multiLevelType w:val="hybridMultilevel"/>
    <w:tmpl w:val="22266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DA624F8"/>
    <w:multiLevelType w:val="hybridMultilevel"/>
    <w:tmpl w:val="DBB8C0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1" w15:restartNumberingAfterBreak="0">
    <w:nsid w:val="7E99190B"/>
    <w:multiLevelType w:val="hybridMultilevel"/>
    <w:tmpl w:val="AC443D7A"/>
    <w:lvl w:ilvl="0" w:tplc="A724900C">
      <w:start w:val="1"/>
      <w:numFmt w:val="bullet"/>
      <w:lvlText w:val=""/>
      <w:lvlJc w:val="left"/>
      <w:pPr>
        <w:ind w:left="360" w:hanging="360"/>
      </w:pPr>
      <w:rPr>
        <w:rFonts w:ascii="Symbol" w:eastAsiaTheme="minorEastAsia"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ED036F5"/>
    <w:multiLevelType w:val="hybridMultilevel"/>
    <w:tmpl w:val="5246BF1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3"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2573023">
    <w:abstractNumId w:val="11"/>
  </w:num>
  <w:num w:numId="2" w16cid:durableId="1305507825">
    <w:abstractNumId w:val="14"/>
  </w:num>
  <w:num w:numId="3" w16cid:durableId="1821579497">
    <w:abstractNumId w:val="10"/>
  </w:num>
  <w:num w:numId="4" w16cid:durableId="673533798">
    <w:abstractNumId w:val="0"/>
  </w:num>
  <w:num w:numId="5" w16cid:durableId="451171796">
    <w:abstractNumId w:val="2"/>
  </w:num>
  <w:num w:numId="6" w16cid:durableId="917056329">
    <w:abstractNumId w:val="40"/>
  </w:num>
  <w:num w:numId="7" w16cid:durableId="384790932">
    <w:abstractNumId w:val="1"/>
  </w:num>
  <w:num w:numId="8" w16cid:durableId="318273387">
    <w:abstractNumId w:val="25"/>
  </w:num>
  <w:num w:numId="9" w16cid:durableId="1973555668">
    <w:abstractNumId w:val="48"/>
  </w:num>
  <w:num w:numId="10" w16cid:durableId="624963204">
    <w:abstractNumId w:val="53"/>
  </w:num>
  <w:num w:numId="11" w16cid:durableId="929238421">
    <w:abstractNumId w:val="17"/>
  </w:num>
  <w:num w:numId="12" w16cid:durableId="685716405">
    <w:abstractNumId w:val="38"/>
  </w:num>
  <w:num w:numId="13" w16cid:durableId="1162164738">
    <w:abstractNumId w:val="39"/>
  </w:num>
  <w:num w:numId="14" w16cid:durableId="2018119127">
    <w:abstractNumId w:val="50"/>
  </w:num>
  <w:num w:numId="15" w16cid:durableId="325977534">
    <w:abstractNumId w:val="33"/>
  </w:num>
  <w:num w:numId="16" w16cid:durableId="1117024092">
    <w:abstractNumId w:val="41"/>
  </w:num>
  <w:num w:numId="17" w16cid:durableId="986939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2656670">
    <w:abstractNumId w:val="49"/>
  </w:num>
  <w:num w:numId="19" w16cid:durableId="1320115792">
    <w:abstractNumId w:val="35"/>
  </w:num>
  <w:num w:numId="20" w16cid:durableId="1057515122">
    <w:abstractNumId w:val="22"/>
  </w:num>
  <w:num w:numId="21" w16cid:durableId="649214679">
    <w:abstractNumId w:val="31"/>
  </w:num>
  <w:num w:numId="22" w16cid:durableId="56326146">
    <w:abstractNumId w:val="6"/>
  </w:num>
  <w:num w:numId="23" w16cid:durableId="1660502090">
    <w:abstractNumId w:val="47"/>
  </w:num>
  <w:num w:numId="24" w16cid:durableId="1160923438">
    <w:abstractNumId w:val="7"/>
  </w:num>
  <w:num w:numId="25" w16cid:durableId="2052224131">
    <w:abstractNumId w:val="26"/>
  </w:num>
  <w:num w:numId="26" w16cid:durableId="1675256082">
    <w:abstractNumId w:val="20"/>
  </w:num>
  <w:num w:numId="27" w16cid:durableId="360084811">
    <w:abstractNumId w:val="10"/>
    <w:lvlOverride w:ilvl="0"/>
    <w:lvlOverride w:ilvl="1">
      <w:startOverride w:val="1"/>
    </w:lvlOverride>
    <w:lvlOverride w:ilvl="2"/>
    <w:lvlOverride w:ilvl="3"/>
    <w:lvlOverride w:ilvl="4"/>
    <w:lvlOverride w:ilvl="5"/>
    <w:lvlOverride w:ilvl="6"/>
    <w:lvlOverride w:ilvl="7"/>
    <w:lvlOverride w:ilvl="8"/>
  </w:num>
  <w:num w:numId="28" w16cid:durableId="347385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6281439">
    <w:abstractNumId w:val="4"/>
  </w:num>
  <w:num w:numId="30" w16cid:durableId="1879203220">
    <w:abstractNumId w:val="18"/>
  </w:num>
  <w:num w:numId="31" w16cid:durableId="1000234722">
    <w:abstractNumId w:val="52"/>
  </w:num>
  <w:num w:numId="32" w16cid:durableId="350377814">
    <w:abstractNumId w:val="34"/>
  </w:num>
  <w:num w:numId="33" w16cid:durableId="160583015">
    <w:abstractNumId w:val="19"/>
  </w:num>
  <w:num w:numId="34" w16cid:durableId="479272203">
    <w:abstractNumId w:val="27"/>
  </w:num>
  <w:num w:numId="35" w16cid:durableId="1234461819">
    <w:abstractNumId w:val="46"/>
  </w:num>
  <w:num w:numId="36" w16cid:durableId="652636458">
    <w:abstractNumId w:val="12"/>
  </w:num>
  <w:num w:numId="37" w16cid:durableId="103426510">
    <w:abstractNumId w:val="15"/>
  </w:num>
  <w:num w:numId="38" w16cid:durableId="293872242">
    <w:abstractNumId w:val="29"/>
  </w:num>
  <w:num w:numId="39" w16cid:durableId="1243030029">
    <w:abstractNumId w:val="9"/>
  </w:num>
  <w:num w:numId="40" w16cid:durableId="1130241128">
    <w:abstractNumId w:val="23"/>
  </w:num>
  <w:num w:numId="41" w16cid:durableId="691998449">
    <w:abstractNumId w:val="3"/>
  </w:num>
  <w:num w:numId="42" w16cid:durableId="1245799240">
    <w:abstractNumId w:val="28"/>
  </w:num>
  <w:num w:numId="43" w16cid:durableId="1801148522">
    <w:abstractNumId w:val="10"/>
    <w:lvlOverride w:ilvl="0"/>
    <w:lvlOverride w:ilvl="1">
      <w:startOverride w:val="1"/>
    </w:lvlOverride>
    <w:lvlOverride w:ilvl="2"/>
    <w:lvlOverride w:ilvl="3"/>
    <w:lvlOverride w:ilvl="4"/>
    <w:lvlOverride w:ilvl="5"/>
    <w:lvlOverride w:ilvl="6"/>
    <w:lvlOverride w:ilvl="7"/>
    <w:lvlOverride w:ilvl="8"/>
  </w:num>
  <w:num w:numId="44" w16cid:durableId="1412005747">
    <w:abstractNumId w:val="5"/>
  </w:num>
  <w:num w:numId="45" w16cid:durableId="1467237031">
    <w:abstractNumId w:val="51"/>
  </w:num>
  <w:num w:numId="46" w16cid:durableId="821435730">
    <w:abstractNumId w:val="10"/>
    <w:lvlOverride w:ilvl="0"/>
    <w:lvlOverride w:ilvl="1">
      <w:startOverride w:val="1"/>
    </w:lvlOverride>
    <w:lvlOverride w:ilvl="2"/>
    <w:lvlOverride w:ilvl="3"/>
    <w:lvlOverride w:ilvl="4"/>
    <w:lvlOverride w:ilvl="5"/>
    <w:lvlOverride w:ilvl="6"/>
    <w:lvlOverride w:ilvl="7"/>
    <w:lvlOverride w:ilvl="8"/>
  </w:num>
  <w:num w:numId="47" w16cid:durableId="1161241258">
    <w:abstractNumId w:val="30"/>
  </w:num>
  <w:num w:numId="48" w16cid:durableId="383218293">
    <w:abstractNumId w:val="8"/>
  </w:num>
  <w:num w:numId="49" w16cid:durableId="1207063656">
    <w:abstractNumId w:val="16"/>
  </w:num>
  <w:num w:numId="50" w16cid:durableId="21588776">
    <w:abstractNumId w:val="24"/>
  </w:num>
  <w:num w:numId="51" w16cid:durableId="168982336">
    <w:abstractNumId w:val="42"/>
  </w:num>
  <w:num w:numId="52" w16cid:durableId="1129974998">
    <w:abstractNumId w:val="21"/>
  </w:num>
  <w:num w:numId="53" w16cid:durableId="276379156">
    <w:abstractNumId w:val="45"/>
  </w:num>
  <w:num w:numId="54" w16cid:durableId="1203862971">
    <w:abstractNumId w:val="13"/>
  </w:num>
  <w:num w:numId="55" w16cid:durableId="843322119">
    <w:abstractNumId w:val="36"/>
  </w:num>
  <w:num w:numId="56" w16cid:durableId="1613516328">
    <w:abstractNumId w:val="44"/>
  </w:num>
  <w:num w:numId="57" w16cid:durableId="1671442934">
    <w:abstractNumId w:val="32"/>
  </w:num>
  <w:num w:numId="58" w16cid:durableId="126360881">
    <w:abstractNumId w:val="14"/>
  </w:num>
  <w:num w:numId="59" w16cid:durableId="1875724326">
    <w:abstractNumId w:val="14"/>
  </w:num>
  <w:num w:numId="60" w16cid:durableId="165094699">
    <w:abstractNumId w:val="14"/>
  </w:num>
  <w:num w:numId="61" w16cid:durableId="26374309">
    <w:abstractNumId w:val="14"/>
  </w:num>
  <w:num w:numId="62" w16cid:durableId="1291010154">
    <w:abstractNumId w:val="14"/>
  </w:num>
  <w:num w:numId="63" w16cid:durableId="2103724624">
    <w:abstractNumId w:val="14"/>
  </w:num>
  <w:num w:numId="64" w16cid:durableId="1187793248">
    <w:abstractNumId w:val="14"/>
  </w:num>
  <w:num w:numId="65" w16cid:durableId="341595148">
    <w:abstractNumId w:val="14"/>
  </w:num>
  <w:num w:numId="66" w16cid:durableId="1339119591">
    <w:abstractNumId w:val="14"/>
  </w:num>
  <w:num w:numId="67" w16cid:durableId="1409578006">
    <w:abstractNumId w:val="14"/>
  </w:num>
  <w:num w:numId="68" w16cid:durableId="1909538343">
    <w:abstractNumId w:val="14"/>
  </w:num>
  <w:num w:numId="69" w16cid:durableId="1673873597">
    <w:abstractNumId w:val="14"/>
  </w:num>
  <w:num w:numId="70" w16cid:durableId="1596287112">
    <w:abstractNumId w:val="14"/>
  </w:num>
  <w:num w:numId="71" w16cid:durableId="1520464832">
    <w:abstractNumId w:val="14"/>
  </w:num>
  <w:num w:numId="72" w16cid:durableId="1225530751">
    <w:abstractNumId w:val="14"/>
  </w:num>
  <w:num w:numId="73" w16cid:durableId="169032948">
    <w:abstractNumId w:val="14"/>
  </w:num>
  <w:num w:numId="74" w16cid:durableId="539632519">
    <w:abstractNumId w:val="14"/>
  </w:num>
  <w:num w:numId="75" w16cid:durableId="1527133995">
    <w:abstractNumId w:val="14"/>
  </w:num>
  <w:num w:numId="76" w16cid:durableId="430130718">
    <w:abstractNumId w:val="14"/>
  </w:num>
  <w:num w:numId="77" w16cid:durableId="1259678985">
    <w:abstractNumId w:val="14"/>
  </w:num>
  <w:num w:numId="78" w16cid:durableId="1410543428">
    <w:abstractNumId w:val="14"/>
  </w:num>
  <w:num w:numId="79" w16cid:durableId="781922810">
    <w:abstractNumId w:val="14"/>
  </w:num>
  <w:num w:numId="80" w16cid:durableId="189950915">
    <w:abstractNumId w:val="14"/>
  </w:num>
  <w:num w:numId="81" w16cid:durableId="1799641925">
    <w:abstractNumId w:val="14"/>
  </w:num>
  <w:num w:numId="82" w16cid:durableId="78451109">
    <w:abstractNumId w:val="14"/>
  </w:num>
  <w:num w:numId="83" w16cid:durableId="1694920368">
    <w:abstractNumId w:val="14"/>
  </w:num>
  <w:num w:numId="84" w16cid:durableId="2042246309">
    <w:abstractNumId w:val="14"/>
  </w:num>
  <w:num w:numId="85" w16cid:durableId="1891073703">
    <w:abstractNumId w:val="14"/>
  </w:num>
  <w:num w:numId="86" w16cid:durableId="2008747498">
    <w:abstractNumId w:val="14"/>
  </w:num>
  <w:num w:numId="87" w16cid:durableId="858734156">
    <w:abstractNumId w:val="14"/>
  </w:num>
  <w:num w:numId="88" w16cid:durableId="1730422215">
    <w:abstractNumId w:val="14"/>
  </w:num>
  <w:num w:numId="89" w16cid:durableId="1102990109">
    <w:abstractNumId w:val="14"/>
  </w:num>
  <w:num w:numId="90" w16cid:durableId="1891920487">
    <w:abstractNumId w:val="14"/>
  </w:num>
  <w:num w:numId="91" w16cid:durableId="283273466">
    <w:abstractNumId w:val="14"/>
  </w:num>
  <w:num w:numId="92" w16cid:durableId="837116711">
    <w:abstractNumId w:val="14"/>
  </w:num>
  <w:num w:numId="93" w16cid:durableId="444891128">
    <w:abstractNumId w:val="14"/>
  </w:num>
  <w:num w:numId="94" w16cid:durableId="1426417233">
    <w:abstractNumId w:val="14"/>
  </w:num>
  <w:num w:numId="95" w16cid:durableId="1123110394">
    <w:abstractNumId w:val="14"/>
  </w:num>
  <w:num w:numId="96" w16cid:durableId="1086800331">
    <w:abstractNumId w:val="14"/>
  </w:num>
  <w:num w:numId="97" w16cid:durableId="750276955">
    <w:abstractNumId w:val="14"/>
  </w:num>
  <w:num w:numId="98" w16cid:durableId="858350235">
    <w:abstractNumId w:val="14"/>
  </w:num>
  <w:num w:numId="99" w16cid:durableId="524096339">
    <w:abstractNumId w:val="14"/>
  </w:num>
  <w:num w:numId="100" w16cid:durableId="462037320">
    <w:abstractNumId w:val="14"/>
  </w:num>
  <w:num w:numId="101" w16cid:durableId="1430195433">
    <w:abstractNumId w:val="14"/>
  </w:num>
  <w:num w:numId="102" w16cid:durableId="1421214803">
    <w:abstractNumId w:val="14"/>
  </w:num>
  <w:num w:numId="103" w16cid:durableId="553195729">
    <w:abstractNumId w:val="14"/>
  </w:num>
  <w:num w:numId="104" w16cid:durableId="142044911">
    <w:abstractNumId w:val="37"/>
  </w:num>
  <w:num w:numId="105" w16cid:durableId="1337884156">
    <w:abstractNumId w:val="14"/>
    <w:lvlOverride w:ilvl="0">
      <w:lvl w:ilvl="0">
        <w:numFmt w:val="decimal"/>
        <w:pStyle w:val="Heading2"/>
        <w:lvlText w:val="%1."/>
        <w:lvlJc w:val="left"/>
        <w:pPr>
          <w:ind w:left="1080" w:hanging="720"/>
        </w:pPr>
        <w:rPr>
          <w:rFonts w:hint="default"/>
        </w:rPr>
      </w:lvl>
    </w:lvlOverride>
    <w:lvlOverride w:ilvl="1">
      <w:lvl w:ilvl="1">
        <w:start w:val="1"/>
        <w:numFmt w:val="decimal"/>
        <w:pStyle w:val="Heading3"/>
        <w:isLgl/>
        <w:lvlText w:val="%1.%2"/>
        <w:lvlJc w:val="left"/>
        <w:pPr>
          <w:ind w:left="1854" w:hanging="1497"/>
        </w:pPr>
        <w:rPr>
          <w:rFonts w:hint="default"/>
        </w:rPr>
      </w:lvl>
    </w:lvlOverride>
    <w:lvlOverride w:ilvl="2">
      <w:lvl w:ilvl="2">
        <w:start w:val="1"/>
        <w:numFmt w:val="decimal"/>
        <w:pStyle w:val="Heading4"/>
        <w:isLgl/>
        <w:lvlText w:val="%1.%2.%3"/>
        <w:lvlJc w:val="left"/>
        <w:pPr>
          <w:ind w:left="3414"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Figure %1.%2:"/>
        <w:lvlJc w:val="left"/>
        <w:pPr>
          <w:ind w:left="2160" w:hanging="1803"/>
        </w:pPr>
        <w:rPr>
          <w:rFonts w:hint="default"/>
        </w:rPr>
      </w:lvl>
    </w:lvlOverride>
    <w:lvlOverride w:ilvl="7">
      <w:lvl w:ilvl="7">
        <w:start w:val="1"/>
        <w:numFmt w:val="decimal"/>
        <w:isLgl/>
        <w:lvlText w:val="%8Table %1.%2:"/>
        <w:lvlJc w:val="left"/>
        <w:pPr>
          <w:ind w:left="2520" w:hanging="2160"/>
        </w:pPr>
        <w:rPr>
          <w:rFonts w:hint="default"/>
        </w:rPr>
      </w:lvl>
    </w:lvlOverride>
    <w:lvlOverride w:ilvl="8">
      <w:lvl w:ilvl="8">
        <w:start w:val="1"/>
        <w:numFmt w:val="decimal"/>
        <w:isLgl/>
        <w:lvlText w:val="%1.%2.%3.%4.%5.%6.%7.%8.%9"/>
        <w:lvlJc w:val="left"/>
        <w:pPr>
          <w:ind w:left="2880" w:hanging="2520"/>
        </w:pPr>
        <w:rPr>
          <w:rFonts w:hint="default"/>
        </w:rPr>
      </w:lvl>
    </w:lvlOverride>
  </w:num>
  <w:num w:numId="106" w16cid:durableId="1078790073">
    <w:abstractNumId w:val="14"/>
  </w:num>
  <w:num w:numId="107" w16cid:durableId="1690571236">
    <w:abstractNumId w:val="14"/>
  </w:num>
  <w:num w:numId="108" w16cid:durableId="1192455764">
    <w:abstractNumId w:val="14"/>
  </w:num>
  <w:num w:numId="109" w16cid:durableId="670641455">
    <w:abstractNumId w:val="14"/>
  </w:num>
  <w:num w:numId="110" w16cid:durableId="1150095980">
    <w:abstractNumId w:val="14"/>
  </w:num>
  <w:num w:numId="111" w16cid:durableId="1866821127">
    <w:abstractNumId w:val="14"/>
  </w:num>
  <w:num w:numId="112" w16cid:durableId="1417942393">
    <w:abstractNumId w:val="14"/>
  </w:num>
  <w:num w:numId="113" w16cid:durableId="1969310297">
    <w:abstractNumId w:val="14"/>
  </w:num>
  <w:num w:numId="114" w16cid:durableId="196705446">
    <w:abstractNumId w:val="14"/>
  </w:num>
  <w:num w:numId="115" w16cid:durableId="1104879044">
    <w:abstractNumId w:val="14"/>
  </w:num>
  <w:num w:numId="116" w16cid:durableId="1128351786">
    <w:abstractNumId w:val="14"/>
  </w:num>
  <w:num w:numId="117" w16cid:durableId="1125851953">
    <w:abstractNumId w:val="14"/>
  </w:num>
  <w:num w:numId="118" w16cid:durableId="761531781">
    <w:abstractNumId w:val="14"/>
  </w:num>
  <w:num w:numId="119" w16cid:durableId="1919514986">
    <w:abstractNumId w:val="14"/>
  </w:num>
  <w:num w:numId="120" w16cid:durableId="1106148860">
    <w:abstractNumId w:val="14"/>
  </w:num>
  <w:num w:numId="121" w16cid:durableId="365495859">
    <w:abstractNumId w:val="14"/>
  </w:num>
  <w:num w:numId="122" w16cid:durableId="1713111247">
    <w:abstractNumId w:val="14"/>
  </w:num>
  <w:num w:numId="123" w16cid:durableId="1151629525">
    <w:abstractNumId w:val="14"/>
  </w:num>
  <w:num w:numId="124" w16cid:durableId="7829986">
    <w:abstractNumId w:val="14"/>
  </w:num>
  <w:num w:numId="125" w16cid:durableId="759250985">
    <w:abstractNumId w:val="14"/>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F1"/>
    <w:rsid w:val="00001CF1"/>
    <w:rsid w:val="00001DAA"/>
    <w:rsid w:val="000020E4"/>
    <w:rsid w:val="00002509"/>
    <w:rsid w:val="00002942"/>
    <w:rsid w:val="00004D3F"/>
    <w:rsid w:val="00004E38"/>
    <w:rsid w:val="00006D07"/>
    <w:rsid w:val="00006D1A"/>
    <w:rsid w:val="00006D56"/>
    <w:rsid w:val="00011157"/>
    <w:rsid w:val="00011750"/>
    <w:rsid w:val="0001279A"/>
    <w:rsid w:val="0001297F"/>
    <w:rsid w:val="00013679"/>
    <w:rsid w:val="0001431F"/>
    <w:rsid w:val="00016424"/>
    <w:rsid w:val="00017141"/>
    <w:rsid w:val="00017254"/>
    <w:rsid w:val="0001778B"/>
    <w:rsid w:val="000179D6"/>
    <w:rsid w:val="00021FE2"/>
    <w:rsid w:val="00023680"/>
    <w:rsid w:val="00023ED9"/>
    <w:rsid w:val="00024A90"/>
    <w:rsid w:val="00024EA6"/>
    <w:rsid w:val="000259A6"/>
    <w:rsid w:val="00025A2D"/>
    <w:rsid w:val="00026A12"/>
    <w:rsid w:val="00026F26"/>
    <w:rsid w:val="00031CDE"/>
    <w:rsid w:val="00033832"/>
    <w:rsid w:val="00034135"/>
    <w:rsid w:val="00034C94"/>
    <w:rsid w:val="0003584D"/>
    <w:rsid w:val="00035E5C"/>
    <w:rsid w:val="0004058E"/>
    <w:rsid w:val="000427C9"/>
    <w:rsid w:val="00043AB0"/>
    <w:rsid w:val="00043BF8"/>
    <w:rsid w:val="000443DE"/>
    <w:rsid w:val="000448F8"/>
    <w:rsid w:val="00044FE1"/>
    <w:rsid w:val="00045BF8"/>
    <w:rsid w:val="00045C52"/>
    <w:rsid w:val="00046F8A"/>
    <w:rsid w:val="00047BB5"/>
    <w:rsid w:val="000501EE"/>
    <w:rsid w:val="00050B23"/>
    <w:rsid w:val="0005207C"/>
    <w:rsid w:val="0005257E"/>
    <w:rsid w:val="000526AE"/>
    <w:rsid w:val="00053C04"/>
    <w:rsid w:val="000555C4"/>
    <w:rsid w:val="0005713B"/>
    <w:rsid w:val="0005765D"/>
    <w:rsid w:val="00060638"/>
    <w:rsid w:val="0006157F"/>
    <w:rsid w:val="0006172B"/>
    <w:rsid w:val="00061783"/>
    <w:rsid w:val="00063C62"/>
    <w:rsid w:val="0006406D"/>
    <w:rsid w:val="00064468"/>
    <w:rsid w:val="000656A4"/>
    <w:rsid w:val="000667EB"/>
    <w:rsid w:val="0006745F"/>
    <w:rsid w:val="00067AF7"/>
    <w:rsid w:val="000708CF"/>
    <w:rsid w:val="00071626"/>
    <w:rsid w:val="00071997"/>
    <w:rsid w:val="00072A6B"/>
    <w:rsid w:val="000731E0"/>
    <w:rsid w:val="00077817"/>
    <w:rsid w:val="00081093"/>
    <w:rsid w:val="00081EE1"/>
    <w:rsid w:val="0008402A"/>
    <w:rsid w:val="00084395"/>
    <w:rsid w:val="000851B7"/>
    <w:rsid w:val="0008602F"/>
    <w:rsid w:val="000866EE"/>
    <w:rsid w:val="00086A22"/>
    <w:rsid w:val="000879D9"/>
    <w:rsid w:val="00090983"/>
    <w:rsid w:val="00091353"/>
    <w:rsid w:val="000916E8"/>
    <w:rsid w:val="00092B87"/>
    <w:rsid w:val="00092FF7"/>
    <w:rsid w:val="000935C1"/>
    <w:rsid w:val="0009508D"/>
    <w:rsid w:val="0009530B"/>
    <w:rsid w:val="00095472"/>
    <w:rsid w:val="000969FB"/>
    <w:rsid w:val="00097D58"/>
    <w:rsid w:val="000A042D"/>
    <w:rsid w:val="000A0FED"/>
    <w:rsid w:val="000A1C89"/>
    <w:rsid w:val="000A34DD"/>
    <w:rsid w:val="000A34E2"/>
    <w:rsid w:val="000A37B5"/>
    <w:rsid w:val="000A3CE4"/>
    <w:rsid w:val="000A481E"/>
    <w:rsid w:val="000A7032"/>
    <w:rsid w:val="000B1BBE"/>
    <w:rsid w:val="000B2FE6"/>
    <w:rsid w:val="000B337E"/>
    <w:rsid w:val="000B4730"/>
    <w:rsid w:val="000C082A"/>
    <w:rsid w:val="000C288B"/>
    <w:rsid w:val="000C2974"/>
    <w:rsid w:val="000C4D52"/>
    <w:rsid w:val="000C53EE"/>
    <w:rsid w:val="000C5492"/>
    <w:rsid w:val="000C6F63"/>
    <w:rsid w:val="000C7AD3"/>
    <w:rsid w:val="000D2AD7"/>
    <w:rsid w:val="000D34AA"/>
    <w:rsid w:val="000D3A25"/>
    <w:rsid w:val="000D413C"/>
    <w:rsid w:val="000D4CA1"/>
    <w:rsid w:val="000D5BFA"/>
    <w:rsid w:val="000D5E06"/>
    <w:rsid w:val="000D5ED4"/>
    <w:rsid w:val="000E047C"/>
    <w:rsid w:val="000E1381"/>
    <w:rsid w:val="000E30C9"/>
    <w:rsid w:val="000E36A4"/>
    <w:rsid w:val="000E382A"/>
    <w:rsid w:val="000E43A0"/>
    <w:rsid w:val="000E50B7"/>
    <w:rsid w:val="000E564E"/>
    <w:rsid w:val="000E5BDD"/>
    <w:rsid w:val="000E78F5"/>
    <w:rsid w:val="000F01A7"/>
    <w:rsid w:val="000F15CC"/>
    <w:rsid w:val="000F185A"/>
    <w:rsid w:val="000F1CE8"/>
    <w:rsid w:val="000F2A24"/>
    <w:rsid w:val="000F2E6B"/>
    <w:rsid w:val="000F47AF"/>
    <w:rsid w:val="000F4FD0"/>
    <w:rsid w:val="00100491"/>
    <w:rsid w:val="00100E33"/>
    <w:rsid w:val="00100F86"/>
    <w:rsid w:val="00101027"/>
    <w:rsid w:val="00101897"/>
    <w:rsid w:val="00101A44"/>
    <w:rsid w:val="00102E44"/>
    <w:rsid w:val="00104CF5"/>
    <w:rsid w:val="00105895"/>
    <w:rsid w:val="00106073"/>
    <w:rsid w:val="00107523"/>
    <w:rsid w:val="00110394"/>
    <w:rsid w:val="00111068"/>
    <w:rsid w:val="001114C0"/>
    <w:rsid w:val="00111B1C"/>
    <w:rsid w:val="00112D1D"/>
    <w:rsid w:val="001137E8"/>
    <w:rsid w:val="001141E4"/>
    <w:rsid w:val="0011566E"/>
    <w:rsid w:val="001157EC"/>
    <w:rsid w:val="00116446"/>
    <w:rsid w:val="0012043E"/>
    <w:rsid w:val="001218CD"/>
    <w:rsid w:val="00122030"/>
    <w:rsid w:val="00122E9F"/>
    <w:rsid w:val="00123530"/>
    <w:rsid w:val="001241F2"/>
    <w:rsid w:val="00125F16"/>
    <w:rsid w:val="0012687B"/>
    <w:rsid w:val="0012733A"/>
    <w:rsid w:val="00130174"/>
    <w:rsid w:val="00130927"/>
    <w:rsid w:val="001309C9"/>
    <w:rsid w:val="00133B18"/>
    <w:rsid w:val="00133B65"/>
    <w:rsid w:val="0013502A"/>
    <w:rsid w:val="0013716B"/>
    <w:rsid w:val="00137524"/>
    <w:rsid w:val="001417AC"/>
    <w:rsid w:val="00141B2D"/>
    <w:rsid w:val="00142D07"/>
    <w:rsid w:val="00147A77"/>
    <w:rsid w:val="001531C3"/>
    <w:rsid w:val="00154712"/>
    <w:rsid w:val="0015490A"/>
    <w:rsid w:val="00154D6D"/>
    <w:rsid w:val="001555B4"/>
    <w:rsid w:val="0015783A"/>
    <w:rsid w:val="00160129"/>
    <w:rsid w:val="001607BE"/>
    <w:rsid w:val="00164534"/>
    <w:rsid w:val="00165BFB"/>
    <w:rsid w:val="0016612E"/>
    <w:rsid w:val="00166A4A"/>
    <w:rsid w:val="001670F4"/>
    <w:rsid w:val="00170223"/>
    <w:rsid w:val="0017060C"/>
    <w:rsid w:val="00171709"/>
    <w:rsid w:val="00171F57"/>
    <w:rsid w:val="00172718"/>
    <w:rsid w:val="00172996"/>
    <w:rsid w:val="00172A59"/>
    <w:rsid w:val="0017415A"/>
    <w:rsid w:val="00174DC8"/>
    <w:rsid w:val="00174DF7"/>
    <w:rsid w:val="00177A3E"/>
    <w:rsid w:val="00177C20"/>
    <w:rsid w:val="00180486"/>
    <w:rsid w:val="001810AD"/>
    <w:rsid w:val="001811BD"/>
    <w:rsid w:val="001826EA"/>
    <w:rsid w:val="0018312E"/>
    <w:rsid w:val="0018333F"/>
    <w:rsid w:val="00183FE0"/>
    <w:rsid w:val="001859F7"/>
    <w:rsid w:val="00187A4C"/>
    <w:rsid w:val="00190D7E"/>
    <w:rsid w:val="0019219D"/>
    <w:rsid w:val="00194D7D"/>
    <w:rsid w:val="001958BF"/>
    <w:rsid w:val="00195FA6"/>
    <w:rsid w:val="00196301"/>
    <w:rsid w:val="001964DC"/>
    <w:rsid w:val="00196552"/>
    <w:rsid w:val="00196ACD"/>
    <w:rsid w:val="00196C81"/>
    <w:rsid w:val="001A122F"/>
    <w:rsid w:val="001A1648"/>
    <w:rsid w:val="001A3FEE"/>
    <w:rsid w:val="001A444B"/>
    <w:rsid w:val="001A585B"/>
    <w:rsid w:val="001A6191"/>
    <w:rsid w:val="001A6CFD"/>
    <w:rsid w:val="001A7318"/>
    <w:rsid w:val="001B053A"/>
    <w:rsid w:val="001B1A4F"/>
    <w:rsid w:val="001B306B"/>
    <w:rsid w:val="001B3070"/>
    <w:rsid w:val="001B3D58"/>
    <w:rsid w:val="001C0CCF"/>
    <w:rsid w:val="001C0DF7"/>
    <w:rsid w:val="001C2712"/>
    <w:rsid w:val="001C42BA"/>
    <w:rsid w:val="001C4A9F"/>
    <w:rsid w:val="001C7045"/>
    <w:rsid w:val="001C7064"/>
    <w:rsid w:val="001C70E4"/>
    <w:rsid w:val="001D0263"/>
    <w:rsid w:val="001D062D"/>
    <w:rsid w:val="001D10D7"/>
    <w:rsid w:val="001D17CE"/>
    <w:rsid w:val="001D1942"/>
    <w:rsid w:val="001D1FFB"/>
    <w:rsid w:val="001D3B31"/>
    <w:rsid w:val="001D3DC5"/>
    <w:rsid w:val="001D3FB8"/>
    <w:rsid w:val="001D5794"/>
    <w:rsid w:val="001D5A46"/>
    <w:rsid w:val="001D73DF"/>
    <w:rsid w:val="001D7664"/>
    <w:rsid w:val="001D7BC3"/>
    <w:rsid w:val="001E0F0B"/>
    <w:rsid w:val="001E27BF"/>
    <w:rsid w:val="001E4C89"/>
    <w:rsid w:val="001E52AD"/>
    <w:rsid w:val="001E600C"/>
    <w:rsid w:val="001E630D"/>
    <w:rsid w:val="001E7572"/>
    <w:rsid w:val="001E7FFB"/>
    <w:rsid w:val="001F171D"/>
    <w:rsid w:val="001F220E"/>
    <w:rsid w:val="001F2E3D"/>
    <w:rsid w:val="001F3888"/>
    <w:rsid w:val="001F626F"/>
    <w:rsid w:val="001F6311"/>
    <w:rsid w:val="001F6D85"/>
    <w:rsid w:val="002008D7"/>
    <w:rsid w:val="00201412"/>
    <w:rsid w:val="00203953"/>
    <w:rsid w:val="00205430"/>
    <w:rsid w:val="00206583"/>
    <w:rsid w:val="00207030"/>
    <w:rsid w:val="00207ED1"/>
    <w:rsid w:val="0021059A"/>
    <w:rsid w:val="0021323A"/>
    <w:rsid w:val="00215469"/>
    <w:rsid w:val="00215B0E"/>
    <w:rsid w:val="00216358"/>
    <w:rsid w:val="00220181"/>
    <w:rsid w:val="002201EF"/>
    <w:rsid w:val="002213C9"/>
    <w:rsid w:val="00223719"/>
    <w:rsid w:val="00223F47"/>
    <w:rsid w:val="00223F62"/>
    <w:rsid w:val="0022471E"/>
    <w:rsid w:val="002247C0"/>
    <w:rsid w:val="00225111"/>
    <w:rsid w:val="00225EB3"/>
    <w:rsid w:val="002266B9"/>
    <w:rsid w:val="002300C8"/>
    <w:rsid w:val="00230812"/>
    <w:rsid w:val="00231B71"/>
    <w:rsid w:val="00233243"/>
    <w:rsid w:val="002339A3"/>
    <w:rsid w:val="00233A27"/>
    <w:rsid w:val="00233DF8"/>
    <w:rsid w:val="00233FF0"/>
    <w:rsid w:val="00234BA2"/>
    <w:rsid w:val="002354CC"/>
    <w:rsid w:val="00237269"/>
    <w:rsid w:val="0023751E"/>
    <w:rsid w:val="002376F8"/>
    <w:rsid w:val="00237993"/>
    <w:rsid w:val="0024022E"/>
    <w:rsid w:val="00241F59"/>
    <w:rsid w:val="002424F7"/>
    <w:rsid w:val="0024297F"/>
    <w:rsid w:val="00243FD5"/>
    <w:rsid w:val="002444B6"/>
    <w:rsid w:val="00246A95"/>
    <w:rsid w:val="00251E3E"/>
    <w:rsid w:val="00252C70"/>
    <w:rsid w:val="00252E1C"/>
    <w:rsid w:val="00253338"/>
    <w:rsid w:val="00254769"/>
    <w:rsid w:val="00255F06"/>
    <w:rsid w:val="0025625A"/>
    <w:rsid w:val="002602E2"/>
    <w:rsid w:val="00261444"/>
    <w:rsid w:val="00263468"/>
    <w:rsid w:val="00264660"/>
    <w:rsid w:val="00264BD7"/>
    <w:rsid w:val="00266329"/>
    <w:rsid w:val="00270163"/>
    <w:rsid w:val="0027042C"/>
    <w:rsid w:val="002708D0"/>
    <w:rsid w:val="002713A5"/>
    <w:rsid w:val="0027191F"/>
    <w:rsid w:val="0027254E"/>
    <w:rsid w:val="0027383C"/>
    <w:rsid w:val="00273A78"/>
    <w:rsid w:val="00275683"/>
    <w:rsid w:val="00275872"/>
    <w:rsid w:val="00275E2B"/>
    <w:rsid w:val="00276763"/>
    <w:rsid w:val="0027756B"/>
    <w:rsid w:val="002806A4"/>
    <w:rsid w:val="00280794"/>
    <w:rsid w:val="0028226B"/>
    <w:rsid w:val="0028301C"/>
    <w:rsid w:val="00283933"/>
    <w:rsid w:val="00283EE0"/>
    <w:rsid w:val="002847D6"/>
    <w:rsid w:val="0028489A"/>
    <w:rsid w:val="002867E7"/>
    <w:rsid w:val="00286AEE"/>
    <w:rsid w:val="00287A05"/>
    <w:rsid w:val="00287FA3"/>
    <w:rsid w:val="0029001E"/>
    <w:rsid w:val="0029100A"/>
    <w:rsid w:val="002916CB"/>
    <w:rsid w:val="00291EB0"/>
    <w:rsid w:val="00291FAC"/>
    <w:rsid w:val="00292238"/>
    <w:rsid w:val="00292D2C"/>
    <w:rsid w:val="0029356B"/>
    <w:rsid w:val="002939A5"/>
    <w:rsid w:val="00295650"/>
    <w:rsid w:val="002975F2"/>
    <w:rsid w:val="002A18F3"/>
    <w:rsid w:val="002A2723"/>
    <w:rsid w:val="002A37D2"/>
    <w:rsid w:val="002B1A2A"/>
    <w:rsid w:val="002B389D"/>
    <w:rsid w:val="002B3D57"/>
    <w:rsid w:val="002B4902"/>
    <w:rsid w:val="002B5307"/>
    <w:rsid w:val="002B6549"/>
    <w:rsid w:val="002C1F5E"/>
    <w:rsid w:val="002C2D89"/>
    <w:rsid w:val="002C439C"/>
    <w:rsid w:val="002C4764"/>
    <w:rsid w:val="002C5988"/>
    <w:rsid w:val="002C70B2"/>
    <w:rsid w:val="002D1BC3"/>
    <w:rsid w:val="002D5862"/>
    <w:rsid w:val="002D5ED2"/>
    <w:rsid w:val="002D6881"/>
    <w:rsid w:val="002D71C8"/>
    <w:rsid w:val="002D73BA"/>
    <w:rsid w:val="002E072F"/>
    <w:rsid w:val="002E0D4A"/>
    <w:rsid w:val="002E0FAE"/>
    <w:rsid w:val="002E127F"/>
    <w:rsid w:val="002E2FA1"/>
    <w:rsid w:val="002E6818"/>
    <w:rsid w:val="002E7306"/>
    <w:rsid w:val="002E7774"/>
    <w:rsid w:val="002E7F61"/>
    <w:rsid w:val="002F02A3"/>
    <w:rsid w:val="002F2A83"/>
    <w:rsid w:val="002F3CA7"/>
    <w:rsid w:val="002F408A"/>
    <w:rsid w:val="002F435B"/>
    <w:rsid w:val="002F4C00"/>
    <w:rsid w:val="002F5D0A"/>
    <w:rsid w:val="002F631C"/>
    <w:rsid w:val="0030042C"/>
    <w:rsid w:val="00301824"/>
    <w:rsid w:val="00301F84"/>
    <w:rsid w:val="003045B2"/>
    <w:rsid w:val="00306084"/>
    <w:rsid w:val="0031032B"/>
    <w:rsid w:val="00311A0F"/>
    <w:rsid w:val="00311A6B"/>
    <w:rsid w:val="00311FB9"/>
    <w:rsid w:val="00313F8F"/>
    <w:rsid w:val="003141C1"/>
    <w:rsid w:val="0031484C"/>
    <w:rsid w:val="003149C1"/>
    <w:rsid w:val="00314B0B"/>
    <w:rsid w:val="00315E8F"/>
    <w:rsid w:val="00316571"/>
    <w:rsid w:val="00316CE3"/>
    <w:rsid w:val="003171CA"/>
    <w:rsid w:val="00317448"/>
    <w:rsid w:val="00320F9A"/>
    <w:rsid w:val="0032159E"/>
    <w:rsid w:val="00321A41"/>
    <w:rsid w:val="003225B9"/>
    <w:rsid w:val="00323BB7"/>
    <w:rsid w:val="00324561"/>
    <w:rsid w:val="00324566"/>
    <w:rsid w:val="00325B11"/>
    <w:rsid w:val="00325B63"/>
    <w:rsid w:val="00325DAC"/>
    <w:rsid w:val="00325E36"/>
    <w:rsid w:val="003266B3"/>
    <w:rsid w:val="00326CFE"/>
    <w:rsid w:val="00327305"/>
    <w:rsid w:val="00330C20"/>
    <w:rsid w:val="00330FF5"/>
    <w:rsid w:val="00331358"/>
    <w:rsid w:val="00332873"/>
    <w:rsid w:val="00332A4E"/>
    <w:rsid w:val="00336B43"/>
    <w:rsid w:val="00337B9E"/>
    <w:rsid w:val="0034139E"/>
    <w:rsid w:val="003413EF"/>
    <w:rsid w:val="003417F4"/>
    <w:rsid w:val="0034183C"/>
    <w:rsid w:val="00341842"/>
    <w:rsid w:val="00343691"/>
    <w:rsid w:val="00343ADE"/>
    <w:rsid w:val="0034641E"/>
    <w:rsid w:val="00346A11"/>
    <w:rsid w:val="0034763E"/>
    <w:rsid w:val="003516CE"/>
    <w:rsid w:val="003532B6"/>
    <w:rsid w:val="00354434"/>
    <w:rsid w:val="00354B9E"/>
    <w:rsid w:val="00354C2E"/>
    <w:rsid w:val="00355510"/>
    <w:rsid w:val="003555EE"/>
    <w:rsid w:val="00357823"/>
    <w:rsid w:val="00357AF9"/>
    <w:rsid w:val="00360829"/>
    <w:rsid w:val="0036099B"/>
    <w:rsid w:val="003609E3"/>
    <w:rsid w:val="0036109C"/>
    <w:rsid w:val="003623D9"/>
    <w:rsid w:val="0036381F"/>
    <w:rsid w:val="003654A1"/>
    <w:rsid w:val="00365766"/>
    <w:rsid w:val="00365D64"/>
    <w:rsid w:val="003661F8"/>
    <w:rsid w:val="00366862"/>
    <w:rsid w:val="00371C40"/>
    <w:rsid w:val="00371C4C"/>
    <w:rsid w:val="00372928"/>
    <w:rsid w:val="00373BEE"/>
    <w:rsid w:val="003757C9"/>
    <w:rsid w:val="003764CE"/>
    <w:rsid w:val="00376E4E"/>
    <w:rsid w:val="003773D9"/>
    <w:rsid w:val="00377A67"/>
    <w:rsid w:val="003812D3"/>
    <w:rsid w:val="003817AD"/>
    <w:rsid w:val="0038375C"/>
    <w:rsid w:val="00384335"/>
    <w:rsid w:val="00384E8A"/>
    <w:rsid w:val="00385235"/>
    <w:rsid w:val="00385932"/>
    <w:rsid w:val="003877F8"/>
    <w:rsid w:val="003905B8"/>
    <w:rsid w:val="0039073A"/>
    <w:rsid w:val="00393048"/>
    <w:rsid w:val="0039328A"/>
    <w:rsid w:val="003940C9"/>
    <w:rsid w:val="00394402"/>
    <w:rsid w:val="0039496E"/>
    <w:rsid w:val="003967CB"/>
    <w:rsid w:val="003A01AF"/>
    <w:rsid w:val="003A0B93"/>
    <w:rsid w:val="003A2255"/>
    <w:rsid w:val="003A24C6"/>
    <w:rsid w:val="003A431A"/>
    <w:rsid w:val="003A4CDC"/>
    <w:rsid w:val="003A5E39"/>
    <w:rsid w:val="003A6CC1"/>
    <w:rsid w:val="003A75CB"/>
    <w:rsid w:val="003A78F5"/>
    <w:rsid w:val="003B1559"/>
    <w:rsid w:val="003B2501"/>
    <w:rsid w:val="003B2BB8"/>
    <w:rsid w:val="003B2D7E"/>
    <w:rsid w:val="003B3630"/>
    <w:rsid w:val="003B4006"/>
    <w:rsid w:val="003B49B4"/>
    <w:rsid w:val="003B5A94"/>
    <w:rsid w:val="003B5BDB"/>
    <w:rsid w:val="003B643B"/>
    <w:rsid w:val="003B6E8B"/>
    <w:rsid w:val="003B7B03"/>
    <w:rsid w:val="003C006E"/>
    <w:rsid w:val="003C0DEE"/>
    <w:rsid w:val="003C1462"/>
    <w:rsid w:val="003C3210"/>
    <w:rsid w:val="003C4004"/>
    <w:rsid w:val="003C4038"/>
    <w:rsid w:val="003C4542"/>
    <w:rsid w:val="003C4BD8"/>
    <w:rsid w:val="003C578F"/>
    <w:rsid w:val="003C710B"/>
    <w:rsid w:val="003C7451"/>
    <w:rsid w:val="003C7D2A"/>
    <w:rsid w:val="003D0B10"/>
    <w:rsid w:val="003D1D2E"/>
    <w:rsid w:val="003D1D4B"/>
    <w:rsid w:val="003D2D99"/>
    <w:rsid w:val="003D34FF"/>
    <w:rsid w:val="003D463C"/>
    <w:rsid w:val="003D563F"/>
    <w:rsid w:val="003D58DB"/>
    <w:rsid w:val="003D70E6"/>
    <w:rsid w:val="003D7887"/>
    <w:rsid w:val="003D7AAB"/>
    <w:rsid w:val="003D7B37"/>
    <w:rsid w:val="003D7BD4"/>
    <w:rsid w:val="003E047F"/>
    <w:rsid w:val="003E0B22"/>
    <w:rsid w:val="003E0CE8"/>
    <w:rsid w:val="003E18AB"/>
    <w:rsid w:val="003E270A"/>
    <w:rsid w:val="003E2A17"/>
    <w:rsid w:val="003E2FC0"/>
    <w:rsid w:val="003E35D7"/>
    <w:rsid w:val="003E6DEA"/>
    <w:rsid w:val="003E7D2E"/>
    <w:rsid w:val="003F13CC"/>
    <w:rsid w:val="003F19D3"/>
    <w:rsid w:val="003F3DCC"/>
    <w:rsid w:val="003F4D5C"/>
    <w:rsid w:val="003F510D"/>
    <w:rsid w:val="003F5428"/>
    <w:rsid w:val="003F596B"/>
    <w:rsid w:val="003F5A32"/>
    <w:rsid w:val="003F6290"/>
    <w:rsid w:val="0040062A"/>
    <w:rsid w:val="00402BD9"/>
    <w:rsid w:val="00403772"/>
    <w:rsid w:val="0040600A"/>
    <w:rsid w:val="00406ABD"/>
    <w:rsid w:val="00407EB6"/>
    <w:rsid w:val="00410CFA"/>
    <w:rsid w:val="00411CE4"/>
    <w:rsid w:val="0041261A"/>
    <w:rsid w:val="004134BC"/>
    <w:rsid w:val="004151FC"/>
    <w:rsid w:val="00415561"/>
    <w:rsid w:val="00415696"/>
    <w:rsid w:val="00415867"/>
    <w:rsid w:val="00416EC5"/>
    <w:rsid w:val="004175E9"/>
    <w:rsid w:val="00423265"/>
    <w:rsid w:val="0042360A"/>
    <w:rsid w:val="004236EE"/>
    <w:rsid w:val="0042404F"/>
    <w:rsid w:val="004261AD"/>
    <w:rsid w:val="00427658"/>
    <w:rsid w:val="00427994"/>
    <w:rsid w:val="00430221"/>
    <w:rsid w:val="00431D3F"/>
    <w:rsid w:val="00432463"/>
    <w:rsid w:val="00432CC9"/>
    <w:rsid w:val="00433BA3"/>
    <w:rsid w:val="00433CCE"/>
    <w:rsid w:val="00434262"/>
    <w:rsid w:val="004346A7"/>
    <w:rsid w:val="00435FD1"/>
    <w:rsid w:val="00436150"/>
    <w:rsid w:val="004362E8"/>
    <w:rsid w:val="00436F85"/>
    <w:rsid w:val="00436FEE"/>
    <w:rsid w:val="00437230"/>
    <w:rsid w:val="00437C2A"/>
    <w:rsid w:val="0044143B"/>
    <w:rsid w:val="004419AD"/>
    <w:rsid w:val="00441DA6"/>
    <w:rsid w:val="004426CA"/>
    <w:rsid w:val="00443009"/>
    <w:rsid w:val="004442C0"/>
    <w:rsid w:val="00444F7D"/>
    <w:rsid w:val="00445146"/>
    <w:rsid w:val="00445657"/>
    <w:rsid w:val="00445C35"/>
    <w:rsid w:val="00446495"/>
    <w:rsid w:val="00446FB4"/>
    <w:rsid w:val="00447827"/>
    <w:rsid w:val="00450937"/>
    <w:rsid w:val="00452389"/>
    <w:rsid w:val="004528CC"/>
    <w:rsid w:val="00454392"/>
    <w:rsid w:val="004546E1"/>
    <w:rsid w:val="00454A65"/>
    <w:rsid w:val="004551EF"/>
    <w:rsid w:val="0045525F"/>
    <w:rsid w:val="0045538E"/>
    <w:rsid w:val="0045717D"/>
    <w:rsid w:val="00457C58"/>
    <w:rsid w:val="00457E82"/>
    <w:rsid w:val="0046022E"/>
    <w:rsid w:val="00464078"/>
    <w:rsid w:val="0046437C"/>
    <w:rsid w:val="004643ED"/>
    <w:rsid w:val="00464E89"/>
    <w:rsid w:val="004652F7"/>
    <w:rsid w:val="00471006"/>
    <w:rsid w:val="00471F87"/>
    <w:rsid w:val="00472687"/>
    <w:rsid w:val="0047420F"/>
    <w:rsid w:val="00475977"/>
    <w:rsid w:val="00475BD0"/>
    <w:rsid w:val="004761AD"/>
    <w:rsid w:val="00477BD3"/>
    <w:rsid w:val="004804C4"/>
    <w:rsid w:val="00482C6C"/>
    <w:rsid w:val="0048638A"/>
    <w:rsid w:val="0048770C"/>
    <w:rsid w:val="004907FD"/>
    <w:rsid w:val="00490A0E"/>
    <w:rsid w:val="00490D90"/>
    <w:rsid w:val="00490F89"/>
    <w:rsid w:val="00491641"/>
    <w:rsid w:val="0049311D"/>
    <w:rsid w:val="0049321D"/>
    <w:rsid w:val="00493F50"/>
    <w:rsid w:val="004949C4"/>
    <w:rsid w:val="00494F88"/>
    <w:rsid w:val="00495B2F"/>
    <w:rsid w:val="00496565"/>
    <w:rsid w:val="00496FA2"/>
    <w:rsid w:val="0049739C"/>
    <w:rsid w:val="004A0250"/>
    <w:rsid w:val="004A1E9D"/>
    <w:rsid w:val="004A26A6"/>
    <w:rsid w:val="004A2FC2"/>
    <w:rsid w:val="004A357A"/>
    <w:rsid w:val="004A3CA8"/>
    <w:rsid w:val="004A55FB"/>
    <w:rsid w:val="004A64EF"/>
    <w:rsid w:val="004A7010"/>
    <w:rsid w:val="004B004B"/>
    <w:rsid w:val="004B0DE9"/>
    <w:rsid w:val="004B1371"/>
    <w:rsid w:val="004B1875"/>
    <w:rsid w:val="004B1B41"/>
    <w:rsid w:val="004B2308"/>
    <w:rsid w:val="004B2B5A"/>
    <w:rsid w:val="004B2DAA"/>
    <w:rsid w:val="004B3351"/>
    <w:rsid w:val="004B474E"/>
    <w:rsid w:val="004B54CA"/>
    <w:rsid w:val="004B5986"/>
    <w:rsid w:val="004B5FBD"/>
    <w:rsid w:val="004B6827"/>
    <w:rsid w:val="004B6E0E"/>
    <w:rsid w:val="004B73FF"/>
    <w:rsid w:val="004B75E2"/>
    <w:rsid w:val="004C0888"/>
    <w:rsid w:val="004C0F06"/>
    <w:rsid w:val="004C29F2"/>
    <w:rsid w:val="004C3054"/>
    <w:rsid w:val="004C3118"/>
    <w:rsid w:val="004C60D5"/>
    <w:rsid w:val="004C6718"/>
    <w:rsid w:val="004C6954"/>
    <w:rsid w:val="004C6C1C"/>
    <w:rsid w:val="004D0430"/>
    <w:rsid w:val="004D1C4D"/>
    <w:rsid w:val="004D32B5"/>
    <w:rsid w:val="004D54B4"/>
    <w:rsid w:val="004D59A1"/>
    <w:rsid w:val="004D7C3C"/>
    <w:rsid w:val="004E0A1F"/>
    <w:rsid w:val="004E10FC"/>
    <w:rsid w:val="004E4EB3"/>
    <w:rsid w:val="004E4FF4"/>
    <w:rsid w:val="004E5CBF"/>
    <w:rsid w:val="004E5CD3"/>
    <w:rsid w:val="004E6377"/>
    <w:rsid w:val="004E67ED"/>
    <w:rsid w:val="004E7404"/>
    <w:rsid w:val="004F1148"/>
    <w:rsid w:val="004F200B"/>
    <w:rsid w:val="004F269A"/>
    <w:rsid w:val="004F4FC2"/>
    <w:rsid w:val="004F512C"/>
    <w:rsid w:val="004F5181"/>
    <w:rsid w:val="004F5748"/>
    <w:rsid w:val="004F5AA6"/>
    <w:rsid w:val="00501F4C"/>
    <w:rsid w:val="005023E4"/>
    <w:rsid w:val="00503F23"/>
    <w:rsid w:val="005050E0"/>
    <w:rsid w:val="005063D3"/>
    <w:rsid w:val="005075C9"/>
    <w:rsid w:val="005076ED"/>
    <w:rsid w:val="00507A8D"/>
    <w:rsid w:val="00510C25"/>
    <w:rsid w:val="0051192C"/>
    <w:rsid w:val="005142FA"/>
    <w:rsid w:val="00514312"/>
    <w:rsid w:val="00514723"/>
    <w:rsid w:val="00515F17"/>
    <w:rsid w:val="00516710"/>
    <w:rsid w:val="00516F5F"/>
    <w:rsid w:val="00522B43"/>
    <w:rsid w:val="005253FC"/>
    <w:rsid w:val="005265E0"/>
    <w:rsid w:val="00526AD5"/>
    <w:rsid w:val="00530EBF"/>
    <w:rsid w:val="00532BA6"/>
    <w:rsid w:val="0053344D"/>
    <w:rsid w:val="005334AC"/>
    <w:rsid w:val="0053380A"/>
    <w:rsid w:val="0053415F"/>
    <w:rsid w:val="005352A5"/>
    <w:rsid w:val="005352FE"/>
    <w:rsid w:val="00536741"/>
    <w:rsid w:val="00536E9E"/>
    <w:rsid w:val="005407B4"/>
    <w:rsid w:val="005411DF"/>
    <w:rsid w:val="00541B06"/>
    <w:rsid w:val="00541D24"/>
    <w:rsid w:val="00541F54"/>
    <w:rsid w:val="005424E1"/>
    <w:rsid w:val="0054264E"/>
    <w:rsid w:val="005431F2"/>
    <w:rsid w:val="005440DA"/>
    <w:rsid w:val="005452A3"/>
    <w:rsid w:val="00545431"/>
    <w:rsid w:val="0054636B"/>
    <w:rsid w:val="00546CA6"/>
    <w:rsid w:val="005473B6"/>
    <w:rsid w:val="0054762F"/>
    <w:rsid w:val="0054784C"/>
    <w:rsid w:val="0055015B"/>
    <w:rsid w:val="00551677"/>
    <w:rsid w:val="005519AA"/>
    <w:rsid w:val="00552143"/>
    <w:rsid w:val="00552E62"/>
    <w:rsid w:val="00553B31"/>
    <w:rsid w:val="005543E6"/>
    <w:rsid w:val="00554CDB"/>
    <w:rsid w:val="0055549E"/>
    <w:rsid w:val="00555A9C"/>
    <w:rsid w:val="00555C45"/>
    <w:rsid w:val="00557AF4"/>
    <w:rsid w:val="00563272"/>
    <w:rsid w:val="005635F1"/>
    <w:rsid w:val="00567B64"/>
    <w:rsid w:val="00570051"/>
    <w:rsid w:val="00570C75"/>
    <w:rsid w:val="00570D63"/>
    <w:rsid w:val="00570D9C"/>
    <w:rsid w:val="0057206A"/>
    <w:rsid w:val="005721A4"/>
    <w:rsid w:val="00572313"/>
    <w:rsid w:val="00572F94"/>
    <w:rsid w:val="00574F13"/>
    <w:rsid w:val="00576038"/>
    <w:rsid w:val="005801EA"/>
    <w:rsid w:val="00580736"/>
    <w:rsid w:val="00582BC9"/>
    <w:rsid w:val="00582E37"/>
    <w:rsid w:val="0058385B"/>
    <w:rsid w:val="005838B1"/>
    <w:rsid w:val="00584345"/>
    <w:rsid w:val="00586A19"/>
    <w:rsid w:val="00587C35"/>
    <w:rsid w:val="00587F91"/>
    <w:rsid w:val="005923E5"/>
    <w:rsid w:val="00592813"/>
    <w:rsid w:val="00592ED5"/>
    <w:rsid w:val="00594365"/>
    <w:rsid w:val="00594787"/>
    <w:rsid w:val="00594D58"/>
    <w:rsid w:val="005A0201"/>
    <w:rsid w:val="005A02FD"/>
    <w:rsid w:val="005A053C"/>
    <w:rsid w:val="005A3F9C"/>
    <w:rsid w:val="005A45F2"/>
    <w:rsid w:val="005A4C93"/>
    <w:rsid w:val="005A56FB"/>
    <w:rsid w:val="005A5D34"/>
    <w:rsid w:val="005A6405"/>
    <w:rsid w:val="005A6568"/>
    <w:rsid w:val="005A6717"/>
    <w:rsid w:val="005A6E4E"/>
    <w:rsid w:val="005B12F0"/>
    <w:rsid w:val="005B26B9"/>
    <w:rsid w:val="005B3177"/>
    <w:rsid w:val="005B3D5D"/>
    <w:rsid w:val="005B3DA8"/>
    <w:rsid w:val="005B43C9"/>
    <w:rsid w:val="005B4951"/>
    <w:rsid w:val="005B51E6"/>
    <w:rsid w:val="005B6EC3"/>
    <w:rsid w:val="005C00CF"/>
    <w:rsid w:val="005C0DF3"/>
    <w:rsid w:val="005C1D24"/>
    <w:rsid w:val="005C1D6A"/>
    <w:rsid w:val="005C2B57"/>
    <w:rsid w:val="005C32F9"/>
    <w:rsid w:val="005C3AA9"/>
    <w:rsid w:val="005C5EB7"/>
    <w:rsid w:val="005C7337"/>
    <w:rsid w:val="005D0964"/>
    <w:rsid w:val="005D0B2D"/>
    <w:rsid w:val="005D0F2D"/>
    <w:rsid w:val="005D1CCB"/>
    <w:rsid w:val="005D37EB"/>
    <w:rsid w:val="005D3B52"/>
    <w:rsid w:val="005D4D40"/>
    <w:rsid w:val="005D6D5B"/>
    <w:rsid w:val="005D7594"/>
    <w:rsid w:val="005E4CE9"/>
    <w:rsid w:val="005E4EDF"/>
    <w:rsid w:val="005E502D"/>
    <w:rsid w:val="005E6CDA"/>
    <w:rsid w:val="005E704E"/>
    <w:rsid w:val="005E7404"/>
    <w:rsid w:val="005F1B8C"/>
    <w:rsid w:val="005F3075"/>
    <w:rsid w:val="005F3D11"/>
    <w:rsid w:val="005F4ABB"/>
    <w:rsid w:val="005F4F6D"/>
    <w:rsid w:val="005F65F1"/>
    <w:rsid w:val="005F6D27"/>
    <w:rsid w:val="005F6FE5"/>
    <w:rsid w:val="00601486"/>
    <w:rsid w:val="00601AA4"/>
    <w:rsid w:val="00603EF8"/>
    <w:rsid w:val="00604168"/>
    <w:rsid w:val="00607145"/>
    <w:rsid w:val="00607346"/>
    <w:rsid w:val="00607CBB"/>
    <w:rsid w:val="00610010"/>
    <w:rsid w:val="00612119"/>
    <w:rsid w:val="0061276B"/>
    <w:rsid w:val="00612A70"/>
    <w:rsid w:val="00614575"/>
    <w:rsid w:val="00614AF0"/>
    <w:rsid w:val="00614D8B"/>
    <w:rsid w:val="00615405"/>
    <w:rsid w:val="00616066"/>
    <w:rsid w:val="0061779C"/>
    <w:rsid w:val="006178E4"/>
    <w:rsid w:val="00621723"/>
    <w:rsid w:val="00621951"/>
    <w:rsid w:val="00622E1C"/>
    <w:rsid w:val="00623A2E"/>
    <w:rsid w:val="00624037"/>
    <w:rsid w:val="00624299"/>
    <w:rsid w:val="00624317"/>
    <w:rsid w:val="0062482A"/>
    <w:rsid w:val="00624BC3"/>
    <w:rsid w:val="00624EEE"/>
    <w:rsid w:val="00625B2C"/>
    <w:rsid w:val="00627E10"/>
    <w:rsid w:val="00627F8A"/>
    <w:rsid w:val="00630835"/>
    <w:rsid w:val="00633015"/>
    <w:rsid w:val="00633FDC"/>
    <w:rsid w:val="00634000"/>
    <w:rsid w:val="00634869"/>
    <w:rsid w:val="00636EB7"/>
    <w:rsid w:val="00637C28"/>
    <w:rsid w:val="00637ECC"/>
    <w:rsid w:val="006404F9"/>
    <w:rsid w:val="00642D83"/>
    <w:rsid w:val="006436D3"/>
    <w:rsid w:val="006447C1"/>
    <w:rsid w:val="006451AA"/>
    <w:rsid w:val="006452BF"/>
    <w:rsid w:val="00646647"/>
    <w:rsid w:val="0065060D"/>
    <w:rsid w:val="00650B85"/>
    <w:rsid w:val="00650C8A"/>
    <w:rsid w:val="00651027"/>
    <w:rsid w:val="00651A10"/>
    <w:rsid w:val="00652352"/>
    <w:rsid w:val="00653D3D"/>
    <w:rsid w:val="00653D7A"/>
    <w:rsid w:val="00654778"/>
    <w:rsid w:val="00654C92"/>
    <w:rsid w:val="006552B8"/>
    <w:rsid w:val="00655649"/>
    <w:rsid w:val="006570F1"/>
    <w:rsid w:val="00657B3F"/>
    <w:rsid w:val="00657DAD"/>
    <w:rsid w:val="00660092"/>
    <w:rsid w:val="006621E9"/>
    <w:rsid w:val="006630B6"/>
    <w:rsid w:val="00664440"/>
    <w:rsid w:val="006648F2"/>
    <w:rsid w:val="00665C28"/>
    <w:rsid w:val="00665E75"/>
    <w:rsid w:val="0066690C"/>
    <w:rsid w:val="00666A4B"/>
    <w:rsid w:val="00667181"/>
    <w:rsid w:val="00671CA5"/>
    <w:rsid w:val="00671D63"/>
    <w:rsid w:val="00672F37"/>
    <w:rsid w:val="006735EE"/>
    <w:rsid w:val="006739A1"/>
    <w:rsid w:val="00673EDB"/>
    <w:rsid w:val="00674024"/>
    <w:rsid w:val="00675D8F"/>
    <w:rsid w:val="00676B62"/>
    <w:rsid w:val="00676E09"/>
    <w:rsid w:val="00677443"/>
    <w:rsid w:val="00677681"/>
    <w:rsid w:val="00677EC4"/>
    <w:rsid w:val="00682F6D"/>
    <w:rsid w:val="00682F90"/>
    <w:rsid w:val="0068400A"/>
    <w:rsid w:val="00684797"/>
    <w:rsid w:val="00684BAD"/>
    <w:rsid w:val="006916D7"/>
    <w:rsid w:val="0069190F"/>
    <w:rsid w:val="00692575"/>
    <w:rsid w:val="006931B5"/>
    <w:rsid w:val="0069320D"/>
    <w:rsid w:val="00696867"/>
    <w:rsid w:val="006A0622"/>
    <w:rsid w:val="006A2240"/>
    <w:rsid w:val="006A28D9"/>
    <w:rsid w:val="006A35A7"/>
    <w:rsid w:val="006A453F"/>
    <w:rsid w:val="006A4717"/>
    <w:rsid w:val="006A4AE4"/>
    <w:rsid w:val="006A4CE7"/>
    <w:rsid w:val="006A526A"/>
    <w:rsid w:val="006A647E"/>
    <w:rsid w:val="006A73D0"/>
    <w:rsid w:val="006B0134"/>
    <w:rsid w:val="006B0813"/>
    <w:rsid w:val="006B0F81"/>
    <w:rsid w:val="006B11DA"/>
    <w:rsid w:val="006B303B"/>
    <w:rsid w:val="006B5360"/>
    <w:rsid w:val="006B570C"/>
    <w:rsid w:val="006B61AA"/>
    <w:rsid w:val="006B71F2"/>
    <w:rsid w:val="006B7636"/>
    <w:rsid w:val="006B7F4B"/>
    <w:rsid w:val="006B7FD3"/>
    <w:rsid w:val="006C0E88"/>
    <w:rsid w:val="006C10FA"/>
    <w:rsid w:val="006C41D0"/>
    <w:rsid w:val="006C4B4A"/>
    <w:rsid w:val="006C5E22"/>
    <w:rsid w:val="006C692D"/>
    <w:rsid w:val="006C6D15"/>
    <w:rsid w:val="006D1A97"/>
    <w:rsid w:val="006D1FF5"/>
    <w:rsid w:val="006D23A4"/>
    <w:rsid w:val="006D3AF3"/>
    <w:rsid w:val="006D42FA"/>
    <w:rsid w:val="006E0136"/>
    <w:rsid w:val="006E17E5"/>
    <w:rsid w:val="006E1CF5"/>
    <w:rsid w:val="006E2203"/>
    <w:rsid w:val="006E2AD6"/>
    <w:rsid w:val="006E2F2D"/>
    <w:rsid w:val="006E4034"/>
    <w:rsid w:val="006E42E9"/>
    <w:rsid w:val="006E4408"/>
    <w:rsid w:val="006E5998"/>
    <w:rsid w:val="006E5BFB"/>
    <w:rsid w:val="006E6C39"/>
    <w:rsid w:val="006E7148"/>
    <w:rsid w:val="006F0BCE"/>
    <w:rsid w:val="006F0CAA"/>
    <w:rsid w:val="006F0EBA"/>
    <w:rsid w:val="006F1699"/>
    <w:rsid w:val="006F17EE"/>
    <w:rsid w:val="006F1CD7"/>
    <w:rsid w:val="006F25C3"/>
    <w:rsid w:val="006F4BE7"/>
    <w:rsid w:val="006F6C0C"/>
    <w:rsid w:val="006F70E1"/>
    <w:rsid w:val="006F7291"/>
    <w:rsid w:val="006F7305"/>
    <w:rsid w:val="006F7AD2"/>
    <w:rsid w:val="006F7CA8"/>
    <w:rsid w:val="00700C38"/>
    <w:rsid w:val="00700C61"/>
    <w:rsid w:val="00701F02"/>
    <w:rsid w:val="007024E1"/>
    <w:rsid w:val="00702CDC"/>
    <w:rsid w:val="00702DEF"/>
    <w:rsid w:val="00704368"/>
    <w:rsid w:val="00704A6C"/>
    <w:rsid w:val="0070582E"/>
    <w:rsid w:val="00705849"/>
    <w:rsid w:val="0070690D"/>
    <w:rsid w:val="00706917"/>
    <w:rsid w:val="00706DCE"/>
    <w:rsid w:val="0070708A"/>
    <w:rsid w:val="00707140"/>
    <w:rsid w:val="007072FE"/>
    <w:rsid w:val="00707E85"/>
    <w:rsid w:val="00710C6D"/>
    <w:rsid w:val="00710CAC"/>
    <w:rsid w:val="00710FB2"/>
    <w:rsid w:val="00711091"/>
    <w:rsid w:val="00714376"/>
    <w:rsid w:val="007143CE"/>
    <w:rsid w:val="007148A0"/>
    <w:rsid w:val="0071511B"/>
    <w:rsid w:val="007157B5"/>
    <w:rsid w:val="00716756"/>
    <w:rsid w:val="007169EE"/>
    <w:rsid w:val="00717446"/>
    <w:rsid w:val="0071778E"/>
    <w:rsid w:val="00720A12"/>
    <w:rsid w:val="007212B3"/>
    <w:rsid w:val="007218CB"/>
    <w:rsid w:val="007219F1"/>
    <w:rsid w:val="007232D6"/>
    <w:rsid w:val="00723583"/>
    <w:rsid w:val="00723E93"/>
    <w:rsid w:val="00725CBC"/>
    <w:rsid w:val="00730C26"/>
    <w:rsid w:val="0073135B"/>
    <w:rsid w:val="00734478"/>
    <w:rsid w:val="007366F2"/>
    <w:rsid w:val="00736EA8"/>
    <w:rsid w:val="00737BF0"/>
    <w:rsid w:val="007425E0"/>
    <w:rsid w:val="00742973"/>
    <w:rsid w:val="00742D61"/>
    <w:rsid w:val="007470D0"/>
    <w:rsid w:val="00747EF8"/>
    <w:rsid w:val="00751D90"/>
    <w:rsid w:val="007531A9"/>
    <w:rsid w:val="00754874"/>
    <w:rsid w:val="007566B2"/>
    <w:rsid w:val="007568BE"/>
    <w:rsid w:val="00756C95"/>
    <w:rsid w:val="0075751B"/>
    <w:rsid w:val="00760B67"/>
    <w:rsid w:val="007618C0"/>
    <w:rsid w:val="007624D5"/>
    <w:rsid w:val="0076267D"/>
    <w:rsid w:val="0076644E"/>
    <w:rsid w:val="0076674B"/>
    <w:rsid w:val="00766891"/>
    <w:rsid w:val="00770B39"/>
    <w:rsid w:val="0077122F"/>
    <w:rsid w:val="00771884"/>
    <w:rsid w:val="007718D0"/>
    <w:rsid w:val="00771B61"/>
    <w:rsid w:val="00771EB7"/>
    <w:rsid w:val="00772BF7"/>
    <w:rsid w:val="00772FD9"/>
    <w:rsid w:val="007730F5"/>
    <w:rsid w:val="00773D15"/>
    <w:rsid w:val="00773F9D"/>
    <w:rsid w:val="00774170"/>
    <w:rsid w:val="00774E9D"/>
    <w:rsid w:val="007765BE"/>
    <w:rsid w:val="00776803"/>
    <w:rsid w:val="0077688B"/>
    <w:rsid w:val="00780134"/>
    <w:rsid w:val="0078250B"/>
    <w:rsid w:val="0078499C"/>
    <w:rsid w:val="00784C2F"/>
    <w:rsid w:val="00785261"/>
    <w:rsid w:val="00785E18"/>
    <w:rsid w:val="0078610B"/>
    <w:rsid w:val="00790133"/>
    <w:rsid w:val="007916C5"/>
    <w:rsid w:val="00791DA9"/>
    <w:rsid w:val="00792EAD"/>
    <w:rsid w:val="007931A6"/>
    <w:rsid w:val="00793A9C"/>
    <w:rsid w:val="0079429B"/>
    <w:rsid w:val="00795B15"/>
    <w:rsid w:val="00796580"/>
    <w:rsid w:val="00796A1E"/>
    <w:rsid w:val="007A0022"/>
    <w:rsid w:val="007A07F3"/>
    <w:rsid w:val="007A0DAB"/>
    <w:rsid w:val="007A1806"/>
    <w:rsid w:val="007A1E75"/>
    <w:rsid w:val="007A25C3"/>
    <w:rsid w:val="007A44AA"/>
    <w:rsid w:val="007A4E23"/>
    <w:rsid w:val="007A56A7"/>
    <w:rsid w:val="007A56F9"/>
    <w:rsid w:val="007A629B"/>
    <w:rsid w:val="007A7CBF"/>
    <w:rsid w:val="007B0256"/>
    <w:rsid w:val="007B06B7"/>
    <w:rsid w:val="007B0C64"/>
    <w:rsid w:val="007B1A29"/>
    <w:rsid w:val="007B1F79"/>
    <w:rsid w:val="007B470F"/>
    <w:rsid w:val="007B60AB"/>
    <w:rsid w:val="007B719B"/>
    <w:rsid w:val="007B7C6A"/>
    <w:rsid w:val="007C2835"/>
    <w:rsid w:val="007C2B76"/>
    <w:rsid w:val="007C2D03"/>
    <w:rsid w:val="007C37CA"/>
    <w:rsid w:val="007C478F"/>
    <w:rsid w:val="007C6B80"/>
    <w:rsid w:val="007C6BE3"/>
    <w:rsid w:val="007C719F"/>
    <w:rsid w:val="007D224A"/>
    <w:rsid w:val="007D265F"/>
    <w:rsid w:val="007D4BBD"/>
    <w:rsid w:val="007D4C6A"/>
    <w:rsid w:val="007D4DC3"/>
    <w:rsid w:val="007D5444"/>
    <w:rsid w:val="007D6DBB"/>
    <w:rsid w:val="007E1605"/>
    <w:rsid w:val="007E197D"/>
    <w:rsid w:val="007E1A8F"/>
    <w:rsid w:val="007E3662"/>
    <w:rsid w:val="007E4549"/>
    <w:rsid w:val="007E555A"/>
    <w:rsid w:val="007E722C"/>
    <w:rsid w:val="007F02F2"/>
    <w:rsid w:val="007F14A7"/>
    <w:rsid w:val="007F174A"/>
    <w:rsid w:val="007F4594"/>
    <w:rsid w:val="007F48B8"/>
    <w:rsid w:val="007F4994"/>
    <w:rsid w:val="007F56C2"/>
    <w:rsid w:val="007F5A5E"/>
    <w:rsid w:val="007F6332"/>
    <w:rsid w:val="0080061A"/>
    <w:rsid w:val="00801437"/>
    <w:rsid w:val="00801482"/>
    <w:rsid w:val="00801BB4"/>
    <w:rsid w:val="008033D2"/>
    <w:rsid w:val="008073AB"/>
    <w:rsid w:val="00811012"/>
    <w:rsid w:val="00812215"/>
    <w:rsid w:val="00812374"/>
    <w:rsid w:val="00812A9A"/>
    <w:rsid w:val="00812E7F"/>
    <w:rsid w:val="00812FC6"/>
    <w:rsid w:val="0081306A"/>
    <w:rsid w:val="0081395F"/>
    <w:rsid w:val="00814D72"/>
    <w:rsid w:val="0081527E"/>
    <w:rsid w:val="00815E94"/>
    <w:rsid w:val="008161FF"/>
    <w:rsid w:val="00817408"/>
    <w:rsid w:val="008209FD"/>
    <w:rsid w:val="0082118B"/>
    <w:rsid w:val="008212C1"/>
    <w:rsid w:val="0082134A"/>
    <w:rsid w:val="00821851"/>
    <w:rsid w:val="00821923"/>
    <w:rsid w:val="00822C9E"/>
    <w:rsid w:val="0082341E"/>
    <w:rsid w:val="008239ED"/>
    <w:rsid w:val="00823F5D"/>
    <w:rsid w:val="00823FC9"/>
    <w:rsid w:val="00824136"/>
    <w:rsid w:val="00826BA2"/>
    <w:rsid w:val="008306B9"/>
    <w:rsid w:val="008312F7"/>
    <w:rsid w:val="008313D0"/>
    <w:rsid w:val="008316FD"/>
    <w:rsid w:val="00831A2C"/>
    <w:rsid w:val="00831DCB"/>
    <w:rsid w:val="008324C4"/>
    <w:rsid w:val="00832588"/>
    <w:rsid w:val="008326BB"/>
    <w:rsid w:val="008333B3"/>
    <w:rsid w:val="00833730"/>
    <w:rsid w:val="008338D8"/>
    <w:rsid w:val="00840FF2"/>
    <w:rsid w:val="00844316"/>
    <w:rsid w:val="008448AF"/>
    <w:rsid w:val="00844F1B"/>
    <w:rsid w:val="00845429"/>
    <w:rsid w:val="00845658"/>
    <w:rsid w:val="00845DFA"/>
    <w:rsid w:val="00845F09"/>
    <w:rsid w:val="008502F3"/>
    <w:rsid w:val="00850C22"/>
    <w:rsid w:val="008533C3"/>
    <w:rsid w:val="008536A4"/>
    <w:rsid w:val="00853B01"/>
    <w:rsid w:val="00853D47"/>
    <w:rsid w:val="008543F2"/>
    <w:rsid w:val="00855FE7"/>
    <w:rsid w:val="00857ACB"/>
    <w:rsid w:val="00860271"/>
    <w:rsid w:val="008603DE"/>
    <w:rsid w:val="008607CE"/>
    <w:rsid w:val="00861854"/>
    <w:rsid w:val="00862954"/>
    <w:rsid w:val="0086297D"/>
    <w:rsid w:val="00863042"/>
    <w:rsid w:val="008634C3"/>
    <w:rsid w:val="00863F82"/>
    <w:rsid w:val="00865E47"/>
    <w:rsid w:val="00866584"/>
    <w:rsid w:val="00866639"/>
    <w:rsid w:val="00866E23"/>
    <w:rsid w:val="0087211C"/>
    <w:rsid w:val="00872D4A"/>
    <w:rsid w:val="0087310D"/>
    <w:rsid w:val="008731C0"/>
    <w:rsid w:val="0087553A"/>
    <w:rsid w:val="00875A72"/>
    <w:rsid w:val="008761B7"/>
    <w:rsid w:val="00877A06"/>
    <w:rsid w:val="00877CEF"/>
    <w:rsid w:val="00881879"/>
    <w:rsid w:val="00882C4D"/>
    <w:rsid w:val="00884184"/>
    <w:rsid w:val="0088426B"/>
    <w:rsid w:val="00884AB4"/>
    <w:rsid w:val="00884C6B"/>
    <w:rsid w:val="00885FD1"/>
    <w:rsid w:val="008864EB"/>
    <w:rsid w:val="0089099F"/>
    <w:rsid w:val="00891A6E"/>
    <w:rsid w:val="00891CD4"/>
    <w:rsid w:val="0089323E"/>
    <w:rsid w:val="00893BA1"/>
    <w:rsid w:val="00894AAE"/>
    <w:rsid w:val="00895B9A"/>
    <w:rsid w:val="00896216"/>
    <w:rsid w:val="00896AA9"/>
    <w:rsid w:val="008974A6"/>
    <w:rsid w:val="00897667"/>
    <w:rsid w:val="00897954"/>
    <w:rsid w:val="008A1C67"/>
    <w:rsid w:val="008A2673"/>
    <w:rsid w:val="008A5F22"/>
    <w:rsid w:val="008A75A2"/>
    <w:rsid w:val="008A7ABE"/>
    <w:rsid w:val="008B1318"/>
    <w:rsid w:val="008B1FAC"/>
    <w:rsid w:val="008B24AD"/>
    <w:rsid w:val="008B2921"/>
    <w:rsid w:val="008B34A8"/>
    <w:rsid w:val="008B36A5"/>
    <w:rsid w:val="008B5AAB"/>
    <w:rsid w:val="008B5B4B"/>
    <w:rsid w:val="008B5D13"/>
    <w:rsid w:val="008B5F77"/>
    <w:rsid w:val="008B7A71"/>
    <w:rsid w:val="008C0825"/>
    <w:rsid w:val="008C0908"/>
    <w:rsid w:val="008C192C"/>
    <w:rsid w:val="008C25B5"/>
    <w:rsid w:val="008C33E3"/>
    <w:rsid w:val="008C376C"/>
    <w:rsid w:val="008C5291"/>
    <w:rsid w:val="008C5650"/>
    <w:rsid w:val="008C5AFD"/>
    <w:rsid w:val="008C6A9E"/>
    <w:rsid w:val="008C7800"/>
    <w:rsid w:val="008D1947"/>
    <w:rsid w:val="008D1FDF"/>
    <w:rsid w:val="008D20EA"/>
    <w:rsid w:val="008D2F1F"/>
    <w:rsid w:val="008D4611"/>
    <w:rsid w:val="008D5F82"/>
    <w:rsid w:val="008D678E"/>
    <w:rsid w:val="008D6828"/>
    <w:rsid w:val="008D6CCF"/>
    <w:rsid w:val="008D7E3C"/>
    <w:rsid w:val="008D7F3D"/>
    <w:rsid w:val="008E4704"/>
    <w:rsid w:val="008E5373"/>
    <w:rsid w:val="008E5F12"/>
    <w:rsid w:val="008E6997"/>
    <w:rsid w:val="008E7B27"/>
    <w:rsid w:val="008E7D15"/>
    <w:rsid w:val="008F09A7"/>
    <w:rsid w:val="008F0BD1"/>
    <w:rsid w:val="008F134E"/>
    <w:rsid w:val="008F16C1"/>
    <w:rsid w:val="008F1C3E"/>
    <w:rsid w:val="008F253A"/>
    <w:rsid w:val="008F42DC"/>
    <w:rsid w:val="008F459A"/>
    <w:rsid w:val="008F4DCE"/>
    <w:rsid w:val="008F5358"/>
    <w:rsid w:val="008F5541"/>
    <w:rsid w:val="008F7264"/>
    <w:rsid w:val="0090215A"/>
    <w:rsid w:val="009028ED"/>
    <w:rsid w:val="00903FA7"/>
    <w:rsid w:val="00911ADF"/>
    <w:rsid w:val="00912BAB"/>
    <w:rsid w:val="00912E79"/>
    <w:rsid w:val="009144D1"/>
    <w:rsid w:val="00915257"/>
    <w:rsid w:val="0091588C"/>
    <w:rsid w:val="00916094"/>
    <w:rsid w:val="00920124"/>
    <w:rsid w:val="009208E1"/>
    <w:rsid w:val="00921B5D"/>
    <w:rsid w:val="009225F0"/>
    <w:rsid w:val="009226A9"/>
    <w:rsid w:val="00922C15"/>
    <w:rsid w:val="00923654"/>
    <w:rsid w:val="009238F7"/>
    <w:rsid w:val="00923ED2"/>
    <w:rsid w:val="00924D86"/>
    <w:rsid w:val="00925026"/>
    <w:rsid w:val="00925643"/>
    <w:rsid w:val="0092643C"/>
    <w:rsid w:val="0092687A"/>
    <w:rsid w:val="00927080"/>
    <w:rsid w:val="009276C8"/>
    <w:rsid w:val="00930E69"/>
    <w:rsid w:val="009331F0"/>
    <w:rsid w:val="00933C21"/>
    <w:rsid w:val="009351A2"/>
    <w:rsid w:val="009352B3"/>
    <w:rsid w:val="00935DD8"/>
    <w:rsid w:val="00936337"/>
    <w:rsid w:val="009368F8"/>
    <w:rsid w:val="00937C03"/>
    <w:rsid w:val="00942472"/>
    <w:rsid w:val="00942A03"/>
    <w:rsid w:val="00942CEB"/>
    <w:rsid w:val="0094464E"/>
    <w:rsid w:val="00945CBF"/>
    <w:rsid w:val="00946472"/>
    <w:rsid w:val="00947962"/>
    <w:rsid w:val="00950565"/>
    <w:rsid w:val="009541C7"/>
    <w:rsid w:val="0095676D"/>
    <w:rsid w:val="009570C0"/>
    <w:rsid w:val="009573DC"/>
    <w:rsid w:val="00957BCE"/>
    <w:rsid w:val="00960C76"/>
    <w:rsid w:val="00961598"/>
    <w:rsid w:val="00961658"/>
    <w:rsid w:val="0096248B"/>
    <w:rsid w:val="00965644"/>
    <w:rsid w:val="00966114"/>
    <w:rsid w:val="00970232"/>
    <w:rsid w:val="00971D01"/>
    <w:rsid w:val="009736EC"/>
    <w:rsid w:val="00973B43"/>
    <w:rsid w:val="00974CAD"/>
    <w:rsid w:val="009757CB"/>
    <w:rsid w:val="00975D97"/>
    <w:rsid w:val="00976BCD"/>
    <w:rsid w:val="0097712C"/>
    <w:rsid w:val="00977802"/>
    <w:rsid w:val="009810B8"/>
    <w:rsid w:val="009839C9"/>
    <w:rsid w:val="00984C6C"/>
    <w:rsid w:val="00984F82"/>
    <w:rsid w:val="009850C2"/>
    <w:rsid w:val="00986064"/>
    <w:rsid w:val="00990356"/>
    <w:rsid w:val="00990FD6"/>
    <w:rsid w:val="009934B1"/>
    <w:rsid w:val="00993BF7"/>
    <w:rsid w:val="009949E2"/>
    <w:rsid w:val="00994C03"/>
    <w:rsid w:val="0099643C"/>
    <w:rsid w:val="009A04CF"/>
    <w:rsid w:val="009A0512"/>
    <w:rsid w:val="009A0CE1"/>
    <w:rsid w:val="009A255A"/>
    <w:rsid w:val="009A264D"/>
    <w:rsid w:val="009A27A8"/>
    <w:rsid w:val="009A343D"/>
    <w:rsid w:val="009A3AAB"/>
    <w:rsid w:val="009A3BB7"/>
    <w:rsid w:val="009A46BF"/>
    <w:rsid w:val="009A59FF"/>
    <w:rsid w:val="009A6848"/>
    <w:rsid w:val="009A7D80"/>
    <w:rsid w:val="009B0287"/>
    <w:rsid w:val="009B3503"/>
    <w:rsid w:val="009B56E1"/>
    <w:rsid w:val="009B58C8"/>
    <w:rsid w:val="009B601D"/>
    <w:rsid w:val="009B6043"/>
    <w:rsid w:val="009B6D39"/>
    <w:rsid w:val="009B7072"/>
    <w:rsid w:val="009B7900"/>
    <w:rsid w:val="009C0A22"/>
    <w:rsid w:val="009C3091"/>
    <w:rsid w:val="009C3191"/>
    <w:rsid w:val="009C3194"/>
    <w:rsid w:val="009C3432"/>
    <w:rsid w:val="009C40FE"/>
    <w:rsid w:val="009C4D5C"/>
    <w:rsid w:val="009C5156"/>
    <w:rsid w:val="009C7592"/>
    <w:rsid w:val="009D09E1"/>
    <w:rsid w:val="009D0B77"/>
    <w:rsid w:val="009D0EFB"/>
    <w:rsid w:val="009D1122"/>
    <w:rsid w:val="009D117B"/>
    <w:rsid w:val="009D1F3E"/>
    <w:rsid w:val="009D23BC"/>
    <w:rsid w:val="009D3223"/>
    <w:rsid w:val="009D4F33"/>
    <w:rsid w:val="009D6A01"/>
    <w:rsid w:val="009D6ABA"/>
    <w:rsid w:val="009E106F"/>
    <w:rsid w:val="009E1D9C"/>
    <w:rsid w:val="009E2B66"/>
    <w:rsid w:val="009E4CF4"/>
    <w:rsid w:val="009E66D7"/>
    <w:rsid w:val="009E73B7"/>
    <w:rsid w:val="009E750D"/>
    <w:rsid w:val="009F01CB"/>
    <w:rsid w:val="009F071B"/>
    <w:rsid w:val="009F0D84"/>
    <w:rsid w:val="009F4D5A"/>
    <w:rsid w:val="00A006EB"/>
    <w:rsid w:val="00A019C0"/>
    <w:rsid w:val="00A020CA"/>
    <w:rsid w:val="00A023D4"/>
    <w:rsid w:val="00A07279"/>
    <w:rsid w:val="00A07315"/>
    <w:rsid w:val="00A077F2"/>
    <w:rsid w:val="00A11248"/>
    <w:rsid w:val="00A113BB"/>
    <w:rsid w:val="00A11964"/>
    <w:rsid w:val="00A11ADB"/>
    <w:rsid w:val="00A11DAA"/>
    <w:rsid w:val="00A12E65"/>
    <w:rsid w:val="00A148ED"/>
    <w:rsid w:val="00A209B6"/>
    <w:rsid w:val="00A218B9"/>
    <w:rsid w:val="00A21D68"/>
    <w:rsid w:val="00A22B2D"/>
    <w:rsid w:val="00A23A94"/>
    <w:rsid w:val="00A24EB7"/>
    <w:rsid w:val="00A25E36"/>
    <w:rsid w:val="00A267EA"/>
    <w:rsid w:val="00A2767D"/>
    <w:rsid w:val="00A27D6B"/>
    <w:rsid w:val="00A30E6A"/>
    <w:rsid w:val="00A316F5"/>
    <w:rsid w:val="00A31950"/>
    <w:rsid w:val="00A31C47"/>
    <w:rsid w:val="00A31F7C"/>
    <w:rsid w:val="00A33CF2"/>
    <w:rsid w:val="00A37421"/>
    <w:rsid w:val="00A3750D"/>
    <w:rsid w:val="00A406C9"/>
    <w:rsid w:val="00A41C5B"/>
    <w:rsid w:val="00A420E4"/>
    <w:rsid w:val="00A442CD"/>
    <w:rsid w:val="00A449E9"/>
    <w:rsid w:val="00A4521B"/>
    <w:rsid w:val="00A457F8"/>
    <w:rsid w:val="00A46D10"/>
    <w:rsid w:val="00A5017C"/>
    <w:rsid w:val="00A501B4"/>
    <w:rsid w:val="00A51F5E"/>
    <w:rsid w:val="00A53DFA"/>
    <w:rsid w:val="00A5462F"/>
    <w:rsid w:val="00A55730"/>
    <w:rsid w:val="00A56D78"/>
    <w:rsid w:val="00A574D6"/>
    <w:rsid w:val="00A610CD"/>
    <w:rsid w:val="00A614EE"/>
    <w:rsid w:val="00A61B63"/>
    <w:rsid w:val="00A6309F"/>
    <w:rsid w:val="00A636BF"/>
    <w:rsid w:val="00A644B7"/>
    <w:rsid w:val="00A6518C"/>
    <w:rsid w:val="00A6600A"/>
    <w:rsid w:val="00A66C1E"/>
    <w:rsid w:val="00A67977"/>
    <w:rsid w:val="00A67C0F"/>
    <w:rsid w:val="00A7111D"/>
    <w:rsid w:val="00A716CF"/>
    <w:rsid w:val="00A72584"/>
    <w:rsid w:val="00A731E1"/>
    <w:rsid w:val="00A74376"/>
    <w:rsid w:val="00A761F2"/>
    <w:rsid w:val="00A77CE5"/>
    <w:rsid w:val="00A804FA"/>
    <w:rsid w:val="00A80A6E"/>
    <w:rsid w:val="00A81614"/>
    <w:rsid w:val="00A81BAF"/>
    <w:rsid w:val="00A81DB2"/>
    <w:rsid w:val="00A82366"/>
    <w:rsid w:val="00A83786"/>
    <w:rsid w:val="00A83838"/>
    <w:rsid w:val="00A85049"/>
    <w:rsid w:val="00A85756"/>
    <w:rsid w:val="00A85DF5"/>
    <w:rsid w:val="00A866E3"/>
    <w:rsid w:val="00A90CCB"/>
    <w:rsid w:val="00A90DB3"/>
    <w:rsid w:val="00A924F4"/>
    <w:rsid w:val="00A9416C"/>
    <w:rsid w:val="00A9431D"/>
    <w:rsid w:val="00A94CA4"/>
    <w:rsid w:val="00A97EFF"/>
    <w:rsid w:val="00AA00C0"/>
    <w:rsid w:val="00AA03CA"/>
    <w:rsid w:val="00AA097F"/>
    <w:rsid w:val="00AA119A"/>
    <w:rsid w:val="00AA2128"/>
    <w:rsid w:val="00AA2198"/>
    <w:rsid w:val="00AA224B"/>
    <w:rsid w:val="00AA2934"/>
    <w:rsid w:val="00AA2BF9"/>
    <w:rsid w:val="00AA32CC"/>
    <w:rsid w:val="00AA4BEE"/>
    <w:rsid w:val="00AA4D17"/>
    <w:rsid w:val="00AA5292"/>
    <w:rsid w:val="00AA59AC"/>
    <w:rsid w:val="00AA7F28"/>
    <w:rsid w:val="00AB08DE"/>
    <w:rsid w:val="00AB0E5A"/>
    <w:rsid w:val="00AB25E8"/>
    <w:rsid w:val="00AB324D"/>
    <w:rsid w:val="00AB42D5"/>
    <w:rsid w:val="00AB4553"/>
    <w:rsid w:val="00AC0D04"/>
    <w:rsid w:val="00AC4BB7"/>
    <w:rsid w:val="00AC50BE"/>
    <w:rsid w:val="00AC539F"/>
    <w:rsid w:val="00AC53DF"/>
    <w:rsid w:val="00AC644F"/>
    <w:rsid w:val="00AC67FC"/>
    <w:rsid w:val="00AD0FBF"/>
    <w:rsid w:val="00AD15AD"/>
    <w:rsid w:val="00AD33D4"/>
    <w:rsid w:val="00AD4307"/>
    <w:rsid w:val="00AD5236"/>
    <w:rsid w:val="00AD524A"/>
    <w:rsid w:val="00AD58C7"/>
    <w:rsid w:val="00AD59AC"/>
    <w:rsid w:val="00AD5D8E"/>
    <w:rsid w:val="00AD65E3"/>
    <w:rsid w:val="00AD6659"/>
    <w:rsid w:val="00AE152B"/>
    <w:rsid w:val="00AE250F"/>
    <w:rsid w:val="00AE2A33"/>
    <w:rsid w:val="00AE2AFE"/>
    <w:rsid w:val="00AE3366"/>
    <w:rsid w:val="00AE399E"/>
    <w:rsid w:val="00AE4B14"/>
    <w:rsid w:val="00AE5C9A"/>
    <w:rsid w:val="00AE6A5C"/>
    <w:rsid w:val="00AE7730"/>
    <w:rsid w:val="00AF0AEE"/>
    <w:rsid w:val="00AF16CF"/>
    <w:rsid w:val="00AF21F1"/>
    <w:rsid w:val="00AF3D8D"/>
    <w:rsid w:val="00AF5947"/>
    <w:rsid w:val="00AF67F5"/>
    <w:rsid w:val="00AF6C85"/>
    <w:rsid w:val="00AF6FD1"/>
    <w:rsid w:val="00B01715"/>
    <w:rsid w:val="00B02687"/>
    <w:rsid w:val="00B02EE7"/>
    <w:rsid w:val="00B03112"/>
    <w:rsid w:val="00B042DF"/>
    <w:rsid w:val="00B05B99"/>
    <w:rsid w:val="00B06458"/>
    <w:rsid w:val="00B06A3F"/>
    <w:rsid w:val="00B06C23"/>
    <w:rsid w:val="00B072E2"/>
    <w:rsid w:val="00B1295A"/>
    <w:rsid w:val="00B139A7"/>
    <w:rsid w:val="00B15CFC"/>
    <w:rsid w:val="00B16754"/>
    <w:rsid w:val="00B16891"/>
    <w:rsid w:val="00B173AF"/>
    <w:rsid w:val="00B173C8"/>
    <w:rsid w:val="00B212CB"/>
    <w:rsid w:val="00B230D4"/>
    <w:rsid w:val="00B23E63"/>
    <w:rsid w:val="00B24D61"/>
    <w:rsid w:val="00B27019"/>
    <w:rsid w:val="00B27FC2"/>
    <w:rsid w:val="00B308E2"/>
    <w:rsid w:val="00B30F27"/>
    <w:rsid w:val="00B319F5"/>
    <w:rsid w:val="00B3201F"/>
    <w:rsid w:val="00B35B0F"/>
    <w:rsid w:val="00B37B2B"/>
    <w:rsid w:val="00B4002A"/>
    <w:rsid w:val="00B41217"/>
    <w:rsid w:val="00B4146A"/>
    <w:rsid w:val="00B421BE"/>
    <w:rsid w:val="00B4434B"/>
    <w:rsid w:val="00B4458F"/>
    <w:rsid w:val="00B445CE"/>
    <w:rsid w:val="00B45B70"/>
    <w:rsid w:val="00B46777"/>
    <w:rsid w:val="00B46FC5"/>
    <w:rsid w:val="00B50353"/>
    <w:rsid w:val="00B514F7"/>
    <w:rsid w:val="00B518EB"/>
    <w:rsid w:val="00B5199F"/>
    <w:rsid w:val="00B52F3A"/>
    <w:rsid w:val="00B5336F"/>
    <w:rsid w:val="00B53F83"/>
    <w:rsid w:val="00B5477F"/>
    <w:rsid w:val="00B55A92"/>
    <w:rsid w:val="00B57F6D"/>
    <w:rsid w:val="00B62A33"/>
    <w:rsid w:val="00B62B34"/>
    <w:rsid w:val="00B62F8A"/>
    <w:rsid w:val="00B63E15"/>
    <w:rsid w:val="00B63EFF"/>
    <w:rsid w:val="00B647DA"/>
    <w:rsid w:val="00B6526E"/>
    <w:rsid w:val="00B700BC"/>
    <w:rsid w:val="00B709E5"/>
    <w:rsid w:val="00B7127F"/>
    <w:rsid w:val="00B723E7"/>
    <w:rsid w:val="00B724CC"/>
    <w:rsid w:val="00B72689"/>
    <w:rsid w:val="00B73E28"/>
    <w:rsid w:val="00B74706"/>
    <w:rsid w:val="00B75093"/>
    <w:rsid w:val="00B76A89"/>
    <w:rsid w:val="00B8399D"/>
    <w:rsid w:val="00B8514E"/>
    <w:rsid w:val="00B85858"/>
    <w:rsid w:val="00B86180"/>
    <w:rsid w:val="00B86BFD"/>
    <w:rsid w:val="00B876AF"/>
    <w:rsid w:val="00B87FF3"/>
    <w:rsid w:val="00B913F7"/>
    <w:rsid w:val="00B914D6"/>
    <w:rsid w:val="00B91D74"/>
    <w:rsid w:val="00B92986"/>
    <w:rsid w:val="00B92EBB"/>
    <w:rsid w:val="00B953C5"/>
    <w:rsid w:val="00B9630E"/>
    <w:rsid w:val="00B96AB1"/>
    <w:rsid w:val="00BA1444"/>
    <w:rsid w:val="00BA2DB9"/>
    <w:rsid w:val="00BA3C62"/>
    <w:rsid w:val="00BA4308"/>
    <w:rsid w:val="00BA4BE2"/>
    <w:rsid w:val="00BA66EA"/>
    <w:rsid w:val="00BA78DC"/>
    <w:rsid w:val="00BB0E57"/>
    <w:rsid w:val="00BB1468"/>
    <w:rsid w:val="00BB1A13"/>
    <w:rsid w:val="00BB24B8"/>
    <w:rsid w:val="00BB3095"/>
    <w:rsid w:val="00BB347E"/>
    <w:rsid w:val="00BB3543"/>
    <w:rsid w:val="00BB35B6"/>
    <w:rsid w:val="00BB3D84"/>
    <w:rsid w:val="00BB41E0"/>
    <w:rsid w:val="00BB46B4"/>
    <w:rsid w:val="00BB5805"/>
    <w:rsid w:val="00BC0C9C"/>
    <w:rsid w:val="00BC128B"/>
    <w:rsid w:val="00BC34A2"/>
    <w:rsid w:val="00BC422E"/>
    <w:rsid w:val="00BC4D93"/>
    <w:rsid w:val="00BC5B44"/>
    <w:rsid w:val="00BC6A52"/>
    <w:rsid w:val="00BC706F"/>
    <w:rsid w:val="00BC7BD4"/>
    <w:rsid w:val="00BD0609"/>
    <w:rsid w:val="00BD2B60"/>
    <w:rsid w:val="00BD309F"/>
    <w:rsid w:val="00BD38FA"/>
    <w:rsid w:val="00BD5693"/>
    <w:rsid w:val="00BD5B07"/>
    <w:rsid w:val="00BD5EE2"/>
    <w:rsid w:val="00BD6132"/>
    <w:rsid w:val="00BD7141"/>
    <w:rsid w:val="00BD7777"/>
    <w:rsid w:val="00BE0221"/>
    <w:rsid w:val="00BE02E1"/>
    <w:rsid w:val="00BE0863"/>
    <w:rsid w:val="00BE32D8"/>
    <w:rsid w:val="00BE37F3"/>
    <w:rsid w:val="00BE3AB4"/>
    <w:rsid w:val="00BE632A"/>
    <w:rsid w:val="00BE63C6"/>
    <w:rsid w:val="00BE7148"/>
    <w:rsid w:val="00BE7AF4"/>
    <w:rsid w:val="00BE7C57"/>
    <w:rsid w:val="00BF01FF"/>
    <w:rsid w:val="00BF03E5"/>
    <w:rsid w:val="00BF1362"/>
    <w:rsid w:val="00BF17CD"/>
    <w:rsid w:val="00BF2408"/>
    <w:rsid w:val="00BF3FB2"/>
    <w:rsid w:val="00BF40B1"/>
    <w:rsid w:val="00BF46E7"/>
    <w:rsid w:val="00BF5874"/>
    <w:rsid w:val="00BF7BFE"/>
    <w:rsid w:val="00C0322B"/>
    <w:rsid w:val="00C036B8"/>
    <w:rsid w:val="00C048E3"/>
    <w:rsid w:val="00C06C4D"/>
    <w:rsid w:val="00C07822"/>
    <w:rsid w:val="00C07AD8"/>
    <w:rsid w:val="00C10D35"/>
    <w:rsid w:val="00C112E5"/>
    <w:rsid w:val="00C11F93"/>
    <w:rsid w:val="00C12A12"/>
    <w:rsid w:val="00C13689"/>
    <w:rsid w:val="00C146E6"/>
    <w:rsid w:val="00C14C01"/>
    <w:rsid w:val="00C14EC8"/>
    <w:rsid w:val="00C150CC"/>
    <w:rsid w:val="00C1676F"/>
    <w:rsid w:val="00C16AED"/>
    <w:rsid w:val="00C16D56"/>
    <w:rsid w:val="00C17366"/>
    <w:rsid w:val="00C1755E"/>
    <w:rsid w:val="00C201F7"/>
    <w:rsid w:val="00C221F5"/>
    <w:rsid w:val="00C2246F"/>
    <w:rsid w:val="00C22BD8"/>
    <w:rsid w:val="00C230A6"/>
    <w:rsid w:val="00C240A6"/>
    <w:rsid w:val="00C24C1E"/>
    <w:rsid w:val="00C25225"/>
    <w:rsid w:val="00C270E9"/>
    <w:rsid w:val="00C301F4"/>
    <w:rsid w:val="00C30B91"/>
    <w:rsid w:val="00C30E55"/>
    <w:rsid w:val="00C32643"/>
    <w:rsid w:val="00C32EBD"/>
    <w:rsid w:val="00C330A5"/>
    <w:rsid w:val="00C336E4"/>
    <w:rsid w:val="00C34416"/>
    <w:rsid w:val="00C34C92"/>
    <w:rsid w:val="00C41901"/>
    <w:rsid w:val="00C437DF"/>
    <w:rsid w:val="00C44C1D"/>
    <w:rsid w:val="00C46DEB"/>
    <w:rsid w:val="00C46EFE"/>
    <w:rsid w:val="00C51088"/>
    <w:rsid w:val="00C51EAB"/>
    <w:rsid w:val="00C53D93"/>
    <w:rsid w:val="00C5463A"/>
    <w:rsid w:val="00C55AC0"/>
    <w:rsid w:val="00C55DD2"/>
    <w:rsid w:val="00C56CD1"/>
    <w:rsid w:val="00C57AA6"/>
    <w:rsid w:val="00C57C5D"/>
    <w:rsid w:val="00C57F15"/>
    <w:rsid w:val="00C604F6"/>
    <w:rsid w:val="00C60FAD"/>
    <w:rsid w:val="00C61CD4"/>
    <w:rsid w:val="00C63DFB"/>
    <w:rsid w:val="00C65175"/>
    <w:rsid w:val="00C655FB"/>
    <w:rsid w:val="00C65B6A"/>
    <w:rsid w:val="00C65DD4"/>
    <w:rsid w:val="00C67606"/>
    <w:rsid w:val="00C67BEA"/>
    <w:rsid w:val="00C710BC"/>
    <w:rsid w:val="00C71C59"/>
    <w:rsid w:val="00C7234E"/>
    <w:rsid w:val="00C72FB8"/>
    <w:rsid w:val="00C7303E"/>
    <w:rsid w:val="00C732F7"/>
    <w:rsid w:val="00C7459A"/>
    <w:rsid w:val="00C77C0D"/>
    <w:rsid w:val="00C77C53"/>
    <w:rsid w:val="00C8205F"/>
    <w:rsid w:val="00C82143"/>
    <w:rsid w:val="00C82B63"/>
    <w:rsid w:val="00C836D8"/>
    <w:rsid w:val="00C843FA"/>
    <w:rsid w:val="00C849E0"/>
    <w:rsid w:val="00C86AEF"/>
    <w:rsid w:val="00C86B1E"/>
    <w:rsid w:val="00C87897"/>
    <w:rsid w:val="00C90C3F"/>
    <w:rsid w:val="00C915FE"/>
    <w:rsid w:val="00C91F75"/>
    <w:rsid w:val="00C9282D"/>
    <w:rsid w:val="00C92C05"/>
    <w:rsid w:val="00C94001"/>
    <w:rsid w:val="00C947F6"/>
    <w:rsid w:val="00C96360"/>
    <w:rsid w:val="00C97220"/>
    <w:rsid w:val="00C97FE5"/>
    <w:rsid w:val="00CA045F"/>
    <w:rsid w:val="00CA0759"/>
    <w:rsid w:val="00CA3955"/>
    <w:rsid w:val="00CA40F5"/>
    <w:rsid w:val="00CA5A7B"/>
    <w:rsid w:val="00CA63C5"/>
    <w:rsid w:val="00CA681A"/>
    <w:rsid w:val="00CB21A7"/>
    <w:rsid w:val="00CB4B00"/>
    <w:rsid w:val="00CB524D"/>
    <w:rsid w:val="00CB668D"/>
    <w:rsid w:val="00CB7921"/>
    <w:rsid w:val="00CC0C21"/>
    <w:rsid w:val="00CC0DAB"/>
    <w:rsid w:val="00CC1C76"/>
    <w:rsid w:val="00CC206A"/>
    <w:rsid w:val="00CC4E4D"/>
    <w:rsid w:val="00CC5AFE"/>
    <w:rsid w:val="00CC6397"/>
    <w:rsid w:val="00CC770A"/>
    <w:rsid w:val="00CD1475"/>
    <w:rsid w:val="00CD2259"/>
    <w:rsid w:val="00CD2D57"/>
    <w:rsid w:val="00CD2E2A"/>
    <w:rsid w:val="00CD33D0"/>
    <w:rsid w:val="00CD4741"/>
    <w:rsid w:val="00CD4B57"/>
    <w:rsid w:val="00CD5053"/>
    <w:rsid w:val="00CD756B"/>
    <w:rsid w:val="00CE193D"/>
    <w:rsid w:val="00CE2E3A"/>
    <w:rsid w:val="00CE3179"/>
    <w:rsid w:val="00CE3BE6"/>
    <w:rsid w:val="00CE47B2"/>
    <w:rsid w:val="00CE5D8C"/>
    <w:rsid w:val="00CE65D3"/>
    <w:rsid w:val="00CE66CE"/>
    <w:rsid w:val="00CE6849"/>
    <w:rsid w:val="00CE7E70"/>
    <w:rsid w:val="00CE7E91"/>
    <w:rsid w:val="00CF0254"/>
    <w:rsid w:val="00CF02F4"/>
    <w:rsid w:val="00CF2898"/>
    <w:rsid w:val="00CF3501"/>
    <w:rsid w:val="00CF64E2"/>
    <w:rsid w:val="00CF6C3B"/>
    <w:rsid w:val="00D00E40"/>
    <w:rsid w:val="00D02DB4"/>
    <w:rsid w:val="00D06113"/>
    <w:rsid w:val="00D07ACF"/>
    <w:rsid w:val="00D07B3D"/>
    <w:rsid w:val="00D07C6F"/>
    <w:rsid w:val="00D1217D"/>
    <w:rsid w:val="00D12E7E"/>
    <w:rsid w:val="00D13921"/>
    <w:rsid w:val="00D13D39"/>
    <w:rsid w:val="00D163E6"/>
    <w:rsid w:val="00D17CB2"/>
    <w:rsid w:val="00D21242"/>
    <w:rsid w:val="00D2188F"/>
    <w:rsid w:val="00D248F0"/>
    <w:rsid w:val="00D2514F"/>
    <w:rsid w:val="00D277F3"/>
    <w:rsid w:val="00D30DDE"/>
    <w:rsid w:val="00D30E54"/>
    <w:rsid w:val="00D30FA6"/>
    <w:rsid w:val="00D31FF4"/>
    <w:rsid w:val="00D329D8"/>
    <w:rsid w:val="00D337C5"/>
    <w:rsid w:val="00D34123"/>
    <w:rsid w:val="00D3432D"/>
    <w:rsid w:val="00D36F78"/>
    <w:rsid w:val="00D378EC"/>
    <w:rsid w:val="00D37B3A"/>
    <w:rsid w:val="00D37C51"/>
    <w:rsid w:val="00D37FBE"/>
    <w:rsid w:val="00D4137D"/>
    <w:rsid w:val="00D4523A"/>
    <w:rsid w:val="00D45B8B"/>
    <w:rsid w:val="00D45F29"/>
    <w:rsid w:val="00D46079"/>
    <w:rsid w:val="00D46E12"/>
    <w:rsid w:val="00D515A7"/>
    <w:rsid w:val="00D517CF"/>
    <w:rsid w:val="00D547E6"/>
    <w:rsid w:val="00D54F4F"/>
    <w:rsid w:val="00D553EA"/>
    <w:rsid w:val="00D5649A"/>
    <w:rsid w:val="00D5734C"/>
    <w:rsid w:val="00D57615"/>
    <w:rsid w:val="00D6153B"/>
    <w:rsid w:val="00D61609"/>
    <w:rsid w:val="00D629C2"/>
    <w:rsid w:val="00D64B63"/>
    <w:rsid w:val="00D6605D"/>
    <w:rsid w:val="00D67C0E"/>
    <w:rsid w:val="00D703A7"/>
    <w:rsid w:val="00D703C7"/>
    <w:rsid w:val="00D70C6D"/>
    <w:rsid w:val="00D710D4"/>
    <w:rsid w:val="00D7140C"/>
    <w:rsid w:val="00D71707"/>
    <w:rsid w:val="00D72064"/>
    <w:rsid w:val="00D73C85"/>
    <w:rsid w:val="00D7454E"/>
    <w:rsid w:val="00D766A0"/>
    <w:rsid w:val="00D76FB6"/>
    <w:rsid w:val="00D7753B"/>
    <w:rsid w:val="00D77B45"/>
    <w:rsid w:val="00D80A95"/>
    <w:rsid w:val="00D81CB6"/>
    <w:rsid w:val="00D81EC2"/>
    <w:rsid w:val="00D823B0"/>
    <w:rsid w:val="00D82E58"/>
    <w:rsid w:val="00D833D6"/>
    <w:rsid w:val="00D85383"/>
    <w:rsid w:val="00D86F5A"/>
    <w:rsid w:val="00D93505"/>
    <w:rsid w:val="00D9370C"/>
    <w:rsid w:val="00D93AE1"/>
    <w:rsid w:val="00D9677F"/>
    <w:rsid w:val="00DA137F"/>
    <w:rsid w:val="00DA18BF"/>
    <w:rsid w:val="00DA55E0"/>
    <w:rsid w:val="00DA7930"/>
    <w:rsid w:val="00DB1242"/>
    <w:rsid w:val="00DB24F3"/>
    <w:rsid w:val="00DB2A23"/>
    <w:rsid w:val="00DB2F6C"/>
    <w:rsid w:val="00DB4B41"/>
    <w:rsid w:val="00DB66DE"/>
    <w:rsid w:val="00DB76DB"/>
    <w:rsid w:val="00DC02B5"/>
    <w:rsid w:val="00DC22F5"/>
    <w:rsid w:val="00DC261C"/>
    <w:rsid w:val="00DC2CF3"/>
    <w:rsid w:val="00DC4E1A"/>
    <w:rsid w:val="00DC593E"/>
    <w:rsid w:val="00DC6CFE"/>
    <w:rsid w:val="00DC6EA7"/>
    <w:rsid w:val="00DC6F69"/>
    <w:rsid w:val="00DC71E2"/>
    <w:rsid w:val="00DC71E9"/>
    <w:rsid w:val="00DC780F"/>
    <w:rsid w:val="00DC7AC3"/>
    <w:rsid w:val="00DC7CC9"/>
    <w:rsid w:val="00DD15E4"/>
    <w:rsid w:val="00DD282D"/>
    <w:rsid w:val="00DD308A"/>
    <w:rsid w:val="00DD3183"/>
    <w:rsid w:val="00DD33A3"/>
    <w:rsid w:val="00DD3D9A"/>
    <w:rsid w:val="00DD3FC7"/>
    <w:rsid w:val="00DD4FF8"/>
    <w:rsid w:val="00DD5F12"/>
    <w:rsid w:val="00DD6DF0"/>
    <w:rsid w:val="00DD70F1"/>
    <w:rsid w:val="00DD7722"/>
    <w:rsid w:val="00DE0281"/>
    <w:rsid w:val="00DE04CB"/>
    <w:rsid w:val="00DE0623"/>
    <w:rsid w:val="00DE172B"/>
    <w:rsid w:val="00DE22A1"/>
    <w:rsid w:val="00DE30CA"/>
    <w:rsid w:val="00DE38C9"/>
    <w:rsid w:val="00DE45BC"/>
    <w:rsid w:val="00DE7A44"/>
    <w:rsid w:val="00DE7DD6"/>
    <w:rsid w:val="00DF0E24"/>
    <w:rsid w:val="00DF0E99"/>
    <w:rsid w:val="00DF166A"/>
    <w:rsid w:val="00DF2097"/>
    <w:rsid w:val="00DF263E"/>
    <w:rsid w:val="00DF34E0"/>
    <w:rsid w:val="00DF44BD"/>
    <w:rsid w:val="00DF4EAB"/>
    <w:rsid w:val="00DF593D"/>
    <w:rsid w:val="00DF69A3"/>
    <w:rsid w:val="00E00248"/>
    <w:rsid w:val="00E0077C"/>
    <w:rsid w:val="00E017EC"/>
    <w:rsid w:val="00E02B14"/>
    <w:rsid w:val="00E02C33"/>
    <w:rsid w:val="00E03DDD"/>
    <w:rsid w:val="00E04E97"/>
    <w:rsid w:val="00E059E6"/>
    <w:rsid w:val="00E06963"/>
    <w:rsid w:val="00E07F6D"/>
    <w:rsid w:val="00E1035D"/>
    <w:rsid w:val="00E1063F"/>
    <w:rsid w:val="00E1074C"/>
    <w:rsid w:val="00E10BC9"/>
    <w:rsid w:val="00E1225A"/>
    <w:rsid w:val="00E124B3"/>
    <w:rsid w:val="00E126B8"/>
    <w:rsid w:val="00E13AC7"/>
    <w:rsid w:val="00E14170"/>
    <w:rsid w:val="00E14B91"/>
    <w:rsid w:val="00E154C4"/>
    <w:rsid w:val="00E168F5"/>
    <w:rsid w:val="00E16F09"/>
    <w:rsid w:val="00E20051"/>
    <w:rsid w:val="00E20202"/>
    <w:rsid w:val="00E20598"/>
    <w:rsid w:val="00E21B00"/>
    <w:rsid w:val="00E220FC"/>
    <w:rsid w:val="00E25270"/>
    <w:rsid w:val="00E26781"/>
    <w:rsid w:val="00E26E89"/>
    <w:rsid w:val="00E27F08"/>
    <w:rsid w:val="00E312C9"/>
    <w:rsid w:val="00E34A9D"/>
    <w:rsid w:val="00E34F4F"/>
    <w:rsid w:val="00E35A81"/>
    <w:rsid w:val="00E35ADD"/>
    <w:rsid w:val="00E36192"/>
    <w:rsid w:val="00E36C34"/>
    <w:rsid w:val="00E4046A"/>
    <w:rsid w:val="00E408E2"/>
    <w:rsid w:val="00E41D7D"/>
    <w:rsid w:val="00E41EAC"/>
    <w:rsid w:val="00E426C3"/>
    <w:rsid w:val="00E42D26"/>
    <w:rsid w:val="00E4301B"/>
    <w:rsid w:val="00E43D8B"/>
    <w:rsid w:val="00E4412E"/>
    <w:rsid w:val="00E4432A"/>
    <w:rsid w:val="00E45F0C"/>
    <w:rsid w:val="00E45F5D"/>
    <w:rsid w:val="00E47055"/>
    <w:rsid w:val="00E470EF"/>
    <w:rsid w:val="00E4719B"/>
    <w:rsid w:val="00E5064F"/>
    <w:rsid w:val="00E53368"/>
    <w:rsid w:val="00E5372F"/>
    <w:rsid w:val="00E53E54"/>
    <w:rsid w:val="00E54B08"/>
    <w:rsid w:val="00E551A3"/>
    <w:rsid w:val="00E56A04"/>
    <w:rsid w:val="00E56CE6"/>
    <w:rsid w:val="00E57183"/>
    <w:rsid w:val="00E5754E"/>
    <w:rsid w:val="00E57A79"/>
    <w:rsid w:val="00E6010C"/>
    <w:rsid w:val="00E604AF"/>
    <w:rsid w:val="00E60EC3"/>
    <w:rsid w:val="00E6509E"/>
    <w:rsid w:val="00E660BF"/>
    <w:rsid w:val="00E6626E"/>
    <w:rsid w:val="00E66F9F"/>
    <w:rsid w:val="00E672F5"/>
    <w:rsid w:val="00E67528"/>
    <w:rsid w:val="00E7087E"/>
    <w:rsid w:val="00E7089F"/>
    <w:rsid w:val="00E7147C"/>
    <w:rsid w:val="00E7270F"/>
    <w:rsid w:val="00E72EAD"/>
    <w:rsid w:val="00E7308B"/>
    <w:rsid w:val="00E748F2"/>
    <w:rsid w:val="00E7495D"/>
    <w:rsid w:val="00E753E4"/>
    <w:rsid w:val="00E761E7"/>
    <w:rsid w:val="00E76336"/>
    <w:rsid w:val="00E76FDF"/>
    <w:rsid w:val="00E77642"/>
    <w:rsid w:val="00E77741"/>
    <w:rsid w:val="00E80285"/>
    <w:rsid w:val="00E80E43"/>
    <w:rsid w:val="00E81C0D"/>
    <w:rsid w:val="00E81D0A"/>
    <w:rsid w:val="00E836CE"/>
    <w:rsid w:val="00E8467F"/>
    <w:rsid w:val="00E84B5A"/>
    <w:rsid w:val="00E8623F"/>
    <w:rsid w:val="00E87104"/>
    <w:rsid w:val="00E87D66"/>
    <w:rsid w:val="00E90411"/>
    <w:rsid w:val="00E90ADE"/>
    <w:rsid w:val="00E90B38"/>
    <w:rsid w:val="00E90FE5"/>
    <w:rsid w:val="00E92D44"/>
    <w:rsid w:val="00E9347A"/>
    <w:rsid w:val="00E9479F"/>
    <w:rsid w:val="00E965D4"/>
    <w:rsid w:val="00E96C23"/>
    <w:rsid w:val="00EA1D3B"/>
    <w:rsid w:val="00EA3AC8"/>
    <w:rsid w:val="00EA3BBE"/>
    <w:rsid w:val="00EA418A"/>
    <w:rsid w:val="00EA5D0A"/>
    <w:rsid w:val="00EA69D2"/>
    <w:rsid w:val="00EB209D"/>
    <w:rsid w:val="00EB2824"/>
    <w:rsid w:val="00EB6E70"/>
    <w:rsid w:val="00EC2197"/>
    <w:rsid w:val="00EC2CD2"/>
    <w:rsid w:val="00EC2F59"/>
    <w:rsid w:val="00EC329A"/>
    <w:rsid w:val="00EC3D99"/>
    <w:rsid w:val="00EC3E51"/>
    <w:rsid w:val="00EC53C0"/>
    <w:rsid w:val="00EC6936"/>
    <w:rsid w:val="00EC6A67"/>
    <w:rsid w:val="00EC6E2F"/>
    <w:rsid w:val="00EC73D7"/>
    <w:rsid w:val="00ED0295"/>
    <w:rsid w:val="00ED1368"/>
    <w:rsid w:val="00ED4010"/>
    <w:rsid w:val="00ED7418"/>
    <w:rsid w:val="00ED7986"/>
    <w:rsid w:val="00EE010F"/>
    <w:rsid w:val="00EE280E"/>
    <w:rsid w:val="00EE2C5D"/>
    <w:rsid w:val="00EE3468"/>
    <w:rsid w:val="00EE3DAC"/>
    <w:rsid w:val="00EE4C9D"/>
    <w:rsid w:val="00EE54E1"/>
    <w:rsid w:val="00EE63A2"/>
    <w:rsid w:val="00EE6F84"/>
    <w:rsid w:val="00EF0C2E"/>
    <w:rsid w:val="00EF16F8"/>
    <w:rsid w:val="00EF340A"/>
    <w:rsid w:val="00EF344F"/>
    <w:rsid w:val="00EF39DC"/>
    <w:rsid w:val="00EF3DFC"/>
    <w:rsid w:val="00EF42EE"/>
    <w:rsid w:val="00EF483F"/>
    <w:rsid w:val="00EF527F"/>
    <w:rsid w:val="00EF5457"/>
    <w:rsid w:val="00EF60A3"/>
    <w:rsid w:val="00EF6B24"/>
    <w:rsid w:val="00EF740A"/>
    <w:rsid w:val="00EF79DA"/>
    <w:rsid w:val="00F005BD"/>
    <w:rsid w:val="00F017B0"/>
    <w:rsid w:val="00F01AA5"/>
    <w:rsid w:val="00F049E6"/>
    <w:rsid w:val="00F04DF0"/>
    <w:rsid w:val="00F06093"/>
    <w:rsid w:val="00F069D3"/>
    <w:rsid w:val="00F06C5E"/>
    <w:rsid w:val="00F07CAC"/>
    <w:rsid w:val="00F07E07"/>
    <w:rsid w:val="00F10DF3"/>
    <w:rsid w:val="00F12926"/>
    <w:rsid w:val="00F12DCC"/>
    <w:rsid w:val="00F17001"/>
    <w:rsid w:val="00F220C6"/>
    <w:rsid w:val="00F24792"/>
    <w:rsid w:val="00F24927"/>
    <w:rsid w:val="00F258B0"/>
    <w:rsid w:val="00F25DAB"/>
    <w:rsid w:val="00F26AC5"/>
    <w:rsid w:val="00F27331"/>
    <w:rsid w:val="00F3114C"/>
    <w:rsid w:val="00F312A3"/>
    <w:rsid w:val="00F326FC"/>
    <w:rsid w:val="00F32A33"/>
    <w:rsid w:val="00F32CAE"/>
    <w:rsid w:val="00F3322D"/>
    <w:rsid w:val="00F34141"/>
    <w:rsid w:val="00F341D0"/>
    <w:rsid w:val="00F342E2"/>
    <w:rsid w:val="00F34BEC"/>
    <w:rsid w:val="00F3595C"/>
    <w:rsid w:val="00F3615F"/>
    <w:rsid w:val="00F364F9"/>
    <w:rsid w:val="00F365D3"/>
    <w:rsid w:val="00F368BB"/>
    <w:rsid w:val="00F36C56"/>
    <w:rsid w:val="00F37029"/>
    <w:rsid w:val="00F3796B"/>
    <w:rsid w:val="00F40314"/>
    <w:rsid w:val="00F40CE1"/>
    <w:rsid w:val="00F41478"/>
    <w:rsid w:val="00F41A57"/>
    <w:rsid w:val="00F41B41"/>
    <w:rsid w:val="00F41E08"/>
    <w:rsid w:val="00F430B4"/>
    <w:rsid w:val="00F45844"/>
    <w:rsid w:val="00F45FB5"/>
    <w:rsid w:val="00F46BA1"/>
    <w:rsid w:val="00F51897"/>
    <w:rsid w:val="00F51C8A"/>
    <w:rsid w:val="00F5271D"/>
    <w:rsid w:val="00F52847"/>
    <w:rsid w:val="00F5418C"/>
    <w:rsid w:val="00F56D25"/>
    <w:rsid w:val="00F57A04"/>
    <w:rsid w:val="00F57A0C"/>
    <w:rsid w:val="00F605D1"/>
    <w:rsid w:val="00F61D36"/>
    <w:rsid w:val="00F624FB"/>
    <w:rsid w:val="00F630C8"/>
    <w:rsid w:val="00F634DD"/>
    <w:rsid w:val="00F64928"/>
    <w:rsid w:val="00F66939"/>
    <w:rsid w:val="00F6713E"/>
    <w:rsid w:val="00F677E3"/>
    <w:rsid w:val="00F67C0F"/>
    <w:rsid w:val="00F70F30"/>
    <w:rsid w:val="00F718E9"/>
    <w:rsid w:val="00F71FE9"/>
    <w:rsid w:val="00F71FF0"/>
    <w:rsid w:val="00F72261"/>
    <w:rsid w:val="00F72C84"/>
    <w:rsid w:val="00F7335B"/>
    <w:rsid w:val="00F73554"/>
    <w:rsid w:val="00F73CCD"/>
    <w:rsid w:val="00F74A59"/>
    <w:rsid w:val="00F752F8"/>
    <w:rsid w:val="00F7594C"/>
    <w:rsid w:val="00F771FC"/>
    <w:rsid w:val="00F80CEF"/>
    <w:rsid w:val="00F823BB"/>
    <w:rsid w:val="00F8295A"/>
    <w:rsid w:val="00F840D6"/>
    <w:rsid w:val="00F8499B"/>
    <w:rsid w:val="00F8737D"/>
    <w:rsid w:val="00F8763C"/>
    <w:rsid w:val="00F90748"/>
    <w:rsid w:val="00F917AE"/>
    <w:rsid w:val="00F928EF"/>
    <w:rsid w:val="00F944FC"/>
    <w:rsid w:val="00F9518F"/>
    <w:rsid w:val="00F97894"/>
    <w:rsid w:val="00FA1C9B"/>
    <w:rsid w:val="00FA36D8"/>
    <w:rsid w:val="00FA3A22"/>
    <w:rsid w:val="00FA44D2"/>
    <w:rsid w:val="00FA51EA"/>
    <w:rsid w:val="00FA59E8"/>
    <w:rsid w:val="00FB0AA2"/>
    <w:rsid w:val="00FB0E15"/>
    <w:rsid w:val="00FB33DD"/>
    <w:rsid w:val="00FB5514"/>
    <w:rsid w:val="00FB729B"/>
    <w:rsid w:val="00FC1B54"/>
    <w:rsid w:val="00FC1CCA"/>
    <w:rsid w:val="00FC38A8"/>
    <w:rsid w:val="00FC5A3F"/>
    <w:rsid w:val="00FC5A53"/>
    <w:rsid w:val="00FC5FE6"/>
    <w:rsid w:val="00FC63B8"/>
    <w:rsid w:val="00FC7F8E"/>
    <w:rsid w:val="00FD0072"/>
    <w:rsid w:val="00FD055E"/>
    <w:rsid w:val="00FD2E55"/>
    <w:rsid w:val="00FD40F5"/>
    <w:rsid w:val="00FD4872"/>
    <w:rsid w:val="00FD5F01"/>
    <w:rsid w:val="00FD6D39"/>
    <w:rsid w:val="00FE32F6"/>
    <w:rsid w:val="00FE5482"/>
    <w:rsid w:val="00FE610B"/>
    <w:rsid w:val="00FE66E1"/>
    <w:rsid w:val="00FE722E"/>
    <w:rsid w:val="00FF079F"/>
    <w:rsid w:val="00FF0FE1"/>
    <w:rsid w:val="00FF1606"/>
    <w:rsid w:val="00FF2761"/>
    <w:rsid w:val="00FF42D5"/>
    <w:rsid w:val="00FF4F93"/>
    <w:rsid w:val="00FF6C2D"/>
    <w:rsid w:val="00FF71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433F0"/>
  <w15:docId w15:val="{28F6A814-5FE9-405A-9810-F0014BB0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0B8"/>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F74A59"/>
    <w:pPr>
      <w:numPr>
        <w:numId w:val="2"/>
      </w:numPr>
      <w:spacing w:before="200" w:after="240"/>
      <w:outlineLvl w:val="1"/>
    </w:pPr>
    <w:rPr>
      <w:rFonts w:eastAsiaTheme="majorEastAsia" w:cstheme="majorBidi"/>
      <w:b/>
      <w:bCs/>
      <w:color w:val="6A2875"/>
      <w:sz w:val="44"/>
      <w:szCs w:val="26"/>
    </w:rPr>
  </w:style>
  <w:style w:type="paragraph" w:styleId="Heading3">
    <w:name w:val="heading 3"/>
    <w:aliases w:val="Heading 3 Purple Text heading 3"/>
    <w:basedOn w:val="Normal"/>
    <w:next w:val="Normal"/>
    <w:link w:val="Heading3Char"/>
    <w:uiPriority w:val="9"/>
    <w:unhideWhenUsed/>
    <w:qFormat/>
    <w:rsid w:val="00B55A92"/>
    <w:pPr>
      <w:numPr>
        <w:ilvl w:val="1"/>
        <w:numId w:val="2"/>
      </w:numPr>
      <w:outlineLvl w:val="2"/>
    </w:pPr>
    <w:rPr>
      <w:b/>
      <w:color w:val="6A2875"/>
      <w:sz w:val="30"/>
      <w:szCs w:val="30"/>
    </w:rPr>
  </w:style>
  <w:style w:type="paragraph" w:styleId="Heading4">
    <w:name w:val="heading 4"/>
    <w:basedOn w:val="Normal"/>
    <w:next w:val="Normal"/>
    <w:link w:val="Heading4Char"/>
    <w:uiPriority w:val="9"/>
    <w:unhideWhenUsed/>
    <w:qFormat/>
    <w:rsid w:val="003266B3"/>
    <w:pPr>
      <w:numPr>
        <w:ilvl w:val="2"/>
        <w:numId w:val="2"/>
      </w:numPr>
      <w:spacing w:before="120" w:after="120"/>
      <w:outlineLvl w:val="3"/>
    </w:pPr>
    <w:rPr>
      <w:b/>
      <w:sz w:val="24"/>
    </w:rPr>
  </w:style>
  <w:style w:type="paragraph" w:styleId="Heading5">
    <w:name w:val="heading 5"/>
    <w:aliases w:val="Dot point Heading 5"/>
    <w:basedOn w:val="Normal"/>
    <w:next w:val="Normal"/>
    <w:link w:val="Heading5Char"/>
    <w:uiPriority w:val="9"/>
    <w:unhideWhenUsed/>
    <w:qFormat/>
    <w:rsid w:val="00C11F93"/>
    <w:pPr>
      <w:numPr>
        <w:numId w:val="5"/>
      </w:numPr>
      <w:ind w:left="867" w:hanging="510"/>
      <w:outlineLvl w:val="4"/>
    </w:pPr>
  </w:style>
  <w:style w:type="paragraph" w:styleId="Heading6">
    <w:name w:val="heading 6"/>
    <w:aliases w:val="black heading Heading 6"/>
    <w:basedOn w:val="Normal"/>
    <w:next w:val="Normal"/>
    <w:link w:val="Heading6Char"/>
    <w:uiPriority w:val="9"/>
    <w:unhideWhenUsed/>
    <w:qFormat/>
    <w:rsid w:val="008864EB"/>
    <w:pPr>
      <w:spacing w:before="120" w:after="120" w:line="271" w:lineRule="auto"/>
      <w:outlineLvl w:val="5"/>
    </w:pPr>
    <w:rPr>
      <w:rFonts w:eastAsiaTheme="majorEastAsia" w:cstheme="majorBidi"/>
      <w:b/>
      <w:bCs/>
      <w:iCs/>
      <w:color w:val="000000" w:themeColor="text1"/>
    </w:rPr>
  </w:style>
  <w:style w:type="paragraph" w:styleId="Heading7">
    <w:name w:val="heading 7"/>
    <w:aliases w:val="Figures and tables Heading 7,zlegislation Heading 7"/>
    <w:basedOn w:val="Normal"/>
    <w:next w:val="Normal"/>
    <w:link w:val="Heading7Char"/>
    <w:uiPriority w:val="9"/>
    <w:unhideWhenUsed/>
    <w:qFormat/>
    <w:rsid w:val="00860271"/>
    <w:pPr>
      <w:spacing w:before="160" w:after="0"/>
      <w:outlineLvl w:val="6"/>
    </w:pPr>
    <w:rPr>
      <w:rFonts w:eastAsiaTheme="majorEastAsia" w:cstheme="majorBidi"/>
      <w:b/>
      <w:iCs/>
    </w:rPr>
  </w:style>
  <w:style w:type="paragraph" w:styleId="Heading8">
    <w:name w:val="heading 8"/>
    <w:aliases w:val="- Dash dot point,Heading 8 Orange text"/>
    <w:basedOn w:val="Normal"/>
    <w:next w:val="Normal"/>
    <w:link w:val="Heading8Char"/>
    <w:uiPriority w:val="9"/>
    <w:unhideWhenUsed/>
    <w:qFormat/>
    <w:rsid w:val="00F70F30"/>
    <w:pPr>
      <w:numPr>
        <w:numId w:val="6"/>
      </w:numPr>
      <w:ind w:left="1361" w:hanging="454"/>
      <w:outlineLvl w:val="7"/>
    </w:pPr>
    <w:rPr>
      <w:rFonts w:eastAsiaTheme="majorEastAsia" w:cstheme="majorBidi"/>
      <w:color w:val="000000" w:themeColor="text1"/>
      <w:szCs w:val="20"/>
    </w:rPr>
  </w:style>
  <w:style w:type="paragraph" w:styleId="Heading9">
    <w:name w:val="heading 9"/>
    <w:aliases w:val="Heading 9 - Appendix"/>
    <w:basedOn w:val="Normal"/>
    <w:next w:val="Normal"/>
    <w:link w:val="Heading9Char"/>
    <w:uiPriority w:val="9"/>
    <w:unhideWhenUsed/>
    <w:qFormat/>
    <w:rsid w:val="00427658"/>
    <w:pPr>
      <w:spacing w:before="120" w:after="120"/>
      <w:outlineLvl w:val="8"/>
    </w:pPr>
    <w:rPr>
      <w:rFonts w:eastAsiaTheme="majorEastAsia" w:cstheme="majorBidi"/>
      <w:b/>
      <w:iCs/>
      <w:spacing w:val="5"/>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F74A59"/>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aliases w:val="Heading 3 Purple Text heading 3 Char"/>
    <w:basedOn w:val="DefaultParagraphFont"/>
    <w:link w:val="Heading3"/>
    <w:uiPriority w:val="9"/>
    <w:rsid w:val="00B55A92"/>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3266B3"/>
    <w:rPr>
      <w:rFonts w:ascii="Arial" w:eastAsiaTheme="minorEastAsia" w:hAnsi="Arial"/>
      <w:b/>
      <w:sz w:val="24"/>
      <w:szCs w:val="24"/>
      <w:lang w:val="en-US" w:eastAsia="ja-JP"/>
    </w:rPr>
  </w:style>
  <w:style w:type="character" w:customStyle="1" w:styleId="Heading5Char">
    <w:name w:val="Heading 5 Char"/>
    <w:aliases w:val="Dot point Heading 5 Char"/>
    <w:basedOn w:val="DefaultParagraphFont"/>
    <w:link w:val="Heading5"/>
    <w:uiPriority w:val="9"/>
    <w:rsid w:val="00C11F93"/>
    <w:rPr>
      <w:rFonts w:ascii="Arial" w:eastAsiaTheme="minorEastAsia" w:hAnsi="Arial"/>
      <w:szCs w:val="24"/>
      <w:lang w:val="en-US" w:eastAsia="ja-JP"/>
    </w:rPr>
  </w:style>
  <w:style w:type="character" w:customStyle="1" w:styleId="Heading6Char">
    <w:name w:val="Heading 6 Char"/>
    <w:aliases w:val="black heading Heading 6 Char"/>
    <w:basedOn w:val="DefaultParagraphFont"/>
    <w:link w:val="Heading6"/>
    <w:uiPriority w:val="9"/>
    <w:rsid w:val="008864EB"/>
    <w:rPr>
      <w:rFonts w:ascii="Arial" w:eastAsiaTheme="majorEastAsia" w:hAnsi="Arial" w:cstheme="majorBidi"/>
      <w:b/>
      <w:bCs/>
      <w:iCs/>
      <w:color w:val="000000" w:themeColor="text1"/>
      <w:szCs w:val="24"/>
      <w:lang w:val="en-US" w:eastAsia="ja-JP"/>
    </w:rPr>
  </w:style>
  <w:style w:type="character" w:customStyle="1" w:styleId="Heading7Char">
    <w:name w:val="Heading 7 Char"/>
    <w:aliases w:val="Figures and tables Heading 7 Char,zlegislation Heading 7 Char"/>
    <w:basedOn w:val="DefaultParagraphFont"/>
    <w:link w:val="Heading7"/>
    <w:uiPriority w:val="9"/>
    <w:rsid w:val="00860271"/>
    <w:rPr>
      <w:rFonts w:ascii="Arial" w:eastAsiaTheme="majorEastAsia" w:hAnsi="Arial" w:cstheme="majorBidi"/>
      <w:b/>
      <w:iCs/>
      <w:szCs w:val="24"/>
      <w:lang w:val="en-US" w:eastAsia="ja-JP"/>
    </w:rPr>
  </w:style>
  <w:style w:type="character" w:customStyle="1" w:styleId="Heading8Char">
    <w:name w:val="Heading 8 Char"/>
    <w:aliases w:val="- Dash dot point Char,Heading 8 Orange text Char"/>
    <w:basedOn w:val="DefaultParagraphFont"/>
    <w:link w:val="Heading8"/>
    <w:uiPriority w:val="9"/>
    <w:rsid w:val="00F70F30"/>
    <w:rPr>
      <w:rFonts w:ascii="Arial" w:eastAsiaTheme="majorEastAsia" w:hAnsi="Arial" w:cstheme="majorBidi"/>
      <w:color w:val="000000" w:themeColor="text1"/>
      <w:szCs w:val="20"/>
      <w:lang w:val="en-US" w:eastAsia="ja-JP"/>
    </w:rPr>
  </w:style>
  <w:style w:type="character" w:customStyle="1" w:styleId="Heading9Char">
    <w:name w:val="Heading 9 Char"/>
    <w:aliases w:val="Heading 9 - Appendix Char"/>
    <w:basedOn w:val="DefaultParagraphFont"/>
    <w:link w:val="Heading9"/>
    <w:uiPriority w:val="9"/>
    <w:rsid w:val="00427658"/>
    <w:rPr>
      <w:rFonts w:ascii="Arial" w:eastAsiaTheme="majorEastAsia" w:hAnsi="Arial" w:cstheme="majorBidi"/>
      <w:b/>
      <w:iCs/>
      <w:spacing w:val="5"/>
      <w:sz w:val="24"/>
      <w:szCs w:val="20"/>
      <w:lang w:val="en-US" w:eastAsia="ja-JP"/>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aliases w:val="Table &amp; Figure Headings"/>
    <w:uiPriority w:val="22"/>
    <w:qFormat/>
    <w:rsid w:val="004B54CA"/>
    <w:rPr>
      <w:b/>
      <w:bCs/>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qFormat/>
    <w:rsid w:val="004B54CA"/>
    <w:pPr>
      <w:ind w:left="720"/>
      <w:contextualSpacing/>
    </w:pPr>
  </w:style>
  <w:style w:type="character" w:styleId="Emphasis">
    <w:name w:val="Emphasis"/>
    <w:uiPriority w:val="20"/>
    <w:qFormat/>
    <w:rsid w:val="003764CE"/>
    <w:rPr>
      <w:rFonts w:ascii="Arial" w:hAnsi="Arial"/>
      <w:b/>
      <w:bCs/>
      <w:i w:val="0"/>
      <w:iCs/>
      <w:color w:val="6B2976"/>
      <w:spacing w:val="10"/>
      <w:sz w:val="24"/>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link w:val="CaptionChar"/>
    <w:uiPriority w:val="35"/>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219F1"/>
    <w:rPr>
      <w:rFonts w:ascii="Tahoma" w:eastAsiaTheme="minorEastAsia" w:hAnsi="Tahoma" w:cs="Tahoma"/>
      <w:sz w:val="16"/>
      <w:szCs w:val="16"/>
      <w:lang w:val="en-US" w:eastAsia="ja-JP"/>
    </w:rPr>
  </w:style>
  <w:style w:type="paragraph" w:customStyle="1" w:styleId="tablelistbullet">
    <w:name w:val="table list bullet"/>
    <w:basedOn w:val="FSRnormal"/>
    <w:qFormat/>
    <w:rsid w:val="00E21B00"/>
    <w:pPr>
      <w:numPr>
        <w:numId w:val="1"/>
      </w:numPr>
      <w:tabs>
        <w:tab w:val="num" w:pos="360"/>
      </w:tabs>
      <w:spacing w:before="120" w:after="120"/>
      <w:ind w:left="738" w:hanging="284"/>
    </w:pPr>
    <w:rPr>
      <w:rFonts w:eastAsia="MS Mincho" w:cs="FSMe-Bold"/>
      <w:spacing w:val="-2"/>
      <w:szCs w:val="20"/>
      <w:lang w:eastAsia="en-US"/>
    </w:rPr>
  </w:style>
  <w:style w:type="paragraph" w:customStyle="1" w:styleId="BodyText1">
    <w:name w:val="Body Text1"/>
    <w:basedOn w:val="Normal"/>
    <w:link w:val="BodyText1Char"/>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aliases w:val="TOC 1 - APPENDIX"/>
    <w:basedOn w:val="Normal"/>
    <w:next w:val="Normal"/>
    <w:autoRedefine/>
    <w:uiPriority w:val="39"/>
    <w:unhideWhenUsed/>
    <w:qFormat/>
    <w:rsid w:val="00067AF7"/>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F365D3"/>
    <w:pPr>
      <w:tabs>
        <w:tab w:val="left" w:pos="880"/>
        <w:tab w:val="right" w:leader="dot" w:pos="9016"/>
      </w:tabs>
      <w:spacing w:before="120" w:after="0"/>
      <w:ind w:left="220"/>
    </w:pPr>
    <w:rPr>
      <w:rFonts w:asciiTheme="minorHAnsi" w:hAnsiTheme="minorHAnsi" w:cstheme="minorHAnsi"/>
      <w:i/>
      <w:iCs/>
      <w:sz w:val="20"/>
      <w:szCs w:val="20"/>
    </w:rPr>
  </w:style>
  <w:style w:type="paragraph" w:styleId="TOC3">
    <w:name w:val="toc 3"/>
    <w:basedOn w:val="Normal"/>
    <w:next w:val="Normal"/>
    <w:autoRedefine/>
    <w:uiPriority w:val="39"/>
    <w:unhideWhenUsed/>
    <w:qFormat/>
    <w:rsid w:val="0040062A"/>
    <w:pPr>
      <w:spacing w:after="0"/>
      <w:ind w:left="440"/>
    </w:pPr>
    <w:rPr>
      <w:rFonts w:asciiTheme="minorHAnsi" w:hAnsiTheme="minorHAnsi" w:cstheme="minorHAnsi"/>
      <w:sz w:val="20"/>
      <w:szCs w:val="20"/>
    </w:r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40062A"/>
    <w:pPr>
      <w:spacing w:after="0"/>
      <w:ind w:left="880"/>
    </w:pPr>
    <w:rPr>
      <w:rFonts w:asciiTheme="minorHAnsi" w:hAnsiTheme="minorHAnsi" w:cstheme="minorHAnsi"/>
      <w:sz w:val="20"/>
      <w:szCs w:val="20"/>
    </w:rPr>
  </w:style>
  <w:style w:type="character" w:styleId="CommentReference">
    <w:name w:val="annotation reference"/>
    <w:basedOn w:val="DefaultParagraphFont"/>
    <w:uiPriority w:val="99"/>
    <w:unhideWhenUsed/>
    <w:rsid w:val="002867E7"/>
    <w:rPr>
      <w:sz w:val="16"/>
      <w:szCs w:val="16"/>
    </w:rPr>
  </w:style>
  <w:style w:type="paragraph" w:styleId="CommentText">
    <w:name w:val="annotation text"/>
    <w:basedOn w:val="Normal"/>
    <w:link w:val="CommentTextChar"/>
    <w:uiPriority w:val="99"/>
    <w:unhideWhenUsed/>
    <w:rsid w:val="002867E7"/>
    <w:pPr>
      <w:spacing w:line="240" w:lineRule="auto"/>
    </w:pPr>
    <w:rPr>
      <w:sz w:val="20"/>
      <w:szCs w:val="20"/>
      <w:lang w:val="en-AU"/>
    </w:rPr>
  </w:style>
  <w:style w:type="character" w:customStyle="1" w:styleId="CommentTextChar">
    <w:name w:val="Comment Text Char"/>
    <w:basedOn w:val="DefaultParagraphFont"/>
    <w:link w:val="CommentText"/>
    <w:uiPriority w:val="99"/>
    <w:rsid w:val="002867E7"/>
    <w:rPr>
      <w:rFonts w:ascii="Arial" w:eastAsiaTheme="minorEastAsia" w:hAnsi="Arial"/>
      <w:sz w:val="20"/>
      <w:szCs w:val="20"/>
      <w:lang w:eastAsia="ja-JP"/>
    </w:rPr>
  </w:style>
  <w:style w:type="paragraph" w:styleId="FootnoteText">
    <w:name w:val="footnote text"/>
    <w:basedOn w:val="Normal"/>
    <w:link w:val="FootnoteTextChar"/>
    <w:uiPriority w:val="99"/>
    <w:unhideWhenUsed/>
    <w:qFormat/>
    <w:rsid w:val="002867E7"/>
    <w:pPr>
      <w:spacing w:after="0" w:line="240" w:lineRule="auto"/>
    </w:pPr>
    <w:rPr>
      <w:sz w:val="20"/>
      <w:szCs w:val="20"/>
      <w:lang w:val="en-AU"/>
    </w:rPr>
  </w:style>
  <w:style w:type="character" w:customStyle="1" w:styleId="FootnoteTextChar">
    <w:name w:val="Footnote Text Char"/>
    <w:basedOn w:val="DefaultParagraphFont"/>
    <w:link w:val="FootnoteText"/>
    <w:uiPriority w:val="99"/>
    <w:rsid w:val="002867E7"/>
    <w:rPr>
      <w:rFonts w:ascii="Arial" w:eastAsiaTheme="minorEastAsia" w:hAnsi="Arial"/>
      <w:sz w:val="20"/>
      <w:szCs w:val="20"/>
      <w:lang w:eastAsia="ja-JP"/>
    </w:rPr>
  </w:style>
  <w:style w:type="character" w:styleId="FootnoteReference">
    <w:name w:val="footnote reference"/>
    <w:basedOn w:val="DefaultParagraphFont"/>
    <w:uiPriority w:val="99"/>
    <w:unhideWhenUsed/>
    <w:rsid w:val="002867E7"/>
    <w:rPr>
      <w:vertAlign w:val="superscript"/>
    </w:rPr>
  </w:style>
  <w:style w:type="paragraph" w:customStyle="1" w:styleId="FSRnormal">
    <w:name w:val="FSR_normal"/>
    <w:basedOn w:val="Normal"/>
    <w:link w:val="FSRnormalChar"/>
    <w:qFormat/>
    <w:rsid w:val="008B24AD"/>
    <w:pPr>
      <w:spacing w:before="240"/>
    </w:pPr>
    <w:rPr>
      <w:lang w:val="en-AU"/>
    </w:rPr>
  </w:style>
  <w:style w:type="character" w:customStyle="1" w:styleId="FSRnormalChar">
    <w:name w:val="FSR_normal Char"/>
    <w:basedOn w:val="DefaultParagraphFont"/>
    <w:link w:val="FSRnormal"/>
    <w:rsid w:val="008B24AD"/>
    <w:rPr>
      <w:rFonts w:ascii="Arial" w:eastAsiaTheme="minorEastAsia" w:hAnsi="Arial"/>
      <w:szCs w:val="24"/>
      <w:lang w:eastAsia="ja-JP"/>
    </w:rPr>
  </w:style>
  <w:style w:type="paragraph" w:customStyle="1" w:styleId="Tables">
    <w:name w:val="Tables"/>
    <w:basedOn w:val="Caption"/>
    <w:link w:val="TablesChar"/>
    <w:qFormat/>
    <w:rsid w:val="00AA2128"/>
    <w:pPr>
      <w:keepNext/>
      <w:spacing w:before="160" w:after="0" w:line="240" w:lineRule="auto"/>
    </w:pPr>
    <w:rPr>
      <w:rFonts w:eastAsiaTheme="minorHAnsi"/>
      <w:caps w:val="0"/>
      <w:sz w:val="22"/>
      <w:lang w:val="en-AU" w:eastAsia="en-US"/>
    </w:rPr>
  </w:style>
  <w:style w:type="character" w:customStyle="1" w:styleId="TablesChar">
    <w:name w:val="Tables Char"/>
    <w:basedOn w:val="DefaultParagraphFont"/>
    <w:link w:val="Tables"/>
    <w:rsid w:val="00AA2128"/>
    <w:rPr>
      <w:rFonts w:ascii="Arial" w:hAnsi="Arial"/>
      <w:b/>
      <w:bCs/>
      <w:szCs w:val="18"/>
    </w:rPr>
  </w:style>
  <w:style w:type="paragraph" w:customStyle="1" w:styleId="FSRHeading5">
    <w:name w:val="FSR_Heading5"/>
    <w:basedOn w:val="Normal"/>
    <w:link w:val="FSRHeading5Char"/>
    <w:qFormat/>
    <w:rsid w:val="008E7D15"/>
    <w:pPr>
      <w:spacing w:before="200"/>
    </w:pPr>
    <w:rPr>
      <w:b/>
      <w:i/>
      <w:color w:val="D04506"/>
      <w:sz w:val="24"/>
      <w:lang w:val="en-AU"/>
    </w:rPr>
  </w:style>
  <w:style w:type="character" w:customStyle="1" w:styleId="FSRHeading5Char">
    <w:name w:val="FSR_Heading5 Char"/>
    <w:basedOn w:val="DefaultParagraphFont"/>
    <w:link w:val="FSRHeading5"/>
    <w:rsid w:val="008E7D15"/>
    <w:rPr>
      <w:rFonts w:ascii="Arial" w:eastAsiaTheme="minorEastAsia" w:hAnsi="Arial"/>
      <w:b/>
      <w:i/>
      <w:color w:val="D04506"/>
      <w:sz w:val="24"/>
      <w:szCs w:val="24"/>
      <w:lang w:eastAsia="ja-JP"/>
    </w:rPr>
  </w:style>
  <w:style w:type="paragraph" w:customStyle="1" w:styleId="Figures">
    <w:name w:val="Figures"/>
    <w:basedOn w:val="Tables"/>
    <w:link w:val="FiguresChar"/>
    <w:autoRedefine/>
    <w:qFormat/>
    <w:rsid w:val="00327305"/>
    <w:pPr>
      <w:keepLines/>
      <w:spacing w:after="120"/>
    </w:pPr>
    <w:rPr>
      <w:b w:val="0"/>
      <w:noProof/>
    </w:rPr>
  </w:style>
  <w:style w:type="character" w:customStyle="1" w:styleId="FiguresChar">
    <w:name w:val="Figures Char"/>
    <w:basedOn w:val="TablesChar"/>
    <w:link w:val="Figures"/>
    <w:rsid w:val="00327305"/>
    <w:rPr>
      <w:rFonts w:ascii="Arial" w:hAnsi="Arial"/>
      <w:b w:val="0"/>
      <w:bCs/>
      <w:noProof/>
      <w:szCs w:val="18"/>
    </w:rPr>
  </w:style>
  <w:style w:type="paragraph" w:customStyle="1" w:styleId="FSRlist">
    <w:name w:val="FSR_list"/>
    <w:basedOn w:val="ListParagraph"/>
    <w:link w:val="FSRlistChar"/>
    <w:qFormat/>
    <w:rsid w:val="008E7D15"/>
    <w:pPr>
      <w:numPr>
        <w:numId w:val="3"/>
      </w:numPr>
      <w:spacing w:before="120" w:after="120"/>
      <w:contextualSpacing w:val="0"/>
    </w:pPr>
    <w:rPr>
      <w:color w:val="000000" w:themeColor="text1"/>
      <w:lang w:val="en-AU"/>
    </w:rPr>
  </w:style>
  <w:style w:type="character" w:customStyle="1" w:styleId="FSRlistChar">
    <w:name w:val="FSR_list Char"/>
    <w:basedOn w:val="DefaultParagraphFont"/>
    <w:link w:val="FSRlist"/>
    <w:rsid w:val="008E7D15"/>
    <w:rPr>
      <w:rFonts w:ascii="Arial" w:eastAsiaTheme="minorEastAsia" w:hAnsi="Arial"/>
      <w:color w:val="000000" w:themeColor="text1"/>
      <w:szCs w:val="24"/>
      <w:lang w:eastAsia="ja-JP"/>
    </w:rPr>
  </w:style>
  <w:style w:type="paragraph" w:styleId="CommentSubject">
    <w:name w:val="annotation subject"/>
    <w:basedOn w:val="CommentText"/>
    <w:next w:val="CommentText"/>
    <w:link w:val="CommentSubjectChar"/>
    <w:uiPriority w:val="99"/>
    <w:semiHidden/>
    <w:unhideWhenUsed/>
    <w:rsid w:val="0058385B"/>
    <w:rPr>
      <w:b/>
      <w:bCs/>
      <w:lang w:val="en-US"/>
    </w:rPr>
  </w:style>
  <w:style w:type="character" w:customStyle="1" w:styleId="CommentSubjectChar">
    <w:name w:val="Comment Subject Char"/>
    <w:basedOn w:val="CommentTextChar"/>
    <w:link w:val="CommentSubject"/>
    <w:uiPriority w:val="99"/>
    <w:semiHidden/>
    <w:rsid w:val="0058385B"/>
    <w:rPr>
      <w:rFonts w:ascii="Arial" w:eastAsiaTheme="minorEastAsia" w:hAnsi="Arial"/>
      <w:b/>
      <w:bCs/>
      <w:sz w:val="20"/>
      <w:szCs w:val="20"/>
      <w:lang w:val="en-US" w:eastAsia="ja-JP"/>
    </w:rPr>
  </w:style>
  <w:style w:type="table" w:customStyle="1" w:styleId="FSRtable">
    <w:name w:val="FSR table"/>
    <w:basedOn w:val="TableNormal"/>
    <w:uiPriority w:val="99"/>
    <w:rsid w:val="0004058E"/>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qFormat/>
    <w:locked/>
    <w:rsid w:val="005923E5"/>
    <w:rPr>
      <w:rFonts w:ascii="Arial" w:eastAsiaTheme="minorEastAsia" w:hAnsi="Arial"/>
      <w:szCs w:val="24"/>
      <w:lang w:val="en-US" w:eastAsia="ja-JP"/>
    </w:rPr>
  </w:style>
  <w:style w:type="paragraph" w:styleId="Revision">
    <w:name w:val="Revision"/>
    <w:hidden/>
    <w:uiPriority w:val="99"/>
    <w:semiHidden/>
    <w:rsid w:val="009A264D"/>
    <w:pPr>
      <w:spacing w:after="0" w:line="240" w:lineRule="auto"/>
    </w:pPr>
    <w:rPr>
      <w:rFonts w:ascii="Arial" w:eastAsiaTheme="minorEastAsia" w:hAnsi="Arial"/>
      <w:szCs w:val="24"/>
      <w:lang w:val="en-US" w:eastAsia="ja-JP"/>
    </w:rPr>
  </w:style>
  <w:style w:type="character" w:styleId="Mention">
    <w:name w:val="Mention"/>
    <w:basedOn w:val="DefaultParagraphFont"/>
    <w:uiPriority w:val="99"/>
    <w:unhideWhenUsed/>
    <w:rsid w:val="008F134E"/>
    <w:rPr>
      <w:color w:val="2B579A"/>
      <w:shd w:val="clear" w:color="auto" w:fill="E6E6E6"/>
    </w:rPr>
  </w:style>
  <w:style w:type="paragraph" w:customStyle="1" w:styleId="FSRHeading4">
    <w:name w:val="FSR_Heading4"/>
    <w:basedOn w:val="Normal"/>
    <w:link w:val="FSRHeading4Char"/>
    <w:qFormat/>
    <w:rsid w:val="0049321D"/>
    <w:pPr>
      <w:keepNext/>
      <w:spacing w:before="240"/>
      <w:outlineLvl w:val="3"/>
    </w:pPr>
    <w:rPr>
      <w:b/>
      <w:color w:val="6B2976"/>
      <w:sz w:val="25"/>
      <w:lang w:val="en-AU"/>
    </w:rPr>
  </w:style>
  <w:style w:type="character" w:customStyle="1" w:styleId="FSRHeading4Char">
    <w:name w:val="FSR_Heading4 Char"/>
    <w:basedOn w:val="DefaultParagraphFont"/>
    <w:link w:val="FSRHeading4"/>
    <w:rsid w:val="0049321D"/>
    <w:rPr>
      <w:rFonts w:ascii="Arial" w:eastAsiaTheme="minorEastAsia" w:hAnsi="Arial"/>
      <w:b/>
      <w:color w:val="6B2976"/>
      <w:sz w:val="25"/>
      <w:szCs w:val="24"/>
      <w:lang w:eastAsia="ja-JP"/>
    </w:rPr>
  </w:style>
  <w:style w:type="character" w:customStyle="1" w:styleId="normaltextrun">
    <w:name w:val="normaltextrun"/>
    <w:basedOn w:val="DefaultParagraphFont"/>
    <w:rsid w:val="00FD40F5"/>
  </w:style>
  <w:style w:type="character" w:customStyle="1" w:styleId="BodyText1Char">
    <w:name w:val="Body Text1 Char"/>
    <w:basedOn w:val="DefaultParagraphFont"/>
    <w:link w:val="BodyText1"/>
    <w:locked/>
    <w:rsid w:val="002E7F61"/>
    <w:rPr>
      <w:rFonts w:ascii="Arial" w:eastAsia="MS Mincho" w:hAnsi="Arial" w:cs="FSMe-Bold"/>
      <w:spacing w:val="-2"/>
      <w:sz w:val="20"/>
      <w:szCs w:val="20"/>
      <w:lang w:val="en-US"/>
    </w:rPr>
  </w:style>
  <w:style w:type="paragraph" w:customStyle="1" w:styleId="FSRsublist">
    <w:name w:val="FSR_sublist"/>
    <w:basedOn w:val="ListParagraph"/>
    <w:link w:val="FSRsublistChar"/>
    <w:qFormat/>
    <w:rsid w:val="002E7F61"/>
    <w:pPr>
      <w:numPr>
        <w:ilvl w:val="1"/>
        <w:numId w:val="7"/>
      </w:numPr>
      <w:spacing w:after="0"/>
    </w:pPr>
  </w:style>
  <w:style w:type="paragraph" w:customStyle="1" w:styleId="FSRHeading2">
    <w:name w:val="FSR_Heading2"/>
    <w:basedOn w:val="Heading3"/>
    <w:link w:val="FSRHeading2Char"/>
    <w:qFormat/>
    <w:rsid w:val="003A6CC1"/>
    <w:pPr>
      <w:keepNext/>
      <w:numPr>
        <w:ilvl w:val="0"/>
        <w:numId w:val="0"/>
      </w:numPr>
      <w:spacing w:before="200" w:after="80"/>
      <w:ind w:left="357" w:hanging="357"/>
    </w:pPr>
    <w:rPr>
      <w:sz w:val="28"/>
      <w:szCs w:val="44"/>
    </w:rPr>
  </w:style>
  <w:style w:type="character" w:customStyle="1" w:styleId="FSRHeading2Char">
    <w:name w:val="FSR_Heading2 Char"/>
    <w:basedOn w:val="Heading3Char"/>
    <w:link w:val="FSRHeading2"/>
    <w:rsid w:val="003A6CC1"/>
    <w:rPr>
      <w:rFonts w:ascii="Arial" w:eastAsiaTheme="minorEastAsia" w:hAnsi="Arial"/>
      <w:b/>
      <w:color w:val="6A2875"/>
      <w:sz w:val="28"/>
      <w:szCs w:val="44"/>
      <w:lang w:val="en-US" w:eastAsia="ja-JP"/>
    </w:rPr>
  </w:style>
  <w:style w:type="paragraph" w:customStyle="1" w:styleId="FSRzlegislation">
    <w:name w:val="FSR_zlegislation"/>
    <w:basedOn w:val="FSRsublist"/>
    <w:link w:val="FSRzlegislationChar"/>
    <w:qFormat/>
    <w:rsid w:val="002E7F61"/>
    <w:pPr>
      <w:numPr>
        <w:ilvl w:val="0"/>
        <w:numId w:val="8"/>
      </w:numPr>
    </w:pPr>
    <w:rPr>
      <w:i/>
    </w:rPr>
  </w:style>
  <w:style w:type="character" w:customStyle="1" w:styleId="FSRzlegislationChar">
    <w:name w:val="FSR_zlegislation Char"/>
    <w:basedOn w:val="DefaultParagraphFont"/>
    <w:link w:val="FSRzlegislation"/>
    <w:rsid w:val="002E7F61"/>
    <w:rPr>
      <w:rFonts w:ascii="Arial" w:eastAsiaTheme="minorEastAsia" w:hAnsi="Arial"/>
      <w:i/>
      <w:szCs w:val="24"/>
      <w:lang w:val="en-US" w:eastAsia="ja-JP"/>
    </w:rPr>
  </w:style>
  <w:style w:type="paragraph" w:customStyle="1" w:styleId="sectiontext">
    <w:name w:val="sectiontext"/>
    <w:basedOn w:val="Normal"/>
    <w:rsid w:val="002E7F61"/>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paragraphtext">
    <w:name w:val="paragraphtext"/>
    <w:basedOn w:val="Normal"/>
    <w:rsid w:val="002E7F61"/>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subparagraphtext">
    <w:name w:val="subparagraphtext"/>
    <w:basedOn w:val="Normal"/>
    <w:rsid w:val="002E7F61"/>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FSRNumberedList">
    <w:name w:val="FSR_NumberedList"/>
    <w:basedOn w:val="FSRlist"/>
    <w:link w:val="FSRNumberedListChar"/>
    <w:qFormat/>
    <w:rsid w:val="002E7F61"/>
    <w:pPr>
      <w:numPr>
        <w:numId w:val="9"/>
      </w:numPr>
    </w:pPr>
    <w:rPr>
      <w:rFonts w:cs="Arial"/>
    </w:rPr>
  </w:style>
  <w:style w:type="character" w:customStyle="1" w:styleId="FSRNumberedListChar">
    <w:name w:val="FSR_NumberedList Char"/>
    <w:basedOn w:val="FSRlistChar"/>
    <w:link w:val="FSRNumberedList"/>
    <w:rsid w:val="002E7F61"/>
    <w:rPr>
      <w:rFonts w:ascii="Arial" w:eastAsiaTheme="minorEastAsia" w:hAnsi="Arial" w:cs="Arial"/>
      <w:color w:val="000000" w:themeColor="text1"/>
      <w:szCs w:val="24"/>
      <w:lang w:eastAsia="ja-JP"/>
    </w:rPr>
  </w:style>
  <w:style w:type="table" w:styleId="TableGrid">
    <w:name w:val="Table Grid"/>
    <w:basedOn w:val="TableNormal"/>
    <w:uiPriority w:val="39"/>
    <w:rsid w:val="002E7F6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E7F61"/>
    <w:rPr>
      <w:color w:val="800080" w:themeColor="followedHyperlink"/>
      <w:u w:val="single"/>
    </w:rPr>
  </w:style>
  <w:style w:type="paragraph" w:customStyle="1" w:styleId="FSRHeading3">
    <w:name w:val="FSR_Heading3"/>
    <w:basedOn w:val="Normal"/>
    <w:link w:val="FSRHeading3Char"/>
    <w:qFormat/>
    <w:rsid w:val="008B34A8"/>
    <w:pPr>
      <w:keepNext/>
      <w:spacing w:before="480" w:after="240" w:line="269" w:lineRule="auto"/>
      <w:ind w:left="357" w:hanging="357"/>
      <w:outlineLvl w:val="2"/>
    </w:pPr>
    <w:rPr>
      <w:color w:val="6A2875"/>
      <w:sz w:val="30"/>
      <w:szCs w:val="30"/>
    </w:rPr>
  </w:style>
  <w:style w:type="character" w:customStyle="1" w:styleId="FSRHeading3Char">
    <w:name w:val="FSR_Heading3 Char"/>
    <w:basedOn w:val="Heading4Char"/>
    <w:link w:val="FSRHeading3"/>
    <w:rsid w:val="008B34A8"/>
    <w:rPr>
      <w:rFonts w:ascii="Arial" w:eastAsiaTheme="minorEastAsia" w:hAnsi="Arial"/>
      <w:b w:val="0"/>
      <w:color w:val="6A2875"/>
      <w:sz w:val="30"/>
      <w:szCs w:val="30"/>
      <w:lang w:val="en-US" w:eastAsia="ja-JP"/>
    </w:rPr>
  </w:style>
  <w:style w:type="character" w:customStyle="1" w:styleId="FSRsublistChar">
    <w:name w:val="FSR_sublist Char"/>
    <w:basedOn w:val="ListParagraphChar"/>
    <w:link w:val="FSRsublist"/>
    <w:rsid w:val="002E7F61"/>
    <w:rPr>
      <w:rFonts w:ascii="Arial" w:eastAsiaTheme="minorEastAsia" w:hAnsi="Arial"/>
      <w:szCs w:val="24"/>
      <w:lang w:val="en-US" w:eastAsia="ja-JP"/>
    </w:rPr>
  </w:style>
  <w:style w:type="table" w:styleId="GridTable5Dark-Accent1">
    <w:name w:val="Grid Table 5 Dark Accent 1"/>
    <w:basedOn w:val="TableNormal"/>
    <w:uiPriority w:val="50"/>
    <w:rsid w:val="002E7F61"/>
    <w:pPr>
      <w:spacing w:after="0" w:line="240" w:lineRule="auto"/>
    </w:pPr>
    <w:rPr>
      <w:rFonts w:eastAsia="MS Minch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1">
    <w:name w:val="Table Grid1"/>
    <w:basedOn w:val="TableNormal"/>
    <w:next w:val="TableGrid"/>
    <w:uiPriority w:val="39"/>
    <w:rsid w:val="002E7F6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E7F61"/>
    <w:pPr>
      <w:spacing w:before="100" w:beforeAutospacing="1" w:after="100" w:afterAutospacing="1" w:line="240" w:lineRule="auto"/>
    </w:pPr>
    <w:rPr>
      <w:rFonts w:ascii="Times New Roman" w:hAnsi="Times New Roman" w:cs="Times New Roman"/>
      <w:sz w:val="24"/>
      <w:lang w:val="en-AU" w:eastAsia="en-AU"/>
    </w:rPr>
  </w:style>
  <w:style w:type="character" w:customStyle="1" w:styleId="CaptionChar">
    <w:name w:val="Caption Char"/>
    <w:basedOn w:val="DefaultParagraphFont"/>
    <w:link w:val="Caption"/>
    <w:uiPriority w:val="35"/>
    <w:rsid w:val="002E7F61"/>
    <w:rPr>
      <w:rFonts w:ascii="Arial" w:eastAsiaTheme="minorEastAsia" w:hAnsi="Arial"/>
      <w:b/>
      <w:bCs/>
      <w:caps/>
      <w:sz w:val="16"/>
      <w:szCs w:val="18"/>
      <w:lang w:val="en-US" w:eastAsia="ja-JP"/>
    </w:rPr>
  </w:style>
  <w:style w:type="paragraph" w:customStyle="1" w:styleId="Heading1-Nonumbers">
    <w:name w:val="Heading 1 - No numbers"/>
    <w:basedOn w:val="Normal"/>
    <w:link w:val="Heading1-NonumbersChar"/>
    <w:rsid w:val="002E7F61"/>
    <w:pPr>
      <w:spacing w:before="480" w:after="320" w:line="276" w:lineRule="auto"/>
      <w:contextualSpacing/>
      <w:outlineLvl w:val="0"/>
    </w:pPr>
    <w:rPr>
      <w:rFonts w:eastAsiaTheme="majorEastAsia" w:cstheme="majorBidi"/>
      <w:b/>
      <w:bCs/>
      <w:color w:val="C0504D" w:themeColor="accent2"/>
      <w:sz w:val="36"/>
      <w:szCs w:val="36"/>
      <w:lang w:val="en-AU" w:eastAsia="en-US"/>
    </w:rPr>
  </w:style>
  <w:style w:type="character" w:customStyle="1" w:styleId="Heading1-NonumbersChar">
    <w:name w:val="Heading 1 - No numbers Char"/>
    <w:basedOn w:val="DefaultParagraphFont"/>
    <w:link w:val="Heading1-Nonumbers"/>
    <w:rsid w:val="002E7F61"/>
    <w:rPr>
      <w:rFonts w:ascii="Arial" w:eastAsiaTheme="majorEastAsia" w:hAnsi="Arial" w:cstheme="majorBidi"/>
      <w:b/>
      <w:bCs/>
      <w:color w:val="C0504D" w:themeColor="accent2"/>
      <w:sz w:val="36"/>
      <w:szCs w:val="36"/>
    </w:rPr>
  </w:style>
  <w:style w:type="table" w:styleId="GridTable4-Accent6">
    <w:name w:val="Grid Table 4 Accent 6"/>
    <w:basedOn w:val="TableNormal"/>
    <w:uiPriority w:val="49"/>
    <w:rsid w:val="002E7F61"/>
    <w:pPr>
      <w:spacing w:after="0" w:line="240" w:lineRule="auto"/>
    </w:pPr>
    <w:rPr>
      <w:rFonts w:eastAsia="MS Mincho"/>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ragraphSection">
    <w:name w:val="ParagraphSection"/>
    <w:basedOn w:val="ListParagraph"/>
    <w:qFormat/>
    <w:rsid w:val="002E7F61"/>
    <w:pPr>
      <w:numPr>
        <w:numId w:val="10"/>
      </w:numPr>
      <w:spacing w:before="240" w:after="240" w:line="276" w:lineRule="auto"/>
      <w:contextualSpacing w:val="0"/>
    </w:pPr>
    <w:rPr>
      <w:lang w:val="en-AU"/>
    </w:rPr>
  </w:style>
  <w:style w:type="paragraph" w:customStyle="1" w:styleId="1jb">
    <w:name w:val="1 jb"/>
    <w:basedOn w:val="ListParagraph"/>
    <w:link w:val="1jbChar"/>
    <w:qFormat/>
    <w:rsid w:val="002E7F61"/>
    <w:pPr>
      <w:numPr>
        <w:numId w:val="11"/>
      </w:numPr>
      <w:spacing w:after="160" w:line="259" w:lineRule="auto"/>
    </w:pPr>
    <w:rPr>
      <w:rFonts w:asciiTheme="minorHAnsi" w:eastAsiaTheme="minorHAnsi" w:hAnsiTheme="minorHAnsi"/>
      <w:b/>
      <w:szCs w:val="22"/>
      <w:lang w:val="en-AU" w:eastAsia="en-US"/>
    </w:rPr>
  </w:style>
  <w:style w:type="character" w:customStyle="1" w:styleId="1jbChar">
    <w:name w:val="1 jb Char"/>
    <w:basedOn w:val="DefaultParagraphFont"/>
    <w:link w:val="1jb"/>
    <w:rsid w:val="002E7F61"/>
    <w:rPr>
      <w:b/>
    </w:rPr>
  </w:style>
  <w:style w:type="character" w:styleId="PlaceholderText">
    <w:name w:val="Placeholder Text"/>
    <w:basedOn w:val="DefaultParagraphFont"/>
    <w:uiPriority w:val="99"/>
    <w:semiHidden/>
    <w:rsid w:val="002E7F61"/>
    <w:rPr>
      <w:color w:val="808080"/>
    </w:rPr>
  </w:style>
  <w:style w:type="character" w:customStyle="1" w:styleId="UnresolvedMention1">
    <w:name w:val="Unresolved Mention1"/>
    <w:basedOn w:val="DefaultParagraphFont"/>
    <w:uiPriority w:val="99"/>
    <w:unhideWhenUsed/>
    <w:rsid w:val="002E7F61"/>
    <w:rPr>
      <w:color w:val="605E5C"/>
      <w:shd w:val="clear" w:color="auto" w:fill="E1DFDD"/>
    </w:rPr>
  </w:style>
  <w:style w:type="character" w:customStyle="1" w:styleId="UnresolvedMention2">
    <w:name w:val="Unresolved Mention2"/>
    <w:basedOn w:val="DefaultParagraphFont"/>
    <w:uiPriority w:val="99"/>
    <w:unhideWhenUsed/>
    <w:rsid w:val="002E7F61"/>
    <w:rPr>
      <w:color w:val="605E5C"/>
      <w:shd w:val="clear" w:color="auto" w:fill="E1DFDD"/>
    </w:rPr>
  </w:style>
  <w:style w:type="character" w:customStyle="1" w:styleId="Mention1">
    <w:name w:val="Mention1"/>
    <w:basedOn w:val="DefaultParagraphFont"/>
    <w:uiPriority w:val="99"/>
    <w:unhideWhenUsed/>
    <w:rsid w:val="002E7F61"/>
    <w:rPr>
      <w:color w:val="2B579A"/>
      <w:shd w:val="clear" w:color="auto" w:fill="E1DFDD"/>
    </w:rPr>
  </w:style>
  <w:style w:type="character" w:customStyle="1" w:styleId="A8">
    <w:name w:val="A8"/>
    <w:uiPriority w:val="99"/>
    <w:rsid w:val="002E7F61"/>
    <w:rPr>
      <w:rFonts w:cs="FS Me"/>
      <w:color w:val="000000"/>
      <w:sz w:val="22"/>
      <w:szCs w:val="22"/>
    </w:rPr>
  </w:style>
  <w:style w:type="table" w:styleId="GridTable2">
    <w:name w:val="Grid Table 2"/>
    <w:basedOn w:val="TableNormal"/>
    <w:uiPriority w:val="47"/>
    <w:rsid w:val="002E7F61"/>
    <w:pPr>
      <w:spacing w:after="0" w:line="240" w:lineRule="auto"/>
    </w:pPr>
    <w:rPr>
      <w:rFonts w:eastAsia="MS Mincho"/>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2E7F61"/>
    <w:pPr>
      <w:spacing w:after="0" w:line="240" w:lineRule="auto"/>
    </w:pPr>
    <w:rPr>
      <w:rFonts w:eastAsia="MS Mincho"/>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ustainabilityTable">
    <w:name w:val="Sustainability Table"/>
    <w:basedOn w:val="TableList1"/>
    <w:uiPriority w:val="99"/>
    <w:rsid w:val="002E7F61"/>
    <w:pPr>
      <w:spacing w:after="0" w:line="240" w:lineRule="auto"/>
    </w:pPr>
    <w:rPr>
      <w:rFonts w:ascii="Arial" w:eastAsiaTheme="minorEastAsia" w:hAnsi="Arial"/>
      <w:sz w:val="20"/>
      <w:szCs w:val="20"/>
      <w:lang w:val="en-US" w:eastAsia="en-AU" w:bidi="th-TH"/>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F61"/>
    <w:pPr>
      <w:spacing w:line="288" w:lineRule="auto"/>
    </w:pPr>
    <w:rPr>
      <w:rFonts w:eastAsia="MS Minch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ention11">
    <w:name w:val="Mention11"/>
    <w:basedOn w:val="DefaultParagraphFont"/>
    <w:uiPriority w:val="99"/>
    <w:unhideWhenUsed/>
    <w:rsid w:val="002E7F61"/>
    <w:rPr>
      <w:color w:val="2B579A"/>
      <w:shd w:val="clear" w:color="auto" w:fill="E6E6E6"/>
    </w:rPr>
  </w:style>
  <w:style w:type="character" w:customStyle="1" w:styleId="UnresolvedMention21">
    <w:name w:val="Unresolved Mention21"/>
    <w:basedOn w:val="DefaultParagraphFont"/>
    <w:uiPriority w:val="99"/>
    <w:unhideWhenUsed/>
    <w:rsid w:val="002E7F61"/>
    <w:rPr>
      <w:color w:val="605E5C"/>
      <w:shd w:val="clear" w:color="auto" w:fill="E1DFDD"/>
    </w:rPr>
  </w:style>
  <w:style w:type="character" w:customStyle="1" w:styleId="Mention2">
    <w:name w:val="Mention2"/>
    <w:basedOn w:val="DefaultParagraphFont"/>
    <w:uiPriority w:val="99"/>
    <w:unhideWhenUsed/>
    <w:rsid w:val="002E7F61"/>
    <w:rPr>
      <w:color w:val="2B579A"/>
      <w:shd w:val="clear" w:color="auto" w:fill="E1DFDD"/>
    </w:rPr>
  </w:style>
  <w:style w:type="character" w:customStyle="1" w:styleId="UnresolvedMention20">
    <w:name w:val="Unresolved Mention20"/>
    <w:basedOn w:val="DefaultParagraphFont"/>
    <w:uiPriority w:val="99"/>
    <w:unhideWhenUsed/>
    <w:rsid w:val="002E7F61"/>
    <w:rPr>
      <w:color w:val="605E5C"/>
      <w:shd w:val="clear" w:color="auto" w:fill="E1DFDD"/>
    </w:rPr>
  </w:style>
  <w:style w:type="character" w:customStyle="1" w:styleId="Mention20">
    <w:name w:val="Mention20"/>
    <w:basedOn w:val="DefaultParagraphFont"/>
    <w:uiPriority w:val="99"/>
    <w:unhideWhenUsed/>
    <w:rsid w:val="002E7F61"/>
    <w:rPr>
      <w:color w:val="2B579A"/>
      <w:shd w:val="clear" w:color="auto" w:fill="E1DFDD"/>
    </w:rPr>
  </w:style>
  <w:style w:type="character" w:customStyle="1" w:styleId="UnresolvedMention3">
    <w:name w:val="Unresolved Mention3"/>
    <w:basedOn w:val="DefaultParagraphFont"/>
    <w:uiPriority w:val="99"/>
    <w:unhideWhenUsed/>
    <w:rsid w:val="002E7F61"/>
    <w:rPr>
      <w:color w:val="605E5C"/>
      <w:shd w:val="clear" w:color="auto" w:fill="E1DFDD"/>
    </w:rPr>
  </w:style>
  <w:style w:type="character" w:customStyle="1" w:styleId="Mention3">
    <w:name w:val="Mention3"/>
    <w:basedOn w:val="DefaultParagraphFont"/>
    <w:uiPriority w:val="99"/>
    <w:unhideWhenUsed/>
    <w:rsid w:val="002E7F61"/>
    <w:rPr>
      <w:color w:val="2B579A"/>
      <w:shd w:val="clear" w:color="auto" w:fill="E1DFDD"/>
    </w:rPr>
  </w:style>
  <w:style w:type="paragraph" w:customStyle="1" w:styleId="paragraph">
    <w:name w:val="paragraph"/>
    <w:basedOn w:val="Normal"/>
    <w:rsid w:val="002E7F61"/>
    <w:pPr>
      <w:spacing w:before="100" w:beforeAutospacing="1" w:after="100" w:afterAutospacing="1" w:line="240" w:lineRule="auto"/>
    </w:pPr>
    <w:rPr>
      <w:rFonts w:ascii="Times New Roman" w:eastAsia="Times New Roman" w:hAnsi="Times New Roman" w:cs="Times New Roman"/>
      <w:sz w:val="24"/>
      <w:lang w:val="en-AU" w:eastAsia="en-AU"/>
    </w:rPr>
  </w:style>
  <w:style w:type="character" w:customStyle="1" w:styleId="eop">
    <w:name w:val="eop"/>
    <w:basedOn w:val="DefaultParagraphFont"/>
    <w:rsid w:val="002E7F61"/>
  </w:style>
  <w:style w:type="character" w:customStyle="1" w:styleId="UnresolvedMention4">
    <w:name w:val="Unresolved Mention4"/>
    <w:basedOn w:val="DefaultParagraphFont"/>
    <w:uiPriority w:val="99"/>
    <w:unhideWhenUsed/>
    <w:rsid w:val="002E7F61"/>
    <w:rPr>
      <w:color w:val="605E5C"/>
      <w:shd w:val="clear" w:color="auto" w:fill="E1DFDD"/>
    </w:rPr>
  </w:style>
  <w:style w:type="character" w:customStyle="1" w:styleId="UnresolvedMention5">
    <w:name w:val="Unresolved Mention5"/>
    <w:basedOn w:val="DefaultParagraphFont"/>
    <w:uiPriority w:val="99"/>
    <w:unhideWhenUsed/>
    <w:rsid w:val="002E7F61"/>
    <w:rPr>
      <w:color w:val="605E5C"/>
      <w:shd w:val="clear" w:color="auto" w:fill="E1DFDD"/>
    </w:rPr>
  </w:style>
  <w:style w:type="character" w:customStyle="1" w:styleId="Mention4">
    <w:name w:val="Mention4"/>
    <w:basedOn w:val="DefaultParagraphFont"/>
    <w:uiPriority w:val="99"/>
    <w:unhideWhenUsed/>
    <w:rsid w:val="002E7F61"/>
    <w:rPr>
      <w:color w:val="2B579A"/>
      <w:shd w:val="clear" w:color="auto" w:fill="E1DFDD"/>
    </w:rPr>
  </w:style>
  <w:style w:type="table" w:customStyle="1" w:styleId="Style1">
    <w:name w:val="Style1"/>
    <w:basedOn w:val="TableNormal"/>
    <w:uiPriority w:val="99"/>
    <w:rsid w:val="002E7F61"/>
    <w:pPr>
      <w:spacing w:after="0" w:line="240" w:lineRule="auto"/>
    </w:pPr>
    <w:rPr>
      <w:rFonts w:eastAsiaTheme="minorEastAsia"/>
      <w:sz w:val="21"/>
      <w:szCs w:val="21"/>
    </w:rPr>
    <w:tblPr/>
  </w:style>
  <w:style w:type="table" w:customStyle="1" w:styleId="NDIS">
    <w:name w:val="NDIS"/>
    <w:basedOn w:val="TableContemporary"/>
    <w:uiPriority w:val="99"/>
    <w:rsid w:val="002E7F61"/>
    <w:rPr>
      <w:rFonts w:ascii="Arial" w:eastAsiaTheme="minorEastAsia" w:hAnsi="Arial"/>
      <w:sz w:val="21"/>
      <w:szCs w:val="21"/>
      <w:lang w:val="en-US" w:eastAsia="en-AU" w:bidi="th-TH"/>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semiHidden/>
    <w:unhideWhenUsed/>
    <w:rsid w:val="002E7F61"/>
    <w:pPr>
      <w:spacing w:after="0" w:line="240" w:lineRule="auto"/>
    </w:pPr>
    <w:rPr>
      <w:rFonts w:eastAsia="MS Mincho"/>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link w:val="EndnoteTextChar"/>
    <w:uiPriority w:val="99"/>
    <w:semiHidden/>
    <w:unhideWhenUsed/>
    <w:rsid w:val="002E7F61"/>
    <w:pPr>
      <w:spacing w:after="0" w:line="240" w:lineRule="auto"/>
    </w:pPr>
    <w:rPr>
      <w:sz w:val="20"/>
      <w:szCs w:val="20"/>
      <w:lang w:val="en-AU"/>
    </w:rPr>
  </w:style>
  <w:style w:type="character" w:customStyle="1" w:styleId="EndnoteTextChar">
    <w:name w:val="Endnote Text Char"/>
    <w:basedOn w:val="DefaultParagraphFont"/>
    <w:link w:val="EndnoteText"/>
    <w:uiPriority w:val="99"/>
    <w:semiHidden/>
    <w:rsid w:val="002E7F61"/>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2E7F61"/>
    <w:rPr>
      <w:vertAlign w:val="superscript"/>
    </w:rPr>
  </w:style>
  <w:style w:type="character" w:customStyle="1" w:styleId="Mention40">
    <w:name w:val="Mention40"/>
    <w:basedOn w:val="DefaultParagraphFont"/>
    <w:uiPriority w:val="99"/>
    <w:unhideWhenUsed/>
    <w:rsid w:val="002E7F61"/>
    <w:rPr>
      <w:color w:val="2B579A"/>
      <w:shd w:val="clear" w:color="auto" w:fill="E6E6E6"/>
    </w:rPr>
  </w:style>
  <w:style w:type="paragraph" w:styleId="TableofFigures">
    <w:name w:val="table of figures"/>
    <w:basedOn w:val="Normal"/>
    <w:next w:val="Normal"/>
    <w:uiPriority w:val="99"/>
    <w:unhideWhenUsed/>
    <w:rsid w:val="002E7F61"/>
    <w:pPr>
      <w:spacing w:after="0"/>
    </w:pPr>
    <w:rPr>
      <w:lang w:val="en-AU"/>
    </w:rPr>
  </w:style>
  <w:style w:type="table" w:styleId="GridTable1Light-Accent6">
    <w:name w:val="Grid Table 1 Light Accent 6"/>
    <w:basedOn w:val="TableNormal"/>
    <w:uiPriority w:val="46"/>
    <w:rsid w:val="002E7F61"/>
    <w:pPr>
      <w:spacing w:after="0" w:line="240" w:lineRule="auto"/>
    </w:pPr>
    <w:rPr>
      <w:rFonts w:eastAsia="MS Mincho"/>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Mention5">
    <w:name w:val="Mention5"/>
    <w:basedOn w:val="DefaultParagraphFont"/>
    <w:uiPriority w:val="99"/>
    <w:unhideWhenUsed/>
    <w:rsid w:val="002E7F61"/>
    <w:rPr>
      <w:color w:val="2B579A"/>
      <w:shd w:val="clear" w:color="auto" w:fill="E1DFDD"/>
    </w:rPr>
  </w:style>
  <w:style w:type="character" w:customStyle="1" w:styleId="findhit">
    <w:name w:val="findhit"/>
    <w:basedOn w:val="DefaultParagraphFont"/>
    <w:rsid w:val="002E7F61"/>
  </w:style>
  <w:style w:type="paragraph" w:customStyle="1" w:styleId="FSRHeading6">
    <w:name w:val="FSR Heading 6"/>
    <w:link w:val="FSRHeading6Char"/>
    <w:qFormat/>
    <w:rsid w:val="0005765D"/>
    <w:pPr>
      <w:spacing w:before="240" w:line="259" w:lineRule="auto"/>
    </w:pPr>
    <w:rPr>
      <w:rFonts w:ascii="Arial" w:eastAsiaTheme="minorEastAsia" w:hAnsi="Arial"/>
      <w:b/>
      <w:color w:val="6B2976"/>
      <w:sz w:val="28"/>
      <w:szCs w:val="24"/>
      <w:lang w:eastAsia="ja-JP"/>
    </w:rPr>
  </w:style>
  <w:style w:type="character" w:customStyle="1" w:styleId="FSRHeading6Char">
    <w:name w:val="FSR Heading 6 Char"/>
    <w:basedOn w:val="FSRHeading4Char"/>
    <w:link w:val="FSRHeading6"/>
    <w:rsid w:val="0005765D"/>
    <w:rPr>
      <w:rFonts w:ascii="Arial" w:eastAsiaTheme="minorEastAsia" w:hAnsi="Arial"/>
      <w:b/>
      <w:color w:val="6B2976"/>
      <w:sz w:val="28"/>
      <w:szCs w:val="24"/>
      <w:lang w:eastAsia="ja-JP"/>
    </w:rPr>
  </w:style>
  <w:style w:type="table" w:customStyle="1" w:styleId="FSRtable1">
    <w:name w:val="FSR table1"/>
    <w:basedOn w:val="TableNormal"/>
    <w:uiPriority w:val="99"/>
    <w:rsid w:val="002E7F61"/>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cf01">
    <w:name w:val="cf01"/>
    <w:basedOn w:val="DefaultParagraphFont"/>
    <w:rsid w:val="002E7F61"/>
    <w:rPr>
      <w:rFonts w:ascii="Segoe UI" w:hAnsi="Segoe UI" w:cs="Segoe UI" w:hint="default"/>
      <w:sz w:val="18"/>
      <w:szCs w:val="18"/>
    </w:rPr>
  </w:style>
  <w:style w:type="table" w:styleId="TableGridLight">
    <w:name w:val="Grid Table Light"/>
    <w:basedOn w:val="TableNormal"/>
    <w:uiPriority w:val="40"/>
    <w:rsid w:val="002E7F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2E7F61"/>
    <w:rPr>
      <w:color w:val="605E5C"/>
      <w:shd w:val="clear" w:color="auto" w:fill="E1DFDD"/>
    </w:rPr>
  </w:style>
  <w:style w:type="character" w:customStyle="1" w:styleId="ui-provider">
    <w:name w:val="ui-provider"/>
    <w:basedOn w:val="DefaultParagraphFont"/>
    <w:rsid w:val="002E7F61"/>
  </w:style>
  <w:style w:type="paragraph" w:styleId="List">
    <w:name w:val="List"/>
    <w:basedOn w:val="Normal"/>
    <w:uiPriority w:val="99"/>
    <w:semiHidden/>
    <w:unhideWhenUsed/>
    <w:rsid w:val="002E7F61"/>
    <w:pPr>
      <w:spacing w:after="160" w:line="259" w:lineRule="auto"/>
      <w:ind w:left="283" w:hanging="283"/>
      <w:contextualSpacing/>
    </w:pPr>
    <w:rPr>
      <w:rFonts w:eastAsiaTheme="minorHAnsi"/>
      <w:color w:val="000000" w:themeColor="text1"/>
      <w:kern w:val="2"/>
      <w:szCs w:val="22"/>
      <w:lang w:val="en-AU" w:eastAsia="en-US"/>
      <w14:ligatures w14:val="standardContextual"/>
    </w:rPr>
  </w:style>
  <w:style w:type="paragraph" w:styleId="TOC6">
    <w:name w:val="toc 6"/>
    <w:basedOn w:val="Normal"/>
    <w:next w:val="Normal"/>
    <w:autoRedefine/>
    <w:uiPriority w:val="39"/>
    <w:unhideWhenUsed/>
    <w:rsid w:val="00BC422E"/>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BC422E"/>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BC422E"/>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BC422E"/>
    <w:pPr>
      <w:spacing w:after="0"/>
      <w:ind w:left="1760"/>
    </w:pPr>
    <w:rPr>
      <w:rFonts w:asciiTheme="minorHAnsi" w:hAnsiTheme="minorHAnsi" w:cstheme="minorHAnsi"/>
      <w:sz w:val="20"/>
      <w:szCs w:val="20"/>
    </w:rPr>
  </w:style>
  <w:style w:type="paragraph" w:customStyle="1" w:styleId="DotPoint">
    <w:name w:val="Dot Point"/>
    <w:basedOn w:val="Normal"/>
    <w:link w:val="DotPointChar"/>
    <w:qFormat/>
    <w:rsid w:val="00696867"/>
    <w:pPr>
      <w:numPr>
        <w:numId w:val="23"/>
      </w:numPr>
      <w:spacing w:before="120" w:after="0" w:line="264" w:lineRule="auto"/>
      <w:ind w:left="1077" w:hanging="397"/>
    </w:pPr>
    <w:rPr>
      <w:rFonts w:eastAsiaTheme="minorHAnsi"/>
      <w:color w:val="000000" w:themeColor="text1"/>
      <w:kern w:val="2"/>
      <w:szCs w:val="28"/>
      <w:lang w:val="en-AU" w:eastAsia="en-US" w:bidi="th-TH"/>
      <w14:ligatures w14:val="standardContextual"/>
    </w:rPr>
  </w:style>
  <w:style w:type="character" w:customStyle="1" w:styleId="DotPointChar">
    <w:name w:val="Dot Point Char"/>
    <w:basedOn w:val="DefaultParagraphFont"/>
    <w:link w:val="DotPoint"/>
    <w:rsid w:val="00696867"/>
    <w:rPr>
      <w:rFonts w:ascii="Arial" w:hAnsi="Arial"/>
      <w:color w:val="000000" w:themeColor="text1"/>
      <w:kern w:val="2"/>
      <w:szCs w:val="28"/>
      <w:lang w:bidi="th-TH"/>
      <w14:ligatures w14:val="standardContextual"/>
    </w:rPr>
  </w:style>
  <w:style w:type="table" w:styleId="ListTable6Colorful">
    <w:name w:val="List Table 6 Colorful"/>
    <w:basedOn w:val="TableNormal"/>
    <w:uiPriority w:val="51"/>
    <w:rsid w:val="00D823B0"/>
    <w:pPr>
      <w:spacing w:after="0" w:line="240" w:lineRule="auto"/>
    </w:pPr>
    <w:rPr>
      <w:color w:val="000000" w:themeColor="text1"/>
      <w:kern w:val="2"/>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D823B0"/>
    <w:pPr>
      <w:spacing w:after="0" w:line="240" w:lineRule="auto"/>
    </w:pPr>
    <w:rPr>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1">
    <w:name w:val="Heading 3 Char1"/>
    <w:aliases w:val="Heading 3 Purple Text heading 3 Char1"/>
    <w:basedOn w:val="DefaultParagraphFont"/>
    <w:uiPriority w:val="9"/>
    <w:semiHidden/>
    <w:rsid w:val="005A6405"/>
    <w:rPr>
      <w:rFonts w:asciiTheme="majorHAnsi" w:eastAsiaTheme="majorEastAsia" w:hAnsiTheme="majorHAnsi" w:cstheme="majorBidi"/>
      <w:color w:val="243F60" w:themeColor="accent1" w:themeShade="7F"/>
      <w:kern w:val="2"/>
      <w:sz w:val="24"/>
      <w:szCs w:val="24"/>
      <w14:ligatures w14:val="standardContextual"/>
    </w:rPr>
  </w:style>
  <w:style w:type="paragraph" w:customStyle="1" w:styleId="msonormal0">
    <w:name w:val="msonormal"/>
    <w:basedOn w:val="Normal"/>
    <w:uiPriority w:val="99"/>
    <w:rsid w:val="005A6405"/>
    <w:pPr>
      <w:spacing w:before="100" w:beforeAutospacing="1" w:after="100" w:afterAutospacing="1" w:line="240" w:lineRule="auto"/>
    </w:pPr>
    <w:rPr>
      <w:rFonts w:ascii="Times New Roman" w:hAnsi="Times New Roman" w:cs="Times New Roman"/>
      <w:sz w:val="24"/>
      <w:lang w:val="en-AU" w:eastAsia="en-AU"/>
    </w:rPr>
  </w:style>
  <w:style w:type="character" w:customStyle="1" w:styleId="Heading7Char1">
    <w:name w:val="Heading 7 Char1"/>
    <w:aliases w:val="zlegislation Heading 7 Char1"/>
    <w:basedOn w:val="DefaultParagraphFont"/>
    <w:uiPriority w:val="9"/>
    <w:semiHidden/>
    <w:rsid w:val="005A6405"/>
    <w:rPr>
      <w:rFonts w:asciiTheme="majorHAnsi" w:eastAsiaTheme="majorEastAsia" w:hAnsiTheme="majorHAnsi" w:cstheme="majorBidi"/>
      <w:i/>
      <w:iCs/>
      <w:color w:val="243F60" w:themeColor="accent1" w:themeShade="7F"/>
      <w:kern w:val="2"/>
      <w:sz w:val="22"/>
      <w:szCs w:val="22"/>
      <w14:ligatures w14:val="standardContextual"/>
    </w:rPr>
  </w:style>
  <w:style w:type="character" w:customStyle="1" w:styleId="Heading8Char1">
    <w:name w:val="Heading 8 Char1"/>
    <w:aliases w:val="Heading 8 Orange text Char1"/>
    <w:basedOn w:val="DefaultParagraphFont"/>
    <w:uiPriority w:val="9"/>
    <w:semiHidden/>
    <w:rsid w:val="005A6405"/>
    <w:rPr>
      <w:rFonts w:asciiTheme="majorHAnsi" w:eastAsiaTheme="majorEastAsia" w:hAnsiTheme="majorHAnsi" w:cstheme="majorBidi"/>
      <w:color w:val="272727" w:themeColor="text1" w:themeTint="D8"/>
      <w:kern w:val="2"/>
      <w:sz w:val="21"/>
      <w:szCs w:val="21"/>
      <w14:ligatures w14:val="standardContextual"/>
    </w:rPr>
  </w:style>
  <w:style w:type="paragraph" w:customStyle="1" w:styleId="outlineelement">
    <w:name w:val="outlineelement"/>
    <w:basedOn w:val="Normal"/>
    <w:rsid w:val="00676B62"/>
    <w:pPr>
      <w:spacing w:before="100" w:beforeAutospacing="1" w:after="100" w:afterAutospacing="1" w:line="240" w:lineRule="auto"/>
    </w:pPr>
    <w:rPr>
      <w:rFonts w:ascii="Times New Roman" w:eastAsia="Times New Roman" w:hAnsi="Times New Roman" w:cs="Times New Roman"/>
      <w:sz w:val="24"/>
      <w:lang w:val="en-AU" w:eastAsia="en-AU"/>
    </w:rPr>
  </w:style>
  <w:style w:type="character" w:customStyle="1" w:styleId="textrun">
    <w:name w:val="textrun"/>
    <w:basedOn w:val="DefaultParagraphFont"/>
    <w:rsid w:val="00676B62"/>
  </w:style>
  <w:style w:type="character" w:customStyle="1" w:styleId="tabrun">
    <w:name w:val="tabrun"/>
    <w:basedOn w:val="DefaultParagraphFont"/>
    <w:rsid w:val="00676B62"/>
  </w:style>
  <w:style w:type="character" w:customStyle="1" w:styleId="tabchar">
    <w:name w:val="tabchar"/>
    <w:basedOn w:val="DefaultParagraphFont"/>
    <w:rsid w:val="00676B62"/>
  </w:style>
  <w:style w:type="character" w:customStyle="1" w:styleId="tableaderchars">
    <w:name w:val="tableaderchars"/>
    <w:basedOn w:val="DefaultParagraphFont"/>
    <w:rsid w:val="00676B62"/>
  </w:style>
  <w:style w:type="character" w:customStyle="1" w:styleId="superscript">
    <w:name w:val="superscript"/>
    <w:basedOn w:val="DefaultParagraphFont"/>
    <w:rsid w:val="00676B62"/>
  </w:style>
  <w:style w:type="character" w:customStyle="1" w:styleId="fieldrange">
    <w:name w:val="fieldrange"/>
    <w:basedOn w:val="DefaultParagraphFont"/>
    <w:rsid w:val="00676B62"/>
  </w:style>
  <w:style w:type="character" w:customStyle="1" w:styleId="pagebreakblob">
    <w:name w:val="pagebreakblob"/>
    <w:basedOn w:val="DefaultParagraphFont"/>
    <w:rsid w:val="00676B62"/>
  </w:style>
  <w:style w:type="character" w:customStyle="1" w:styleId="pagebreakborderspan">
    <w:name w:val="pagebreakborderspan"/>
    <w:basedOn w:val="DefaultParagraphFont"/>
    <w:rsid w:val="00676B62"/>
  </w:style>
  <w:style w:type="character" w:customStyle="1" w:styleId="pagebreaktextspan">
    <w:name w:val="pagebreaktextspan"/>
    <w:basedOn w:val="DefaultParagraphFont"/>
    <w:rsid w:val="00676B62"/>
  </w:style>
  <w:style w:type="character" w:customStyle="1" w:styleId="wacimagecontainer">
    <w:name w:val="wacimagecontainer"/>
    <w:basedOn w:val="DefaultParagraphFont"/>
    <w:rsid w:val="00676B62"/>
  </w:style>
  <w:style w:type="character" w:customStyle="1" w:styleId="wacimageborder">
    <w:name w:val="wacimageborder"/>
    <w:basedOn w:val="DefaultParagraphFont"/>
    <w:rsid w:val="00676B62"/>
  </w:style>
  <w:style w:type="character" w:customStyle="1" w:styleId="linebreakblob">
    <w:name w:val="linebreakblob"/>
    <w:basedOn w:val="DefaultParagraphFont"/>
    <w:rsid w:val="00676B62"/>
  </w:style>
  <w:style w:type="character" w:customStyle="1" w:styleId="scxw91451741">
    <w:name w:val="scxw91451741"/>
    <w:basedOn w:val="DefaultParagraphFont"/>
    <w:rsid w:val="00676B62"/>
  </w:style>
  <w:style w:type="table" w:styleId="PlainTable1">
    <w:name w:val="Plain Table 1"/>
    <w:basedOn w:val="TableNormal"/>
    <w:uiPriority w:val="41"/>
    <w:rsid w:val="00654778"/>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1New">
    <w:name w:val="Heading 1 New"/>
    <w:basedOn w:val="Heading2"/>
    <w:qFormat/>
    <w:rsid w:val="00ED7418"/>
    <w:pPr>
      <w:numPr>
        <w:numId w:val="0"/>
      </w:numPr>
      <w:tabs>
        <w:tab w:val="left" w:pos="180"/>
        <w:tab w:val="left" w:pos="540"/>
      </w:tabs>
      <w:ind w:left="91" w:firstLine="91"/>
      <w:outlineLvl w:val="0"/>
    </w:pPr>
    <w:rPr>
      <w:rFonts w:cs="Arial"/>
      <w:color w:val="6B2976"/>
      <w:sz w:val="64"/>
      <w:szCs w:val="64"/>
    </w:rPr>
  </w:style>
  <w:style w:type="paragraph" w:customStyle="1" w:styleId="FiguresandTablesHeading4">
    <w:name w:val="Figures and Tables Heading 4"/>
    <w:basedOn w:val="Heading7"/>
    <w:qFormat/>
    <w:rsid w:val="00ED7418"/>
    <w:pPr>
      <w:outlineLvl w:val="3"/>
    </w:pPr>
    <w:rPr>
      <w:rFonts w:cs="Arial"/>
    </w:rPr>
  </w:style>
  <w:style w:type="paragraph" w:customStyle="1" w:styleId="FiguresandTablesHeading5">
    <w:name w:val="Figures and Tables Heading 5"/>
    <w:basedOn w:val="FiguresandTablesHeading4"/>
    <w:qFormat/>
    <w:rsid w:val="006B61AA"/>
    <w:pPr>
      <w:outlineLvl w:val="4"/>
    </w:pPr>
  </w:style>
  <w:style w:type="paragraph" w:customStyle="1" w:styleId="HeadingH5">
    <w:name w:val="Heading H5"/>
    <w:basedOn w:val="Heading6"/>
    <w:qFormat/>
    <w:rsid w:val="00945CBF"/>
    <w:pPr>
      <w:outlineLvl w:val="4"/>
    </w:pPr>
    <w:rPr>
      <w:rFonts w:cs="Arial"/>
    </w:rPr>
  </w:style>
  <w:style w:type="paragraph" w:customStyle="1" w:styleId="LetterBulletList">
    <w:name w:val="Letter Bullet List"/>
    <w:basedOn w:val="Heading5"/>
    <w:qFormat/>
    <w:rsid w:val="00110394"/>
    <w:pPr>
      <w:keepNext/>
      <w:keepLines/>
      <w:numPr>
        <w:numId w:val="15"/>
      </w:numPr>
      <w:spacing w:before="40" w:after="0"/>
      <w:ind w:left="714" w:hanging="357"/>
      <w:outlineLvl w:val="9"/>
    </w:pPr>
    <w:rPr>
      <w:rFonts w:cs="Arial"/>
    </w:rPr>
  </w:style>
  <w:style w:type="paragraph" w:customStyle="1" w:styleId="PurpleH5">
    <w:name w:val="Purple H5"/>
    <w:basedOn w:val="FSRHeading2"/>
    <w:qFormat/>
    <w:rsid w:val="009B56E1"/>
    <w:pPr>
      <w:outlineLvl w:val="4"/>
    </w:pPr>
    <w:rPr>
      <w:rFonts w:cs="Arial"/>
    </w:rPr>
  </w:style>
  <w:style w:type="paragraph" w:customStyle="1" w:styleId="H5Header">
    <w:name w:val="H5 Header"/>
    <w:basedOn w:val="Heading6"/>
    <w:rsid w:val="0049321D"/>
    <w:pPr>
      <w:outlineLvl w:val="4"/>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2497">
      <w:bodyDiv w:val="1"/>
      <w:marLeft w:val="0"/>
      <w:marRight w:val="0"/>
      <w:marTop w:val="0"/>
      <w:marBottom w:val="0"/>
      <w:divBdr>
        <w:top w:val="none" w:sz="0" w:space="0" w:color="auto"/>
        <w:left w:val="none" w:sz="0" w:space="0" w:color="auto"/>
        <w:bottom w:val="none" w:sz="0" w:space="0" w:color="auto"/>
        <w:right w:val="none" w:sz="0" w:space="0" w:color="auto"/>
      </w:divBdr>
    </w:div>
    <w:div w:id="47386678">
      <w:bodyDiv w:val="1"/>
      <w:marLeft w:val="0"/>
      <w:marRight w:val="0"/>
      <w:marTop w:val="0"/>
      <w:marBottom w:val="0"/>
      <w:divBdr>
        <w:top w:val="none" w:sz="0" w:space="0" w:color="auto"/>
        <w:left w:val="none" w:sz="0" w:space="0" w:color="auto"/>
        <w:bottom w:val="none" w:sz="0" w:space="0" w:color="auto"/>
        <w:right w:val="none" w:sz="0" w:space="0" w:color="auto"/>
      </w:divBdr>
    </w:div>
    <w:div w:id="143547866">
      <w:bodyDiv w:val="1"/>
      <w:marLeft w:val="0"/>
      <w:marRight w:val="0"/>
      <w:marTop w:val="0"/>
      <w:marBottom w:val="0"/>
      <w:divBdr>
        <w:top w:val="none" w:sz="0" w:space="0" w:color="auto"/>
        <w:left w:val="none" w:sz="0" w:space="0" w:color="auto"/>
        <w:bottom w:val="none" w:sz="0" w:space="0" w:color="auto"/>
        <w:right w:val="none" w:sz="0" w:space="0" w:color="auto"/>
      </w:divBdr>
    </w:div>
    <w:div w:id="291441303">
      <w:bodyDiv w:val="1"/>
      <w:marLeft w:val="0"/>
      <w:marRight w:val="0"/>
      <w:marTop w:val="0"/>
      <w:marBottom w:val="0"/>
      <w:divBdr>
        <w:top w:val="none" w:sz="0" w:space="0" w:color="auto"/>
        <w:left w:val="none" w:sz="0" w:space="0" w:color="auto"/>
        <w:bottom w:val="none" w:sz="0" w:space="0" w:color="auto"/>
        <w:right w:val="none" w:sz="0" w:space="0" w:color="auto"/>
      </w:divBdr>
    </w:div>
    <w:div w:id="448546892">
      <w:bodyDiv w:val="1"/>
      <w:marLeft w:val="0"/>
      <w:marRight w:val="0"/>
      <w:marTop w:val="0"/>
      <w:marBottom w:val="0"/>
      <w:divBdr>
        <w:top w:val="none" w:sz="0" w:space="0" w:color="auto"/>
        <w:left w:val="none" w:sz="0" w:space="0" w:color="auto"/>
        <w:bottom w:val="none" w:sz="0" w:space="0" w:color="auto"/>
        <w:right w:val="none" w:sz="0" w:space="0" w:color="auto"/>
      </w:divBdr>
    </w:div>
    <w:div w:id="535239086">
      <w:bodyDiv w:val="1"/>
      <w:marLeft w:val="0"/>
      <w:marRight w:val="0"/>
      <w:marTop w:val="0"/>
      <w:marBottom w:val="0"/>
      <w:divBdr>
        <w:top w:val="none" w:sz="0" w:space="0" w:color="auto"/>
        <w:left w:val="none" w:sz="0" w:space="0" w:color="auto"/>
        <w:bottom w:val="none" w:sz="0" w:space="0" w:color="auto"/>
        <w:right w:val="none" w:sz="0" w:space="0" w:color="auto"/>
      </w:divBdr>
    </w:div>
    <w:div w:id="641613777">
      <w:bodyDiv w:val="1"/>
      <w:marLeft w:val="0"/>
      <w:marRight w:val="0"/>
      <w:marTop w:val="0"/>
      <w:marBottom w:val="0"/>
      <w:divBdr>
        <w:top w:val="none" w:sz="0" w:space="0" w:color="auto"/>
        <w:left w:val="none" w:sz="0" w:space="0" w:color="auto"/>
        <w:bottom w:val="none" w:sz="0" w:space="0" w:color="auto"/>
        <w:right w:val="none" w:sz="0" w:space="0" w:color="auto"/>
      </w:divBdr>
    </w:div>
    <w:div w:id="678578285">
      <w:bodyDiv w:val="1"/>
      <w:marLeft w:val="0"/>
      <w:marRight w:val="0"/>
      <w:marTop w:val="0"/>
      <w:marBottom w:val="0"/>
      <w:divBdr>
        <w:top w:val="none" w:sz="0" w:space="0" w:color="auto"/>
        <w:left w:val="none" w:sz="0" w:space="0" w:color="auto"/>
        <w:bottom w:val="none" w:sz="0" w:space="0" w:color="auto"/>
        <w:right w:val="none" w:sz="0" w:space="0" w:color="auto"/>
      </w:divBdr>
    </w:div>
    <w:div w:id="705527149">
      <w:bodyDiv w:val="1"/>
      <w:marLeft w:val="0"/>
      <w:marRight w:val="0"/>
      <w:marTop w:val="0"/>
      <w:marBottom w:val="0"/>
      <w:divBdr>
        <w:top w:val="none" w:sz="0" w:space="0" w:color="auto"/>
        <w:left w:val="none" w:sz="0" w:space="0" w:color="auto"/>
        <w:bottom w:val="none" w:sz="0" w:space="0" w:color="auto"/>
        <w:right w:val="none" w:sz="0" w:space="0" w:color="auto"/>
      </w:divBdr>
    </w:div>
    <w:div w:id="706107204">
      <w:bodyDiv w:val="1"/>
      <w:marLeft w:val="0"/>
      <w:marRight w:val="0"/>
      <w:marTop w:val="0"/>
      <w:marBottom w:val="0"/>
      <w:divBdr>
        <w:top w:val="none" w:sz="0" w:space="0" w:color="auto"/>
        <w:left w:val="none" w:sz="0" w:space="0" w:color="auto"/>
        <w:bottom w:val="none" w:sz="0" w:space="0" w:color="auto"/>
        <w:right w:val="none" w:sz="0" w:space="0" w:color="auto"/>
      </w:divBdr>
    </w:div>
    <w:div w:id="833641066">
      <w:bodyDiv w:val="1"/>
      <w:marLeft w:val="0"/>
      <w:marRight w:val="0"/>
      <w:marTop w:val="0"/>
      <w:marBottom w:val="0"/>
      <w:divBdr>
        <w:top w:val="none" w:sz="0" w:space="0" w:color="auto"/>
        <w:left w:val="none" w:sz="0" w:space="0" w:color="auto"/>
        <w:bottom w:val="none" w:sz="0" w:space="0" w:color="auto"/>
        <w:right w:val="none" w:sz="0" w:space="0" w:color="auto"/>
      </w:divBdr>
    </w:div>
    <w:div w:id="856314398">
      <w:bodyDiv w:val="1"/>
      <w:marLeft w:val="0"/>
      <w:marRight w:val="0"/>
      <w:marTop w:val="0"/>
      <w:marBottom w:val="0"/>
      <w:divBdr>
        <w:top w:val="none" w:sz="0" w:space="0" w:color="auto"/>
        <w:left w:val="none" w:sz="0" w:space="0" w:color="auto"/>
        <w:bottom w:val="none" w:sz="0" w:space="0" w:color="auto"/>
        <w:right w:val="none" w:sz="0" w:space="0" w:color="auto"/>
      </w:divBdr>
    </w:div>
    <w:div w:id="868645993">
      <w:bodyDiv w:val="1"/>
      <w:marLeft w:val="0"/>
      <w:marRight w:val="0"/>
      <w:marTop w:val="0"/>
      <w:marBottom w:val="0"/>
      <w:divBdr>
        <w:top w:val="none" w:sz="0" w:space="0" w:color="auto"/>
        <w:left w:val="none" w:sz="0" w:space="0" w:color="auto"/>
        <w:bottom w:val="none" w:sz="0" w:space="0" w:color="auto"/>
        <w:right w:val="none" w:sz="0" w:space="0" w:color="auto"/>
      </w:divBdr>
    </w:div>
    <w:div w:id="904799455">
      <w:bodyDiv w:val="1"/>
      <w:marLeft w:val="0"/>
      <w:marRight w:val="0"/>
      <w:marTop w:val="0"/>
      <w:marBottom w:val="0"/>
      <w:divBdr>
        <w:top w:val="none" w:sz="0" w:space="0" w:color="auto"/>
        <w:left w:val="none" w:sz="0" w:space="0" w:color="auto"/>
        <w:bottom w:val="none" w:sz="0" w:space="0" w:color="auto"/>
        <w:right w:val="none" w:sz="0" w:space="0" w:color="auto"/>
      </w:divBdr>
    </w:div>
    <w:div w:id="953094481">
      <w:bodyDiv w:val="1"/>
      <w:marLeft w:val="0"/>
      <w:marRight w:val="0"/>
      <w:marTop w:val="0"/>
      <w:marBottom w:val="0"/>
      <w:divBdr>
        <w:top w:val="none" w:sz="0" w:space="0" w:color="auto"/>
        <w:left w:val="none" w:sz="0" w:space="0" w:color="auto"/>
        <w:bottom w:val="none" w:sz="0" w:space="0" w:color="auto"/>
        <w:right w:val="none" w:sz="0" w:space="0" w:color="auto"/>
      </w:divBdr>
    </w:div>
    <w:div w:id="997196732">
      <w:bodyDiv w:val="1"/>
      <w:marLeft w:val="0"/>
      <w:marRight w:val="0"/>
      <w:marTop w:val="0"/>
      <w:marBottom w:val="0"/>
      <w:divBdr>
        <w:top w:val="none" w:sz="0" w:space="0" w:color="auto"/>
        <w:left w:val="none" w:sz="0" w:space="0" w:color="auto"/>
        <w:bottom w:val="none" w:sz="0" w:space="0" w:color="auto"/>
        <w:right w:val="none" w:sz="0" w:space="0" w:color="auto"/>
      </w:divBdr>
    </w:div>
    <w:div w:id="1122193823">
      <w:bodyDiv w:val="1"/>
      <w:marLeft w:val="0"/>
      <w:marRight w:val="0"/>
      <w:marTop w:val="0"/>
      <w:marBottom w:val="0"/>
      <w:divBdr>
        <w:top w:val="none" w:sz="0" w:space="0" w:color="auto"/>
        <w:left w:val="none" w:sz="0" w:space="0" w:color="auto"/>
        <w:bottom w:val="none" w:sz="0" w:space="0" w:color="auto"/>
        <w:right w:val="none" w:sz="0" w:space="0" w:color="auto"/>
      </w:divBdr>
    </w:div>
    <w:div w:id="1168593530">
      <w:bodyDiv w:val="1"/>
      <w:marLeft w:val="0"/>
      <w:marRight w:val="0"/>
      <w:marTop w:val="0"/>
      <w:marBottom w:val="0"/>
      <w:divBdr>
        <w:top w:val="none" w:sz="0" w:space="0" w:color="auto"/>
        <w:left w:val="none" w:sz="0" w:space="0" w:color="auto"/>
        <w:bottom w:val="none" w:sz="0" w:space="0" w:color="auto"/>
        <w:right w:val="none" w:sz="0" w:space="0" w:color="auto"/>
      </w:divBdr>
    </w:div>
    <w:div w:id="1175993772">
      <w:bodyDiv w:val="1"/>
      <w:marLeft w:val="0"/>
      <w:marRight w:val="0"/>
      <w:marTop w:val="0"/>
      <w:marBottom w:val="0"/>
      <w:divBdr>
        <w:top w:val="none" w:sz="0" w:space="0" w:color="auto"/>
        <w:left w:val="none" w:sz="0" w:space="0" w:color="auto"/>
        <w:bottom w:val="none" w:sz="0" w:space="0" w:color="auto"/>
        <w:right w:val="none" w:sz="0" w:space="0" w:color="auto"/>
      </w:divBdr>
    </w:div>
    <w:div w:id="1195268713">
      <w:bodyDiv w:val="1"/>
      <w:marLeft w:val="0"/>
      <w:marRight w:val="0"/>
      <w:marTop w:val="0"/>
      <w:marBottom w:val="0"/>
      <w:divBdr>
        <w:top w:val="none" w:sz="0" w:space="0" w:color="auto"/>
        <w:left w:val="none" w:sz="0" w:space="0" w:color="auto"/>
        <w:bottom w:val="none" w:sz="0" w:space="0" w:color="auto"/>
        <w:right w:val="none" w:sz="0" w:space="0" w:color="auto"/>
      </w:divBdr>
    </w:div>
    <w:div w:id="1234461957">
      <w:bodyDiv w:val="1"/>
      <w:marLeft w:val="0"/>
      <w:marRight w:val="0"/>
      <w:marTop w:val="0"/>
      <w:marBottom w:val="0"/>
      <w:divBdr>
        <w:top w:val="none" w:sz="0" w:space="0" w:color="auto"/>
        <w:left w:val="none" w:sz="0" w:space="0" w:color="auto"/>
        <w:bottom w:val="none" w:sz="0" w:space="0" w:color="auto"/>
        <w:right w:val="none" w:sz="0" w:space="0" w:color="auto"/>
      </w:divBdr>
    </w:div>
    <w:div w:id="1305546247">
      <w:bodyDiv w:val="1"/>
      <w:marLeft w:val="0"/>
      <w:marRight w:val="0"/>
      <w:marTop w:val="0"/>
      <w:marBottom w:val="0"/>
      <w:divBdr>
        <w:top w:val="none" w:sz="0" w:space="0" w:color="auto"/>
        <w:left w:val="none" w:sz="0" w:space="0" w:color="auto"/>
        <w:bottom w:val="none" w:sz="0" w:space="0" w:color="auto"/>
        <w:right w:val="none" w:sz="0" w:space="0" w:color="auto"/>
      </w:divBdr>
    </w:div>
    <w:div w:id="1317756348">
      <w:bodyDiv w:val="1"/>
      <w:marLeft w:val="0"/>
      <w:marRight w:val="0"/>
      <w:marTop w:val="0"/>
      <w:marBottom w:val="0"/>
      <w:divBdr>
        <w:top w:val="none" w:sz="0" w:space="0" w:color="auto"/>
        <w:left w:val="none" w:sz="0" w:space="0" w:color="auto"/>
        <w:bottom w:val="none" w:sz="0" w:space="0" w:color="auto"/>
        <w:right w:val="none" w:sz="0" w:space="0" w:color="auto"/>
      </w:divBdr>
    </w:div>
    <w:div w:id="1449885078">
      <w:bodyDiv w:val="1"/>
      <w:marLeft w:val="0"/>
      <w:marRight w:val="0"/>
      <w:marTop w:val="0"/>
      <w:marBottom w:val="0"/>
      <w:divBdr>
        <w:top w:val="none" w:sz="0" w:space="0" w:color="auto"/>
        <w:left w:val="none" w:sz="0" w:space="0" w:color="auto"/>
        <w:bottom w:val="none" w:sz="0" w:space="0" w:color="auto"/>
        <w:right w:val="none" w:sz="0" w:space="0" w:color="auto"/>
      </w:divBdr>
    </w:div>
    <w:div w:id="1564681606">
      <w:bodyDiv w:val="1"/>
      <w:marLeft w:val="0"/>
      <w:marRight w:val="0"/>
      <w:marTop w:val="0"/>
      <w:marBottom w:val="0"/>
      <w:divBdr>
        <w:top w:val="none" w:sz="0" w:space="0" w:color="auto"/>
        <w:left w:val="none" w:sz="0" w:space="0" w:color="auto"/>
        <w:bottom w:val="none" w:sz="0" w:space="0" w:color="auto"/>
        <w:right w:val="none" w:sz="0" w:space="0" w:color="auto"/>
      </w:divBdr>
    </w:div>
    <w:div w:id="1575236318">
      <w:bodyDiv w:val="1"/>
      <w:marLeft w:val="0"/>
      <w:marRight w:val="0"/>
      <w:marTop w:val="0"/>
      <w:marBottom w:val="0"/>
      <w:divBdr>
        <w:top w:val="none" w:sz="0" w:space="0" w:color="auto"/>
        <w:left w:val="none" w:sz="0" w:space="0" w:color="auto"/>
        <w:bottom w:val="none" w:sz="0" w:space="0" w:color="auto"/>
        <w:right w:val="none" w:sz="0" w:space="0" w:color="auto"/>
      </w:divBdr>
    </w:div>
    <w:div w:id="1659730987">
      <w:bodyDiv w:val="1"/>
      <w:marLeft w:val="0"/>
      <w:marRight w:val="0"/>
      <w:marTop w:val="0"/>
      <w:marBottom w:val="0"/>
      <w:divBdr>
        <w:top w:val="none" w:sz="0" w:space="0" w:color="auto"/>
        <w:left w:val="none" w:sz="0" w:space="0" w:color="auto"/>
        <w:bottom w:val="none" w:sz="0" w:space="0" w:color="auto"/>
        <w:right w:val="none" w:sz="0" w:space="0" w:color="auto"/>
      </w:divBdr>
    </w:div>
    <w:div w:id="1692106139">
      <w:bodyDiv w:val="1"/>
      <w:marLeft w:val="0"/>
      <w:marRight w:val="0"/>
      <w:marTop w:val="0"/>
      <w:marBottom w:val="0"/>
      <w:divBdr>
        <w:top w:val="none" w:sz="0" w:space="0" w:color="auto"/>
        <w:left w:val="none" w:sz="0" w:space="0" w:color="auto"/>
        <w:bottom w:val="none" w:sz="0" w:space="0" w:color="auto"/>
        <w:right w:val="none" w:sz="0" w:space="0" w:color="auto"/>
      </w:divBdr>
    </w:div>
    <w:div w:id="1715614292">
      <w:bodyDiv w:val="1"/>
      <w:marLeft w:val="0"/>
      <w:marRight w:val="0"/>
      <w:marTop w:val="0"/>
      <w:marBottom w:val="0"/>
      <w:divBdr>
        <w:top w:val="none" w:sz="0" w:space="0" w:color="auto"/>
        <w:left w:val="none" w:sz="0" w:space="0" w:color="auto"/>
        <w:bottom w:val="none" w:sz="0" w:space="0" w:color="auto"/>
        <w:right w:val="none" w:sz="0" w:space="0" w:color="auto"/>
      </w:divBdr>
    </w:div>
    <w:div w:id="1724257551">
      <w:bodyDiv w:val="1"/>
      <w:marLeft w:val="0"/>
      <w:marRight w:val="0"/>
      <w:marTop w:val="0"/>
      <w:marBottom w:val="0"/>
      <w:divBdr>
        <w:top w:val="none" w:sz="0" w:space="0" w:color="auto"/>
        <w:left w:val="none" w:sz="0" w:space="0" w:color="auto"/>
        <w:bottom w:val="none" w:sz="0" w:space="0" w:color="auto"/>
        <w:right w:val="none" w:sz="0" w:space="0" w:color="auto"/>
      </w:divBdr>
    </w:div>
    <w:div w:id="1747148560">
      <w:bodyDiv w:val="1"/>
      <w:marLeft w:val="0"/>
      <w:marRight w:val="0"/>
      <w:marTop w:val="0"/>
      <w:marBottom w:val="0"/>
      <w:divBdr>
        <w:top w:val="none" w:sz="0" w:space="0" w:color="auto"/>
        <w:left w:val="none" w:sz="0" w:space="0" w:color="auto"/>
        <w:bottom w:val="none" w:sz="0" w:space="0" w:color="auto"/>
        <w:right w:val="none" w:sz="0" w:space="0" w:color="auto"/>
      </w:divBdr>
    </w:div>
    <w:div w:id="1768190488">
      <w:bodyDiv w:val="1"/>
      <w:marLeft w:val="0"/>
      <w:marRight w:val="0"/>
      <w:marTop w:val="0"/>
      <w:marBottom w:val="0"/>
      <w:divBdr>
        <w:top w:val="none" w:sz="0" w:space="0" w:color="auto"/>
        <w:left w:val="none" w:sz="0" w:space="0" w:color="auto"/>
        <w:bottom w:val="none" w:sz="0" w:space="0" w:color="auto"/>
        <w:right w:val="none" w:sz="0" w:space="0" w:color="auto"/>
      </w:divBdr>
    </w:div>
    <w:div w:id="1800805099">
      <w:bodyDiv w:val="1"/>
      <w:marLeft w:val="0"/>
      <w:marRight w:val="0"/>
      <w:marTop w:val="0"/>
      <w:marBottom w:val="0"/>
      <w:divBdr>
        <w:top w:val="none" w:sz="0" w:space="0" w:color="auto"/>
        <w:left w:val="none" w:sz="0" w:space="0" w:color="auto"/>
        <w:bottom w:val="none" w:sz="0" w:space="0" w:color="auto"/>
        <w:right w:val="none" w:sz="0" w:space="0" w:color="auto"/>
      </w:divBdr>
    </w:div>
    <w:div w:id="1845511458">
      <w:bodyDiv w:val="1"/>
      <w:marLeft w:val="0"/>
      <w:marRight w:val="0"/>
      <w:marTop w:val="0"/>
      <w:marBottom w:val="0"/>
      <w:divBdr>
        <w:top w:val="none" w:sz="0" w:space="0" w:color="auto"/>
        <w:left w:val="none" w:sz="0" w:space="0" w:color="auto"/>
        <w:bottom w:val="none" w:sz="0" w:space="0" w:color="auto"/>
        <w:right w:val="none" w:sz="0" w:space="0" w:color="auto"/>
      </w:divBdr>
    </w:div>
    <w:div w:id="1848012554">
      <w:bodyDiv w:val="1"/>
      <w:marLeft w:val="0"/>
      <w:marRight w:val="0"/>
      <w:marTop w:val="0"/>
      <w:marBottom w:val="0"/>
      <w:divBdr>
        <w:top w:val="none" w:sz="0" w:space="0" w:color="auto"/>
        <w:left w:val="none" w:sz="0" w:space="0" w:color="auto"/>
        <w:bottom w:val="none" w:sz="0" w:space="0" w:color="auto"/>
        <w:right w:val="none" w:sz="0" w:space="0" w:color="auto"/>
      </w:divBdr>
    </w:div>
    <w:div w:id="1879512814">
      <w:bodyDiv w:val="1"/>
      <w:marLeft w:val="0"/>
      <w:marRight w:val="0"/>
      <w:marTop w:val="0"/>
      <w:marBottom w:val="0"/>
      <w:divBdr>
        <w:top w:val="none" w:sz="0" w:space="0" w:color="auto"/>
        <w:left w:val="none" w:sz="0" w:space="0" w:color="auto"/>
        <w:bottom w:val="none" w:sz="0" w:space="0" w:color="auto"/>
        <w:right w:val="none" w:sz="0" w:space="0" w:color="auto"/>
      </w:divBdr>
    </w:div>
    <w:div w:id="1900437108">
      <w:bodyDiv w:val="1"/>
      <w:marLeft w:val="0"/>
      <w:marRight w:val="0"/>
      <w:marTop w:val="0"/>
      <w:marBottom w:val="0"/>
      <w:divBdr>
        <w:top w:val="none" w:sz="0" w:space="0" w:color="auto"/>
        <w:left w:val="none" w:sz="0" w:space="0" w:color="auto"/>
        <w:bottom w:val="none" w:sz="0" w:space="0" w:color="auto"/>
        <w:right w:val="none" w:sz="0" w:space="0" w:color="auto"/>
      </w:divBdr>
    </w:div>
    <w:div w:id="1959409380">
      <w:bodyDiv w:val="1"/>
      <w:marLeft w:val="0"/>
      <w:marRight w:val="0"/>
      <w:marTop w:val="0"/>
      <w:marBottom w:val="0"/>
      <w:divBdr>
        <w:top w:val="none" w:sz="0" w:space="0" w:color="auto"/>
        <w:left w:val="none" w:sz="0" w:space="0" w:color="auto"/>
        <w:bottom w:val="none" w:sz="0" w:space="0" w:color="auto"/>
        <w:right w:val="none" w:sz="0" w:space="0" w:color="auto"/>
      </w:divBdr>
    </w:div>
    <w:div w:id="200986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jpeg"/><Relationship Id="rId21" Type="http://schemas.openxmlformats.org/officeDocument/2006/relationships/footer" Target="footer4.xml"/><Relationship Id="rId42" Type="http://schemas.openxmlformats.org/officeDocument/2006/relationships/footer" Target="footer8.xml"/><Relationship Id="rId63" Type="http://schemas.openxmlformats.org/officeDocument/2006/relationships/header" Target="header14.xml"/><Relationship Id="rId84" Type="http://schemas.openxmlformats.org/officeDocument/2006/relationships/image" Target="media/image45.png"/><Relationship Id="rId138" Type="http://schemas.openxmlformats.org/officeDocument/2006/relationships/image" Target="media/image77.png"/><Relationship Id="rId159" Type="http://schemas.openxmlformats.org/officeDocument/2006/relationships/image" Target="media/image98.png"/><Relationship Id="rId107" Type="http://schemas.openxmlformats.org/officeDocument/2006/relationships/hyperlink" Target="https://data.ndis.gov.au/reports-and-analyses/outcomes-and-goals/employment-outcomes-participants-their-families-and-carers" TargetMode="External"/><Relationship Id="rId11" Type="http://schemas.openxmlformats.org/officeDocument/2006/relationships/header" Target="header1.xml"/><Relationship Id="rId32" Type="http://schemas.openxmlformats.org/officeDocument/2006/relationships/header" Target="header6.xml"/><Relationship Id="rId53" Type="http://schemas.openxmlformats.org/officeDocument/2006/relationships/image" Target="media/image24.png"/><Relationship Id="rId74" Type="http://schemas.openxmlformats.org/officeDocument/2006/relationships/image" Target="media/image35.png"/><Relationship Id="rId128" Type="http://schemas.openxmlformats.org/officeDocument/2006/relationships/image" Target="media/image67.png"/><Relationship Id="rId149" Type="http://schemas.openxmlformats.org/officeDocument/2006/relationships/image" Target="media/image88.png"/><Relationship Id="rId5" Type="http://schemas.openxmlformats.org/officeDocument/2006/relationships/numbering" Target="numbering.xml"/><Relationship Id="rId95" Type="http://schemas.openxmlformats.org/officeDocument/2006/relationships/footer" Target="footer14.xml"/><Relationship Id="rId160" Type="http://schemas.openxmlformats.org/officeDocument/2006/relationships/image" Target="media/image99.png"/><Relationship Id="rId22" Type="http://schemas.openxmlformats.org/officeDocument/2006/relationships/image" Target="media/image4.png"/><Relationship Id="rId43" Type="http://schemas.openxmlformats.org/officeDocument/2006/relationships/image" Target="media/image15.emf"/><Relationship Id="rId64" Type="http://schemas.openxmlformats.org/officeDocument/2006/relationships/header" Target="header15.xml"/><Relationship Id="rId118" Type="http://schemas.openxmlformats.org/officeDocument/2006/relationships/image" Target="media/image57.jpeg"/><Relationship Id="rId139" Type="http://schemas.openxmlformats.org/officeDocument/2006/relationships/image" Target="media/image78.png"/><Relationship Id="rId85" Type="http://schemas.openxmlformats.org/officeDocument/2006/relationships/image" Target="media/image46.png"/><Relationship Id="rId150" Type="http://schemas.openxmlformats.org/officeDocument/2006/relationships/image" Target="media/image89.png"/><Relationship Id="rId12" Type="http://schemas.openxmlformats.org/officeDocument/2006/relationships/footer" Target="footer1.xml"/><Relationship Id="rId17" Type="http://schemas.openxmlformats.org/officeDocument/2006/relationships/header" Target="header2.xml"/><Relationship Id="rId33" Type="http://schemas.openxmlformats.org/officeDocument/2006/relationships/footer" Target="footer5.xml"/><Relationship Id="rId38" Type="http://schemas.openxmlformats.org/officeDocument/2006/relationships/header" Target="header9.xml"/><Relationship Id="rId59" Type="http://schemas.openxmlformats.org/officeDocument/2006/relationships/image" Target="media/image26.png"/><Relationship Id="rId103" Type="http://schemas.openxmlformats.org/officeDocument/2006/relationships/image" Target="media/image50.png"/><Relationship Id="rId108" Type="http://schemas.openxmlformats.org/officeDocument/2006/relationships/hyperlink" Target="https://data.ndis.gov.au/reports-and-analyses/outcomes-and-goals/health-and-wellbeing-ndis-participants-and-their-families-and-carers" TargetMode="External"/><Relationship Id="rId124" Type="http://schemas.openxmlformats.org/officeDocument/2006/relationships/image" Target="media/image63.emf"/><Relationship Id="rId129" Type="http://schemas.openxmlformats.org/officeDocument/2006/relationships/image" Target="media/image68.png"/><Relationship Id="rId54" Type="http://schemas.openxmlformats.org/officeDocument/2006/relationships/header" Target="header11.xml"/><Relationship Id="rId70" Type="http://schemas.openxmlformats.org/officeDocument/2006/relationships/image" Target="media/image31.png"/><Relationship Id="rId75" Type="http://schemas.openxmlformats.org/officeDocument/2006/relationships/image" Target="media/image36.png"/><Relationship Id="rId91" Type="http://schemas.openxmlformats.org/officeDocument/2006/relationships/header" Target="header21.xml"/><Relationship Id="rId96" Type="http://schemas.openxmlformats.org/officeDocument/2006/relationships/image" Target="media/image47.png"/><Relationship Id="rId140" Type="http://schemas.openxmlformats.org/officeDocument/2006/relationships/image" Target="media/image79.png"/><Relationship Id="rId145" Type="http://schemas.openxmlformats.org/officeDocument/2006/relationships/image" Target="media/image84.png"/><Relationship Id="rId161" Type="http://schemas.openxmlformats.org/officeDocument/2006/relationships/image" Target="media/image100.png"/><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image" Target="media/image10.png"/><Relationship Id="rId49" Type="http://schemas.openxmlformats.org/officeDocument/2006/relationships/image" Target="media/image20.png"/><Relationship Id="rId114" Type="http://schemas.openxmlformats.org/officeDocument/2006/relationships/image" Target="media/image53.jpeg"/><Relationship Id="rId119" Type="http://schemas.openxmlformats.org/officeDocument/2006/relationships/image" Target="media/image58.jpeg"/><Relationship Id="rId44" Type="http://schemas.openxmlformats.org/officeDocument/2006/relationships/image" Target="media/image16.png"/><Relationship Id="rId60" Type="http://schemas.openxmlformats.org/officeDocument/2006/relationships/hyperlink" Target="file:///C:\Users\SFG140\AppData\Local\Microsoft\Windows\INetCache\Content.MSO\E67881D7.xlsx" TargetMode="External"/><Relationship Id="rId65" Type="http://schemas.openxmlformats.org/officeDocument/2006/relationships/footer" Target="footer10.xml"/><Relationship Id="rId81" Type="http://schemas.openxmlformats.org/officeDocument/2006/relationships/image" Target="media/image42.png"/><Relationship Id="rId86" Type="http://schemas.openxmlformats.org/officeDocument/2006/relationships/header" Target="header17.xml"/><Relationship Id="rId130" Type="http://schemas.openxmlformats.org/officeDocument/2006/relationships/image" Target="media/image69.jpeg"/><Relationship Id="rId135" Type="http://schemas.openxmlformats.org/officeDocument/2006/relationships/image" Target="media/image74.emf"/><Relationship Id="rId151" Type="http://schemas.openxmlformats.org/officeDocument/2006/relationships/image" Target="media/image90.png"/><Relationship Id="rId156" Type="http://schemas.openxmlformats.org/officeDocument/2006/relationships/image" Target="media/image95.png"/><Relationship Id="rId13" Type="http://schemas.openxmlformats.org/officeDocument/2006/relationships/footer" Target="footer2.xml"/><Relationship Id="rId18" Type="http://schemas.openxmlformats.org/officeDocument/2006/relationships/header" Target="header3.xml"/><Relationship Id="rId39" Type="http://schemas.openxmlformats.org/officeDocument/2006/relationships/footer" Target="footer7.xml"/><Relationship Id="rId109" Type="http://schemas.openxmlformats.org/officeDocument/2006/relationships/hyperlink" Target="https://data.ndis.gov.au/reports-and-analyses/outcomes-and-goals/covid-19-impact-participant-and-familycarer-outcomes-30-june-2020" TargetMode="External"/><Relationship Id="rId34" Type="http://schemas.openxmlformats.org/officeDocument/2006/relationships/header" Target="header7.xml"/><Relationship Id="rId50" Type="http://schemas.openxmlformats.org/officeDocument/2006/relationships/image" Target="media/image21.png"/><Relationship Id="rId55" Type="http://schemas.openxmlformats.org/officeDocument/2006/relationships/header" Target="header12.xml"/><Relationship Id="rId76" Type="http://schemas.openxmlformats.org/officeDocument/2006/relationships/image" Target="media/image37.png"/><Relationship Id="rId97" Type="http://schemas.openxmlformats.org/officeDocument/2006/relationships/image" Target="media/image48.png"/><Relationship Id="rId104" Type="http://schemas.openxmlformats.org/officeDocument/2006/relationships/hyperlink" Target="https://www.ndis.gov.au/about-us/publications/quarterly-reports" TargetMode="External"/><Relationship Id="rId120" Type="http://schemas.openxmlformats.org/officeDocument/2006/relationships/image" Target="media/image59.jpeg"/><Relationship Id="rId125" Type="http://schemas.openxmlformats.org/officeDocument/2006/relationships/image" Target="media/image64.emf"/><Relationship Id="rId141" Type="http://schemas.openxmlformats.org/officeDocument/2006/relationships/image" Target="media/image80.png"/><Relationship Id="rId146" Type="http://schemas.openxmlformats.org/officeDocument/2006/relationships/image" Target="media/image85.png"/><Relationship Id="rId16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2.png"/><Relationship Id="rId92" Type="http://schemas.openxmlformats.org/officeDocument/2006/relationships/footer" Target="footer12.xml"/><Relationship Id="rId162" Type="http://schemas.openxmlformats.org/officeDocument/2006/relationships/image" Target="media/image101.png"/><Relationship Id="rId2" Type="http://schemas.openxmlformats.org/officeDocument/2006/relationships/customXml" Target="../customXml/item2.xml"/><Relationship Id="rId29" Type="http://schemas.openxmlformats.org/officeDocument/2006/relationships/image" Target="media/image11.emf"/><Relationship Id="rId24" Type="http://schemas.openxmlformats.org/officeDocument/2006/relationships/image" Target="media/image6.png"/><Relationship Id="rId40" Type="http://schemas.openxmlformats.org/officeDocument/2006/relationships/image" Target="media/image14.png"/><Relationship Id="rId45" Type="http://schemas.openxmlformats.org/officeDocument/2006/relationships/image" Target="media/image17.png"/><Relationship Id="rId66" Type="http://schemas.openxmlformats.org/officeDocument/2006/relationships/header" Target="header16.xml"/><Relationship Id="rId87" Type="http://schemas.openxmlformats.org/officeDocument/2006/relationships/header" Target="header18.xml"/><Relationship Id="rId110" Type="http://schemas.openxmlformats.org/officeDocument/2006/relationships/header" Target="header25.xml"/><Relationship Id="rId115" Type="http://schemas.openxmlformats.org/officeDocument/2006/relationships/image" Target="media/image54.jpeg"/><Relationship Id="rId131" Type="http://schemas.openxmlformats.org/officeDocument/2006/relationships/image" Target="media/image70.png"/><Relationship Id="rId136" Type="http://schemas.openxmlformats.org/officeDocument/2006/relationships/image" Target="media/image75.png"/><Relationship Id="rId157" Type="http://schemas.openxmlformats.org/officeDocument/2006/relationships/image" Target="media/image96.png"/><Relationship Id="rId61" Type="http://schemas.openxmlformats.org/officeDocument/2006/relationships/hyperlink" Target="file:///C:\Users\SFG140\AppData\Local\Microsoft\Windows\INetCache\Content.MSO\E67881D7.xlsx" TargetMode="External"/><Relationship Id="rId82" Type="http://schemas.openxmlformats.org/officeDocument/2006/relationships/image" Target="media/image43.png"/><Relationship Id="rId152" Type="http://schemas.openxmlformats.org/officeDocument/2006/relationships/image" Target="media/image91.emf"/><Relationship Id="rId19" Type="http://schemas.openxmlformats.org/officeDocument/2006/relationships/footer" Target="footer3.xml"/><Relationship Id="rId14" Type="http://schemas.openxmlformats.org/officeDocument/2006/relationships/image" Target="media/image1.png"/><Relationship Id="rId30" Type="http://schemas.openxmlformats.org/officeDocument/2006/relationships/image" Target="media/image12.png"/><Relationship Id="rId35" Type="http://schemas.openxmlformats.org/officeDocument/2006/relationships/header" Target="header8.xml"/><Relationship Id="rId56" Type="http://schemas.openxmlformats.org/officeDocument/2006/relationships/footer" Target="footer9.xml"/><Relationship Id="rId77" Type="http://schemas.openxmlformats.org/officeDocument/2006/relationships/image" Target="media/image38.png"/><Relationship Id="rId100" Type="http://schemas.openxmlformats.org/officeDocument/2006/relationships/header" Target="header24.xml"/><Relationship Id="rId105" Type="http://schemas.openxmlformats.org/officeDocument/2006/relationships/hyperlink" Target="https://data.ndis.gov.au/reports-and-analyses/outcomes-and-goals/participant-outcomes-report" TargetMode="External"/><Relationship Id="rId126" Type="http://schemas.openxmlformats.org/officeDocument/2006/relationships/image" Target="media/image65.emf"/><Relationship Id="rId147" Type="http://schemas.openxmlformats.org/officeDocument/2006/relationships/image" Target="media/image86.png"/><Relationship Id="rId8" Type="http://schemas.openxmlformats.org/officeDocument/2006/relationships/webSettings" Target="webSettings.xml"/><Relationship Id="rId51" Type="http://schemas.openxmlformats.org/officeDocument/2006/relationships/image" Target="media/image22.png"/><Relationship Id="rId72" Type="http://schemas.openxmlformats.org/officeDocument/2006/relationships/image" Target="media/image33.png"/><Relationship Id="rId93" Type="http://schemas.openxmlformats.org/officeDocument/2006/relationships/footer" Target="footer13.xml"/><Relationship Id="rId98" Type="http://schemas.openxmlformats.org/officeDocument/2006/relationships/header" Target="header23.xml"/><Relationship Id="rId121" Type="http://schemas.openxmlformats.org/officeDocument/2006/relationships/image" Target="media/image60.emf"/><Relationship Id="rId142" Type="http://schemas.openxmlformats.org/officeDocument/2006/relationships/image" Target="media/image81.png"/><Relationship Id="rId163" Type="http://schemas.openxmlformats.org/officeDocument/2006/relationships/image" Target="media/image102.emf"/><Relationship Id="rId3" Type="http://schemas.openxmlformats.org/officeDocument/2006/relationships/customXml" Target="../customXml/item3.xml"/><Relationship Id="rId25" Type="http://schemas.openxmlformats.org/officeDocument/2006/relationships/image" Target="media/image7.emf"/><Relationship Id="rId46" Type="http://schemas.openxmlformats.org/officeDocument/2006/relationships/image" Target="cid:image004.png@01D9F2EB.526223A0" TargetMode="External"/><Relationship Id="rId67" Type="http://schemas.openxmlformats.org/officeDocument/2006/relationships/image" Target="media/image28.png"/><Relationship Id="rId116" Type="http://schemas.openxmlformats.org/officeDocument/2006/relationships/image" Target="media/image55.png"/><Relationship Id="rId137" Type="http://schemas.openxmlformats.org/officeDocument/2006/relationships/image" Target="media/image76.png"/><Relationship Id="rId158" Type="http://schemas.openxmlformats.org/officeDocument/2006/relationships/image" Target="media/image97.png"/><Relationship Id="rId20" Type="http://schemas.openxmlformats.org/officeDocument/2006/relationships/header" Target="header4.xml"/><Relationship Id="rId41" Type="http://schemas.openxmlformats.org/officeDocument/2006/relationships/header" Target="header10.xml"/><Relationship Id="rId62" Type="http://schemas.openxmlformats.org/officeDocument/2006/relationships/image" Target="media/image27.png"/><Relationship Id="rId83" Type="http://schemas.openxmlformats.org/officeDocument/2006/relationships/image" Target="media/image44.png"/><Relationship Id="rId88" Type="http://schemas.openxmlformats.org/officeDocument/2006/relationships/footer" Target="footer11.xml"/><Relationship Id="rId111" Type="http://schemas.openxmlformats.org/officeDocument/2006/relationships/footer" Target="footer17.xml"/><Relationship Id="rId132" Type="http://schemas.openxmlformats.org/officeDocument/2006/relationships/image" Target="media/image71.png"/><Relationship Id="rId153" Type="http://schemas.openxmlformats.org/officeDocument/2006/relationships/image" Target="media/image92.emf"/><Relationship Id="rId15" Type="http://schemas.openxmlformats.org/officeDocument/2006/relationships/image" Target="media/image2.png"/><Relationship Id="rId36" Type="http://schemas.openxmlformats.org/officeDocument/2006/relationships/footer" Target="footer6.xml"/><Relationship Id="rId57" Type="http://schemas.openxmlformats.org/officeDocument/2006/relationships/header" Target="header13.xml"/><Relationship Id="rId106" Type="http://schemas.openxmlformats.org/officeDocument/2006/relationships/hyperlink" Target="https://data.ndis.gov.au/reports-and-analyses/outcomes-and-goals/family-and-carer-outcomes-report" TargetMode="External"/><Relationship Id="rId127" Type="http://schemas.openxmlformats.org/officeDocument/2006/relationships/image" Target="media/image66.emf"/><Relationship Id="rId10" Type="http://schemas.openxmlformats.org/officeDocument/2006/relationships/endnotes" Target="endnotes.xml"/><Relationship Id="rId31" Type="http://schemas.openxmlformats.org/officeDocument/2006/relationships/header" Target="header5.xml"/><Relationship Id="rId52" Type="http://schemas.openxmlformats.org/officeDocument/2006/relationships/image" Target="media/image23.png"/><Relationship Id="rId73" Type="http://schemas.openxmlformats.org/officeDocument/2006/relationships/image" Target="media/image34.png"/><Relationship Id="rId78" Type="http://schemas.openxmlformats.org/officeDocument/2006/relationships/image" Target="media/image39.png"/><Relationship Id="rId94" Type="http://schemas.openxmlformats.org/officeDocument/2006/relationships/header" Target="header22.xml"/><Relationship Id="rId99" Type="http://schemas.openxmlformats.org/officeDocument/2006/relationships/footer" Target="footer15.xml"/><Relationship Id="rId101" Type="http://schemas.openxmlformats.org/officeDocument/2006/relationships/footer" Target="footer16.xml"/><Relationship Id="rId122" Type="http://schemas.openxmlformats.org/officeDocument/2006/relationships/image" Target="media/image61.emf"/><Relationship Id="rId143" Type="http://schemas.openxmlformats.org/officeDocument/2006/relationships/image" Target="media/image82.png"/><Relationship Id="rId148" Type="http://schemas.openxmlformats.org/officeDocument/2006/relationships/image" Target="media/image87.png"/><Relationship Id="rId164" Type="http://schemas.openxmlformats.org/officeDocument/2006/relationships/image" Target="media/image103.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8.png"/><Relationship Id="rId47" Type="http://schemas.openxmlformats.org/officeDocument/2006/relationships/image" Target="media/image18.png"/><Relationship Id="rId68" Type="http://schemas.openxmlformats.org/officeDocument/2006/relationships/image" Target="media/image29.png"/><Relationship Id="rId89" Type="http://schemas.openxmlformats.org/officeDocument/2006/relationships/header" Target="header19.xml"/><Relationship Id="rId112" Type="http://schemas.openxmlformats.org/officeDocument/2006/relationships/image" Target="media/image51.png"/><Relationship Id="rId133" Type="http://schemas.openxmlformats.org/officeDocument/2006/relationships/image" Target="media/image72.png"/><Relationship Id="rId154" Type="http://schemas.openxmlformats.org/officeDocument/2006/relationships/image" Target="media/image93.emf"/><Relationship Id="rId16" Type="http://schemas.openxmlformats.org/officeDocument/2006/relationships/image" Target="media/image3.png"/><Relationship Id="rId37" Type="http://schemas.openxmlformats.org/officeDocument/2006/relationships/image" Target="media/image13.emf"/><Relationship Id="rId58" Type="http://schemas.openxmlformats.org/officeDocument/2006/relationships/image" Target="media/image25.png"/><Relationship Id="rId79" Type="http://schemas.openxmlformats.org/officeDocument/2006/relationships/image" Target="media/image40.png"/><Relationship Id="rId102" Type="http://schemas.openxmlformats.org/officeDocument/2006/relationships/image" Target="media/image49.png"/><Relationship Id="rId123" Type="http://schemas.openxmlformats.org/officeDocument/2006/relationships/image" Target="media/image62.jpeg"/><Relationship Id="rId144" Type="http://schemas.openxmlformats.org/officeDocument/2006/relationships/image" Target="media/image83.png"/><Relationship Id="rId90" Type="http://schemas.openxmlformats.org/officeDocument/2006/relationships/header" Target="header20.xml"/><Relationship Id="rId165" Type="http://schemas.openxmlformats.org/officeDocument/2006/relationships/image" Target="media/image104.jpeg"/><Relationship Id="rId27" Type="http://schemas.openxmlformats.org/officeDocument/2006/relationships/image" Target="media/image9.png"/><Relationship Id="rId48" Type="http://schemas.openxmlformats.org/officeDocument/2006/relationships/image" Target="media/image19.png"/><Relationship Id="rId69" Type="http://schemas.openxmlformats.org/officeDocument/2006/relationships/image" Target="media/image30.png"/><Relationship Id="rId113" Type="http://schemas.openxmlformats.org/officeDocument/2006/relationships/image" Target="media/image52.emf"/><Relationship Id="rId134" Type="http://schemas.openxmlformats.org/officeDocument/2006/relationships/image" Target="media/image73.emf"/><Relationship Id="rId80" Type="http://schemas.openxmlformats.org/officeDocument/2006/relationships/image" Target="media/image41.png"/><Relationship Id="rId155" Type="http://schemas.openxmlformats.org/officeDocument/2006/relationships/image" Target="media/image94.png"/></Relationships>
</file>

<file path=word/_rels/footnotes.xml.rels><?xml version="1.0" encoding="UTF-8" standalone="yes"?>
<Relationships xmlns="http://schemas.openxmlformats.org/package/2006/relationships"><Relationship Id="rId13" Type="http://schemas.openxmlformats.org/officeDocument/2006/relationships/hyperlink" Target="https://www.ndis.gov.au/about-us/publications/annual-financial-sustainability-reports" TargetMode="External"/><Relationship Id="rId18" Type="http://schemas.openxmlformats.org/officeDocument/2006/relationships/hyperlink" Target="https://treasury.gov.au/publication/2023-intergenerational-report" TargetMode="External"/><Relationship Id="rId26" Type="http://schemas.openxmlformats.org/officeDocument/2006/relationships/hyperlink" Target="https://data.ndis.gov.au/reports-and-analyses/outcomes-and-goals/employment-outcomes-participants-their-families-and-carers" TargetMode="External"/><Relationship Id="rId39" Type="http://schemas.openxmlformats.org/officeDocument/2006/relationships/hyperlink" Target="https://www.legislation.gov.au/Details/F2013L01184/Html/Text" TargetMode="External"/><Relationship Id="rId21" Type="http://schemas.openxmlformats.org/officeDocument/2006/relationships/hyperlink" Target="https://budget.gov.au/content/bp2/download/bp2_2023-24.pdf" TargetMode="External"/><Relationship Id="rId34" Type="http://schemas.openxmlformats.org/officeDocument/2006/relationships/hyperlink" Target="https://www.ndis.gov.au/community/research-and-evaluation/social-inclusion-and-community-access-our-research" TargetMode="External"/><Relationship Id="rId42" Type="http://schemas.openxmlformats.org/officeDocument/2006/relationships/hyperlink" Target="https://www.legislation.gov.au/Details/F2013L01184/Html/Text" TargetMode="External"/><Relationship Id="rId47" Type="http://schemas.openxmlformats.org/officeDocument/2006/relationships/hyperlink" Target="https://budget.gov.au/content/bp2/download/bp2_2023-24.pdf" TargetMode="External"/><Relationship Id="rId50" Type="http://schemas.openxmlformats.org/officeDocument/2006/relationships/hyperlink" Target="https://www.abs.gov.au/statistics/health/causes-death/provisional-mortality-statistics/jan-dec-2022" TargetMode="External"/><Relationship Id="rId7" Type="http://schemas.openxmlformats.org/officeDocument/2006/relationships/hyperlink" Target="https://www.ndis.gov.au/providers/pricing-arrangements/making-pricing-decisions/annual-pricing-review" TargetMode="External"/><Relationship Id="rId2" Type="http://schemas.openxmlformats.org/officeDocument/2006/relationships/hyperlink" Target="https://www.ndis.gov.au/about-us/publications/annual-financial-sustainability-reports" TargetMode="External"/><Relationship Id="rId16" Type="http://schemas.openxmlformats.org/officeDocument/2006/relationships/hyperlink" Target="https://budget.gov.au/content/bp2/download/bp2_2023-24.pdf" TargetMode="External"/><Relationship Id="rId29" Type="http://schemas.openxmlformats.org/officeDocument/2006/relationships/hyperlink" Target="https://data.ndis.gov.au/reports-and-analyses/outcomes-and-goals/employment-outcomes-participants-their-families-and-carers" TargetMode="External"/><Relationship Id="rId11" Type="http://schemas.openxmlformats.org/officeDocument/2006/relationships/hyperlink" Target="https://www.ndis.gov.au/about-us/policies/service-charter" TargetMode="External"/><Relationship Id="rId24" Type="http://schemas.openxmlformats.org/officeDocument/2006/relationships/hyperlink" Target="http://www.comlaw.gov.au/Details/C2019C00332/Download" TargetMode="External"/><Relationship Id="rId32" Type="http://schemas.openxmlformats.org/officeDocument/2006/relationships/hyperlink" Target="https://data.ndis.gov.au/reports-and-analyses/outcomes-and-goals/employment-outcomes-participants-their-families-and-carers" TargetMode="External"/><Relationship Id="rId37" Type="http://schemas.openxmlformats.org/officeDocument/2006/relationships/hyperlink" Target="https://www.legislation.gov.au/Details/C2022C00206/Html/Text" TargetMode="External"/><Relationship Id="rId40" Type="http://schemas.openxmlformats.org/officeDocument/2006/relationships/hyperlink" Target="https://www.legislation.gov.au/Details/F2013L01184/Html/Text" TargetMode="External"/><Relationship Id="rId45" Type="http://schemas.openxmlformats.org/officeDocument/2006/relationships/hyperlink" Target="https://www.ndis.gov.au/participantsafeguarding" TargetMode="External"/><Relationship Id="rId5" Type="http://schemas.openxmlformats.org/officeDocument/2006/relationships/hyperlink" Target="https://treasury.gov.au/publication/2023-intergenerational-report" TargetMode="External"/><Relationship Id="rId15" Type="http://schemas.openxmlformats.org/officeDocument/2006/relationships/hyperlink" Target="https://data.ndis.gov.au/reports-and-analyses/outcomes-and-goals" TargetMode="External"/><Relationship Id="rId23" Type="http://schemas.openxmlformats.org/officeDocument/2006/relationships/hyperlink" Target="https://www.rba.gov.au/publications/smp/2023/may/forecasts.html" TargetMode="External"/><Relationship Id="rId28" Type="http://schemas.openxmlformats.org/officeDocument/2006/relationships/hyperlink" Target="https://data.ndis.gov.au/media/2771/download?attachment" TargetMode="External"/><Relationship Id="rId36" Type="http://schemas.openxmlformats.org/officeDocument/2006/relationships/hyperlink" Target="https://www.pc.gov.au/inquiries/completed/disability-support/report/disability-support-volume1.pdf" TargetMode="External"/><Relationship Id="rId49" Type="http://schemas.openxmlformats.org/officeDocument/2006/relationships/hyperlink" Target="https://treasury.gov.au/publication/2023-intergenerational-report" TargetMode="External"/><Relationship Id="rId10" Type="http://schemas.openxmlformats.org/officeDocument/2006/relationships/hyperlink" Target="https://www.ndis.gov.au/about-us/publications/annual-financial-sustainability-reports" TargetMode="External"/><Relationship Id="rId19" Type="http://schemas.openxmlformats.org/officeDocument/2006/relationships/hyperlink" Target="https://www.ndisreview.gov.au/about/terms-of-reference" TargetMode="External"/><Relationship Id="rId31" Type="http://schemas.openxmlformats.org/officeDocument/2006/relationships/hyperlink" Target="https://www.ndis.gov.au/about-us/strategies/participant-employment-strategy" TargetMode="External"/><Relationship Id="rId44" Type="http://schemas.openxmlformats.org/officeDocument/2006/relationships/hyperlink" Target="https://www.ndis.gov.au/about-us/improving-ndis/improvements-home-and-living-supports/home-and-living-demonstration-projects" TargetMode="External"/><Relationship Id="rId4" Type="http://schemas.openxmlformats.org/officeDocument/2006/relationships/hyperlink" Target="https://ministers.dss.gov.au/media-releases/11011" TargetMode="External"/><Relationship Id="rId9" Type="http://schemas.openxmlformats.org/officeDocument/2006/relationships/hyperlink" Target="https://www.ndis.gov.au/about-us/publications/corporate-plan" TargetMode="External"/><Relationship Id="rId14" Type="http://schemas.openxmlformats.org/officeDocument/2006/relationships/hyperlink" Target="https://ndis.gov.au/about-us/publications/quarterly-reports" TargetMode="External"/><Relationship Id="rId22" Type="http://schemas.openxmlformats.org/officeDocument/2006/relationships/hyperlink" Target="https://www.abs.gov.au/statistics/people/population/life-tables/latest-release" TargetMode="External"/><Relationship Id="rId27" Type="http://schemas.openxmlformats.org/officeDocument/2006/relationships/hyperlink" Target="https://www.ndis.gov.au/about-us/publications/outcomes-framework-pilot-study-summary-report-2015" TargetMode="External"/><Relationship Id="rId30" Type="http://schemas.openxmlformats.org/officeDocument/2006/relationships/hyperlink" Target="https://www.ndis.gov.au/about-us/publications/corporate-plan" TargetMode="External"/><Relationship Id="rId35" Type="http://schemas.openxmlformats.org/officeDocument/2006/relationships/hyperlink" Target="https://data.ndis.gov.au/reports-and-analyses/outcomes-and-goals/family-and-carer-outcomes-report/family-and-carer-outcomes-30-june-2020" TargetMode="External"/><Relationship Id="rId43" Type="http://schemas.openxmlformats.org/officeDocument/2006/relationships/hyperlink" Target="https://www.ndis.gov.au/media/6072/download?attachment" TargetMode="External"/><Relationship Id="rId48" Type="http://schemas.openxmlformats.org/officeDocument/2006/relationships/hyperlink" Target="https://www.ndisreview.gov.au/about/terms-of-reference" TargetMode="External"/><Relationship Id="rId8" Type="http://schemas.openxmlformats.org/officeDocument/2006/relationships/hyperlink" Target="https://www.rba.gov.au/publications/smp/2023/may/forecasts.html" TargetMode="External"/><Relationship Id="rId51" Type="http://schemas.openxmlformats.org/officeDocument/2006/relationships/hyperlink" Target="https://www.actuaries.digital/2023/04/06/covid-19-mortality-working-group-confirmation-of-20000-excess-deaths-for-2022-in-australia/?utm_medium=email&amp;utm_campaign=230417%20-%20MCOM%20-%20Bulletin&amp;utm_content=230417%20-%20MCOM%20-%20Bulletin+CID_3b7ccca5d98eff271b36c2140bed9bc5&amp;utm_source=Campaign%20Monitor&amp;utm_term=read%20the%20summary%20article" TargetMode="External"/><Relationship Id="rId3" Type="http://schemas.openxmlformats.org/officeDocument/2006/relationships/hyperlink" Target="https://budget.gov.au/content/bp2/download/bp2_2023-24.pdf" TargetMode="External"/><Relationship Id="rId12" Type="http://schemas.openxmlformats.org/officeDocument/2006/relationships/hyperlink" Target="https://www.ndis.gov.au/about-us/policies/service-charter/participant-service-improvement-plan" TargetMode="External"/><Relationship Id="rId17" Type="http://schemas.openxmlformats.org/officeDocument/2006/relationships/hyperlink" Target="https://ministers.dss.gov.au/media-releases/11011" TargetMode="External"/><Relationship Id="rId25" Type="http://schemas.openxmlformats.org/officeDocument/2006/relationships/hyperlink" Target="https://data.ndis.gov.au/reports-and-analyses/outcomes-and-goals/participant-outcomes-report/participant-outcomes-30-june-2020" TargetMode="External"/><Relationship Id="rId33" Type="http://schemas.openxmlformats.org/officeDocument/2006/relationships/hyperlink" Target="https://ndis.gov.au/about-us/publications/quarterly-reports" TargetMode="External"/><Relationship Id="rId38" Type="http://schemas.openxmlformats.org/officeDocument/2006/relationships/hyperlink" Target="https://www.legislation.gov.au/Details/F2013L01183/Html/Text" TargetMode="External"/><Relationship Id="rId46" Type="http://schemas.openxmlformats.org/officeDocument/2006/relationships/hyperlink" Target="https://www.legislation.gov.au/Details/F2013L01184" TargetMode="External"/><Relationship Id="rId20" Type="http://schemas.openxmlformats.org/officeDocument/2006/relationships/hyperlink" Target="https://data.ndis.gov.au/" TargetMode="External"/><Relationship Id="rId41" Type="http://schemas.openxmlformats.org/officeDocument/2006/relationships/hyperlink" Target="https://www.legislation.gov.au/Details/F2013L01184/Html/Text" TargetMode="External"/><Relationship Id="rId1" Type="http://schemas.openxmlformats.org/officeDocument/2006/relationships/hyperlink" Target="https://www.ndis.gov.au/about-us/publications" TargetMode="External"/><Relationship Id="rId6" Type="http://schemas.openxmlformats.org/officeDocument/2006/relationships/hyperlink" Target="https://www.ndisreview.gov.au/about/terms-of-re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dd4a24e38a490c398c21ea92b908006b">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66f2ade1e3d009db39ca234e343b790"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ObjectDetectorVersion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c97a92b-786d-401c-864b-1191fd1a85df}"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Link xmlns="62e6d7e0-8f69-4736-9de7-41af03e42ea2">
      <Url xsi:nil="true"/>
      <Description xsi:nil="true"/>
    </Link>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87952B-41E3-4282-88E9-287A87632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2F7ACD07-F01C-461D-8AC9-763612E8B83E}">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248</Pages>
  <Words>63836</Words>
  <Characters>363868</Characters>
  <Application>Microsoft Office Word</Application>
  <DocSecurity>0</DocSecurity>
  <Lines>3032</Lines>
  <Paragraphs>853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426851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Michelle Finlay</cp:lastModifiedBy>
  <cp:revision>8</cp:revision>
  <cp:lastPrinted>2023-12-06T09:05:00Z</cp:lastPrinted>
  <dcterms:created xsi:type="dcterms:W3CDTF">2024-01-07T23:04:00Z</dcterms:created>
  <dcterms:modified xsi:type="dcterms:W3CDTF">2024-01-08T00:57:00Z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2023-08-29T23:25:35Z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b5296b9c-8193-4fcd-90db-10e0a017943a</vt:lpwstr>
  </property>
  <property fmtid="{D5CDD505-2E9C-101B-9397-08002B2CF9AE}" pid="14" name="MSIP_Label_2b83f8d7-e91f-4eee-a336-52a8061c0503_ContentBits">
    <vt:lpwstr>0</vt:lpwstr>
  </property>
  <property fmtid="{D5CDD505-2E9C-101B-9397-08002B2CF9AE}" pid="15" name="_DocHome">
    <vt:i4>-1214794509</vt:i4>
  </property>
  <property fmtid="{D5CDD505-2E9C-101B-9397-08002B2CF9AE}" pid="16" name="MediaServiceImageTags">
    <vt:lpwstr/>
  </property>
</Properties>
</file>