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4A0F" w14:textId="331E8B2D" w:rsidR="00C60659" w:rsidRDefault="6C964DFB" w:rsidP="287DEEBF">
      <w:pPr>
        <w:tabs>
          <w:tab w:val="left" w:pos="5529"/>
        </w:tabs>
        <w:spacing w:after="0" w:line="200" w:lineRule="atLeast"/>
        <w:jc w:val="right"/>
        <w:rPr>
          <w:sz w:val="16"/>
          <w:szCs w:val="16"/>
        </w:rPr>
      </w:pPr>
      <w:bookmarkStart w:id="0" w:name="_Hlk97302995"/>
      <w:r w:rsidRPr="287DEEBF">
        <w:rPr>
          <w:sz w:val="16"/>
          <w:szCs w:val="16"/>
        </w:rPr>
        <w:t xml:space="preserve">Telephone: </w:t>
      </w:r>
      <w:r w:rsidR="2441D547" w:rsidRPr="287DEEBF">
        <w:rPr>
          <w:sz w:val="16"/>
          <w:szCs w:val="16"/>
        </w:rPr>
        <w:t xml:space="preserve">02 6263 </w:t>
      </w:r>
      <w:r w:rsidR="6E195700" w:rsidRPr="287DEEBF">
        <w:rPr>
          <w:sz w:val="16"/>
          <w:szCs w:val="16"/>
        </w:rPr>
        <w:t>4127</w:t>
      </w:r>
    </w:p>
    <w:p w14:paraId="611F12D4" w14:textId="64465AE1" w:rsidR="00D309BA" w:rsidRDefault="00D309BA" w:rsidP="00C60659">
      <w:pPr>
        <w:tabs>
          <w:tab w:val="left" w:pos="5529"/>
        </w:tabs>
        <w:spacing w:after="0" w:line="200" w:lineRule="atLeast"/>
        <w:jc w:val="right"/>
        <w:rPr>
          <w:sz w:val="16"/>
        </w:rPr>
      </w:pPr>
      <w:r>
        <w:rPr>
          <w:sz w:val="16"/>
        </w:rPr>
        <w:t xml:space="preserve">E-mail: </w:t>
      </w:r>
      <w:r w:rsidR="0069501E">
        <w:rPr>
          <w:sz w:val="16"/>
        </w:rPr>
        <w:t>guy.thorburn@aga.gov.au</w:t>
      </w:r>
    </w:p>
    <w:p w14:paraId="0022275C" w14:textId="59AEFD75" w:rsidR="00D309BA" w:rsidRDefault="00D309BA" w:rsidP="00EC689A"/>
    <w:p w14:paraId="394CADD1" w14:textId="519AC112" w:rsidR="00C4469F" w:rsidRDefault="000F106A" w:rsidP="006611D3">
      <w:r w:rsidRPr="00851626">
        <w:t>1</w:t>
      </w:r>
      <w:r w:rsidR="004C367C">
        <w:t>6</w:t>
      </w:r>
      <w:r w:rsidR="00E24FE8" w:rsidRPr="00851626">
        <w:t xml:space="preserve"> </w:t>
      </w:r>
      <w:r w:rsidRPr="00851626">
        <w:t xml:space="preserve">October </w:t>
      </w:r>
      <w:r w:rsidR="00F249F2" w:rsidRPr="00851626">
        <w:t>2023</w:t>
      </w:r>
    </w:p>
    <w:p w14:paraId="45A35369" w14:textId="77777777" w:rsidR="00F249F2" w:rsidRDefault="00F249F2" w:rsidP="00F249F2">
      <w:pPr>
        <w:pStyle w:val="AddressBlock"/>
      </w:pPr>
      <w:r>
        <w:t>Mr Kurt Fearnley AO</w:t>
      </w:r>
    </w:p>
    <w:p w14:paraId="25C3B950" w14:textId="77777777" w:rsidR="00F249F2" w:rsidRDefault="00F249F2" w:rsidP="00F249F2">
      <w:pPr>
        <w:pStyle w:val="AddressBlock"/>
      </w:pPr>
      <w:r>
        <w:t>Chairman</w:t>
      </w:r>
    </w:p>
    <w:p w14:paraId="60A9078E" w14:textId="77777777" w:rsidR="00F249F2" w:rsidRDefault="00F249F2" w:rsidP="00F249F2">
      <w:pPr>
        <w:pStyle w:val="AddressBlock"/>
      </w:pPr>
      <w:r>
        <w:t>National Disability Insurance Agency</w:t>
      </w:r>
    </w:p>
    <w:p w14:paraId="4F93B617" w14:textId="77777777" w:rsidR="00F249F2" w:rsidRDefault="00F249F2" w:rsidP="00F249F2">
      <w:pPr>
        <w:pStyle w:val="AddressBlock"/>
      </w:pPr>
      <w:r>
        <w:t>GPO Box 700</w:t>
      </w:r>
    </w:p>
    <w:p w14:paraId="70BD7295" w14:textId="77777777" w:rsidR="00F249F2" w:rsidRDefault="00F249F2" w:rsidP="00F249F2">
      <w:pPr>
        <w:pStyle w:val="AddressBlock"/>
      </w:pPr>
      <w:r>
        <w:t>CANBERRA ACT 2601</w:t>
      </w:r>
    </w:p>
    <w:p w14:paraId="2EE1C35A" w14:textId="77777777" w:rsidR="00F249F2" w:rsidRDefault="00F249F2" w:rsidP="00F249F2">
      <w:pPr>
        <w:pStyle w:val="AddressBlock"/>
      </w:pPr>
    </w:p>
    <w:p w14:paraId="26102C0A" w14:textId="77777777" w:rsidR="00F249F2" w:rsidRDefault="00F249F2" w:rsidP="00F249F2">
      <w:r>
        <w:t>Dear Kurt</w:t>
      </w:r>
    </w:p>
    <w:p w14:paraId="7FA8CCA0" w14:textId="11CB14A7" w:rsidR="00C4469F" w:rsidRDefault="0069501E" w:rsidP="00413967">
      <w:pPr>
        <w:pStyle w:val="Heading1"/>
      </w:pPr>
      <w:r w:rsidRPr="0069501E">
        <w:t>JUNE 202</w:t>
      </w:r>
      <w:r w:rsidR="00F249F2">
        <w:t>3</w:t>
      </w:r>
      <w:r w:rsidRPr="0069501E">
        <w:t xml:space="preserve"> FINANCIAL SUSTAINABILITY REPORT</w:t>
      </w:r>
    </w:p>
    <w:p w14:paraId="4A3F73F9" w14:textId="523A0B08" w:rsidR="00D041CE" w:rsidRPr="00F249F2" w:rsidRDefault="00D041CE" w:rsidP="00D041CE">
      <w:bookmarkStart w:id="1" w:name="Content"/>
      <w:bookmarkEnd w:id="1"/>
      <w:r>
        <w:t>I am writing as the Reviewing Actuary of the NDIS to summarise my review of the 30 June 202</w:t>
      </w:r>
      <w:r w:rsidR="00F249F2">
        <w:t>3</w:t>
      </w:r>
      <w:r>
        <w:t xml:space="preserve"> Financial Sustainability Report (FSR), prepared by the Scheme Actuary. Subsection 180</w:t>
      </w:r>
      <w:proofErr w:type="gramStart"/>
      <w:r>
        <w:t>E(</w:t>
      </w:r>
      <w:proofErr w:type="gramEnd"/>
      <w:r>
        <w:t xml:space="preserve">2) of the </w:t>
      </w:r>
      <w:r w:rsidRPr="2A9AF144">
        <w:rPr>
          <w:i/>
          <w:iCs/>
        </w:rPr>
        <w:t xml:space="preserve">National Disability Insurance Scheme (NDIS) Act 2013 </w:t>
      </w:r>
      <w:r>
        <w:t xml:space="preserve">(the Act) requires that I review </w:t>
      </w:r>
      <w:r w:rsidR="00085397">
        <w:t xml:space="preserve">each FSR </w:t>
      </w:r>
      <w:r>
        <w:t>and report to the Board</w:t>
      </w:r>
      <w:r w:rsidR="00085397">
        <w:t xml:space="preserve"> on my findings</w:t>
      </w:r>
      <w:r>
        <w:t>. Subsection 180</w:t>
      </w:r>
      <w:proofErr w:type="gramStart"/>
      <w:r>
        <w:t>E(</w:t>
      </w:r>
      <w:proofErr w:type="gramEnd"/>
      <w:r>
        <w:t xml:space="preserve">4) of the Act requires that I report any significant concerns about the sustainability of the NDIS to the Board as soon as is practical. </w:t>
      </w:r>
    </w:p>
    <w:p w14:paraId="6D7E9DA9" w14:textId="77777777" w:rsidR="008027EC" w:rsidRDefault="008027EC" w:rsidP="0027759B">
      <w:pPr>
        <w:pStyle w:val="Heading2"/>
      </w:pPr>
      <w:r w:rsidRPr="00F249F2">
        <w:t>Financial Sustainability Report</w:t>
      </w:r>
      <w:r>
        <w:t xml:space="preserve"> </w:t>
      </w:r>
    </w:p>
    <w:p w14:paraId="3C35DC9B" w14:textId="7A31769E" w:rsidR="008027EC" w:rsidRDefault="008027EC" w:rsidP="008027EC">
      <w:r>
        <w:t xml:space="preserve">The FSR presents a ten-year projection </w:t>
      </w:r>
      <w:r w:rsidR="00787E81">
        <w:t>of</w:t>
      </w:r>
      <w:r>
        <w:t xml:space="preserve"> the expected costs of the scheme. The projection has necessarily been developed in two steps. </w:t>
      </w:r>
      <w:r w:rsidR="00D74E68">
        <w:t>These are defined below</w:t>
      </w:r>
      <w:r w:rsidR="001B2A04">
        <w:t>, for the purposes of this review.</w:t>
      </w:r>
    </w:p>
    <w:p w14:paraId="206FEC04" w14:textId="0B9BA694" w:rsidR="004656D7" w:rsidRDefault="004656D7" w:rsidP="004656D7">
      <w:pPr>
        <w:pStyle w:val="OutlineNumbered1"/>
        <w:numPr>
          <w:ilvl w:val="0"/>
          <w:numId w:val="24"/>
        </w:numPr>
        <w:ind w:left="471" w:hanging="471"/>
        <w:contextualSpacing/>
      </w:pPr>
      <w:r>
        <w:t xml:space="preserve">The first </w:t>
      </w:r>
      <w:r w:rsidR="006C1D83">
        <w:t xml:space="preserve">step </w:t>
      </w:r>
      <w:r w:rsidR="00216607">
        <w:t xml:space="preserve">uses </w:t>
      </w:r>
      <w:r>
        <w:t xml:space="preserve">assumptions </w:t>
      </w:r>
      <w:r w:rsidRPr="008B2256">
        <w:t xml:space="preserve">that are guided by recent scheme experience, and the Scheme Actuary’s judgement. </w:t>
      </w:r>
      <w:r w:rsidR="004F5BC6">
        <w:t xml:space="preserve">I </w:t>
      </w:r>
      <w:r>
        <w:t xml:space="preserve">refer to </w:t>
      </w:r>
      <w:r w:rsidR="723D1376">
        <w:t xml:space="preserve">this </w:t>
      </w:r>
      <w:r>
        <w:t>as the Baseline projection. This is what is expected to occur if experience continues along similar lines to that which is currently occurring.</w:t>
      </w:r>
      <w:r w:rsidR="007C332D">
        <w:t xml:space="preserve"> This </w:t>
      </w:r>
      <w:r w:rsidR="00A466F2">
        <w:t>projection uses</w:t>
      </w:r>
      <w:r w:rsidR="00B83EA0">
        <w:t xml:space="preserve"> a </w:t>
      </w:r>
      <w:r w:rsidR="007C332D">
        <w:t xml:space="preserve">comparable </w:t>
      </w:r>
      <w:r w:rsidR="00B83EA0">
        <w:t xml:space="preserve">approach to the projection </w:t>
      </w:r>
      <w:r w:rsidR="007C332D">
        <w:t>set out in the 2022 FSR.</w:t>
      </w:r>
    </w:p>
    <w:p w14:paraId="00BE1452" w14:textId="6727923A" w:rsidR="004656D7" w:rsidRPr="008B2256" w:rsidRDefault="3B5B15FF" w:rsidP="004656D7">
      <w:pPr>
        <w:pStyle w:val="OutlineNumbered1"/>
        <w:numPr>
          <w:ilvl w:val="0"/>
          <w:numId w:val="24"/>
        </w:numPr>
        <w:ind w:left="471" w:hanging="471"/>
        <w:contextualSpacing/>
      </w:pPr>
      <w:r>
        <w:t>T</w:t>
      </w:r>
      <w:r w:rsidR="4305D981">
        <w:t xml:space="preserve">he Baseline projection </w:t>
      </w:r>
      <w:r>
        <w:t xml:space="preserve">is then reduced </w:t>
      </w:r>
      <w:r w:rsidR="4305D981">
        <w:t xml:space="preserve">by a range of initiatives </w:t>
      </w:r>
      <w:r w:rsidR="5A9F1AF1">
        <w:t xml:space="preserve">intended </w:t>
      </w:r>
      <w:r w:rsidR="4305D981">
        <w:t xml:space="preserve">to improve the sustainability of the scheme. Some of these initiatives were set out in the May 2023 Budget. This is referred to as the </w:t>
      </w:r>
      <w:r w:rsidR="00393E23">
        <w:t xml:space="preserve">June 2023 projection </w:t>
      </w:r>
      <w:r w:rsidR="4305D981">
        <w:t>in this letter.</w:t>
      </w:r>
    </w:p>
    <w:p w14:paraId="0052947A" w14:textId="5671F987" w:rsidR="0027759B" w:rsidRPr="00F249F2" w:rsidRDefault="008027EC" w:rsidP="0027759B">
      <w:pPr>
        <w:pStyle w:val="Heading2"/>
      </w:pPr>
      <w:r>
        <w:t>Review of t</w:t>
      </w:r>
      <w:r w:rsidR="00D041CE" w:rsidRPr="00F249F2">
        <w:t>he Financial Sustainability Report</w:t>
      </w:r>
    </w:p>
    <w:p w14:paraId="46F199E2" w14:textId="1802CE30" w:rsidR="00D041CE" w:rsidRPr="00F249F2" w:rsidRDefault="00D041CE" w:rsidP="00D041CE">
      <w:r>
        <w:t>Subsection 180</w:t>
      </w:r>
      <w:proofErr w:type="gramStart"/>
      <w:r>
        <w:t>B(</w:t>
      </w:r>
      <w:proofErr w:type="gramEnd"/>
      <w:r>
        <w:t>1) of the Act</w:t>
      </w:r>
      <w:r w:rsidRPr="2A9AF144">
        <w:rPr>
          <w:i/>
          <w:iCs/>
        </w:rPr>
        <w:t xml:space="preserve"> </w:t>
      </w:r>
      <w:r>
        <w:t xml:space="preserve">requires the Scheme Actuary to prepare a FSR, at least annually. The FSR provides a projection of the </w:t>
      </w:r>
      <w:r w:rsidR="00BF4165">
        <w:t xml:space="preserve">total amount spent by participants and agency expenses for the </w:t>
      </w:r>
      <w:r w:rsidR="605F5EBA">
        <w:t>s</w:t>
      </w:r>
      <w:r>
        <w:t xml:space="preserve">cheme. Part 3 of the </w:t>
      </w:r>
      <w:r w:rsidRPr="2A9AF144">
        <w:rPr>
          <w:i/>
          <w:iCs/>
        </w:rPr>
        <w:t>NDIS Rules for the Scheme Actuary</w:t>
      </w:r>
      <w:r>
        <w:t xml:space="preserve"> sets out </w:t>
      </w:r>
      <w:r w:rsidR="00C15A5F">
        <w:t xml:space="preserve">the required </w:t>
      </w:r>
      <w:r>
        <w:t>content of the FSR.</w:t>
      </w:r>
    </w:p>
    <w:p w14:paraId="095AA227" w14:textId="32C64853" w:rsidR="009321A6" w:rsidRDefault="3CA94D3A" w:rsidP="00BA4F23">
      <w:pPr>
        <w:spacing w:after="320"/>
      </w:pPr>
      <w:r w:rsidRPr="00ED0F4E">
        <w:t xml:space="preserve">I have been provided with </w:t>
      </w:r>
      <w:r w:rsidR="3856F7A1" w:rsidRPr="00ED0F4E">
        <w:t xml:space="preserve">[1] </w:t>
      </w:r>
      <w:r w:rsidR="08C181F4" w:rsidRPr="00ED0F4E">
        <w:t xml:space="preserve">a </w:t>
      </w:r>
      <w:r w:rsidR="5876000F" w:rsidRPr="00ED0F4E">
        <w:t xml:space="preserve">subset </w:t>
      </w:r>
      <w:r w:rsidR="08C181F4" w:rsidRPr="00ED0F4E">
        <w:t xml:space="preserve">of the </w:t>
      </w:r>
      <w:r w:rsidR="7F6B6188" w:rsidRPr="00ED0F4E">
        <w:t xml:space="preserve">Scheme Actuary’s paper to the Sustainability Committee </w:t>
      </w:r>
      <w:r w:rsidR="03B8835F" w:rsidRPr="00ED0F4E">
        <w:t xml:space="preserve">on 15 August, </w:t>
      </w:r>
      <w:r w:rsidR="6CFBC9AB" w:rsidRPr="00ED0F4E">
        <w:t>setting out high</w:t>
      </w:r>
      <w:r w:rsidR="52C0C05D" w:rsidRPr="00ED0F4E">
        <w:t>-</w:t>
      </w:r>
      <w:r w:rsidR="6CFBC9AB" w:rsidRPr="00ED0F4E">
        <w:t>level results of the Baseline projection</w:t>
      </w:r>
      <w:r w:rsidR="0EDE4C3C" w:rsidRPr="00ED0F4E">
        <w:t>;</w:t>
      </w:r>
      <w:r w:rsidR="6CFBC9AB" w:rsidRPr="00ED0F4E">
        <w:t xml:space="preserve"> </w:t>
      </w:r>
      <w:r w:rsidR="52C0C05D" w:rsidRPr="00ED0F4E">
        <w:t xml:space="preserve">[2] </w:t>
      </w:r>
      <w:r w:rsidR="00281F63">
        <w:t xml:space="preserve">a </w:t>
      </w:r>
      <w:r w:rsidR="27D3E9CC" w:rsidRPr="00ED0F4E">
        <w:t xml:space="preserve">draft </w:t>
      </w:r>
      <w:r w:rsidR="3772B73C" w:rsidRPr="00ED0F4E">
        <w:t xml:space="preserve">of </w:t>
      </w:r>
      <w:r w:rsidR="00552BA0" w:rsidRPr="00ED0F4E">
        <w:t xml:space="preserve">the </w:t>
      </w:r>
      <w:r w:rsidR="27D3E9CC" w:rsidRPr="00ED0F4E">
        <w:t>FSR</w:t>
      </w:r>
      <w:r w:rsidR="00281F63">
        <w:t xml:space="preserve">, received </w:t>
      </w:r>
      <w:r w:rsidR="27D3E9CC" w:rsidRPr="00ED0F4E">
        <w:t xml:space="preserve">on </w:t>
      </w:r>
      <w:r w:rsidR="00281F63">
        <w:t>1</w:t>
      </w:r>
      <w:r w:rsidR="00BD6F08">
        <w:t>3</w:t>
      </w:r>
      <w:r w:rsidR="00281F63">
        <w:t xml:space="preserve"> October</w:t>
      </w:r>
      <w:r w:rsidR="3856F7A1" w:rsidRPr="00ED0F4E">
        <w:t>; [</w:t>
      </w:r>
      <w:r w:rsidR="0EDE4C3C" w:rsidRPr="00ED0F4E">
        <w:t>3</w:t>
      </w:r>
      <w:r w:rsidR="3856F7A1" w:rsidRPr="00ED0F4E">
        <w:t xml:space="preserve">] </w:t>
      </w:r>
      <w:r w:rsidR="1AADC40E" w:rsidRPr="00ED0F4E">
        <w:t xml:space="preserve">Excel </w:t>
      </w:r>
      <w:r w:rsidRPr="00ED0F4E">
        <w:t>model</w:t>
      </w:r>
      <w:r w:rsidR="13FDEDED" w:rsidRPr="00ED0F4E">
        <w:t>s</w:t>
      </w:r>
      <w:r w:rsidRPr="00ED0F4E">
        <w:t xml:space="preserve"> used </w:t>
      </w:r>
      <w:r w:rsidR="13684529" w:rsidRPr="00ED0F4E">
        <w:t xml:space="preserve">to derive </w:t>
      </w:r>
      <w:r w:rsidR="00D13BCA">
        <w:t xml:space="preserve">the </w:t>
      </w:r>
      <w:r w:rsidR="0EDE4C3C" w:rsidRPr="00ED0F4E">
        <w:t xml:space="preserve">Baseline </w:t>
      </w:r>
      <w:r w:rsidR="6F948EE7" w:rsidRPr="00ED0F4E">
        <w:t xml:space="preserve">and </w:t>
      </w:r>
      <w:r w:rsidR="00393E23">
        <w:t>June 2023 projections</w:t>
      </w:r>
      <w:r w:rsidR="3856F7A1" w:rsidRPr="00ED0F4E">
        <w:t>; and [</w:t>
      </w:r>
      <w:r w:rsidR="49939882" w:rsidRPr="00ED0F4E">
        <w:t>4</w:t>
      </w:r>
      <w:r w:rsidR="3856F7A1" w:rsidRPr="00ED0F4E">
        <w:t>]</w:t>
      </w:r>
      <w:r w:rsidR="27D3E9CC" w:rsidRPr="00ED0F4E">
        <w:t xml:space="preserve"> </w:t>
      </w:r>
      <w:r w:rsidRPr="00ED0F4E">
        <w:t>supplementary information summarising the experience of</w:t>
      </w:r>
      <w:r w:rsidR="521F69A0" w:rsidRPr="00ED0F4E">
        <w:t xml:space="preserve"> </w:t>
      </w:r>
      <w:r w:rsidRPr="00ED0F4E">
        <w:t>the scheme to date</w:t>
      </w:r>
      <w:r w:rsidR="00374804">
        <w:t xml:space="preserve"> that enables me to </w:t>
      </w:r>
      <w:r w:rsidR="001B3FC8">
        <w:t>examine the reasonableness of some assumptions underpinning the Baseline projection</w:t>
      </w:r>
      <w:r w:rsidRPr="00ED0F4E">
        <w:t xml:space="preserve">. </w:t>
      </w:r>
      <w:r w:rsidR="657FB4C6" w:rsidRPr="00ED0F4E">
        <w:t xml:space="preserve">I have also discussed </w:t>
      </w:r>
      <w:r w:rsidR="0058544F">
        <w:t xml:space="preserve">some of </w:t>
      </w:r>
      <w:r w:rsidR="657FB4C6" w:rsidRPr="00ED0F4E">
        <w:t xml:space="preserve">these materials with members of the </w:t>
      </w:r>
      <w:r w:rsidR="6AED1288" w:rsidRPr="00ED0F4E">
        <w:t xml:space="preserve">Agency’s </w:t>
      </w:r>
      <w:r w:rsidR="657FB4C6" w:rsidRPr="00ED0F4E">
        <w:t>actuarial team.</w:t>
      </w:r>
    </w:p>
    <w:p w14:paraId="3DA93BC8" w14:textId="761C2FDC" w:rsidR="00D041CE" w:rsidRPr="009321A6" w:rsidRDefault="3CA94D3A" w:rsidP="287DEEBF">
      <w:pPr>
        <w:spacing w:after="320"/>
        <w:rPr>
          <w:i/>
          <w:iCs/>
        </w:rPr>
      </w:pPr>
      <w:r>
        <w:lastRenderedPageBreak/>
        <w:t xml:space="preserve">The Agency has </w:t>
      </w:r>
      <w:r w:rsidR="0A9FF470">
        <w:t xml:space="preserve">provided me with the material required </w:t>
      </w:r>
      <w:r>
        <w:t xml:space="preserve">to undertake </w:t>
      </w:r>
      <w:r w:rsidR="3A2F0DD6">
        <w:t xml:space="preserve">a </w:t>
      </w:r>
      <w:r>
        <w:t>review</w:t>
      </w:r>
      <w:r w:rsidR="3A2F0DD6">
        <w:t xml:space="preserve"> of </w:t>
      </w:r>
      <w:r w:rsidR="5ACF7F3D">
        <w:t xml:space="preserve">elements of </w:t>
      </w:r>
      <w:r w:rsidR="3A2F0DD6">
        <w:t>the Baseline projection</w:t>
      </w:r>
      <w:r>
        <w:t>.</w:t>
      </w:r>
      <w:r w:rsidR="35912EFC">
        <w:t xml:space="preserve"> </w:t>
      </w:r>
      <w:r w:rsidR="001B1BF9">
        <w:t>I have noted where it has been necessary to limit the scope of this review throughout this letter.</w:t>
      </w:r>
    </w:p>
    <w:p w14:paraId="206748D7" w14:textId="0B7E28FD" w:rsidR="00D041CE" w:rsidRDefault="00D041CE" w:rsidP="00D041CE">
      <w:pPr>
        <w:spacing w:after="320"/>
      </w:pPr>
      <w:r w:rsidRPr="00F249F2">
        <w:t xml:space="preserve">The last </w:t>
      </w:r>
      <w:r w:rsidR="00EE1983">
        <w:t xml:space="preserve">FSR </w:t>
      </w:r>
      <w:r w:rsidRPr="00F249F2">
        <w:t>I reviewed was the 30 June 202</w:t>
      </w:r>
      <w:r w:rsidR="00F249F2" w:rsidRPr="00F249F2">
        <w:t>2</w:t>
      </w:r>
      <w:r w:rsidRPr="00F249F2">
        <w:t xml:space="preserve"> </w:t>
      </w:r>
      <w:r w:rsidR="00B52781">
        <w:t>FSR</w:t>
      </w:r>
      <w:r w:rsidRPr="00F249F2">
        <w:t>. This review focusses on the reasonableness of the 30 June 202</w:t>
      </w:r>
      <w:r w:rsidR="00F249F2" w:rsidRPr="00F249F2">
        <w:t>3</w:t>
      </w:r>
      <w:r w:rsidRPr="00F249F2">
        <w:t xml:space="preserve"> </w:t>
      </w:r>
      <w:r w:rsidR="000C342A">
        <w:t xml:space="preserve">Baseline </w:t>
      </w:r>
      <w:r w:rsidRPr="00F249F2">
        <w:t>projection. Commentary on changes between projections refer to changes since the 30 June 202</w:t>
      </w:r>
      <w:r w:rsidR="00F249F2" w:rsidRPr="00F249F2">
        <w:t>2</w:t>
      </w:r>
      <w:r w:rsidRPr="00F249F2">
        <w:t xml:space="preserve"> projection.</w:t>
      </w:r>
    </w:p>
    <w:p w14:paraId="1F6F2636" w14:textId="058688EB" w:rsidR="0018543A" w:rsidRPr="00F249F2" w:rsidRDefault="10D9901E" w:rsidP="00D041CE">
      <w:pPr>
        <w:spacing w:after="320"/>
      </w:pPr>
      <w:r>
        <w:t xml:space="preserve">For this review, commentary </w:t>
      </w:r>
      <w:r w:rsidR="7E84C818">
        <w:t xml:space="preserve">on </w:t>
      </w:r>
      <w:r>
        <w:t xml:space="preserve">the short-term </w:t>
      </w:r>
      <w:r w:rsidR="7E84C818">
        <w:t xml:space="preserve">refers to the </w:t>
      </w:r>
      <w:r w:rsidR="00A60AA0">
        <w:t>four-year</w:t>
      </w:r>
      <w:r w:rsidR="7E84C818">
        <w:t xml:space="preserve"> </w:t>
      </w:r>
      <w:r w:rsidR="52CBEDA5">
        <w:t>B</w:t>
      </w:r>
      <w:r w:rsidR="7E84C818">
        <w:t>udget period</w:t>
      </w:r>
      <w:r w:rsidR="70E66FE0">
        <w:t>;</w:t>
      </w:r>
      <w:r w:rsidR="7E84C818">
        <w:t xml:space="preserve"> the medium term refers to the balance of the </w:t>
      </w:r>
      <w:r w:rsidR="008A3CB5">
        <w:t>ten-year</w:t>
      </w:r>
      <w:r w:rsidR="110B826F">
        <w:t xml:space="preserve"> projection presented in the FSR</w:t>
      </w:r>
      <w:r w:rsidR="55FF0BCD">
        <w:t>;</w:t>
      </w:r>
      <w:r w:rsidR="110B826F">
        <w:t xml:space="preserve"> the long term refers to the period beyond the medium term.</w:t>
      </w:r>
    </w:p>
    <w:p w14:paraId="783858BB" w14:textId="216FCD09" w:rsidR="004162CA" w:rsidRPr="00F249F2" w:rsidRDefault="00D041CE" w:rsidP="00D041CE">
      <w:pPr>
        <w:pStyle w:val="Heading2"/>
      </w:pPr>
      <w:r w:rsidRPr="00F249F2">
        <w:t>The Projection</w:t>
      </w:r>
    </w:p>
    <w:p w14:paraId="59198538" w14:textId="4A6EE0A0" w:rsidR="00D041CE" w:rsidRPr="00F249F2" w:rsidRDefault="00D041CE" w:rsidP="00D041CE">
      <w:pPr>
        <w:pStyle w:val="Heading3"/>
      </w:pPr>
      <w:r w:rsidRPr="00F249F2">
        <w:t>Methodology</w:t>
      </w:r>
    </w:p>
    <w:p w14:paraId="5061ADFF" w14:textId="48BD5FA2" w:rsidR="00BC7CBF" w:rsidRPr="00BC7CBF" w:rsidRDefault="00BC7CBF" w:rsidP="00D041CE">
      <w:pPr>
        <w:spacing w:after="320"/>
      </w:pPr>
      <w:r w:rsidRPr="00BC7CBF">
        <w:t xml:space="preserve">There have been several changes to the projection methodology this year. </w:t>
      </w:r>
      <w:r w:rsidR="00ED6745">
        <w:t xml:space="preserve">Three models </w:t>
      </w:r>
      <w:r w:rsidR="005D632C">
        <w:t xml:space="preserve">are </w:t>
      </w:r>
      <w:r w:rsidR="00ED6745">
        <w:t xml:space="preserve">used </w:t>
      </w:r>
      <w:r w:rsidR="00867CA4">
        <w:t xml:space="preserve">to produce the analysis </w:t>
      </w:r>
      <w:r w:rsidR="00B97D4C">
        <w:t xml:space="preserve">presented in </w:t>
      </w:r>
      <w:r w:rsidR="004A5FEB">
        <w:t xml:space="preserve">the FSR. </w:t>
      </w:r>
    </w:p>
    <w:p w14:paraId="5BA13412" w14:textId="3883146E" w:rsidR="00BC7CBF" w:rsidRDefault="00BC7CBF" w:rsidP="007B0462">
      <w:pPr>
        <w:pStyle w:val="OutlineNumbered1"/>
        <w:numPr>
          <w:ilvl w:val="0"/>
          <w:numId w:val="32"/>
        </w:numPr>
        <w:contextualSpacing/>
      </w:pPr>
      <w:r>
        <w:t xml:space="preserve">An Excel model that generates a projection of scheme </w:t>
      </w:r>
      <w:r w:rsidR="00AD3D4C">
        <w:t xml:space="preserve">outflows </w:t>
      </w:r>
      <w:r>
        <w:t xml:space="preserve">over </w:t>
      </w:r>
      <w:r w:rsidR="00AD3D4C">
        <w:t xml:space="preserve">a </w:t>
      </w:r>
      <w:r w:rsidR="00AF2F04">
        <w:t>10-year period</w:t>
      </w:r>
      <w:r>
        <w:t>,</w:t>
      </w:r>
    </w:p>
    <w:p w14:paraId="78419415" w14:textId="6DCAE81D" w:rsidR="00BC7CBF" w:rsidRDefault="00BC7CBF" w:rsidP="007B0462">
      <w:pPr>
        <w:pStyle w:val="OutlineNumbered1"/>
        <w:ind w:left="471" w:hanging="471"/>
        <w:contextualSpacing/>
      </w:pPr>
      <w:r>
        <w:t xml:space="preserve">A SAS model that </w:t>
      </w:r>
      <w:r w:rsidR="00317480">
        <w:t xml:space="preserve">projects </w:t>
      </w:r>
      <w:r>
        <w:t xml:space="preserve">scheme </w:t>
      </w:r>
      <w:r w:rsidR="00317480">
        <w:t xml:space="preserve">outflows </w:t>
      </w:r>
      <w:r>
        <w:t xml:space="preserve">beyond </w:t>
      </w:r>
      <w:r w:rsidR="003C3FBB">
        <w:t>10-years</w:t>
      </w:r>
      <w:r>
        <w:t>, and</w:t>
      </w:r>
    </w:p>
    <w:p w14:paraId="097DE2F5" w14:textId="7A1F3882" w:rsidR="00ED6745" w:rsidRDefault="00E659C8" w:rsidP="007B0462">
      <w:pPr>
        <w:pStyle w:val="OutlineNumbered1"/>
        <w:ind w:left="471" w:hanging="471"/>
        <w:contextualSpacing/>
      </w:pPr>
      <w:r>
        <w:t xml:space="preserve">A model built in R that </w:t>
      </w:r>
      <w:r w:rsidR="00D249A3">
        <w:t xml:space="preserve">replicates </w:t>
      </w:r>
      <w:r w:rsidR="00001715">
        <w:t xml:space="preserve">the Excel model and </w:t>
      </w:r>
      <w:r w:rsidR="00ED6745">
        <w:t xml:space="preserve">is used for </w:t>
      </w:r>
      <w:r w:rsidR="00001715">
        <w:t>stochastic modelling</w:t>
      </w:r>
      <w:r w:rsidR="00ED6745">
        <w:t>.</w:t>
      </w:r>
    </w:p>
    <w:p w14:paraId="264DCFEC" w14:textId="77777777" w:rsidR="008B2256" w:rsidRPr="00E8429A" w:rsidRDefault="008B2256" w:rsidP="008B2256">
      <w:pPr>
        <w:pStyle w:val="Heading3"/>
        <w:rPr>
          <w:i/>
          <w:color w:val="0E4E77"/>
        </w:rPr>
      </w:pPr>
      <w:r w:rsidRPr="00E8429A">
        <w:rPr>
          <w:i/>
          <w:color w:val="0E4E77"/>
        </w:rPr>
        <w:t>Excel and SAS Models</w:t>
      </w:r>
    </w:p>
    <w:p w14:paraId="59EF32CD" w14:textId="5F0ECF41" w:rsidR="00AC6BFF" w:rsidRPr="008B2256" w:rsidRDefault="008B2256" w:rsidP="004656D7">
      <w:pPr>
        <w:spacing w:after="320"/>
      </w:pPr>
      <w:r w:rsidRPr="008B2256">
        <w:t xml:space="preserve">These </w:t>
      </w:r>
      <w:r w:rsidR="00D041CE" w:rsidRPr="008B2256">
        <w:t>model</w:t>
      </w:r>
      <w:r w:rsidRPr="008B2256">
        <w:t>s</w:t>
      </w:r>
      <w:r w:rsidR="00D041CE" w:rsidRPr="008B2256">
        <w:t xml:space="preserve"> project </w:t>
      </w:r>
      <w:r w:rsidR="00E67482">
        <w:t xml:space="preserve">scheme costs </w:t>
      </w:r>
      <w:r w:rsidR="00D041CE" w:rsidRPr="008B2256">
        <w:t xml:space="preserve">by multiplying expected participant numbers by </w:t>
      </w:r>
      <w:r w:rsidR="00BF4165" w:rsidRPr="008B2256">
        <w:t xml:space="preserve">the </w:t>
      </w:r>
      <w:r w:rsidR="00C53857" w:rsidRPr="008B2256">
        <w:t xml:space="preserve">expected </w:t>
      </w:r>
      <w:r w:rsidR="00D041CE" w:rsidRPr="008B2256">
        <w:t xml:space="preserve">average </w:t>
      </w:r>
      <w:r w:rsidR="00BF4165" w:rsidRPr="008B2256">
        <w:t>amount spent</w:t>
      </w:r>
      <w:r w:rsidR="00D041CE" w:rsidRPr="008B2256">
        <w:t xml:space="preserve">. </w:t>
      </w:r>
    </w:p>
    <w:p w14:paraId="46276088" w14:textId="347F4B2B" w:rsidR="008B2256" w:rsidRPr="008B2256" w:rsidRDefault="00B67CD6" w:rsidP="00D041CE">
      <w:pPr>
        <w:spacing w:after="320"/>
      </w:pPr>
      <w:r>
        <w:t xml:space="preserve">Participants are grouped into </w:t>
      </w:r>
      <w:r w:rsidR="00D041CE">
        <w:t xml:space="preserve">2,052 cohorts </w:t>
      </w:r>
      <w:r>
        <w:t>and each cohort is projected</w:t>
      </w:r>
      <w:r w:rsidR="008172E0">
        <w:t xml:space="preserve"> forward</w:t>
      </w:r>
      <w:r w:rsidR="00D041CE">
        <w:t xml:space="preserve">. The cohorts are defined by disability type, functional capacity, </w:t>
      </w:r>
      <w:r w:rsidR="00652454">
        <w:t>supported independent living (</w:t>
      </w:r>
      <w:r w:rsidR="00202545">
        <w:t>SIL</w:t>
      </w:r>
      <w:r w:rsidR="00652454">
        <w:t>)</w:t>
      </w:r>
      <w:r w:rsidR="00202545">
        <w:t xml:space="preserve"> status, </w:t>
      </w:r>
      <w:r w:rsidR="00F31854">
        <w:t>age</w:t>
      </w:r>
      <w:r w:rsidR="16ACAC9A">
        <w:t xml:space="preserve"> band</w:t>
      </w:r>
      <w:r w:rsidR="00F31854">
        <w:t>,</w:t>
      </w:r>
      <w:r w:rsidR="00D041CE">
        <w:t xml:space="preserve"> and gender. The projected number of participants in each cohort allow</w:t>
      </w:r>
      <w:r w:rsidR="00C53857">
        <w:t>s</w:t>
      </w:r>
      <w:r w:rsidR="00D041CE">
        <w:t xml:space="preserve"> for</w:t>
      </w:r>
      <w:r w:rsidR="007C3714">
        <w:t xml:space="preserve"> existing participants</w:t>
      </w:r>
      <w:r w:rsidR="00692A0F">
        <w:t xml:space="preserve"> growing older</w:t>
      </w:r>
      <w:r w:rsidR="007C3714">
        <w:t>,</w:t>
      </w:r>
      <w:r w:rsidR="00D041CE">
        <w:t xml:space="preserve"> future new entrants, </w:t>
      </w:r>
      <w:r w:rsidR="0069676C">
        <w:t>participants who leave</w:t>
      </w:r>
      <w:r w:rsidR="00483AE7">
        <w:t>,</w:t>
      </w:r>
      <w:r w:rsidR="0069676C">
        <w:t xml:space="preserve"> and participants who die. The projected composition of the scheme also allows </w:t>
      </w:r>
      <w:r w:rsidR="00D041CE">
        <w:t>for th</w:t>
      </w:r>
      <w:r w:rsidR="003A517B">
        <w:t>ose</w:t>
      </w:r>
      <w:r w:rsidR="00D041CE">
        <w:t xml:space="preserve"> with </w:t>
      </w:r>
      <w:r w:rsidR="00E73694">
        <w:t>developmental d</w:t>
      </w:r>
      <w:r w:rsidR="00D041CE">
        <w:t>elay</w:t>
      </w:r>
      <w:r w:rsidR="0069676C">
        <w:t xml:space="preserve"> to </w:t>
      </w:r>
      <w:r w:rsidR="00D041CE">
        <w:t xml:space="preserve">transition </w:t>
      </w:r>
      <w:r w:rsidR="00CF59B2">
        <w:t>in</w:t>
      </w:r>
      <w:r w:rsidR="00D041CE">
        <w:t>to cohort</w:t>
      </w:r>
      <w:r w:rsidR="00E73694">
        <w:t>s</w:t>
      </w:r>
      <w:r w:rsidR="00D041CE">
        <w:t xml:space="preserve"> of participants with </w:t>
      </w:r>
      <w:r w:rsidR="00E73694">
        <w:t>autism or to intellectual disability</w:t>
      </w:r>
      <w:r w:rsidR="00D041CE">
        <w:t>, should that diagnosis occur</w:t>
      </w:r>
      <w:r w:rsidR="008B2256">
        <w:t xml:space="preserve">. It also allows for the transition of participants </w:t>
      </w:r>
      <w:r w:rsidR="006410FD">
        <w:t xml:space="preserve">who do not receive </w:t>
      </w:r>
      <w:r w:rsidR="008B2256">
        <w:t xml:space="preserve">SIL to </w:t>
      </w:r>
      <w:r w:rsidR="00652454">
        <w:t xml:space="preserve">start to receive </w:t>
      </w:r>
      <w:r w:rsidR="008B2256">
        <w:t xml:space="preserve">SIL. Explicitly incorporating the transition between non-SIL and SIL is a model enhancement for </w:t>
      </w:r>
      <w:r w:rsidR="00E8429A">
        <w:t>th</w:t>
      </w:r>
      <w:r w:rsidR="00C65E2C">
        <w:t>is</w:t>
      </w:r>
      <w:r w:rsidR="00E8429A">
        <w:t xml:space="preserve"> 2023 </w:t>
      </w:r>
      <w:r w:rsidR="008B2256">
        <w:t>FSR.</w:t>
      </w:r>
      <w:r w:rsidR="1A843B6E">
        <w:t xml:space="preserve">  No other transitions are </w:t>
      </w:r>
      <w:r w:rsidR="073248FD">
        <w:t xml:space="preserve">explicitly </w:t>
      </w:r>
      <w:r w:rsidR="1A843B6E">
        <w:t xml:space="preserve">allowed for, most notably, the transition from </w:t>
      </w:r>
      <w:r w:rsidR="5217417C">
        <w:t xml:space="preserve">one level of </w:t>
      </w:r>
      <w:r w:rsidR="1A843B6E">
        <w:t xml:space="preserve">functional capacity to </w:t>
      </w:r>
      <w:r w:rsidR="5721313E">
        <w:t>another.</w:t>
      </w:r>
      <w:r w:rsidR="1A843B6E">
        <w:t xml:space="preserve"> </w:t>
      </w:r>
    </w:p>
    <w:p w14:paraId="732595DD" w14:textId="00B1E5B1" w:rsidR="00F31472" w:rsidRPr="00183E0D" w:rsidRDefault="00BF4165" w:rsidP="00D041CE">
      <w:pPr>
        <w:spacing w:after="320"/>
      </w:pPr>
      <w:r w:rsidRPr="00183E0D">
        <w:t>The a</w:t>
      </w:r>
      <w:r w:rsidR="00D041CE" w:rsidRPr="00183E0D">
        <w:t xml:space="preserve">verage </w:t>
      </w:r>
      <w:r w:rsidRPr="00183E0D">
        <w:t xml:space="preserve">amount spent is </w:t>
      </w:r>
      <w:r w:rsidR="00D041CE" w:rsidRPr="00183E0D">
        <w:t xml:space="preserve">projected for 15 </w:t>
      </w:r>
      <w:r w:rsidR="00AA4BE9">
        <w:t>support categories</w:t>
      </w:r>
      <w:r w:rsidR="00D041CE" w:rsidRPr="00183E0D">
        <w:t xml:space="preserve">. </w:t>
      </w:r>
      <w:r w:rsidR="003A517B" w:rsidRPr="00183E0D">
        <w:t xml:space="preserve">Average payments are based upon </w:t>
      </w:r>
      <w:r w:rsidR="009B3106" w:rsidRPr="00183E0D">
        <w:t xml:space="preserve">the three months of </w:t>
      </w:r>
      <w:r w:rsidR="003A517B" w:rsidRPr="00183E0D">
        <w:t xml:space="preserve">experience </w:t>
      </w:r>
      <w:r w:rsidR="0076721D" w:rsidRPr="00183E0D">
        <w:t xml:space="preserve">to 30 April 2023 for </w:t>
      </w:r>
      <w:r w:rsidR="003A517B" w:rsidRPr="00183E0D">
        <w:t>those who have been in the scheme for more than twelve months. For non-SIL participants, th</w:t>
      </w:r>
      <w:r w:rsidR="00381A5C" w:rsidRPr="00183E0D">
        <w:t>ese</w:t>
      </w:r>
      <w:r w:rsidR="003A517B" w:rsidRPr="00183E0D">
        <w:t xml:space="preserve"> average</w:t>
      </w:r>
      <w:r w:rsidR="00381A5C" w:rsidRPr="00183E0D">
        <w:t>s are</w:t>
      </w:r>
      <w:r w:rsidR="003A517B" w:rsidRPr="00183E0D">
        <w:t xml:space="preserve"> reduced by </w:t>
      </w:r>
      <w:r w:rsidR="002875E0" w:rsidRPr="00183E0D">
        <w:t>35</w:t>
      </w:r>
      <w:r w:rsidR="003A517B" w:rsidRPr="00183E0D">
        <w:t xml:space="preserve">% in the first year of participation. </w:t>
      </w:r>
      <w:r w:rsidR="00477E0C" w:rsidRPr="00183E0D">
        <w:t xml:space="preserve">No </w:t>
      </w:r>
      <w:r w:rsidR="003A517B" w:rsidRPr="00183E0D">
        <w:t xml:space="preserve">reduction factor is </w:t>
      </w:r>
      <w:r w:rsidR="00477E0C" w:rsidRPr="00183E0D">
        <w:t xml:space="preserve">applied </w:t>
      </w:r>
      <w:r w:rsidR="003A517B" w:rsidRPr="00183E0D">
        <w:t xml:space="preserve">for those in SIL. </w:t>
      </w:r>
      <w:r w:rsidR="00E8429A" w:rsidRPr="00183E0D">
        <w:t>The process used to model lower costs for recent entrants has also been updated for the 2023 FSR.</w:t>
      </w:r>
    </w:p>
    <w:p w14:paraId="3EC3827C" w14:textId="23D12F88" w:rsidR="00054162" w:rsidRDefault="00D041CE" w:rsidP="00D041CE">
      <w:pPr>
        <w:spacing w:after="320"/>
      </w:pPr>
      <w:r>
        <w:lastRenderedPageBreak/>
        <w:t xml:space="preserve">In future years, </w:t>
      </w:r>
      <w:r w:rsidR="00BF4165">
        <w:t xml:space="preserve">the </w:t>
      </w:r>
      <w:r>
        <w:t xml:space="preserve">average </w:t>
      </w:r>
      <w:r w:rsidR="00BF4165">
        <w:t xml:space="preserve">amount spent is </w:t>
      </w:r>
      <w:r>
        <w:t xml:space="preserve">increased </w:t>
      </w:r>
      <w:r w:rsidR="00BF4165">
        <w:t xml:space="preserve">to allow for the effect of both </w:t>
      </w:r>
      <w:r w:rsidR="0042183C">
        <w:t xml:space="preserve">normal </w:t>
      </w:r>
      <w:r w:rsidR="00BF4165">
        <w:t>economy</w:t>
      </w:r>
      <w:r w:rsidR="01716DDB">
        <w:t>-</w:t>
      </w:r>
      <w:r w:rsidR="00BF4165">
        <w:t xml:space="preserve">wide wage and price inflation, </w:t>
      </w:r>
      <w:r w:rsidR="00F249F2">
        <w:t xml:space="preserve">as well as for the effect </w:t>
      </w:r>
      <w:r w:rsidR="00483AE7">
        <w:t xml:space="preserve">of </w:t>
      </w:r>
      <w:r w:rsidR="0042183C">
        <w:t xml:space="preserve">additional </w:t>
      </w:r>
      <w:r w:rsidR="00BF4165">
        <w:t xml:space="preserve">scheme specific </w:t>
      </w:r>
      <w:r>
        <w:t>inflation.</w:t>
      </w:r>
      <w:r w:rsidR="00F31472">
        <w:t xml:space="preserve"> </w:t>
      </w:r>
      <w:r w:rsidR="3976FFD2">
        <w:t xml:space="preserve">As noted above, </w:t>
      </w:r>
      <w:r w:rsidR="1A7DAFA9">
        <w:t>t</w:t>
      </w:r>
      <w:r w:rsidR="00054162">
        <w:t>he model</w:t>
      </w:r>
      <w:r w:rsidR="008B2256">
        <w:t>s</w:t>
      </w:r>
      <w:r w:rsidR="00054162">
        <w:t xml:space="preserve"> </w:t>
      </w:r>
      <w:r w:rsidR="008B2256">
        <w:t xml:space="preserve">do </w:t>
      </w:r>
      <w:r w:rsidR="00054162">
        <w:t xml:space="preserve">not </w:t>
      </w:r>
      <w:r w:rsidR="008B2256">
        <w:t xml:space="preserve">explicitly </w:t>
      </w:r>
      <w:r w:rsidR="00054162">
        <w:t xml:space="preserve">model </w:t>
      </w:r>
      <w:r w:rsidR="008B2256">
        <w:t xml:space="preserve">deterioration in function </w:t>
      </w:r>
      <w:r w:rsidR="00054162">
        <w:t>over time</w:t>
      </w:r>
      <w:r w:rsidR="008B2256">
        <w:t>. As a result</w:t>
      </w:r>
      <w:r w:rsidR="00054162">
        <w:t xml:space="preserve">, </w:t>
      </w:r>
      <w:r w:rsidR="00F853D3">
        <w:t xml:space="preserve">this </w:t>
      </w:r>
      <w:r w:rsidR="005A1484">
        <w:t xml:space="preserve">must be </w:t>
      </w:r>
      <w:r w:rsidR="00054162">
        <w:t xml:space="preserve">accounted for in the </w:t>
      </w:r>
      <w:r w:rsidR="007601DC">
        <w:t xml:space="preserve">additional </w:t>
      </w:r>
      <w:r w:rsidR="00E934A6">
        <w:t>growth</w:t>
      </w:r>
      <w:r w:rsidR="00054162">
        <w:t xml:space="preserve"> assumption. This both increases the dependency of the results on this </w:t>
      </w:r>
      <w:r w:rsidR="00020AD3">
        <w:t xml:space="preserve">additional </w:t>
      </w:r>
      <w:r w:rsidR="00E934A6">
        <w:t>growth</w:t>
      </w:r>
      <w:r w:rsidR="00020AD3">
        <w:t xml:space="preserve"> </w:t>
      </w:r>
      <w:r w:rsidR="00054162">
        <w:t xml:space="preserve">assumption and complicates the analysis associated with understanding the drivers of this </w:t>
      </w:r>
      <w:r w:rsidR="00020AD3">
        <w:t xml:space="preserve">additional </w:t>
      </w:r>
      <w:r w:rsidR="00E934A6">
        <w:t>growth</w:t>
      </w:r>
      <w:r w:rsidR="00020AD3">
        <w:t xml:space="preserve"> </w:t>
      </w:r>
      <w:r w:rsidR="00054162">
        <w:t xml:space="preserve">assumption. </w:t>
      </w:r>
    </w:p>
    <w:p w14:paraId="74F5FCF4" w14:textId="7F2F86A3" w:rsidR="00C416F1" w:rsidRPr="009321A6" w:rsidRDefault="39B75E4F" w:rsidP="0C69C8FD">
      <w:pPr>
        <w:spacing w:after="320"/>
        <w:rPr>
          <w:i/>
          <w:iCs/>
        </w:rPr>
      </w:pPr>
      <w:r>
        <w:t xml:space="preserve">The process outlined above </w:t>
      </w:r>
      <w:r w:rsidR="320958CA">
        <w:t xml:space="preserve">is used to derive </w:t>
      </w:r>
      <w:r>
        <w:t xml:space="preserve">the Baseline projection. </w:t>
      </w:r>
      <w:r w:rsidR="7E27E9CA">
        <w:t>The Excel model has also been enhanced to incorporate specific adjustments to assumptions to allow for the effect of various management initiatives</w:t>
      </w:r>
      <w:r w:rsidR="2DF202B6">
        <w:t xml:space="preserve"> (both those included in the 2023 Budget and further initiatives)</w:t>
      </w:r>
      <w:r w:rsidR="6A727345">
        <w:t>. When this functionality is used, it adjusts the Baseline projection to result in what</w:t>
      </w:r>
      <w:r w:rsidR="54D6F70A">
        <w:t xml:space="preserve">, for this letter, </w:t>
      </w:r>
      <w:r w:rsidR="6A727345">
        <w:t xml:space="preserve">I have termed the </w:t>
      </w:r>
      <w:r w:rsidR="00393E23">
        <w:t>June 2023 projection</w:t>
      </w:r>
      <w:r w:rsidR="6A727345">
        <w:t>.</w:t>
      </w:r>
      <w:r w:rsidR="00C416F1">
        <w:t xml:space="preserve"> </w:t>
      </w:r>
    </w:p>
    <w:p w14:paraId="76E70474" w14:textId="77777777" w:rsidR="00C0080F" w:rsidRDefault="00282654" w:rsidP="00447A6F">
      <w:pPr>
        <w:pStyle w:val="Heading2"/>
      </w:pPr>
      <w:r w:rsidRPr="00447A6F">
        <w:t xml:space="preserve">Baseline </w:t>
      </w:r>
      <w:r w:rsidR="00F431B2" w:rsidRPr="00447A6F">
        <w:t>projection</w:t>
      </w:r>
    </w:p>
    <w:p w14:paraId="765C43F6" w14:textId="78EEA96F" w:rsidR="00D041CE" w:rsidRPr="00BC7CBF" w:rsidRDefault="00D041CE" w:rsidP="00D041CE">
      <w:pPr>
        <w:pStyle w:val="Heading3"/>
      </w:pPr>
      <w:r w:rsidRPr="00BC7CBF">
        <w:t>Comment on key population assumptions</w:t>
      </w:r>
    </w:p>
    <w:p w14:paraId="4CA81E3E" w14:textId="4A63FC3A" w:rsidR="00D041CE" w:rsidRPr="00BC7CBF" w:rsidRDefault="00D041CE" w:rsidP="001F00FC">
      <w:pPr>
        <w:pStyle w:val="Heading4"/>
      </w:pPr>
      <w:r w:rsidRPr="00BC7CBF">
        <w:t>Starting population</w:t>
      </w:r>
    </w:p>
    <w:p w14:paraId="5E057B0E" w14:textId="62FBA6FE" w:rsidR="00DB6D75" w:rsidRPr="00D24E0E" w:rsidRDefault="00DB6D75" w:rsidP="00D041CE">
      <w:pPr>
        <w:spacing w:after="320"/>
      </w:pPr>
      <w:r>
        <w:t xml:space="preserve">The projected population has been updated to allow for the fact that the starting population </w:t>
      </w:r>
      <w:r w:rsidR="1A70FDC1">
        <w:t>at 30 June 202</w:t>
      </w:r>
      <w:r w:rsidR="00F2159D">
        <w:t>3</w:t>
      </w:r>
      <w:r w:rsidR="1A70FDC1">
        <w:t xml:space="preserve"> </w:t>
      </w:r>
      <w:r>
        <w:t xml:space="preserve">is </w:t>
      </w:r>
      <w:r w:rsidR="001F154B">
        <w:t>3.</w:t>
      </w:r>
      <w:r w:rsidR="000260A3">
        <w:t>1</w:t>
      </w:r>
      <w:r>
        <w:t>% higher than expected</w:t>
      </w:r>
      <w:r w:rsidR="00440F99">
        <w:t xml:space="preserve"> in the </w:t>
      </w:r>
      <w:r w:rsidR="00695815">
        <w:t>2022</w:t>
      </w:r>
      <w:r w:rsidR="00440F99">
        <w:t xml:space="preserve"> FSR. </w:t>
      </w:r>
      <w:r w:rsidR="009D5EB1">
        <w:t xml:space="preserve">The number of participants </w:t>
      </w:r>
      <w:r w:rsidR="005B242F">
        <w:t xml:space="preserve">estimated to be </w:t>
      </w:r>
      <w:r w:rsidR="009D5EB1">
        <w:t xml:space="preserve">receiving SIL </w:t>
      </w:r>
      <w:r w:rsidR="00B83F4A">
        <w:t>is 12.4% higher than expected in the prior FSR.</w:t>
      </w:r>
    </w:p>
    <w:p w14:paraId="69AF39F5" w14:textId="78D01D6D" w:rsidR="00D041CE" w:rsidRPr="00026062" w:rsidRDefault="00D041CE" w:rsidP="001F00FC">
      <w:pPr>
        <w:pStyle w:val="Heading4"/>
      </w:pPr>
      <w:r w:rsidRPr="00026062">
        <w:t>New entrants</w:t>
      </w:r>
    </w:p>
    <w:p w14:paraId="401A7469" w14:textId="4019B059" w:rsidR="008473D3" w:rsidRDefault="00BE1083" w:rsidP="00D041CE">
      <w:pPr>
        <w:spacing w:after="320"/>
      </w:pPr>
      <w:r>
        <w:t>The number of new entrants in 202</w:t>
      </w:r>
      <w:r w:rsidR="00E01949">
        <w:t>2</w:t>
      </w:r>
      <w:r>
        <w:t>-2</w:t>
      </w:r>
      <w:r w:rsidR="00E01949">
        <w:t>3</w:t>
      </w:r>
      <w:r>
        <w:t xml:space="preserve"> exceeded that which was expected in the 202</w:t>
      </w:r>
      <w:r w:rsidR="00E01949">
        <w:t>2</w:t>
      </w:r>
      <w:r>
        <w:t xml:space="preserve"> FSR by </w:t>
      </w:r>
      <w:r w:rsidR="00AD0169">
        <w:t>2</w:t>
      </w:r>
      <w:r w:rsidR="00822EAF">
        <w:t>2</w:t>
      </w:r>
      <w:r>
        <w:t>%</w:t>
      </w:r>
      <w:r w:rsidR="004636BC">
        <w:t xml:space="preserve"> (</w:t>
      </w:r>
      <w:r w:rsidR="004013C8">
        <w:t>15</w:t>
      </w:r>
      <w:r w:rsidR="004636BC">
        <w:t>,</w:t>
      </w:r>
      <w:r w:rsidR="004013C8">
        <w:t>6</w:t>
      </w:r>
      <w:r w:rsidR="00B42B5B">
        <w:t>54</w:t>
      </w:r>
      <w:r w:rsidR="004013C8">
        <w:t xml:space="preserve"> new participants</w:t>
      </w:r>
      <w:r w:rsidR="004636BC">
        <w:t>)</w:t>
      </w:r>
      <w:r>
        <w:t xml:space="preserve">. </w:t>
      </w:r>
      <w:r w:rsidR="00C2460A">
        <w:t xml:space="preserve">The </w:t>
      </w:r>
      <w:r w:rsidR="00DC6AD9">
        <w:t xml:space="preserve">2022 FSR expected that </w:t>
      </w:r>
      <w:r w:rsidR="00C2460A">
        <w:t xml:space="preserve">new entrants </w:t>
      </w:r>
      <w:r w:rsidR="00DC6AD9">
        <w:t xml:space="preserve">would reduce by </w:t>
      </w:r>
      <w:r w:rsidR="004A3CD2">
        <w:t>8,574 participants</w:t>
      </w:r>
      <w:r w:rsidR="7B9DEC83">
        <w:t xml:space="preserve"> compared with 2021-22 levels</w:t>
      </w:r>
      <w:r w:rsidR="004A3CD2">
        <w:t xml:space="preserve">. This </w:t>
      </w:r>
      <w:r w:rsidR="00B521A5">
        <w:t>did not materialise. By contrast, the number increased</w:t>
      </w:r>
      <w:r w:rsidR="00F86276">
        <w:t xml:space="preserve"> by 7,0</w:t>
      </w:r>
      <w:r w:rsidR="00667286">
        <w:t>80</w:t>
      </w:r>
      <w:r w:rsidR="00B521A5">
        <w:t xml:space="preserve">. </w:t>
      </w:r>
      <w:r w:rsidR="004636BC">
        <w:t xml:space="preserve">Attachment A shows that this was attributable to </w:t>
      </w:r>
      <w:r w:rsidR="008473D3">
        <w:t xml:space="preserve">more new entrants </w:t>
      </w:r>
      <w:r w:rsidR="00CD4814">
        <w:t xml:space="preserve">than expected </w:t>
      </w:r>
      <w:r w:rsidR="008473D3">
        <w:t xml:space="preserve">aged below </w:t>
      </w:r>
      <w:r w:rsidR="29974265">
        <w:t xml:space="preserve">age </w:t>
      </w:r>
      <w:r w:rsidR="008473D3">
        <w:t>14 with autism and developmental</w:t>
      </w:r>
      <w:r w:rsidR="00992458">
        <w:t xml:space="preserve"> delay</w:t>
      </w:r>
      <w:r w:rsidR="008473D3">
        <w:t xml:space="preserve">. </w:t>
      </w:r>
    </w:p>
    <w:p w14:paraId="3551EDA0" w14:textId="7326BDB2" w:rsidR="00C36301" w:rsidRDefault="376A9AAF" w:rsidP="00B4609E">
      <w:pPr>
        <w:spacing w:after="320"/>
      </w:pPr>
      <w:r>
        <w:t xml:space="preserve">New entrant assumptions in the Baseline projection have been increased over the 2022 FSR to reflect recent experience more closely. </w:t>
      </w:r>
      <w:r w:rsidR="5EAFF3E0">
        <w:t>This increase was incorporated into the December 2022 projection used to</w:t>
      </w:r>
      <w:r w:rsidR="4DEA2A9A">
        <w:t xml:space="preserve"> inform the </w:t>
      </w:r>
      <w:r w:rsidR="6021F803">
        <w:t xml:space="preserve">(short term) </w:t>
      </w:r>
      <w:r w:rsidR="4DEA2A9A">
        <w:t xml:space="preserve">May </w:t>
      </w:r>
      <w:r w:rsidR="081726EC">
        <w:t>B</w:t>
      </w:r>
      <w:r w:rsidR="4DEA2A9A">
        <w:t xml:space="preserve">udget. </w:t>
      </w:r>
      <w:r w:rsidR="5F013224">
        <w:t xml:space="preserve">The </w:t>
      </w:r>
      <w:r w:rsidR="02754981">
        <w:t xml:space="preserve">actual </w:t>
      </w:r>
      <w:r w:rsidR="5F013224">
        <w:t>number of new entrants in 20</w:t>
      </w:r>
      <w:r w:rsidR="02754981">
        <w:t>22-</w:t>
      </w:r>
      <w:r w:rsidR="5F013224">
        <w:t xml:space="preserve">23 </w:t>
      </w:r>
      <w:r w:rsidR="02754981">
        <w:t xml:space="preserve">was </w:t>
      </w:r>
      <w:r w:rsidR="5F013224">
        <w:t xml:space="preserve">marginally lower than that which was assumed in December. </w:t>
      </w:r>
      <w:r w:rsidR="4DEA2A9A">
        <w:t xml:space="preserve">The </w:t>
      </w:r>
      <w:r w:rsidR="00301617">
        <w:t xml:space="preserve">Baseline projection </w:t>
      </w:r>
      <w:r w:rsidR="4DEA2A9A">
        <w:t xml:space="preserve">is marginally lower than the December 2022 projection. </w:t>
      </w:r>
      <w:r w:rsidR="00B4609E">
        <w:fldChar w:fldCharType="begin"/>
      </w:r>
      <w:r w:rsidR="00B4609E">
        <w:instrText xml:space="preserve"> REF _Ref110501683 \h </w:instrText>
      </w:r>
      <w:r w:rsidR="00B4609E">
        <w:fldChar w:fldCharType="separate"/>
      </w:r>
      <w:r w:rsidR="00D85365" w:rsidRPr="00651547">
        <w:t xml:space="preserve">Figure </w:t>
      </w:r>
      <w:r w:rsidR="00D85365">
        <w:rPr>
          <w:noProof/>
        </w:rPr>
        <w:t>1</w:t>
      </w:r>
      <w:r w:rsidR="00B4609E">
        <w:fldChar w:fldCharType="end"/>
      </w:r>
      <w:r w:rsidR="6946BCFF">
        <w:t xml:space="preserve"> compares the actual experience with the</w:t>
      </w:r>
      <w:r w:rsidR="0DBF054C">
        <w:t xml:space="preserve">se three projections. </w:t>
      </w:r>
    </w:p>
    <w:p w14:paraId="0EDA9BCD" w14:textId="7409E22A" w:rsidR="00264C96" w:rsidRDefault="00264C96" w:rsidP="00264C96">
      <w:pPr>
        <w:spacing w:after="320"/>
      </w:pPr>
      <w:r>
        <w:t>The immediate observation regarding the Baseline projection is the implicit assumption that the number of new entrants will reduce from 2023-24. This reduction is not evident in the most recent experience. There is a risk that new entrant numbers will be higher than assumed</w:t>
      </w:r>
      <w:r w:rsidR="0058206D">
        <w:t>, particularly in the medium term</w:t>
      </w:r>
      <w:r>
        <w:t>.</w:t>
      </w:r>
    </w:p>
    <w:p w14:paraId="313D1EFF" w14:textId="4BE70072" w:rsidR="0018114B" w:rsidRPr="00F07C09" w:rsidRDefault="0018114B" w:rsidP="0018114B">
      <w:pPr>
        <w:pStyle w:val="Caption"/>
      </w:pPr>
      <w:bookmarkStart w:id="2" w:name="_Ref110501683"/>
      <w:r w:rsidRPr="00651547">
        <w:lastRenderedPageBreak/>
        <w:t xml:space="preserve">Figure </w:t>
      </w:r>
      <w:r>
        <w:fldChar w:fldCharType="begin"/>
      </w:r>
      <w:r>
        <w:instrText>SEQ Figure \* ARABIC</w:instrText>
      </w:r>
      <w:r>
        <w:fldChar w:fldCharType="separate"/>
      </w:r>
      <w:r w:rsidR="00D85365">
        <w:rPr>
          <w:noProof/>
        </w:rPr>
        <w:t>1</w:t>
      </w:r>
      <w:r>
        <w:fldChar w:fldCharType="end"/>
      </w:r>
      <w:bookmarkEnd w:id="2"/>
      <w:r w:rsidRPr="00651547">
        <w:t xml:space="preserve">: Actual </w:t>
      </w:r>
      <w:r w:rsidR="0073495E" w:rsidRPr="00651547">
        <w:t>&amp;</w:t>
      </w:r>
      <w:r w:rsidRPr="00651547">
        <w:t xml:space="preserve"> projected total number of </w:t>
      </w:r>
      <w:r w:rsidRPr="00F07C09">
        <w:t>new entrants</w:t>
      </w:r>
      <w:r w:rsidR="009F3653">
        <w:t>.</w:t>
      </w:r>
    </w:p>
    <w:p w14:paraId="7173ADFC" w14:textId="30380484" w:rsidR="0018114B" w:rsidRPr="00F07C09" w:rsidRDefault="0062739B" w:rsidP="00D041CE">
      <w:pPr>
        <w:spacing w:after="320"/>
      </w:pPr>
      <w:r>
        <w:rPr>
          <w:noProof/>
        </w:rPr>
        <w:drawing>
          <wp:inline distT="0" distB="0" distL="0" distR="0" wp14:anchorId="72050C7A" wp14:editId="3728B86D">
            <wp:extent cx="5657850" cy="2529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2529840"/>
                    </a:xfrm>
                    <a:prstGeom prst="rect">
                      <a:avLst/>
                    </a:prstGeom>
                    <a:noFill/>
                  </pic:spPr>
                </pic:pic>
              </a:graphicData>
            </a:graphic>
          </wp:inline>
        </w:drawing>
      </w:r>
      <w:r w:rsidR="0042183C" w:rsidRPr="00F07C09" w:rsidDel="0042183C">
        <w:rPr>
          <w:noProof/>
        </w:rPr>
        <w:t xml:space="preserve"> </w:t>
      </w:r>
    </w:p>
    <w:p w14:paraId="272BF0F0" w14:textId="795D1B10" w:rsidR="00EC0E5F" w:rsidRDefault="00BA1D16" w:rsidP="00353253">
      <w:r>
        <w:t>Th</w:t>
      </w:r>
      <w:r w:rsidR="00491797">
        <w:t xml:space="preserve">e Baseline projection is higher than </w:t>
      </w:r>
      <w:r w:rsidR="00DE4DF4">
        <w:t xml:space="preserve">the 2022 FSR. </w:t>
      </w:r>
      <w:r>
        <w:t>Attachment A shows t</w:t>
      </w:r>
      <w:r w:rsidR="00DE4DF4">
        <w:t xml:space="preserve">his is attributable to higher </w:t>
      </w:r>
      <w:r w:rsidR="00A9583D">
        <w:t xml:space="preserve">numbers </w:t>
      </w:r>
      <w:r w:rsidR="00050D9F">
        <w:t>of children aged 0-6</w:t>
      </w:r>
      <w:r w:rsidR="00A9583D">
        <w:t xml:space="preserve"> </w:t>
      </w:r>
      <w:r w:rsidR="00EC7F56">
        <w:t xml:space="preserve">expected to </w:t>
      </w:r>
      <w:r w:rsidR="00A9583D">
        <w:t>enter the scheme</w:t>
      </w:r>
      <w:r w:rsidR="00050D9F">
        <w:t xml:space="preserve">, similar levels of children aged 7-14 and lower levels of </w:t>
      </w:r>
      <w:r w:rsidR="305D02D5">
        <w:t xml:space="preserve">new entrants </w:t>
      </w:r>
      <w:r w:rsidR="00050D9F">
        <w:t xml:space="preserve">aged </w:t>
      </w:r>
      <w:r w:rsidR="00681D38">
        <w:t>15</w:t>
      </w:r>
      <w:r w:rsidR="00612D30">
        <w:t xml:space="preserve"> and above</w:t>
      </w:r>
      <w:r w:rsidR="00681D38">
        <w:t>.</w:t>
      </w:r>
      <w:r w:rsidR="00A9583D">
        <w:t xml:space="preserve"> </w:t>
      </w:r>
      <w:r w:rsidR="005D01D0">
        <w:t>Despite the increase</w:t>
      </w:r>
      <w:r w:rsidR="66621DC9">
        <w:t xml:space="preserve"> from the 2022 FSR</w:t>
      </w:r>
      <w:r w:rsidR="005D01D0">
        <w:t xml:space="preserve">, </w:t>
      </w:r>
      <w:r w:rsidR="00334EEA">
        <w:t xml:space="preserve">there is a </w:t>
      </w:r>
      <w:r w:rsidR="005C3928">
        <w:t xml:space="preserve">risk that </w:t>
      </w:r>
      <w:r w:rsidR="005D01D0">
        <w:t xml:space="preserve">the </w:t>
      </w:r>
      <w:r w:rsidR="180B646B">
        <w:t xml:space="preserve">actual </w:t>
      </w:r>
      <w:r w:rsidR="005D01D0">
        <w:t xml:space="preserve">number of </w:t>
      </w:r>
      <w:r w:rsidR="63C27BA4">
        <w:t xml:space="preserve">future </w:t>
      </w:r>
      <w:r w:rsidR="005D01D0">
        <w:t xml:space="preserve">new entrants </w:t>
      </w:r>
      <w:r w:rsidR="00334EEA">
        <w:t xml:space="preserve">will be </w:t>
      </w:r>
      <w:r w:rsidR="005D01D0">
        <w:t>higher than expected</w:t>
      </w:r>
      <w:r w:rsidR="4400627B">
        <w:t xml:space="preserve"> as</w:t>
      </w:r>
      <w:r w:rsidR="02A547AD">
        <w:t>:</w:t>
      </w:r>
      <w:r w:rsidR="005D01D0">
        <w:t xml:space="preserve"> </w:t>
      </w:r>
    </w:p>
    <w:p w14:paraId="7BBB47E2" w14:textId="41866A0F" w:rsidR="00491797" w:rsidRDefault="001B0577" w:rsidP="003A1B84">
      <w:pPr>
        <w:pStyle w:val="OutlineNumbered1"/>
        <w:numPr>
          <w:ilvl w:val="0"/>
          <w:numId w:val="29"/>
        </w:numPr>
        <w:contextualSpacing/>
      </w:pPr>
      <w:r>
        <w:fldChar w:fldCharType="begin"/>
      </w:r>
      <w:r>
        <w:instrText xml:space="preserve"> REF _Ref110501668 \h </w:instrText>
      </w:r>
      <w:r>
        <w:fldChar w:fldCharType="separate"/>
      </w:r>
      <w:r w:rsidR="00D85365">
        <w:t xml:space="preserve">Figure </w:t>
      </w:r>
      <w:r w:rsidR="00D85365">
        <w:rPr>
          <w:noProof/>
        </w:rPr>
        <w:t>8</w:t>
      </w:r>
      <w:r>
        <w:fldChar w:fldCharType="end"/>
      </w:r>
      <w:r>
        <w:t xml:space="preserve"> shows that </w:t>
      </w:r>
      <w:r w:rsidR="00197FA3">
        <w:t>the number of children entering the scheme aged 0-6 has increas</w:t>
      </w:r>
      <w:r>
        <w:t>ed</w:t>
      </w:r>
      <w:r w:rsidR="00197FA3">
        <w:t xml:space="preserve"> </w:t>
      </w:r>
      <w:r>
        <w:t>significantly over the past three years. This increase is assumed to stop</w:t>
      </w:r>
      <w:r w:rsidR="00EC0E5F">
        <w:t xml:space="preserve"> and new entrant numbers in this age group are </w:t>
      </w:r>
      <w:r w:rsidR="57765FC6">
        <w:t xml:space="preserve">projected </w:t>
      </w:r>
      <w:r w:rsidR="00EC0E5F">
        <w:t>to remain flat.</w:t>
      </w:r>
      <w:r w:rsidR="00135CA1">
        <w:t xml:space="preserve"> This trend is not yet evident in the data.</w:t>
      </w:r>
    </w:p>
    <w:p w14:paraId="00A4E0F1" w14:textId="47B5A3ED" w:rsidR="00135CA1" w:rsidRPr="00D97378" w:rsidRDefault="00C8295A" w:rsidP="003A1B84">
      <w:pPr>
        <w:pStyle w:val="OutlineNumbered1"/>
        <w:numPr>
          <w:ilvl w:val="0"/>
          <w:numId w:val="29"/>
        </w:numPr>
        <w:ind w:left="471" w:hanging="471"/>
        <w:contextualSpacing/>
      </w:pPr>
      <w:r>
        <w:t>Excluding participants with autism</w:t>
      </w:r>
      <w:r w:rsidR="0E81C025">
        <w:t xml:space="preserve"> and developmental delay</w:t>
      </w:r>
      <w:r>
        <w:t>, t</w:t>
      </w:r>
      <w:r w:rsidR="005C3928">
        <w:t xml:space="preserve">he number of new entrants </w:t>
      </w:r>
      <w:r w:rsidR="000F6851">
        <w:t>age</w:t>
      </w:r>
      <w:r w:rsidR="3B67C89C">
        <w:t>d</w:t>
      </w:r>
      <w:r w:rsidR="000F6851">
        <w:t xml:space="preserve"> 15-64 was </w:t>
      </w:r>
      <w:r>
        <w:t xml:space="preserve">around 8% </w:t>
      </w:r>
      <w:r w:rsidR="000F6851">
        <w:t xml:space="preserve">lower </w:t>
      </w:r>
      <w:r w:rsidR="35AD5DD0">
        <w:t xml:space="preserve">in 2022-23 </w:t>
      </w:r>
      <w:r w:rsidR="000F6851">
        <w:t>tha</w:t>
      </w:r>
      <w:r>
        <w:t xml:space="preserve">n expected in the 2022 FSR. </w:t>
      </w:r>
      <w:r w:rsidR="00430CD0">
        <w:t>T</w:t>
      </w:r>
      <w:r>
        <w:t xml:space="preserve">he </w:t>
      </w:r>
      <w:r w:rsidR="004432D5">
        <w:t xml:space="preserve">projected number of new entrants in these categories </w:t>
      </w:r>
      <w:r w:rsidR="00AC1773">
        <w:t>has bee</w:t>
      </w:r>
      <w:r w:rsidR="00D44331">
        <w:t>n</w:t>
      </w:r>
      <w:r w:rsidR="00AC1773">
        <w:t xml:space="preserve"> </w:t>
      </w:r>
      <w:r w:rsidR="004432D5">
        <w:t>reduced</w:t>
      </w:r>
      <w:r w:rsidR="00430CD0">
        <w:t xml:space="preserve"> by 18%</w:t>
      </w:r>
      <w:r w:rsidR="3C0C96AB">
        <w:t xml:space="preserve"> </w:t>
      </w:r>
      <w:r w:rsidR="00AC1773">
        <w:t>in the 2023-24 projection year</w:t>
      </w:r>
      <w:r w:rsidR="00D44331">
        <w:t>,</w:t>
      </w:r>
      <w:r w:rsidR="00AC1773">
        <w:t xml:space="preserve"> </w:t>
      </w:r>
      <w:r w:rsidR="3C0C96AB">
        <w:t>compared with the 2022 FSR</w:t>
      </w:r>
      <w:r w:rsidR="004432D5">
        <w:t xml:space="preserve">. </w:t>
      </w:r>
      <w:r w:rsidR="00DF0562">
        <w:t xml:space="preserve">The reduction in </w:t>
      </w:r>
      <w:r w:rsidR="22643F9E">
        <w:t xml:space="preserve">the </w:t>
      </w:r>
      <w:r w:rsidR="00DF0562">
        <w:t xml:space="preserve">2033-34 </w:t>
      </w:r>
      <w:r w:rsidR="6BD36272">
        <w:t xml:space="preserve">projection year </w:t>
      </w:r>
      <w:r w:rsidR="00D44331">
        <w:t>i</w:t>
      </w:r>
      <w:r w:rsidR="00DF0562">
        <w:t>s 22%</w:t>
      </w:r>
      <w:r w:rsidR="00D44331">
        <w:t>,</w:t>
      </w:r>
      <w:r w:rsidR="3867E2AF">
        <w:t xml:space="preserve"> compared with the 2022 FSR</w:t>
      </w:r>
      <w:r w:rsidR="00DF0562">
        <w:t xml:space="preserve">. </w:t>
      </w:r>
      <w:r w:rsidR="00C011D2">
        <w:t xml:space="preserve">Whilst the reduction in new entrants over the last two years has been </w:t>
      </w:r>
      <w:r w:rsidR="00DE0BD6">
        <w:t xml:space="preserve">18% per annum, </w:t>
      </w:r>
      <w:r w:rsidR="00647A19">
        <w:t xml:space="preserve">how this might moderate </w:t>
      </w:r>
      <w:r w:rsidR="00DE0BD6">
        <w:t xml:space="preserve">is </w:t>
      </w:r>
      <w:r w:rsidR="003F49A8">
        <w:t xml:space="preserve">a matter of judgement. </w:t>
      </w:r>
    </w:p>
    <w:p w14:paraId="73C770DB" w14:textId="4A90BE54" w:rsidR="00342FC8" w:rsidRDefault="707F73D5" w:rsidP="009C3B88">
      <w:r>
        <w:t xml:space="preserve">The </w:t>
      </w:r>
      <w:r w:rsidR="0A5B08E0">
        <w:t xml:space="preserve">2023 </w:t>
      </w:r>
      <w:r w:rsidR="1B2326EC">
        <w:t xml:space="preserve">Baseline projection </w:t>
      </w:r>
      <w:r w:rsidR="4191EB2B">
        <w:t xml:space="preserve">includes new entrants </w:t>
      </w:r>
      <w:r w:rsidR="42580AEB">
        <w:t xml:space="preserve">with </w:t>
      </w:r>
      <w:r w:rsidR="574BEB80">
        <w:t xml:space="preserve">a </w:t>
      </w:r>
      <w:r w:rsidR="0A5B08E0">
        <w:t xml:space="preserve">previously unmet need (PUN). </w:t>
      </w:r>
      <w:r w:rsidR="5C1BF6E3">
        <w:t xml:space="preserve">New entrants are considered to have a PUN </w:t>
      </w:r>
      <w:r w:rsidR="2E629446">
        <w:t xml:space="preserve">if (broadly) </w:t>
      </w:r>
      <w:r w:rsidR="5C1BF6E3">
        <w:t>they have taken longer tha</w:t>
      </w:r>
      <w:r w:rsidR="2E629446">
        <w:t>n</w:t>
      </w:r>
      <w:r w:rsidR="5C1BF6E3">
        <w:t xml:space="preserve"> 12 months since the last event impacting their </w:t>
      </w:r>
      <w:r w:rsidR="430983FF">
        <w:t xml:space="preserve">functional </w:t>
      </w:r>
      <w:r w:rsidR="5C1BF6E3">
        <w:t xml:space="preserve">ability </w:t>
      </w:r>
      <w:r w:rsidR="2E629446">
        <w:t xml:space="preserve">to present to the </w:t>
      </w:r>
      <w:r w:rsidR="29697717">
        <w:t>s</w:t>
      </w:r>
      <w:r w:rsidR="2E629446">
        <w:t xml:space="preserve">cheme. </w:t>
      </w:r>
      <w:r w:rsidR="26A66435">
        <w:t>Th</w:t>
      </w:r>
      <w:r w:rsidR="24B79EDE">
        <w:t>e</w:t>
      </w:r>
      <w:r w:rsidR="26A66435">
        <w:t xml:space="preserve"> </w:t>
      </w:r>
      <w:r w:rsidR="758C0463">
        <w:t xml:space="preserve">assumptions in the </w:t>
      </w:r>
      <w:r w:rsidR="6E2833FB">
        <w:t xml:space="preserve">Baseline </w:t>
      </w:r>
      <w:r w:rsidR="26A66435">
        <w:t xml:space="preserve">projection </w:t>
      </w:r>
      <w:r w:rsidR="56CB81E7">
        <w:t xml:space="preserve">increased the expected </w:t>
      </w:r>
      <w:r w:rsidR="1E500DE1">
        <w:t xml:space="preserve">number </w:t>
      </w:r>
      <w:r w:rsidR="56CB81E7">
        <w:t xml:space="preserve">new entrants </w:t>
      </w:r>
      <w:r w:rsidR="3DC4D96F">
        <w:t xml:space="preserve">after June 2023 </w:t>
      </w:r>
      <w:r w:rsidR="26A66435">
        <w:t xml:space="preserve">with </w:t>
      </w:r>
      <w:r w:rsidR="5E811C3D">
        <w:t xml:space="preserve">a </w:t>
      </w:r>
      <w:r w:rsidR="0BEF8E35">
        <w:t xml:space="preserve">PUN </w:t>
      </w:r>
      <w:r w:rsidR="2BF99E5E">
        <w:t xml:space="preserve">from 4,655 </w:t>
      </w:r>
      <w:r w:rsidR="33E386E5">
        <w:t xml:space="preserve">in the 2022 FSR </w:t>
      </w:r>
      <w:r w:rsidR="2BF99E5E">
        <w:t xml:space="preserve">to </w:t>
      </w:r>
      <w:r w:rsidR="5E811C3D">
        <w:t xml:space="preserve">around </w:t>
      </w:r>
      <w:r w:rsidR="0D9D413E">
        <w:t>18</w:t>
      </w:r>
      <w:r w:rsidR="5E811C3D">
        <w:t>,000</w:t>
      </w:r>
      <w:r w:rsidR="72ED69B5">
        <w:t xml:space="preserve"> (noting that this acts to </w:t>
      </w:r>
      <w:r w:rsidR="72ED69B5" w:rsidRPr="009C3B88">
        <w:rPr>
          <w:i/>
          <w:iCs/>
        </w:rPr>
        <w:t xml:space="preserve">reduce </w:t>
      </w:r>
      <w:r w:rsidR="72ED69B5">
        <w:t>the underlying number of non-PUN new entrants)</w:t>
      </w:r>
      <w:r w:rsidR="29F6B27B">
        <w:t xml:space="preserve">. </w:t>
      </w:r>
      <w:r w:rsidR="6C832EEB">
        <w:t>T</w:t>
      </w:r>
      <w:r w:rsidR="29F6B27B">
        <w:t xml:space="preserve">hese future </w:t>
      </w:r>
      <w:r w:rsidR="00501E35">
        <w:t xml:space="preserve">new </w:t>
      </w:r>
      <w:r w:rsidR="29F6B27B">
        <w:t xml:space="preserve">participants </w:t>
      </w:r>
      <w:r w:rsidR="49E513BC">
        <w:t xml:space="preserve">with a PUN </w:t>
      </w:r>
      <w:r w:rsidR="6569DE54">
        <w:t xml:space="preserve">are </w:t>
      </w:r>
      <w:r w:rsidR="7DF11EEE">
        <w:t xml:space="preserve">all </w:t>
      </w:r>
      <w:r w:rsidR="6569DE54">
        <w:t>expected to enter within three years</w:t>
      </w:r>
      <w:r w:rsidR="5E811C3D">
        <w:t>.</w:t>
      </w:r>
      <w:r w:rsidR="6569DE54">
        <w:t xml:space="preserve"> </w:t>
      </w:r>
      <w:r w:rsidR="2455C40B">
        <w:t xml:space="preserve">Disability experience in other Commonwealth schemes </w:t>
      </w:r>
      <w:r w:rsidR="4BF8D6A5">
        <w:t xml:space="preserve">shows that </w:t>
      </w:r>
      <w:r w:rsidR="7EB5A9E5">
        <w:t xml:space="preserve">an </w:t>
      </w:r>
      <w:r w:rsidR="4BF8D6A5">
        <w:t>individual</w:t>
      </w:r>
      <w:r w:rsidR="7EB5A9E5">
        <w:t>’</w:t>
      </w:r>
      <w:r w:rsidR="4BF8D6A5">
        <w:t xml:space="preserve">s </w:t>
      </w:r>
      <w:r w:rsidR="7EB5A9E5">
        <w:t xml:space="preserve">pathway from a disability to </w:t>
      </w:r>
      <w:r w:rsidR="02935921">
        <w:t xml:space="preserve">the time of claim can take </w:t>
      </w:r>
      <w:r w:rsidR="4BF8D6A5">
        <w:t>many years</w:t>
      </w:r>
      <w:r w:rsidR="2792D31E">
        <w:t>.</w:t>
      </w:r>
      <w:r w:rsidR="5E811C3D">
        <w:t xml:space="preserve"> </w:t>
      </w:r>
      <w:r w:rsidR="70C5C2CC">
        <w:t xml:space="preserve">There is limited evidence supporting the view that </w:t>
      </w:r>
      <w:r w:rsidR="624C79CF">
        <w:t xml:space="preserve">there will be no </w:t>
      </w:r>
      <w:r w:rsidR="70C5C2CC">
        <w:t xml:space="preserve">individuals </w:t>
      </w:r>
      <w:r w:rsidR="624C79CF">
        <w:t xml:space="preserve">classified as having a PUN joining the scheme </w:t>
      </w:r>
      <w:r w:rsidR="668B6700">
        <w:t>after three years.</w:t>
      </w:r>
      <w:r w:rsidR="75E85B82">
        <w:t xml:space="preserve"> </w:t>
      </w:r>
      <w:r w:rsidR="146D20A2">
        <w:t>T</w:t>
      </w:r>
      <w:r w:rsidR="75E85B82">
        <w:t xml:space="preserve">here </w:t>
      </w:r>
      <w:r w:rsidR="0048458C">
        <w:t>is a risk that t</w:t>
      </w:r>
      <w:r w:rsidR="7F8F6E6F">
        <w:t>he cohort of participants that take longer than 12 months to present to the scheme will persist beyond three years</w:t>
      </w:r>
      <w:r w:rsidR="146D20A2">
        <w:t xml:space="preserve"> and </w:t>
      </w:r>
      <w:r w:rsidR="0048458C">
        <w:t>that</w:t>
      </w:r>
      <w:r w:rsidR="75E85B82">
        <w:t xml:space="preserve"> the number of new entrants will </w:t>
      </w:r>
      <w:r w:rsidR="0048458C">
        <w:t xml:space="preserve">then </w:t>
      </w:r>
      <w:r w:rsidR="75E85B82">
        <w:t>be higher than expected</w:t>
      </w:r>
      <w:r w:rsidR="146D20A2">
        <w:t>.</w:t>
      </w:r>
    </w:p>
    <w:p w14:paraId="1619C054" w14:textId="73927FE5" w:rsidR="0045187D" w:rsidRDefault="0045187D" w:rsidP="0045187D">
      <w:r>
        <w:lastRenderedPageBreak/>
        <w:t>The Baseline projection also includes a</w:t>
      </w:r>
      <w:r w:rsidR="0002720A">
        <w:t xml:space="preserve">n allowance for additional new entrants arising from changes to migration laws. This </w:t>
      </w:r>
      <w:r w:rsidR="003A1912">
        <w:t xml:space="preserve">further </w:t>
      </w:r>
      <w:r w:rsidR="0002720A">
        <w:t>increase</w:t>
      </w:r>
      <w:r w:rsidR="612398F8">
        <w:t>s</w:t>
      </w:r>
      <w:r w:rsidR="0002720A">
        <w:t xml:space="preserve"> the </w:t>
      </w:r>
      <w:r w:rsidR="006B1B5C">
        <w:t>short</w:t>
      </w:r>
      <w:r w:rsidR="00B20CFE">
        <w:t>-</w:t>
      </w:r>
      <w:r w:rsidR="006B1B5C">
        <w:t xml:space="preserve">term loading </w:t>
      </w:r>
      <w:r w:rsidR="003A1912">
        <w:t xml:space="preserve">for new participants with a PUN </w:t>
      </w:r>
      <w:r w:rsidR="006B1B5C">
        <w:t>by 1,835 new entrants and increases the long</w:t>
      </w:r>
      <w:r w:rsidR="00002F02">
        <w:t>-</w:t>
      </w:r>
      <w:r w:rsidR="006B1B5C">
        <w:t xml:space="preserve">term incidence rate for new entrants by </w:t>
      </w:r>
      <w:r w:rsidR="00B932FA">
        <w:t xml:space="preserve">way of a new disability by </w:t>
      </w:r>
      <w:r w:rsidR="006B1B5C">
        <w:t>around 1.2%.</w:t>
      </w:r>
      <w:r w:rsidR="008D3638">
        <w:t xml:space="preserve"> I have not reviewed these assumptions.</w:t>
      </w:r>
    </w:p>
    <w:p w14:paraId="1DF1B44C" w14:textId="73F6E8C2" w:rsidR="00333FD5" w:rsidRPr="00B070D2" w:rsidRDefault="009F3342" w:rsidP="00333FD5">
      <w:r>
        <w:t xml:space="preserve">The uncertainty surrounding new entrant assumptions </w:t>
      </w:r>
      <w:r w:rsidR="152A8C0E">
        <w:t xml:space="preserve">and their assumed moderation </w:t>
      </w:r>
      <w:r>
        <w:t xml:space="preserve">is a key contributing factor to </w:t>
      </w:r>
      <w:r w:rsidR="00033A5B">
        <w:t xml:space="preserve">my conclusion that the Baseline projection is more likely to </w:t>
      </w:r>
      <w:r w:rsidR="00CC7B37">
        <w:t>understate, rather than overstate, future costs.</w:t>
      </w:r>
    </w:p>
    <w:p w14:paraId="3A1F9423" w14:textId="6305CF10" w:rsidR="00D041CE" w:rsidRPr="00812EDE" w:rsidRDefault="00330B55" w:rsidP="00BC03E4">
      <w:pPr>
        <w:pStyle w:val="Heading4"/>
      </w:pPr>
      <w:r w:rsidRPr="0079336F">
        <w:t>Leaving the scheme</w:t>
      </w:r>
    </w:p>
    <w:p w14:paraId="032ED10C" w14:textId="77777777" w:rsidR="008F6C51" w:rsidRDefault="00330B55" w:rsidP="001F00FC">
      <w:r w:rsidRPr="006446FB">
        <w:t xml:space="preserve">The projection incorporates assumptions regarding the proportion of participants that will leave the scheme to live independently. </w:t>
      </w:r>
    </w:p>
    <w:p w14:paraId="46B1730E" w14:textId="029E8637" w:rsidR="009D0714" w:rsidRPr="00701C79" w:rsidRDefault="005546B9" w:rsidP="009D0714">
      <w:r>
        <w:t xml:space="preserve">Attachment B </w:t>
      </w:r>
      <w:r w:rsidR="00EE5E3A">
        <w:t xml:space="preserve">compares recent </w:t>
      </w:r>
      <w:r w:rsidR="001735E3">
        <w:t xml:space="preserve">and </w:t>
      </w:r>
      <w:r w:rsidR="00EE5E3A">
        <w:t>projected</w:t>
      </w:r>
      <w:r w:rsidR="001735E3">
        <w:t xml:space="preserve"> experience.</w:t>
      </w:r>
      <w:r w:rsidR="008F6C51">
        <w:t xml:space="preserve"> </w:t>
      </w:r>
      <w:r w:rsidR="00F4090B">
        <w:t xml:space="preserve">Despite the larger number of participants in the scheme, </w:t>
      </w:r>
      <w:r w:rsidR="00EE24F5">
        <w:t>25% fewer people left in 2022-23</w:t>
      </w:r>
      <w:r w:rsidR="00137854">
        <w:t xml:space="preserve"> compared to </w:t>
      </w:r>
      <w:r w:rsidR="004D7BA0">
        <w:t xml:space="preserve">the </w:t>
      </w:r>
      <w:r w:rsidR="006C598A">
        <w:t>prior</w:t>
      </w:r>
      <w:r w:rsidR="71A7F11C">
        <w:t xml:space="preserve"> year</w:t>
      </w:r>
      <w:r w:rsidR="001A685C">
        <w:t xml:space="preserve">. </w:t>
      </w:r>
      <w:r w:rsidR="001B4799">
        <w:t xml:space="preserve">The number of exits were 40% below </w:t>
      </w:r>
      <w:r w:rsidR="00FA16B5">
        <w:t>projected</w:t>
      </w:r>
      <w:r w:rsidR="00937908">
        <w:t xml:space="preserve">. </w:t>
      </w:r>
      <w:r w:rsidR="00EE24F5">
        <w:t>Exit</w:t>
      </w:r>
      <w:r w:rsidR="00C22559">
        <w:t>s</w:t>
      </w:r>
      <w:r w:rsidR="00EE24F5">
        <w:t xml:space="preserve"> were materially lower than </w:t>
      </w:r>
      <w:r w:rsidR="00FA16B5">
        <w:t xml:space="preserve">projected </w:t>
      </w:r>
      <w:r w:rsidR="00EE24F5">
        <w:t>in all ma</w:t>
      </w:r>
      <w:r w:rsidR="00FF5996">
        <w:t>jor categories of disability.</w:t>
      </w:r>
      <w:r w:rsidR="00F51065">
        <w:t xml:space="preserve"> </w:t>
      </w:r>
      <w:r w:rsidR="5FC1F69E">
        <w:t xml:space="preserve">The </w:t>
      </w:r>
      <w:r w:rsidR="0956761C">
        <w:t>Schem</w:t>
      </w:r>
      <w:r w:rsidR="69C7190A">
        <w:t>e</w:t>
      </w:r>
      <w:r w:rsidR="0956761C">
        <w:t xml:space="preserve"> Actuary’s report to the August Sustainability Committee </w:t>
      </w:r>
      <w:r w:rsidR="213C58B5">
        <w:t xml:space="preserve">states </w:t>
      </w:r>
      <w:r w:rsidR="5FC1F69E">
        <w:t xml:space="preserve">that exits </w:t>
      </w:r>
      <w:r w:rsidR="23F42D43">
        <w:t>reduced due</w:t>
      </w:r>
      <w:r w:rsidR="5FC1F69E">
        <w:t xml:space="preserve"> to resource constraints. </w:t>
      </w:r>
      <w:r w:rsidR="4A1578B8">
        <w:t xml:space="preserve">The Baseline projection </w:t>
      </w:r>
      <w:r w:rsidR="5FC1F69E">
        <w:t xml:space="preserve">assumes resource constraints </w:t>
      </w:r>
      <w:r w:rsidR="3D4D1EA1">
        <w:t xml:space="preserve">have been </w:t>
      </w:r>
      <w:r w:rsidR="5FC1F69E">
        <w:t xml:space="preserve">addressed and exits immediately return to the rates assumed previously. The Board should note this assumption and its connection with </w:t>
      </w:r>
      <w:r w:rsidR="176D9F2A">
        <w:t>A</w:t>
      </w:r>
      <w:r w:rsidR="5FC1F69E">
        <w:t>gency resource plans.</w:t>
      </w:r>
    </w:p>
    <w:p w14:paraId="7D0F7662" w14:textId="60BE98F8" w:rsidR="00D041CE" w:rsidRPr="006711B1" w:rsidRDefault="712C7470" w:rsidP="00A27A88">
      <w:r>
        <w:t xml:space="preserve">As noted </w:t>
      </w:r>
      <w:r w:rsidR="7872F72E">
        <w:t>earlier</w:t>
      </w:r>
      <w:r w:rsidR="550EBC3F">
        <w:t xml:space="preserve">, </w:t>
      </w:r>
      <w:r w:rsidR="3CA94D3A">
        <w:t xml:space="preserve">the </w:t>
      </w:r>
      <w:r w:rsidR="71E20D2B">
        <w:t xml:space="preserve">projection </w:t>
      </w:r>
      <w:r w:rsidR="3CA94D3A">
        <w:t>does not explicitly model transitions between levels of function</w:t>
      </w:r>
      <w:r w:rsidR="550EBC3F">
        <w:t xml:space="preserve">. This results in </w:t>
      </w:r>
      <w:r w:rsidR="3CA94D3A">
        <w:t xml:space="preserve">a mismatch between the derivation of </w:t>
      </w:r>
      <w:r w:rsidR="5E2AD7F4">
        <w:t xml:space="preserve">assumptions regarding the rate at which participants will leave </w:t>
      </w:r>
      <w:r w:rsidR="3CA94D3A">
        <w:t xml:space="preserve">and the </w:t>
      </w:r>
      <w:r w:rsidR="0A0CD03B">
        <w:t xml:space="preserve">application of </w:t>
      </w:r>
      <w:r w:rsidR="3CA94D3A">
        <w:t xml:space="preserve">the rates in the model. This may result in the model projecting higher numbers of </w:t>
      </w:r>
      <w:r w:rsidR="5E2AD7F4">
        <w:t xml:space="preserve">participants leaving </w:t>
      </w:r>
      <w:r w:rsidR="3CA94D3A">
        <w:t xml:space="preserve">than </w:t>
      </w:r>
      <w:r w:rsidR="5E2AD7F4">
        <w:t xml:space="preserve">will </w:t>
      </w:r>
      <w:r w:rsidR="3CA94D3A">
        <w:t xml:space="preserve">occur in practice. </w:t>
      </w:r>
      <w:r w:rsidR="7710AD59">
        <w:t>T</w:t>
      </w:r>
      <w:r w:rsidR="2AB3CD31">
        <w:t xml:space="preserve">he variations between forecast and actual exits </w:t>
      </w:r>
      <w:r w:rsidR="7710AD59">
        <w:t xml:space="preserve">from this cause </w:t>
      </w:r>
      <w:r w:rsidR="2AB3CD31">
        <w:t xml:space="preserve">is likely to </w:t>
      </w:r>
      <w:r w:rsidR="24130B14">
        <w:t>b</w:t>
      </w:r>
      <w:r w:rsidR="2AB3CD31">
        <w:t xml:space="preserve">e </w:t>
      </w:r>
      <w:r w:rsidR="7D24CBBF">
        <w:t xml:space="preserve">less </w:t>
      </w:r>
      <w:r w:rsidR="2AB3CD31">
        <w:t xml:space="preserve">than </w:t>
      </w:r>
      <w:r w:rsidR="7D24CBBF">
        <w:t xml:space="preserve">the variations </w:t>
      </w:r>
      <w:r w:rsidR="04C64197">
        <w:t xml:space="preserve">arising from </w:t>
      </w:r>
      <w:r w:rsidR="2AB3CD31">
        <w:t xml:space="preserve">the </w:t>
      </w:r>
      <w:r w:rsidR="0BDBBA2C">
        <w:t xml:space="preserve">resource constraints that occurred last year. </w:t>
      </w:r>
      <w:r w:rsidR="3CA94D3A">
        <w:t xml:space="preserve">Nevertheless, I note </w:t>
      </w:r>
      <w:r w:rsidR="70401AE6">
        <w:t xml:space="preserve">this </w:t>
      </w:r>
      <w:r w:rsidR="0BDBBA2C">
        <w:t xml:space="preserve">technical </w:t>
      </w:r>
      <w:r w:rsidR="70401AE6">
        <w:t>limitation</w:t>
      </w:r>
      <w:r w:rsidR="3CA94D3A">
        <w:t xml:space="preserve"> </w:t>
      </w:r>
      <w:r w:rsidR="0BDBBA2C">
        <w:t>in the modelling remains</w:t>
      </w:r>
      <w:r w:rsidR="3CA94D3A">
        <w:t>.</w:t>
      </w:r>
      <w:r w:rsidR="2867B25E">
        <w:t xml:space="preserve"> The approach taken has the capacity to also impact the projected number of deaths and SIL transitions</w:t>
      </w:r>
      <w:r w:rsidR="2957B8CD">
        <w:t xml:space="preserve">. I mention </w:t>
      </w:r>
      <w:r w:rsidR="00DC0FA4">
        <w:t>these additional impacts</w:t>
      </w:r>
      <w:r w:rsidR="2957B8CD">
        <w:t xml:space="preserve"> he</w:t>
      </w:r>
      <w:r w:rsidR="6721C8D9">
        <w:t>re</w:t>
      </w:r>
      <w:r w:rsidR="2957B8CD">
        <w:t xml:space="preserve"> to avoid repeating the same point later in the letter.</w:t>
      </w:r>
    </w:p>
    <w:p w14:paraId="674C7322" w14:textId="70E58B60" w:rsidR="006C5014" w:rsidRPr="00812EDE" w:rsidRDefault="006C5014" w:rsidP="006C5014">
      <w:pPr>
        <w:pStyle w:val="Heading4"/>
      </w:pPr>
      <w:r w:rsidRPr="00812EDE">
        <w:t>Deaths</w:t>
      </w:r>
    </w:p>
    <w:p w14:paraId="77F3CBDA" w14:textId="77777777" w:rsidR="00605743" w:rsidRDefault="00F769FF" w:rsidP="00F769FF">
      <w:r w:rsidRPr="00812EDE">
        <w:t xml:space="preserve">The projection incorporates assumptions regarding the proportion of participants </w:t>
      </w:r>
      <w:r w:rsidRPr="00021A31">
        <w:t xml:space="preserve">that will die. </w:t>
      </w:r>
    </w:p>
    <w:p w14:paraId="240987C2" w14:textId="6FE3646F" w:rsidR="00F769FF" w:rsidRPr="00021A31" w:rsidRDefault="313220EB" w:rsidP="00F769FF">
      <w:r>
        <w:t xml:space="preserve">Attachment B compares recent experience to that which has been projected. </w:t>
      </w:r>
      <w:r w:rsidR="09EDAB77">
        <w:t xml:space="preserve">The number of deaths in 2022-23 exceeded that which was projected </w:t>
      </w:r>
      <w:r w:rsidR="34541875">
        <w:t xml:space="preserve">in the </w:t>
      </w:r>
      <w:r w:rsidR="663451F7">
        <w:t xml:space="preserve">June </w:t>
      </w:r>
      <w:r w:rsidR="34541875">
        <w:t xml:space="preserve">2022 FSR </w:t>
      </w:r>
      <w:r w:rsidR="09EDAB77">
        <w:t xml:space="preserve">by </w:t>
      </w:r>
      <w:r w:rsidR="477FE9C2">
        <w:t xml:space="preserve">over 25%. </w:t>
      </w:r>
      <w:r w:rsidR="4C235795">
        <w:t xml:space="preserve">The </w:t>
      </w:r>
      <w:r w:rsidR="663451F7">
        <w:t xml:space="preserve">June </w:t>
      </w:r>
      <w:r w:rsidR="4C235795">
        <w:t xml:space="preserve">2021 FSR also underestimated the number of deaths in </w:t>
      </w:r>
      <w:r w:rsidR="59D0331A">
        <w:t>2021-22</w:t>
      </w:r>
      <w:r w:rsidR="4C235795">
        <w:t xml:space="preserve">, by 22%. </w:t>
      </w:r>
      <w:r w:rsidR="60C1243F">
        <w:t xml:space="preserve">Whilst this occurred in the context of the COVID-19 pandemic and </w:t>
      </w:r>
      <w:r w:rsidR="05A7E7B6">
        <w:t xml:space="preserve">Australia experiencing significant excess deaths in 2022-23, it is appropriate that the </w:t>
      </w:r>
      <w:r w:rsidR="749AA8D2">
        <w:t>Scheme Actuary has reviewed the mortality assumptions</w:t>
      </w:r>
      <w:r w:rsidR="3A8EAB00">
        <w:t xml:space="preserve"> in this FSR.</w:t>
      </w:r>
    </w:p>
    <w:p w14:paraId="255C7C63" w14:textId="4C098CF2" w:rsidR="006C5014" w:rsidRDefault="006C5014" w:rsidP="006C5014">
      <w:r>
        <w:fldChar w:fldCharType="begin"/>
      </w:r>
      <w:r>
        <w:instrText xml:space="preserve"> REF _Ref111103932 \h  \* MERGEFORMAT </w:instrText>
      </w:r>
      <w:r>
        <w:fldChar w:fldCharType="separate"/>
      </w:r>
      <w:r w:rsidR="00D85365">
        <w:t xml:space="preserve">Figure </w:t>
      </w:r>
      <w:r w:rsidR="00D85365">
        <w:rPr>
          <w:noProof/>
        </w:rPr>
        <w:t>15</w:t>
      </w:r>
      <w:r>
        <w:fldChar w:fldCharType="end"/>
      </w:r>
      <w:r w:rsidR="6B05EC15">
        <w:t xml:space="preserve"> </w:t>
      </w:r>
      <w:r w:rsidR="7D1DB2C1">
        <w:t>(A</w:t>
      </w:r>
      <w:r w:rsidR="00702E1A">
        <w:t xml:space="preserve">ttachment </w:t>
      </w:r>
      <w:r w:rsidR="7D1DB2C1">
        <w:t xml:space="preserve">B) </w:t>
      </w:r>
      <w:r w:rsidR="6B05EC15">
        <w:t xml:space="preserve">shows that </w:t>
      </w:r>
      <w:r w:rsidR="78829B4C">
        <w:t xml:space="preserve">the 2023 </w:t>
      </w:r>
      <w:r w:rsidR="004249A3">
        <w:t>Baseline</w:t>
      </w:r>
      <w:r w:rsidR="6B05EC15">
        <w:t xml:space="preserve"> projection </w:t>
      </w:r>
      <w:r w:rsidR="004249A3">
        <w:t xml:space="preserve">incorporates </w:t>
      </w:r>
      <w:r w:rsidR="7E16A32B">
        <w:t xml:space="preserve">marginally </w:t>
      </w:r>
      <w:r w:rsidR="004249A3">
        <w:t xml:space="preserve">higher </w:t>
      </w:r>
      <w:r w:rsidR="6B05EC15">
        <w:t xml:space="preserve">rates of mortality. </w:t>
      </w:r>
      <w:r w:rsidR="77EE9469">
        <w:t>I regard this as a measured response</w:t>
      </w:r>
      <w:r w:rsidR="0D2A7291">
        <w:t>, in the context of variations in mortality in the wider population.</w:t>
      </w:r>
      <w:r w:rsidR="6283E34F">
        <w:t xml:space="preserve"> </w:t>
      </w:r>
      <w:r w:rsidR="22757E6C">
        <w:t xml:space="preserve">Mortality assumptions may need to be further reviewed depending on </w:t>
      </w:r>
      <w:r w:rsidR="1EA240E9">
        <w:t xml:space="preserve">whether current elevated level of deaths in the wider population return to pre-COVID levels. </w:t>
      </w:r>
      <w:r>
        <w:fldChar w:fldCharType="begin"/>
      </w:r>
      <w:r>
        <w:instrText xml:space="preserve"> REF _Ref143266351 \h </w:instrText>
      </w:r>
      <w:r>
        <w:fldChar w:fldCharType="separate"/>
      </w:r>
      <w:r w:rsidR="00D85365">
        <w:t xml:space="preserve">Figure </w:t>
      </w:r>
      <w:r w:rsidR="00D85365">
        <w:rPr>
          <w:noProof/>
        </w:rPr>
        <w:t>16</w:t>
      </w:r>
      <w:r>
        <w:fldChar w:fldCharType="end"/>
      </w:r>
      <w:r w:rsidR="1EA240E9">
        <w:t xml:space="preserve"> shows assumptions are </w:t>
      </w:r>
      <w:r w:rsidR="2690A2D8">
        <w:t xml:space="preserve">more closely aligned to experience for SIL participants. </w:t>
      </w:r>
    </w:p>
    <w:p w14:paraId="456BAE6E" w14:textId="09F8712E" w:rsidR="00BF7F90" w:rsidRPr="00812EDE" w:rsidRDefault="00BF7F90" w:rsidP="00BF7F90">
      <w:pPr>
        <w:pStyle w:val="Heading4"/>
      </w:pPr>
      <w:r w:rsidRPr="00812EDE">
        <w:lastRenderedPageBreak/>
        <w:t>SIL population projection</w:t>
      </w:r>
    </w:p>
    <w:p w14:paraId="1B8D535F" w14:textId="2CA7676D" w:rsidR="0058750F" w:rsidRDefault="0058750F" w:rsidP="00BF7F90">
      <w:r w:rsidRPr="00812EDE">
        <w:t xml:space="preserve">The </w:t>
      </w:r>
      <w:r w:rsidR="008B645E" w:rsidRPr="00812EDE">
        <w:t>p</w:t>
      </w:r>
      <w:r w:rsidRPr="00812EDE">
        <w:t xml:space="preserve">rojection of participants </w:t>
      </w:r>
      <w:r w:rsidR="005F13AE">
        <w:t>receiving</w:t>
      </w:r>
      <w:r w:rsidRPr="00812EDE">
        <w:t xml:space="preserve"> supported independent living (SIL) account</w:t>
      </w:r>
      <w:r w:rsidR="00260FC6" w:rsidRPr="00812EDE">
        <w:t>s</w:t>
      </w:r>
      <w:r w:rsidRPr="00812EDE">
        <w:t xml:space="preserve"> for around 30% of the total </w:t>
      </w:r>
      <w:r w:rsidR="00BF4165" w:rsidRPr="00812EDE">
        <w:t>outlays of the scheme</w:t>
      </w:r>
      <w:r w:rsidR="00175566" w:rsidRPr="00812EDE">
        <w:t>, despite accounting for only 5% of participants</w:t>
      </w:r>
      <w:r w:rsidRPr="00812EDE">
        <w:t xml:space="preserve">. Small changes in the SIL population have a material </w:t>
      </w:r>
      <w:r w:rsidR="008B645E" w:rsidRPr="00812EDE">
        <w:t>impact</w:t>
      </w:r>
      <w:r w:rsidRPr="00812EDE">
        <w:t xml:space="preserve"> on </w:t>
      </w:r>
      <w:r w:rsidR="000513F7">
        <w:t>costs</w:t>
      </w:r>
      <w:r w:rsidRPr="00812EDE">
        <w:t>.</w:t>
      </w:r>
    </w:p>
    <w:p w14:paraId="48812CAA" w14:textId="77EB7827" w:rsidR="00812EDE" w:rsidRDefault="00812EDE" w:rsidP="00BF7F90">
      <w:r>
        <w:t xml:space="preserve">The June 2023 FSR has enhanced the methodology for projecting the number of SIL participants. </w:t>
      </w:r>
      <w:r w:rsidR="00097EF4">
        <w:t>This projection</w:t>
      </w:r>
      <w:r>
        <w:t xml:space="preserve"> explicitly models the transition of non-SIL participants to SIL. </w:t>
      </w:r>
      <w:r w:rsidR="00AE01EA">
        <w:t>T</w:t>
      </w:r>
      <w:r>
        <w:t xml:space="preserve">ransition rates </w:t>
      </w:r>
      <w:r w:rsidR="00AE01EA">
        <w:t xml:space="preserve">can </w:t>
      </w:r>
      <w:r>
        <w:t xml:space="preserve">reflect the </w:t>
      </w:r>
      <w:r w:rsidR="002A10BC">
        <w:t xml:space="preserve">experience </w:t>
      </w:r>
      <w:r w:rsidR="00097EF4">
        <w:t xml:space="preserve">of participants by age, level of function and duration in the scheme. </w:t>
      </w:r>
      <w:r w:rsidR="004B25C8">
        <w:t>The model allows for t</w:t>
      </w:r>
      <w:r w:rsidR="00097EF4">
        <w:t xml:space="preserve">ransition rates </w:t>
      </w:r>
      <w:r w:rsidR="001F28CB">
        <w:t xml:space="preserve">to </w:t>
      </w:r>
      <w:r w:rsidR="00097EF4">
        <w:t>stab</w:t>
      </w:r>
      <w:r w:rsidR="000A6556">
        <w:t>ilis</w:t>
      </w:r>
      <w:r w:rsidR="00574B8D">
        <w:t>e</w:t>
      </w:r>
      <w:r w:rsidR="000A6556">
        <w:t xml:space="preserve"> </w:t>
      </w:r>
      <w:r w:rsidR="004B25C8">
        <w:t xml:space="preserve">over </w:t>
      </w:r>
      <w:r w:rsidR="00097EF4">
        <w:t>five years.</w:t>
      </w:r>
    </w:p>
    <w:p w14:paraId="26DC1F52" w14:textId="27862727" w:rsidR="00D130D4" w:rsidRDefault="00A94F05" w:rsidP="00BF7F90">
      <w:r>
        <w:t xml:space="preserve">Incorporating explicit SIL transition rates into the projection is a welcome enhancement to the model as it </w:t>
      </w:r>
      <w:r w:rsidR="0057141D">
        <w:t xml:space="preserve">allows </w:t>
      </w:r>
      <w:r w:rsidR="002723C7">
        <w:t xml:space="preserve">a more targeted approach to </w:t>
      </w:r>
      <w:r w:rsidR="00BB197A">
        <w:t>project</w:t>
      </w:r>
      <w:r w:rsidR="002723C7">
        <w:t>ing</w:t>
      </w:r>
      <w:r w:rsidR="00BB197A">
        <w:t xml:space="preserve"> </w:t>
      </w:r>
      <w:r w:rsidR="002723C7">
        <w:t xml:space="preserve">SIL </w:t>
      </w:r>
      <w:r w:rsidR="00BB197A">
        <w:t xml:space="preserve">participants. </w:t>
      </w:r>
      <w:r w:rsidR="000071E8">
        <w:t>Transition</w:t>
      </w:r>
      <w:r w:rsidR="000E7192">
        <w:t xml:space="preserve"> rates have been </w:t>
      </w:r>
      <w:r w:rsidR="00E3786B">
        <w:t xml:space="preserve">set to have regard to the proportion of non-SIL participants in each </w:t>
      </w:r>
      <w:r w:rsidR="009C6E6A">
        <w:t xml:space="preserve">cohort (defined by disability, level of function and age) that transitioned </w:t>
      </w:r>
      <w:r w:rsidR="00002537">
        <w:t>in</w:t>
      </w:r>
      <w:r w:rsidR="009C6E6A">
        <w:t>to SIL over the last 10 months.</w:t>
      </w:r>
      <w:r w:rsidR="008D6AE6">
        <w:t xml:space="preserve"> I regard this approach as reasonable.</w:t>
      </w:r>
      <w:r w:rsidR="00664EB7">
        <w:t xml:space="preserve"> The transition rates selected </w:t>
      </w:r>
      <w:r w:rsidR="0094375A">
        <w:t xml:space="preserve">generally </w:t>
      </w:r>
      <w:r w:rsidR="00664EB7">
        <w:t>result in a growing incidence of SIL utilisation at older age</w:t>
      </w:r>
      <w:r w:rsidR="0094375A">
        <w:t xml:space="preserve">s and amongst those with </w:t>
      </w:r>
      <w:r w:rsidR="004726EF">
        <w:t>s</w:t>
      </w:r>
      <w:r w:rsidR="00093ED4">
        <w:t xml:space="preserve">troke, spinal </w:t>
      </w:r>
      <w:r w:rsidR="00347A0F">
        <w:t>cord</w:t>
      </w:r>
      <w:r w:rsidR="00093ED4">
        <w:t xml:space="preserve"> injury and “other” disabilities. </w:t>
      </w:r>
      <w:r w:rsidR="00347A0F">
        <w:t xml:space="preserve">This provides a basis, against which, transition rates can be </w:t>
      </w:r>
      <w:r w:rsidR="00597886">
        <w:t>monitored,</w:t>
      </w:r>
      <w:r w:rsidR="00347A0F">
        <w:t xml:space="preserve"> and assumptions adjusted over time</w:t>
      </w:r>
      <w:r w:rsidR="00FB1931">
        <w:t>.</w:t>
      </w:r>
    </w:p>
    <w:p w14:paraId="53321E6F" w14:textId="1FCFB021" w:rsidR="00C6140B" w:rsidRDefault="00C6140B" w:rsidP="00CA27FB">
      <w:r>
        <w:t>The number of SIL participants at 30 June 2023 exceeded that which was expected in the 2022 FSR</w:t>
      </w:r>
      <w:r w:rsidR="008A0E1B">
        <w:t xml:space="preserve"> by over 12%.</w:t>
      </w:r>
      <w:r w:rsidR="006F43C7">
        <w:t xml:space="preserve"> </w:t>
      </w:r>
      <w:r w:rsidR="00EA698B">
        <w:t>T</w:t>
      </w:r>
      <w:r w:rsidR="000741F9">
        <w:t xml:space="preserve">his necessitates an increase in the forecast </w:t>
      </w:r>
      <w:r w:rsidR="00167CCB">
        <w:t xml:space="preserve">SIL population </w:t>
      </w:r>
      <w:r w:rsidR="000741F9">
        <w:t xml:space="preserve">over the </w:t>
      </w:r>
      <w:r w:rsidR="000444EF">
        <w:t xml:space="preserve">2022 FSR. </w:t>
      </w:r>
    </w:p>
    <w:p w14:paraId="36946969" w14:textId="1A6EF3F5" w:rsidR="007A3083" w:rsidRDefault="00FF3FEF" w:rsidP="00BF7F90">
      <w:r>
        <w:t xml:space="preserve">The vertical bars in </w:t>
      </w:r>
      <w:r w:rsidR="0033581B">
        <w:fldChar w:fldCharType="begin"/>
      </w:r>
      <w:r w:rsidR="0033581B">
        <w:instrText xml:space="preserve"> REF _Ref142208205 \h </w:instrText>
      </w:r>
      <w:r w:rsidR="0033581B">
        <w:fldChar w:fldCharType="separate"/>
      </w:r>
      <w:r w:rsidR="00D85365">
        <w:t xml:space="preserve">Figure </w:t>
      </w:r>
      <w:r w:rsidR="00D85365">
        <w:rPr>
          <w:noProof/>
        </w:rPr>
        <w:t>2</w:t>
      </w:r>
      <w:r w:rsidR="0033581B">
        <w:fldChar w:fldCharType="end"/>
      </w:r>
      <w:r w:rsidR="0033581B">
        <w:t xml:space="preserve"> show that </w:t>
      </w:r>
      <w:r>
        <w:t xml:space="preserve">the </w:t>
      </w:r>
      <w:r w:rsidR="007D2DA5">
        <w:t>t</w:t>
      </w:r>
      <w:r w:rsidR="000D5196">
        <w:t xml:space="preserve">ransition rates </w:t>
      </w:r>
      <w:r w:rsidR="00497E8A">
        <w:t xml:space="preserve">in the Baseline projection </w:t>
      </w:r>
      <w:r w:rsidR="00226FBA">
        <w:t xml:space="preserve">reduce </w:t>
      </w:r>
      <w:r w:rsidR="00DA258B">
        <w:t xml:space="preserve">the net intake to SIL </w:t>
      </w:r>
      <w:r w:rsidR="007D2DA5">
        <w:t xml:space="preserve">below </w:t>
      </w:r>
      <w:r w:rsidR="00DA258B">
        <w:t xml:space="preserve">the </w:t>
      </w:r>
      <w:r w:rsidR="003B6EB7">
        <w:t xml:space="preserve">2022-23 </w:t>
      </w:r>
      <w:r w:rsidR="007D2DA5">
        <w:t>experience</w:t>
      </w:r>
      <w:r w:rsidR="001428DF">
        <w:t xml:space="preserve">. </w:t>
      </w:r>
      <w:r w:rsidR="000F5148">
        <w:t xml:space="preserve">The assumed </w:t>
      </w:r>
      <w:r w:rsidR="007A3083">
        <w:t xml:space="preserve">reduction </w:t>
      </w:r>
      <w:r w:rsidR="000F5148">
        <w:t xml:space="preserve">is </w:t>
      </w:r>
      <w:r w:rsidR="0089471E">
        <w:t xml:space="preserve">from </w:t>
      </w:r>
      <w:r w:rsidR="00812F54">
        <w:t xml:space="preserve">a net intake of </w:t>
      </w:r>
      <w:r w:rsidR="007967CD">
        <w:t>4,</w:t>
      </w:r>
      <w:r w:rsidR="00D13883">
        <w:t>868</w:t>
      </w:r>
      <w:r w:rsidR="0089471E">
        <w:t xml:space="preserve"> in 2022-23 to 4,000 in 2023-24</w:t>
      </w:r>
      <w:r w:rsidR="000D5196">
        <w:t xml:space="preserve">, </w:t>
      </w:r>
      <w:r w:rsidR="00812F54">
        <w:t xml:space="preserve">before </w:t>
      </w:r>
      <w:r w:rsidR="0089471E">
        <w:t xml:space="preserve">further reducing to </w:t>
      </w:r>
      <w:r w:rsidR="00A27784">
        <w:t xml:space="preserve">1,800 in 2026-27. </w:t>
      </w:r>
      <w:r w:rsidR="00923E27">
        <w:t xml:space="preserve">Whilst this is supported by </w:t>
      </w:r>
      <w:r w:rsidR="00133412">
        <w:t>experience over the last six months, h</w:t>
      </w:r>
      <w:r w:rsidR="00B01450">
        <w:t>istorical experience does not exhibit an obvious trend</w:t>
      </w:r>
      <w:r w:rsidR="008044B3">
        <w:t xml:space="preserve"> over the </w:t>
      </w:r>
      <w:r w:rsidR="001A0FE3">
        <w:t>past few years</w:t>
      </w:r>
      <w:r w:rsidR="00BF37DE">
        <w:t xml:space="preserve">. </w:t>
      </w:r>
      <w:r w:rsidR="00133412">
        <w:t xml:space="preserve">I agree with the Scheme Actuary’s </w:t>
      </w:r>
      <w:r w:rsidR="00FC1A15">
        <w:t xml:space="preserve">view </w:t>
      </w:r>
      <w:r w:rsidR="00133412">
        <w:t>that</w:t>
      </w:r>
      <w:r w:rsidR="00FC1A15">
        <w:t>, whilst the projection is a plausible scenario,</w:t>
      </w:r>
      <w:r w:rsidR="00133412">
        <w:t xml:space="preserve"> </w:t>
      </w:r>
      <w:r w:rsidR="00902F31">
        <w:t xml:space="preserve">there remains a high level of uncertainty around the emerging experience. </w:t>
      </w:r>
      <w:r w:rsidR="00CF1927">
        <w:t>I</w:t>
      </w:r>
      <w:r w:rsidR="000E7192">
        <w:t>t is possible that actual experience will exceed that which is projected.</w:t>
      </w:r>
    </w:p>
    <w:p w14:paraId="36912C52" w14:textId="556B6563" w:rsidR="00F076A5" w:rsidRDefault="00F076A5" w:rsidP="00F076A5">
      <w:pPr>
        <w:pStyle w:val="Caption"/>
      </w:pPr>
      <w:bookmarkStart w:id="3" w:name="_Ref142208205"/>
      <w:r>
        <w:t xml:space="preserve">Figure </w:t>
      </w:r>
      <w:r w:rsidRPr="51FB0F92">
        <w:fldChar w:fldCharType="begin"/>
      </w:r>
      <w:r>
        <w:instrText xml:space="preserve"> SEQ Figure \* ARABIC </w:instrText>
      </w:r>
      <w:r w:rsidRPr="51FB0F92">
        <w:fldChar w:fldCharType="separate"/>
      </w:r>
      <w:r w:rsidR="00D85365">
        <w:rPr>
          <w:noProof/>
        </w:rPr>
        <w:t>2</w:t>
      </w:r>
      <w:r w:rsidRPr="51FB0F92">
        <w:rPr>
          <w:noProof/>
        </w:rPr>
        <w:fldChar w:fldCharType="end"/>
      </w:r>
      <w:bookmarkEnd w:id="3"/>
      <w:r>
        <w:t xml:space="preserve">: Projected SIL population </w:t>
      </w:r>
      <w:r w:rsidR="001C3E9C">
        <w:t xml:space="preserve">(LHS) </w:t>
      </w:r>
      <w:r>
        <w:t>and net intake</w:t>
      </w:r>
      <w:r w:rsidR="001C3E9C">
        <w:t xml:space="preserve"> (RHS)</w:t>
      </w:r>
      <w:r w:rsidR="00235EE9">
        <w:t>.</w:t>
      </w:r>
    </w:p>
    <w:p w14:paraId="45AC862E" w14:textId="2BA5C1DE" w:rsidR="007423D3" w:rsidRDefault="000C5C85" w:rsidP="00BF7F90">
      <w:r>
        <w:rPr>
          <w:noProof/>
        </w:rPr>
        <w:drawing>
          <wp:inline distT="0" distB="0" distL="0" distR="0" wp14:anchorId="3E4FE90A" wp14:editId="7EDCAD6B">
            <wp:extent cx="6212205" cy="2486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2205" cy="2486025"/>
                    </a:xfrm>
                    <a:prstGeom prst="rect">
                      <a:avLst/>
                    </a:prstGeom>
                    <a:noFill/>
                  </pic:spPr>
                </pic:pic>
              </a:graphicData>
            </a:graphic>
          </wp:inline>
        </w:drawing>
      </w:r>
    </w:p>
    <w:p w14:paraId="5C14F21A" w14:textId="219ACB27" w:rsidR="00E272C2" w:rsidRDefault="2ABC7DF0" w:rsidP="00E272C2">
      <w:r>
        <w:lastRenderedPageBreak/>
        <w:t xml:space="preserve">The main cause of exit </w:t>
      </w:r>
      <w:r w:rsidR="5AC17CA2">
        <w:t xml:space="preserve">for SIL participants is death. </w:t>
      </w:r>
      <w:r w:rsidR="387DE068">
        <w:t>644 SIL participants died in 2021-2</w:t>
      </w:r>
      <w:r w:rsidR="6A45B47C">
        <w:t>2</w:t>
      </w:r>
      <w:r w:rsidR="387DE068">
        <w:t xml:space="preserve"> and </w:t>
      </w:r>
      <w:r w:rsidR="16EA4466">
        <w:t xml:space="preserve">909 SIL participants died in </w:t>
      </w:r>
      <w:r w:rsidR="5AC17CA2">
        <w:t>2022-23</w:t>
      </w:r>
      <w:r w:rsidR="16EA4466">
        <w:t>. The Baseline projection assumes 786 death</w:t>
      </w:r>
      <w:r w:rsidR="387DE068">
        <w:t>s</w:t>
      </w:r>
      <w:r w:rsidR="16EA4466">
        <w:t xml:space="preserve"> will occur in 2023-24. </w:t>
      </w:r>
      <w:r w:rsidR="7F6A4737">
        <w:t>Given the excess deaths in the broader population over the last 1</w:t>
      </w:r>
      <w:r w:rsidR="4F1DC7D6">
        <w:t>8</w:t>
      </w:r>
      <w:r w:rsidR="7F6A4737">
        <w:t xml:space="preserve"> months, I regard this as reasonable</w:t>
      </w:r>
      <w:r w:rsidR="04BBE712">
        <w:t>.</w:t>
      </w:r>
      <w:r w:rsidR="7F6A4737">
        <w:t xml:space="preserve"> </w:t>
      </w:r>
      <w:r w:rsidR="00FB1931">
        <w:t>G</w:t>
      </w:r>
      <w:r w:rsidR="7F6A4737">
        <w:t xml:space="preserve">iven the sensitivity of the projection to </w:t>
      </w:r>
      <w:r w:rsidR="3F5E6462">
        <w:t xml:space="preserve">the SIL population, closer monitoring of </w:t>
      </w:r>
      <w:r w:rsidR="7EEC5C34">
        <w:t xml:space="preserve">the mortality experience of this cohort </w:t>
      </w:r>
      <w:r w:rsidR="68DB601D">
        <w:t>is</w:t>
      </w:r>
      <w:r w:rsidR="3F5E6462">
        <w:t xml:space="preserve"> </w:t>
      </w:r>
      <w:r w:rsidR="43E11AF2">
        <w:t>prudent</w:t>
      </w:r>
      <w:r w:rsidR="3F5E6462">
        <w:t>.</w:t>
      </w:r>
    </w:p>
    <w:p w14:paraId="04E603EE" w14:textId="53FE5CEA" w:rsidR="001F00FC" w:rsidRPr="008553ED" w:rsidRDefault="00D239ED" w:rsidP="006500A7">
      <w:pPr>
        <w:pStyle w:val="Heading4"/>
      </w:pPr>
      <w:r w:rsidRPr="00BD547E">
        <w:t xml:space="preserve">Comment </w:t>
      </w:r>
      <w:r w:rsidRPr="008553ED">
        <w:t xml:space="preserve">on </w:t>
      </w:r>
      <w:r w:rsidR="001F00FC" w:rsidRPr="008553ED">
        <w:t xml:space="preserve">the </w:t>
      </w:r>
      <w:r w:rsidR="00484F42" w:rsidRPr="008553ED">
        <w:t>overall</w:t>
      </w:r>
      <w:r w:rsidR="00280CDE" w:rsidRPr="008553ED">
        <w:t xml:space="preserve"> </w:t>
      </w:r>
      <w:r w:rsidR="001F00FC" w:rsidRPr="008553ED">
        <w:t>population projection</w:t>
      </w:r>
    </w:p>
    <w:p w14:paraId="42DB1655" w14:textId="6929B7E3" w:rsidR="00823DCF" w:rsidRDefault="00506D42" w:rsidP="00973DE9">
      <w:pPr>
        <w:spacing w:after="320"/>
      </w:pPr>
      <w:r>
        <w:t xml:space="preserve">The projected number of participants in successive FSR projections is set out in </w:t>
      </w:r>
      <w:r>
        <w:fldChar w:fldCharType="begin"/>
      </w:r>
      <w:r>
        <w:instrText xml:space="preserve"> REF _Ref110408715 \h  \* MERGEFORMAT </w:instrText>
      </w:r>
      <w:r>
        <w:fldChar w:fldCharType="separate"/>
      </w:r>
      <w:r w:rsidR="00D85365" w:rsidRPr="007C512E">
        <w:t xml:space="preserve">Figure </w:t>
      </w:r>
      <w:r w:rsidR="00D85365">
        <w:rPr>
          <w:noProof/>
        </w:rPr>
        <w:t>3</w:t>
      </w:r>
      <w:r>
        <w:fldChar w:fldCharType="end"/>
      </w:r>
      <w:r>
        <w:t>.</w:t>
      </w:r>
      <w:r w:rsidR="00973DE9">
        <w:t xml:space="preserve"> </w:t>
      </w:r>
      <w:r w:rsidR="00823DCF">
        <w:t xml:space="preserve">The number of participants has consistently exceeded expectations in successive projections. This occurred again this year. </w:t>
      </w:r>
    </w:p>
    <w:p w14:paraId="0EF2816B" w14:textId="2D4B695E" w:rsidR="00506D42" w:rsidRPr="007C512E" w:rsidRDefault="00506D42" w:rsidP="00506D42">
      <w:pPr>
        <w:pStyle w:val="Caption"/>
      </w:pPr>
      <w:bookmarkStart w:id="4" w:name="_Ref110408715"/>
      <w:r w:rsidRPr="007C512E">
        <w:t xml:space="preserve">Figure </w:t>
      </w:r>
      <w:r>
        <w:fldChar w:fldCharType="begin"/>
      </w:r>
      <w:r>
        <w:instrText>SEQ Figure \* ARABIC</w:instrText>
      </w:r>
      <w:r>
        <w:fldChar w:fldCharType="separate"/>
      </w:r>
      <w:r w:rsidR="00D85365">
        <w:rPr>
          <w:noProof/>
        </w:rPr>
        <w:t>3</w:t>
      </w:r>
      <w:r>
        <w:fldChar w:fldCharType="end"/>
      </w:r>
      <w:bookmarkEnd w:id="4"/>
      <w:r w:rsidRPr="007C512E">
        <w:t>: Actual &amp; projected number of participants over time.</w:t>
      </w:r>
    </w:p>
    <w:p w14:paraId="085BA68A" w14:textId="23D20C27" w:rsidR="00506D42" w:rsidRDefault="00481B4D" w:rsidP="00506D42">
      <w:r>
        <w:rPr>
          <w:noProof/>
        </w:rPr>
        <w:drawing>
          <wp:inline distT="0" distB="0" distL="0" distR="0" wp14:anchorId="20104A95" wp14:editId="3E2B7270">
            <wp:extent cx="5661660" cy="2301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1660" cy="2301240"/>
                    </a:xfrm>
                    <a:prstGeom prst="rect">
                      <a:avLst/>
                    </a:prstGeom>
                    <a:noFill/>
                  </pic:spPr>
                </pic:pic>
              </a:graphicData>
            </a:graphic>
          </wp:inline>
        </w:drawing>
      </w:r>
    </w:p>
    <w:p w14:paraId="6907B33A" w14:textId="77777777" w:rsidR="00735501" w:rsidRPr="007C512E" w:rsidRDefault="00735501" w:rsidP="00735501">
      <w:pPr>
        <w:keepNext/>
        <w:keepLines/>
      </w:pPr>
      <w:r w:rsidRPr="007C512E">
        <w:t>Key areas of uncertainty in the population projection are:</w:t>
      </w:r>
    </w:p>
    <w:p w14:paraId="67739A4D" w14:textId="4DCBF777" w:rsidR="00735501" w:rsidRPr="007C512E" w:rsidRDefault="00735501" w:rsidP="00735501">
      <w:pPr>
        <w:pStyle w:val="Bullet"/>
        <w:keepNext/>
        <w:keepLines/>
        <w:contextualSpacing/>
      </w:pPr>
      <w:r>
        <w:t>Assumptions regarding the rate of new entrants</w:t>
      </w:r>
      <w:r w:rsidR="54FDF81D">
        <w:t xml:space="preserve">, </w:t>
      </w:r>
      <w:r w:rsidR="0065324E">
        <w:t>particularly</w:t>
      </w:r>
      <w:r w:rsidR="54FDF81D">
        <w:t xml:space="preserve"> those with a previously unmet need (PUN)</w:t>
      </w:r>
      <w:r>
        <w:t xml:space="preserve">. </w:t>
      </w:r>
    </w:p>
    <w:p w14:paraId="58F35AD5" w14:textId="71D80862" w:rsidR="00735501" w:rsidRPr="007C512E" w:rsidRDefault="00735501" w:rsidP="00735501">
      <w:pPr>
        <w:pStyle w:val="Bullet"/>
        <w:keepNext/>
        <w:keepLines/>
        <w:contextualSpacing/>
      </w:pPr>
      <w:r>
        <w:t>Assuming the rates at which participants leave will immediately return to the levels expected prior to last year.</w:t>
      </w:r>
    </w:p>
    <w:p w14:paraId="0AF07593" w14:textId="0FAF6956" w:rsidR="00735501" w:rsidRPr="007C512E" w:rsidRDefault="00735501" w:rsidP="00735501">
      <w:pPr>
        <w:pStyle w:val="Bullet"/>
        <w:keepLines/>
        <w:contextualSpacing/>
      </w:pPr>
      <w:r>
        <w:t xml:space="preserve">Assuming the net increase in SIL </w:t>
      </w:r>
      <w:r w:rsidR="05176C44">
        <w:t xml:space="preserve">participants </w:t>
      </w:r>
      <w:r>
        <w:t>will moderate over the next three years.</w:t>
      </w:r>
    </w:p>
    <w:p w14:paraId="6C076D46" w14:textId="603F53C6" w:rsidR="00D041CE" w:rsidRPr="00651547" w:rsidRDefault="006D3815" w:rsidP="00D041CE">
      <w:pPr>
        <w:pStyle w:val="Heading3"/>
      </w:pPr>
      <w:r w:rsidRPr="007C512E">
        <w:t xml:space="preserve">Baseline Projection: </w:t>
      </w:r>
      <w:r w:rsidR="00D041CE" w:rsidRPr="003431E1">
        <w:t>Comment</w:t>
      </w:r>
      <w:r w:rsidR="00D041CE" w:rsidRPr="007C512E">
        <w:t xml:space="preserve"> on key </w:t>
      </w:r>
      <w:r w:rsidR="00B4261A" w:rsidRPr="007C512E">
        <w:t>participant spend</w:t>
      </w:r>
      <w:r w:rsidR="00D041CE" w:rsidRPr="007C512E">
        <w:t xml:space="preserve"> </w:t>
      </w:r>
      <w:r w:rsidR="00235EE9" w:rsidRPr="007C512E">
        <w:t>assumptions</w:t>
      </w:r>
    </w:p>
    <w:p w14:paraId="73F80E89" w14:textId="703AFB3A" w:rsidR="00D041CE" w:rsidRPr="00651547" w:rsidRDefault="00D041CE" w:rsidP="00BC665D">
      <w:pPr>
        <w:pStyle w:val="Heading4"/>
      </w:pPr>
      <w:r w:rsidRPr="00651547">
        <w:t xml:space="preserve">Average </w:t>
      </w:r>
      <w:r w:rsidR="00B4261A" w:rsidRPr="00651547">
        <w:t>spend</w:t>
      </w:r>
    </w:p>
    <w:p w14:paraId="0E52A492" w14:textId="59A2026F" w:rsidR="00D041CE" w:rsidRDefault="007A5DA3" w:rsidP="5AE47AB3">
      <w:pPr>
        <w:spacing w:after="320"/>
      </w:pPr>
      <w:r w:rsidRPr="000845F2">
        <w:t>T</w:t>
      </w:r>
      <w:r w:rsidR="00D83455" w:rsidRPr="000845F2">
        <w:t xml:space="preserve">he </w:t>
      </w:r>
      <w:r w:rsidRPr="000845F2">
        <w:t xml:space="preserve">2023-24 </w:t>
      </w:r>
      <w:r w:rsidR="000845F2" w:rsidRPr="000845F2">
        <w:t xml:space="preserve">expected </w:t>
      </w:r>
      <w:r w:rsidR="009775CD" w:rsidRPr="000845F2">
        <w:t>a</w:t>
      </w:r>
      <w:r w:rsidR="00F17A5F" w:rsidRPr="000845F2">
        <w:t xml:space="preserve">verage </w:t>
      </w:r>
      <w:r w:rsidR="007C0068" w:rsidRPr="000845F2">
        <w:t xml:space="preserve">participant spend </w:t>
      </w:r>
      <w:r w:rsidR="000845F2" w:rsidRPr="000845F2">
        <w:t xml:space="preserve">is 6.5% higher in this FSR than the prior FSR. </w:t>
      </w:r>
    </w:p>
    <w:p w14:paraId="19F1D533" w14:textId="70470CA7" w:rsidR="00D041CE" w:rsidRPr="00651547" w:rsidRDefault="00D041CE" w:rsidP="00BC665D">
      <w:pPr>
        <w:pStyle w:val="Heading4"/>
      </w:pPr>
      <w:r w:rsidRPr="00651547">
        <w:t>Inflation</w:t>
      </w:r>
    </w:p>
    <w:p w14:paraId="48241623" w14:textId="759D3D56" w:rsidR="00D041CE" w:rsidRPr="004F3906" w:rsidRDefault="0080108E" w:rsidP="00D5205E">
      <w:r>
        <w:t>P</w:t>
      </w:r>
      <w:r w:rsidR="00CE56F9" w:rsidRPr="004F3906">
        <w:t>ayments will increase with inflation</w:t>
      </w:r>
      <w:r>
        <w:t xml:space="preserve"> over time</w:t>
      </w:r>
      <w:r w:rsidR="00CE56F9" w:rsidRPr="004F3906">
        <w:t xml:space="preserve">. </w:t>
      </w:r>
      <w:r w:rsidR="002714E2" w:rsidRPr="004F3906">
        <w:t>The projection models inflation in two components</w:t>
      </w:r>
      <w:r w:rsidR="00D83455" w:rsidRPr="004F3906">
        <w:t xml:space="preserve">. The first component is the effect of </w:t>
      </w:r>
      <w:r w:rsidR="00CD2706" w:rsidRPr="004F3906">
        <w:t xml:space="preserve">normal </w:t>
      </w:r>
      <w:r w:rsidR="00D83455" w:rsidRPr="004F3906">
        <w:t xml:space="preserve">wage and price inflation on the scheme. The second component represents </w:t>
      </w:r>
      <w:r w:rsidR="00CC21AD" w:rsidRPr="004F3906">
        <w:t xml:space="preserve">additional </w:t>
      </w:r>
      <w:r w:rsidR="00E934A6">
        <w:t>growth</w:t>
      </w:r>
      <w:r w:rsidR="00D83455" w:rsidRPr="004F3906">
        <w:t xml:space="preserve"> that is scheme specific</w:t>
      </w:r>
      <w:r w:rsidR="002714E2" w:rsidRPr="004F3906">
        <w:t xml:space="preserve">. </w:t>
      </w:r>
      <w:r w:rsidR="00D83455" w:rsidRPr="004F3906">
        <w:t xml:space="preserve">Total </w:t>
      </w:r>
      <w:r w:rsidR="002714E2" w:rsidRPr="004F3906">
        <w:t>inflation assumptions compound in each successive projection year. As a result, the projection results are increasingly sensitive to the inflation assumptions with each projection year.</w:t>
      </w:r>
    </w:p>
    <w:p w14:paraId="3451F13E" w14:textId="372B7F33" w:rsidR="00897910" w:rsidRPr="007139F1" w:rsidRDefault="00897910" w:rsidP="00D5205E">
      <w:r w:rsidRPr="004F3906">
        <w:lastRenderedPageBreak/>
        <w:t xml:space="preserve">The projection models </w:t>
      </w:r>
      <w:r w:rsidR="00D5205E" w:rsidRPr="004F3906">
        <w:t xml:space="preserve">the impact of </w:t>
      </w:r>
      <w:r w:rsidRPr="004F3906">
        <w:t xml:space="preserve">inflation </w:t>
      </w:r>
      <w:r w:rsidR="00D5205E" w:rsidRPr="004F3906">
        <w:t xml:space="preserve">on </w:t>
      </w:r>
      <w:r w:rsidRPr="004F3906">
        <w:t xml:space="preserve">each payment type. Assumptions quoted in this letter are averages and are provided to assist the reader understand the </w:t>
      </w:r>
      <w:r w:rsidR="00FC48E6">
        <w:t>trends in the Baseline projection</w:t>
      </w:r>
      <w:r w:rsidRPr="007139F1">
        <w:t>.</w:t>
      </w:r>
    </w:p>
    <w:p w14:paraId="02C44D45" w14:textId="5ECB6DCD" w:rsidR="00FA443F" w:rsidRPr="007139F1" w:rsidRDefault="00CE56F9" w:rsidP="00D5205E">
      <w:r>
        <w:t xml:space="preserve">The </w:t>
      </w:r>
      <w:r w:rsidR="00FC48E6">
        <w:t xml:space="preserve">Baseline </w:t>
      </w:r>
      <w:r>
        <w:t xml:space="preserve">projection </w:t>
      </w:r>
      <w:r w:rsidR="00414C2F">
        <w:t xml:space="preserve">assumes </w:t>
      </w:r>
      <w:r w:rsidR="00FC3640">
        <w:t xml:space="preserve">that </w:t>
      </w:r>
      <w:r w:rsidR="005D3341">
        <w:t xml:space="preserve">normal </w:t>
      </w:r>
      <w:r w:rsidR="00414C2F">
        <w:t xml:space="preserve">inflation reflects the </w:t>
      </w:r>
      <w:r w:rsidR="00D464B3">
        <w:t xml:space="preserve">scheme’s 1 July 2023 </w:t>
      </w:r>
      <w:r w:rsidR="00414C2F">
        <w:t xml:space="preserve">price increase and then follows broader economic forecasts. </w:t>
      </w:r>
      <w:r w:rsidR="00763A32">
        <w:t xml:space="preserve">This is set out in </w:t>
      </w:r>
      <w:r w:rsidR="00763A32">
        <w:fldChar w:fldCharType="begin"/>
      </w:r>
      <w:r w:rsidR="00763A32">
        <w:instrText xml:space="preserve"> REF _Ref143605654 \h </w:instrText>
      </w:r>
      <w:r w:rsidR="00763A32">
        <w:fldChar w:fldCharType="separate"/>
      </w:r>
      <w:r w:rsidR="00D85365">
        <w:t xml:space="preserve">Table </w:t>
      </w:r>
      <w:r w:rsidR="00D85365">
        <w:rPr>
          <w:noProof/>
        </w:rPr>
        <w:t>1</w:t>
      </w:r>
      <w:r w:rsidR="00763A32">
        <w:fldChar w:fldCharType="end"/>
      </w:r>
      <w:r w:rsidR="00763A32">
        <w:t>.</w:t>
      </w:r>
    </w:p>
    <w:p w14:paraId="492510B7" w14:textId="0C72CF90" w:rsidR="00E74750" w:rsidRDefault="00E74750" w:rsidP="00E74750">
      <w:pPr>
        <w:pStyle w:val="Caption"/>
      </w:pPr>
      <w:bookmarkStart w:id="5" w:name="_Ref143605654"/>
      <w:r>
        <w:t xml:space="preserve">Table </w:t>
      </w:r>
      <w:r>
        <w:fldChar w:fldCharType="begin"/>
      </w:r>
      <w:r>
        <w:instrText>SEQ Table \* ARABIC</w:instrText>
      </w:r>
      <w:r>
        <w:fldChar w:fldCharType="separate"/>
      </w:r>
      <w:r w:rsidR="00D85365">
        <w:rPr>
          <w:noProof/>
        </w:rPr>
        <w:t>1</w:t>
      </w:r>
      <w:r>
        <w:fldChar w:fldCharType="end"/>
      </w:r>
      <w:bookmarkEnd w:id="5"/>
      <w:r>
        <w:t>: Comparison of normal inflation assumptions</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253042" w14:paraId="2CA1EBE5" w14:textId="77777777" w:rsidTr="003431E1">
        <w:tc>
          <w:tcPr>
            <w:tcW w:w="1502" w:type="dxa"/>
            <w:shd w:val="clear" w:color="auto" w:fill="74000E"/>
          </w:tcPr>
          <w:p w14:paraId="65BEA627" w14:textId="77777777" w:rsidR="00253042" w:rsidRPr="003431E1" w:rsidRDefault="00253042" w:rsidP="00253042">
            <w:pPr>
              <w:spacing w:before="40" w:after="40" w:line="200" w:lineRule="atLeast"/>
              <w:rPr>
                <w:b/>
                <w:bCs/>
                <w:color w:val="FFFFFF" w:themeColor="background1"/>
                <w:sz w:val="18"/>
                <w:szCs w:val="18"/>
              </w:rPr>
            </w:pPr>
          </w:p>
        </w:tc>
        <w:tc>
          <w:tcPr>
            <w:tcW w:w="1503" w:type="dxa"/>
            <w:shd w:val="clear" w:color="auto" w:fill="74000E"/>
          </w:tcPr>
          <w:p w14:paraId="5DF90194" w14:textId="029B9EF1" w:rsidR="00253042" w:rsidRPr="003431E1" w:rsidRDefault="003431E1" w:rsidP="003431E1">
            <w:pPr>
              <w:spacing w:before="40" w:after="40" w:line="200" w:lineRule="atLeast"/>
              <w:jc w:val="center"/>
              <w:rPr>
                <w:b/>
                <w:bCs/>
                <w:color w:val="FFFFFF" w:themeColor="background1"/>
                <w:sz w:val="18"/>
                <w:szCs w:val="18"/>
              </w:rPr>
            </w:pPr>
            <w:r w:rsidRPr="003431E1">
              <w:rPr>
                <w:b/>
                <w:bCs/>
                <w:color w:val="FFFFFF" w:themeColor="background1"/>
                <w:sz w:val="18"/>
                <w:szCs w:val="18"/>
              </w:rPr>
              <w:t>2023-24</w:t>
            </w:r>
          </w:p>
        </w:tc>
        <w:tc>
          <w:tcPr>
            <w:tcW w:w="1503" w:type="dxa"/>
            <w:shd w:val="clear" w:color="auto" w:fill="74000E"/>
          </w:tcPr>
          <w:p w14:paraId="34BE7BAF" w14:textId="02C8A61F" w:rsidR="00253042" w:rsidRPr="003431E1" w:rsidRDefault="003431E1" w:rsidP="003431E1">
            <w:pPr>
              <w:spacing w:before="40" w:after="40" w:line="200" w:lineRule="atLeast"/>
              <w:jc w:val="center"/>
              <w:rPr>
                <w:b/>
                <w:bCs/>
                <w:color w:val="FFFFFF" w:themeColor="background1"/>
                <w:sz w:val="18"/>
                <w:szCs w:val="18"/>
              </w:rPr>
            </w:pPr>
            <w:r w:rsidRPr="003431E1">
              <w:rPr>
                <w:b/>
                <w:bCs/>
                <w:color w:val="FFFFFF" w:themeColor="background1"/>
                <w:sz w:val="18"/>
                <w:szCs w:val="18"/>
              </w:rPr>
              <w:t>2024-25</w:t>
            </w:r>
          </w:p>
        </w:tc>
        <w:tc>
          <w:tcPr>
            <w:tcW w:w="1503" w:type="dxa"/>
            <w:shd w:val="clear" w:color="auto" w:fill="74000E"/>
          </w:tcPr>
          <w:p w14:paraId="0A9BB827" w14:textId="6B612ED6" w:rsidR="00253042" w:rsidRPr="003431E1" w:rsidRDefault="003431E1" w:rsidP="003431E1">
            <w:pPr>
              <w:spacing w:before="40" w:after="40" w:line="200" w:lineRule="atLeast"/>
              <w:jc w:val="center"/>
              <w:rPr>
                <w:b/>
                <w:bCs/>
                <w:color w:val="FFFFFF" w:themeColor="background1"/>
                <w:sz w:val="18"/>
                <w:szCs w:val="18"/>
              </w:rPr>
            </w:pPr>
            <w:r w:rsidRPr="003431E1">
              <w:rPr>
                <w:b/>
                <w:bCs/>
                <w:color w:val="FFFFFF" w:themeColor="background1"/>
                <w:sz w:val="18"/>
                <w:szCs w:val="18"/>
              </w:rPr>
              <w:t>2025-26</w:t>
            </w:r>
          </w:p>
        </w:tc>
        <w:tc>
          <w:tcPr>
            <w:tcW w:w="1503" w:type="dxa"/>
            <w:shd w:val="clear" w:color="auto" w:fill="74000E"/>
          </w:tcPr>
          <w:p w14:paraId="12F45FE6" w14:textId="1BD2EF99" w:rsidR="00253042" w:rsidRPr="003431E1" w:rsidRDefault="003431E1" w:rsidP="003431E1">
            <w:pPr>
              <w:spacing w:before="40" w:after="40" w:line="200" w:lineRule="atLeast"/>
              <w:jc w:val="center"/>
              <w:rPr>
                <w:b/>
                <w:bCs/>
                <w:color w:val="FFFFFF" w:themeColor="background1"/>
                <w:sz w:val="18"/>
                <w:szCs w:val="18"/>
              </w:rPr>
            </w:pPr>
            <w:r w:rsidRPr="003431E1">
              <w:rPr>
                <w:b/>
                <w:bCs/>
                <w:color w:val="FFFFFF" w:themeColor="background1"/>
                <w:sz w:val="18"/>
                <w:szCs w:val="18"/>
              </w:rPr>
              <w:t>2026-27</w:t>
            </w:r>
          </w:p>
        </w:tc>
        <w:tc>
          <w:tcPr>
            <w:tcW w:w="1503" w:type="dxa"/>
            <w:shd w:val="clear" w:color="auto" w:fill="74000E"/>
          </w:tcPr>
          <w:p w14:paraId="440FC914" w14:textId="149DB8D6" w:rsidR="00253042" w:rsidRPr="003431E1" w:rsidRDefault="003431E1" w:rsidP="003431E1">
            <w:pPr>
              <w:spacing w:before="40" w:after="40" w:line="200" w:lineRule="atLeast"/>
              <w:jc w:val="center"/>
              <w:rPr>
                <w:b/>
                <w:bCs/>
                <w:color w:val="FFFFFF" w:themeColor="background1"/>
                <w:sz w:val="18"/>
                <w:szCs w:val="18"/>
              </w:rPr>
            </w:pPr>
            <w:r w:rsidRPr="003431E1">
              <w:rPr>
                <w:b/>
                <w:bCs/>
                <w:color w:val="FFFFFF" w:themeColor="background1"/>
                <w:sz w:val="18"/>
                <w:szCs w:val="18"/>
              </w:rPr>
              <w:t>2027-28</w:t>
            </w:r>
          </w:p>
        </w:tc>
      </w:tr>
      <w:tr w:rsidR="00253042" w14:paraId="4A860479" w14:textId="77777777" w:rsidTr="00253042">
        <w:tc>
          <w:tcPr>
            <w:tcW w:w="1502" w:type="dxa"/>
          </w:tcPr>
          <w:p w14:paraId="5AE36BAF" w14:textId="38C4565C" w:rsidR="00253042" w:rsidRPr="00253042" w:rsidRDefault="00253042" w:rsidP="00253042">
            <w:pPr>
              <w:spacing w:before="40" w:after="40" w:line="200" w:lineRule="atLeast"/>
              <w:rPr>
                <w:sz w:val="18"/>
                <w:szCs w:val="18"/>
              </w:rPr>
            </w:pPr>
            <w:r>
              <w:rPr>
                <w:sz w:val="18"/>
                <w:szCs w:val="18"/>
              </w:rPr>
              <w:t>2022 FSR</w:t>
            </w:r>
          </w:p>
        </w:tc>
        <w:tc>
          <w:tcPr>
            <w:tcW w:w="1503" w:type="dxa"/>
          </w:tcPr>
          <w:p w14:paraId="61A6FAF4" w14:textId="5E8233DC" w:rsidR="00253042" w:rsidRPr="00253042" w:rsidRDefault="002E11A7" w:rsidP="003431E1">
            <w:pPr>
              <w:spacing w:before="40" w:after="40" w:line="200" w:lineRule="atLeast"/>
              <w:ind w:right="343"/>
              <w:jc w:val="right"/>
              <w:rPr>
                <w:sz w:val="18"/>
                <w:szCs w:val="18"/>
              </w:rPr>
            </w:pPr>
            <w:r>
              <w:rPr>
                <w:sz w:val="18"/>
                <w:szCs w:val="18"/>
              </w:rPr>
              <w:t>2.6%</w:t>
            </w:r>
          </w:p>
        </w:tc>
        <w:tc>
          <w:tcPr>
            <w:tcW w:w="1503" w:type="dxa"/>
          </w:tcPr>
          <w:p w14:paraId="5DF64F6F" w14:textId="36DED108" w:rsidR="00253042" w:rsidRPr="00253042" w:rsidRDefault="002E11A7" w:rsidP="003431E1">
            <w:pPr>
              <w:spacing w:before="40" w:after="40" w:line="200" w:lineRule="atLeast"/>
              <w:ind w:right="343"/>
              <w:jc w:val="right"/>
              <w:rPr>
                <w:sz w:val="18"/>
                <w:szCs w:val="18"/>
              </w:rPr>
            </w:pPr>
            <w:r>
              <w:rPr>
                <w:sz w:val="18"/>
                <w:szCs w:val="18"/>
              </w:rPr>
              <w:t>3.6%</w:t>
            </w:r>
          </w:p>
        </w:tc>
        <w:tc>
          <w:tcPr>
            <w:tcW w:w="1503" w:type="dxa"/>
          </w:tcPr>
          <w:p w14:paraId="4D524BA3" w14:textId="2CCD45AD" w:rsidR="00253042" w:rsidRPr="00253042" w:rsidRDefault="00E06B87" w:rsidP="003431E1">
            <w:pPr>
              <w:spacing w:before="40" w:after="40" w:line="200" w:lineRule="atLeast"/>
              <w:ind w:right="343"/>
              <w:jc w:val="right"/>
              <w:rPr>
                <w:sz w:val="18"/>
                <w:szCs w:val="18"/>
              </w:rPr>
            </w:pPr>
            <w:r>
              <w:rPr>
                <w:sz w:val="18"/>
                <w:szCs w:val="18"/>
              </w:rPr>
              <w:t>3.6%</w:t>
            </w:r>
          </w:p>
        </w:tc>
        <w:tc>
          <w:tcPr>
            <w:tcW w:w="1503" w:type="dxa"/>
          </w:tcPr>
          <w:p w14:paraId="692C7EC9" w14:textId="62B00DC8" w:rsidR="00253042" w:rsidRPr="00253042" w:rsidRDefault="00E06B87" w:rsidP="003431E1">
            <w:pPr>
              <w:spacing w:before="40" w:after="40" w:line="200" w:lineRule="atLeast"/>
              <w:ind w:right="343"/>
              <w:jc w:val="right"/>
              <w:rPr>
                <w:sz w:val="18"/>
                <w:szCs w:val="18"/>
              </w:rPr>
            </w:pPr>
            <w:r>
              <w:rPr>
                <w:sz w:val="18"/>
                <w:szCs w:val="18"/>
              </w:rPr>
              <w:t>3.</w:t>
            </w:r>
            <w:r w:rsidR="005129A4">
              <w:rPr>
                <w:sz w:val="18"/>
                <w:szCs w:val="18"/>
              </w:rPr>
              <w:t>2</w:t>
            </w:r>
            <w:r>
              <w:rPr>
                <w:sz w:val="18"/>
                <w:szCs w:val="18"/>
              </w:rPr>
              <w:t>%</w:t>
            </w:r>
          </w:p>
        </w:tc>
        <w:tc>
          <w:tcPr>
            <w:tcW w:w="1503" w:type="dxa"/>
          </w:tcPr>
          <w:p w14:paraId="6B08C54D" w14:textId="63DEA1EB" w:rsidR="00253042" w:rsidRPr="00253042" w:rsidRDefault="00E06B87" w:rsidP="003431E1">
            <w:pPr>
              <w:spacing w:before="40" w:after="40" w:line="200" w:lineRule="atLeast"/>
              <w:ind w:right="343"/>
              <w:jc w:val="right"/>
              <w:rPr>
                <w:sz w:val="18"/>
                <w:szCs w:val="18"/>
              </w:rPr>
            </w:pPr>
            <w:r>
              <w:rPr>
                <w:sz w:val="18"/>
                <w:szCs w:val="18"/>
              </w:rPr>
              <w:t>3.3%</w:t>
            </w:r>
          </w:p>
        </w:tc>
      </w:tr>
      <w:tr w:rsidR="00253042" w14:paraId="5091EF99" w14:textId="77777777" w:rsidTr="00253042">
        <w:tc>
          <w:tcPr>
            <w:tcW w:w="1502" w:type="dxa"/>
          </w:tcPr>
          <w:p w14:paraId="12666635" w14:textId="7BFD433C" w:rsidR="00253042" w:rsidRPr="00253042" w:rsidRDefault="00253042" w:rsidP="00253042">
            <w:pPr>
              <w:spacing w:before="40" w:after="40" w:line="200" w:lineRule="atLeast"/>
              <w:rPr>
                <w:sz w:val="18"/>
                <w:szCs w:val="18"/>
              </w:rPr>
            </w:pPr>
            <w:r>
              <w:rPr>
                <w:sz w:val="18"/>
                <w:szCs w:val="18"/>
              </w:rPr>
              <w:t xml:space="preserve">2023 </w:t>
            </w:r>
            <w:r w:rsidR="004078C9">
              <w:rPr>
                <w:sz w:val="18"/>
                <w:szCs w:val="18"/>
              </w:rPr>
              <w:t>Baseline</w:t>
            </w:r>
          </w:p>
        </w:tc>
        <w:tc>
          <w:tcPr>
            <w:tcW w:w="1503" w:type="dxa"/>
          </w:tcPr>
          <w:p w14:paraId="7D6BC755" w14:textId="7D35E2D6" w:rsidR="00253042" w:rsidRPr="00253042" w:rsidRDefault="00E06B87" w:rsidP="003431E1">
            <w:pPr>
              <w:spacing w:before="40" w:after="40" w:line="200" w:lineRule="atLeast"/>
              <w:ind w:right="343"/>
              <w:jc w:val="right"/>
              <w:rPr>
                <w:sz w:val="18"/>
                <w:szCs w:val="18"/>
              </w:rPr>
            </w:pPr>
            <w:r>
              <w:rPr>
                <w:sz w:val="18"/>
                <w:szCs w:val="18"/>
              </w:rPr>
              <w:t>4.4%</w:t>
            </w:r>
          </w:p>
        </w:tc>
        <w:tc>
          <w:tcPr>
            <w:tcW w:w="1503" w:type="dxa"/>
          </w:tcPr>
          <w:p w14:paraId="2ACAFE0B" w14:textId="31E2F0D2" w:rsidR="00253042" w:rsidRPr="00253042" w:rsidRDefault="00E06B87" w:rsidP="003431E1">
            <w:pPr>
              <w:spacing w:before="40" w:after="40" w:line="200" w:lineRule="atLeast"/>
              <w:ind w:right="343"/>
              <w:jc w:val="right"/>
              <w:rPr>
                <w:sz w:val="18"/>
                <w:szCs w:val="18"/>
              </w:rPr>
            </w:pPr>
            <w:r>
              <w:rPr>
                <w:sz w:val="18"/>
                <w:szCs w:val="18"/>
              </w:rPr>
              <w:t>3.</w:t>
            </w:r>
            <w:r w:rsidR="002E5C91">
              <w:rPr>
                <w:sz w:val="18"/>
                <w:szCs w:val="18"/>
              </w:rPr>
              <w:t>2</w:t>
            </w:r>
            <w:r>
              <w:rPr>
                <w:sz w:val="18"/>
                <w:szCs w:val="18"/>
              </w:rPr>
              <w:t>%</w:t>
            </w:r>
          </w:p>
        </w:tc>
        <w:tc>
          <w:tcPr>
            <w:tcW w:w="1503" w:type="dxa"/>
          </w:tcPr>
          <w:p w14:paraId="4880B0B5" w14:textId="4064115C" w:rsidR="00253042" w:rsidRPr="00253042" w:rsidRDefault="00E06B87" w:rsidP="003431E1">
            <w:pPr>
              <w:spacing w:before="40" w:after="40" w:line="200" w:lineRule="atLeast"/>
              <w:ind w:right="343"/>
              <w:jc w:val="right"/>
              <w:rPr>
                <w:sz w:val="18"/>
                <w:szCs w:val="18"/>
              </w:rPr>
            </w:pPr>
            <w:r>
              <w:rPr>
                <w:sz w:val="18"/>
                <w:szCs w:val="18"/>
              </w:rPr>
              <w:t>3.9%</w:t>
            </w:r>
          </w:p>
        </w:tc>
        <w:tc>
          <w:tcPr>
            <w:tcW w:w="1503" w:type="dxa"/>
          </w:tcPr>
          <w:p w14:paraId="0C07D8E3" w14:textId="293FEA8D" w:rsidR="00253042" w:rsidRPr="00253042" w:rsidRDefault="00E06B87" w:rsidP="003431E1">
            <w:pPr>
              <w:spacing w:before="40" w:after="40" w:line="200" w:lineRule="atLeast"/>
              <w:ind w:right="343"/>
              <w:jc w:val="right"/>
              <w:rPr>
                <w:sz w:val="18"/>
                <w:szCs w:val="18"/>
              </w:rPr>
            </w:pPr>
            <w:r>
              <w:rPr>
                <w:sz w:val="18"/>
                <w:szCs w:val="18"/>
              </w:rPr>
              <w:t>3.5%</w:t>
            </w:r>
          </w:p>
        </w:tc>
        <w:tc>
          <w:tcPr>
            <w:tcW w:w="1503" w:type="dxa"/>
          </w:tcPr>
          <w:p w14:paraId="24183ABB" w14:textId="60521FE6" w:rsidR="00253042" w:rsidRPr="00253042" w:rsidRDefault="00E06B87" w:rsidP="003431E1">
            <w:pPr>
              <w:spacing w:before="40" w:after="40" w:line="200" w:lineRule="atLeast"/>
              <w:ind w:right="343"/>
              <w:jc w:val="right"/>
              <w:rPr>
                <w:sz w:val="18"/>
                <w:szCs w:val="18"/>
              </w:rPr>
            </w:pPr>
            <w:r>
              <w:rPr>
                <w:sz w:val="18"/>
                <w:szCs w:val="18"/>
              </w:rPr>
              <w:t>3.5%</w:t>
            </w:r>
          </w:p>
        </w:tc>
      </w:tr>
      <w:tr w:rsidR="00E06B87" w14:paraId="5E07FA78" w14:textId="77777777" w:rsidTr="00253042">
        <w:tc>
          <w:tcPr>
            <w:tcW w:w="1502" w:type="dxa"/>
          </w:tcPr>
          <w:p w14:paraId="0863EAD2" w14:textId="4D9DA4C7" w:rsidR="00E06B87" w:rsidRDefault="00E06B87" w:rsidP="00253042">
            <w:pPr>
              <w:spacing w:before="40" w:after="40" w:line="200" w:lineRule="atLeast"/>
              <w:rPr>
                <w:sz w:val="18"/>
                <w:szCs w:val="18"/>
              </w:rPr>
            </w:pPr>
            <w:r>
              <w:rPr>
                <w:sz w:val="18"/>
                <w:szCs w:val="18"/>
              </w:rPr>
              <w:t>Change</w:t>
            </w:r>
          </w:p>
        </w:tc>
        <w:tc>
          <w:tcPr>
            <w:tcW w:w="1503" w:type="dxa"/>
          </w:tcPr>
          <w:p w14:paraId="7C3432A2" w14:textId="191C840E" w:rsidR="00E06B87" w:rsidRDefault="00763A32" w:rsidP="003431E1">
            <w:pPr>
              <w:spacing w:before="40" w:after="40" w:line="200" w:lineRule="atLeast"/>
              <w:ind w:right="343"/>
              <w:jc w:val="right"/>
              <w:rPr>
                <w:sz w:val="18"/>
                <w:szCs w:val="18"/>
              </w:rPr>
            </w:pPr>
            <w:r>
              <w:rPr>
                <w:sz w:val="18"/>
                <w:szCs w:val="18"/>
              </w:rPr>
              <w:t>1.8%</w:t>
            </w:r>
          </w:p>
        </w:tc>
        <w:tc>
          <w:tcPr>
            <w:tcW w:w="1503" w:type="dxa"/>
          </w:tcPr>
          <w:p w14:paraId="79876177" w14:textId="558AB417" w:rsidR="00E06B87" w:rsidRDefault="00763A32" w:rsidP="003431E1">
            <w:pPr>
              <w:spacing w:before="40" w:after="40" w:line="200" w:lineRule="atLeast"/>
              <w:ind w:right="343"/>
              <w:jc w:val="right"/>
              <w:rPr>
                <w:sz w:val="18"/>
                <w:szCs w:val="18"/>
              </w:rPr>
            </w:pPr>
            <w:r>
              <w:rPr>
                <w:sz w:val="18"/>
                <w:szCs w:val="18"/>
              </w:rPr>
              <w:t>-0.</w:t>
            </w:r>
            <w:r w:rsidR="002E5C91">
              <w:rPr>
                <w:sz w:val="18"/>
                <w:szCs w:val="18"/>
              </w:rPr>
              <w:t>4</w:t>
            </w:r>
            <w:r>
              <w:rPr>
                <w:sz w:val="18"/>
                <w:szCs w:val="18"/>
              </w:rPr>
              <w:t>%</w:t>
            </w:r>
          </w:p>
        </w:tc>
        <w:tc>
          <w:tcPr>
            <w:tcW w:w="1503" w:type="dxa"/>
          </w:tcPr>
          <w:p w14:paraId="59B312BB" w14:textId="1527C4E7" w:rsidR="00E06B87" w:rsidRDefault="00763A32" w:rsidP="003431E1">
            <w:pPr>
              <w:spacing w:before="40" w:after="40" w:line="200" w:lineRule="atLeast"/>
              <w:ind w:right="343"/>
              <w:jc w:val="right"/>
              <w:rPr>
                <w:sz w:val="18"/>
                <w:szCs w:val="18"/>
              </w:rPr>
            </w:pPr>
            <w:r>
              <w:rPr>
                <w:sz w:val="18"/>
                <w:szCs w:val="18"/>
              </w:rPr>
              <w:t>0.3%</w:t>
            </w:r>
          </w:p>
        </w:tc>
        <w:tc>
          <w:tcPr>
            <w:tcW w:w="1503" w:type="dxa"/>
          </w:tcPr>
          <w:p w14:paraId="45E27D8E" w14:textId="51E993B7" w:rsidR="00E06B87" w:rsidRDefault="00763A32" w:rsidP="003431E1">
            <w:pPr>
              <w:spacing w:before="40" w:after="40" w:line="200" w:lineRule="atLeast"/>
              <w:ind w:right="343"/>
              <w:jc w:val="right"/>
              <w:rPr>
                <w:sz w:val="18"/>
                <w:szCs w:val="18"/>
              </w:rPr>
            </w:pPr>
            <w:r>
              <w:rPr>
                <w:sz w:val="18"/>
                <w:szCs w:val="18"/>
              </w:rPr>
              <w:t>0.2%</w:t>
            </w:r>
          </w:p>
        </w:tc>
        <w:tc>
          <w:tcPr>
            <w:tcW w:w="1503" w:type="dxa"/>
          </w:tcPr>
          <w:p w14:paraId="1CF78076" w14:textId="09B3A079" w:rsidR="00E06B87" w:rsidRDefault="00763A32" w:rsidP="003431E1">
            <w:pPr>
              <w:spacing w:before="40" w:after="40" w:line="200" w:lineRule="atLeast"/>
              <w:ind w:right="343"/>
              <w:jc w:val="right"/>
              <w:rPr>
                <w:sz w:val="18"/>
                <w:szCs w:val="18"/>
              </w:rPr>
            </w:pPr>
            <w:r>
              <w:rPr>
                <w:sz w:val="18"/>
                <w:szCs w:val="18"/>
              </w:rPr>
              <w:t>0.2%</w:t>
            </w:r>
          </w:p>
        </w:tc>
      </w:tr>
    </w:tbl>
    <w:p w14:paraId="38437A54" w14:textId="47F15AEF" w:rsidR="007F2CFF" w:rsidRPr="00134B46" w:rsidRDefault="005129A4" w:rsidP="00763A32">
      <w:pPr>
        <w:spacing w:after="0"/>
        <w:rPr>
          <w:i/>
          <w:iCs/>
          <w:sz w:val="16"/>
          <w:szCs w:val="16"/>
        </w:rPr>
      </w:pPr>
      <w:r w:rsidRPr="00134B46">
        <w:rPr>
          <w:i/>
          <w:iCs/>
          <w:sz w:val="16"/>
          <w:szCs w:val="16"/>
        </w:rPr>
        <w:t>Numbers may not add due to rounding</w:t>
      </w:r>
    </w:p>
    <w:p w14:paraId="047814A9" w14:textId="77777777" w:rsidR="005129A4" w:rsidRPr="007F2CFF" w:rsidRDefault="005129A4" w:rsidP="00763A32">
      <w:pPr>
        <w:spacing w:after="0"/>
      </w:pPr>
    </w:p>
    <w:p w14:paraId="3E460E74" w14:textId="4B3D0B9C" w:rsidR="007736A0" w:rsidRDefault="00E55C0F" w:rsidP="00D5205E">
      <w:r w:rsidRPr="007139F1">
        <w:t xml:space="preserve">Selecting assumptions for </w:t>
      </w:r>
      <w:r w:rsidR="00CC21AD" w:rsidRPr="007139F1">
        <w:t>additional</w:t>
      </w:r>
      <w:r w:rsidRPr="007139F1">
        <w:t xml:space="preserve"> </w:t>
      </w:r>
      <w:r w:rsidR="00E934A6">
        <w:t>growth</w:t>
      </w:r>
      <w:r w:rsidRPr="007139F1">
        <w:t xml:space="preserve"> has </w:t>
      </w:r>
      <w:r w:rsidR="007A464E" w:rsidRPr="007139F1">
        <w:t>been challenging</w:t>
      </w:r>
      <w:r w:rsidR="00D5205E" w:rsidRPr="007139F1">
        <w:t xml:space="preserve"> in successive FSRs</w:t>
      </w:r>
      <w:r w:rsidR="007A464E" w:rsidRPr="007139F1">
        <w:t xml:space="preserve">. </w:t>
      </w:r>
      <w:r w:rsidR="00C934AC" w:rsidRPr="007139F1">
        <w:fldChar w:fldCharType="begin"/>
      </w:r>
      <w:r w:rsidR="00C934AC" w:rsidRPr="007139F1">
        <w:instrText xml:space="preserve"> REF _Ref111642479 \h </w:instrText>
      </w:r>
      <w:r w:rsidR="00F249F2" w:rsidRPr="007139F1">
        <w:instrText xml:space="preserve"> \* MERGEFORMAT </w:instrText>
      </w:r>
      <w:r w:rsidR="00C934AC" w:rsidRPr="007139F1">
        <w:fldChar w:fldCharType="separate"/>
      </w:r>
      <w:r w:rsidR="00D85365" w:rsidRPr="007139F1">
        <w:t xml:space="preserve">Figure </w:t>
      </w:r>
      <w:r w:rsidR="00D85365">
        <w:rPr>
          <w:noProof/>
        </w:rPr>
        <w:t>4</w:t>
      </w:r>
      <w:r w:rsidR="00C934AC" w:rsidRPr="007139F1">
        <w:fldChar w:fldCharType="end"/>
      </w:r>
      <w:r w:rsidR="00C934AC" w:rsidRPr="007139F1">
        <w:t xml:space="preserve"> </w:t>
      </w:r>
      <w:r w:rsidR="007A464E" w:rsidRPr="007139F1">
        <w:t xml:space="preserve">illustrates </w:t>
      </w:r>
      <w:r w:rsidR="00EC0A48">
        <w:t>past</w:t>
      </w:r>
      <w:r w:rsidR="00D5205E" w:rsidRPr="007139F1">
        <w:t xml:space="preserve"> volatility in </w:t>
      </w:r>
      <w:r w:rsidRPr="007139F1">
        <w:t xml:space="preserve">this component of </w:t>
      </w:r>
      <w:r w:rsidR="0063263C" w:rsidRPr="007139F1">
        <w:t xml:space="preserve">inflation. </w:t>
      </w:r>
      <w:r w:rsidR="007139F1" w:rsidRPr="007139F1">
        <w:t>This is a source of uncertainty in the projection</w:t>
      </w:r>
      <w:r w:rsidR="00947921" w:rsidRPr="007139F1">
        <w:t>.</w:t>
      </w:r>
      <w:r w:rsidR="007736A0" w:rsidRPr="007139F1">
        <w:t xml:space="preserve"> </w:t>
      </w:r>
    </w:p>
    <w:p w14:paraId="760871B5" w14:textId="235780C8" w:rsidR="00E82E78" w:rsidRDefault="00E82E78" w:rsidP="00E82E78">
      <w:r>
        <w:t xml:space="preserve">Additional </w:t>
      </w:r>
      <w:r w:rsidR="00E934A6">
        <w:t>growth</w:t>
      </w:r>
      <w:r>
        <w:t xml:space="preserve"> in 2023-24 is assumed to be 7% (4% higher than assumed in the 2022 FSR for 2023-24). This is supported by high rates of growth in plan sizes</w:t>
      </w:r>
      <w:r w:rsidR="00E41FDB">
        <w:t xml:space="preserve"> and increasing utilisation</w:t>
      </w:r>
      <w:r>
        <w:t xml:space="preserve">. </w:t>
      </w:r>
      <w:r w:rsidR="006F09FE">
        <w:t>P</w:t>
      </w:r>
      <w:r>
        <w:t xml:space="preserve">lan sizes increased by 19.4% in the year to June 2023. The Scheme Actuary has attributed 10.3% of this to factors modelled in other assumptions, leaving 9.1% plan growth that could contribute to additional </w:t>
      </w:r>
      <w:r w:rsidR="003A3AA1">
        <w:t>growth</w:t>
      </w:r>
      <w:r>
        <w:t xml:space="preserve">. This remains a highly variable aspect of the scheme experience, however the increase in additional </w:t>
      </w:r>
      <w:r w:rsidR="003A3AA1">
        <w:t xml:space="preserve">growth </w:t>
      </w:r>
      <w:r>
        <w:t xml:space="preserve">in the short term </w:t>
      </w:r>
      <w:r w:rsidR="006B53C2">
        <w:t xml:space="preserve">is </w:t>
      </w:r>
      <w:r>
        <w:t xml:space="preserve">justified </w:t>
      </w:r>
      <w:r w:rsidR="00C00D30">
        <w:t xml:space="preserve">by the fact </w:t>
      </w:r>
      <w:r>
        <w:t xml:space="preserve">that participants </w:t>
      </w:r>
      <w:r w:rsidR="00CA4088">
        <w:t>are using their plans at an increasing rate, and these plans are continuing to increase</w:t>
      </w:r>
      <w:r>
        <w:t xml:space="preserve">. </w:t>
      </w:r>
      <w:r w:rsidR="003E5926">
        <w:t>T</w:t>
      </w:r>
      <w:r>
        <w:t xml:space="preserve">he rate of additional </w:t>
      </w:r>
      <w:r w:rsidR="003A3AA1">
        <w:t>growth</w:t>
      </w:r>
      <w:r>
        <w:t xml:space="preserve"> is expected to moderate from 2023-24.</w:t>
      </w:r>
    </w:p>
    <w:p w14:paraId="02BF6AEB" w14:textId="56C70945" w:rsidR="007736A0" w:rsidRPr="007139F1" w:rsidRDefault="002C6C12" w:rsidP="002C6C12">
      <w:pPr>
        <w:pStyle w:val="Caption"/>
      </w:pPr>
      <w:bookmarkStart w:id="6" w:name="_Ref111642479"/>
      <w:r w:rsidRPr="007139F1">
        <w:t xml:space="preserve">Figure </w:t>
      </w:r>
      <w:r>
        <w:fldChar w:fldCharType="begin"/>
      </w:r>
      <w:r>
        <w:instrText>SEQ Figure \* ARABIC</w:instrText>
      </w:r>
      <w:r>
        <w:fldChar w:fldCharType="separate"/>
      </w:r>
      <w:r w:rsidR="00D85365">
        <w:rPr>
          <w:noProof/>
        </w:rPr>
        <w:t>4</w:t>
      </w:r>
      <w:r>
        <w:fldChar w:fldCharType="end"/>
      </w:r>
      <w:bookmarkEnd w:id="6"/>
      <w:r w:rsidRPr="007139F1">
        <w:t xml:space="preserve">: </w:t>
      </w:r>
      <w:r w:rsidR="00C934AC" w:rsidRPr="007139F1">
        <w:t xml:space="preserve">Observed </w:t>
      </w:r>
      <w:r w:rsidR="0073495E" w:rsidRPr="007139F1">
        <w:t>&amp;</w:t>
      </w:r>
      <w:r w:rsidRPr="007139F1">
        <w:t xml:space="preserve"> </w:t>
      </w:r>
      <w:r w:rsidR="00C934AC" w:rsidRPr="007139F1">
        <w:t xml:space="preserve">projected </w:t>
      </w:r>
      <w:r w:rsidR="00CC21AD" w:rsidRPr="007139F1">
        <w:t>additional</w:t>
      </w:r>
      <w:r w:rsidR="00E55C0F" w:rsidRPr="007139F1">
        <w:t xml:space="preserve"> </w:t>
      </w:r>
      <w:r w:rsidR="002D1566">
        <w:t>growth</w:t>
      </w:r>
      <w:r w:rsidR="00235EE9" w:rsidRPr="007139F1">
        <w:t>.</w:t>
      </w:r>
    </w:p>
    <w:p w14:paraId="7EF58244" w14:textId="283B716F" w:rsidR="002C6C12" w:rsidRPr="007139F1" w:rsidRDefault="00CF7C9C" w:rsidP="002C6C12">
      <w:r>
        <w:rPr>
          <w:noProof/>
        </w:rPr>
        <w:drawing>
          <wp:inline distT="0" distB="0" distL="0" distR="0" wp14:anchorId="66FC0EE7" wp14:editId="45FD79EE">
            <wp:extent cx="5645150" cy="2694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150" cy="2694940"/>
                    </a:xfrm>
                    <a:prstGeom prst="rect">
                      <a:avLst/>
                    </a:prstGeom>
                    <a:noFill/>
                  </pic:spPr>
                </pic:pic>
              </a:graphicData>
            </a:graphic>
          </wp:inline>
        </w:drawing>
      </w:r>
    </w:p>
    <w:p w14:paraId="480BB224" w14:textId="1B6B6E2C" w:rsidR="00A0506A" w:rsidRPr="00CD729B" w:rsidRDefault="006C54FB" w:rsidP="009376BB">
      <w:r>
        <w:t>All else being equal</w:t>
      </w:r>
      <w:r w:rsidR="003E257C">
        <w:t xml:space="preserve">, the changes in inflation result in costs being </w:t>
      </w:r>
      <w:r w:rsidR="00F03B13">
        <w:t>roughly</w:t>
      </w:r>
      <w:r w:rsidR="00C24DF1">
        <w:t xml:space="preserve"> </w:t>
      </w:r>
      <w:r w:rsidR="00673C58">
        <w:t>4.3</w:t>
      </w:r>
      <w:r w:rsidR="00C24DF1">
        <w:t xml:space="preserve">% higher after three years and </w:t>
      </w:r>
      <w:r w:rsidR="00EC1643">
        <w:t xml:space="preserve">then </w:t>
      </w:r>
      <w:r w:rsidR="00C24DF1">
        <w:t>growing at a rate that is 0.2% per annum faster than the 2022 FSR.</w:t>
      </w:r>
    </w:p>
    <w:p w14:paraId="6F91D445" w14:textId="28D53850" w:rsidR="00F17A5F" w:rsidRPr="0025210A" w:rsidRDefault="00F17A5F" w:rsidP="00F17A5F">
      <w:pPr>
        <w:pStyle w:val="Heading4"/>
      </w:pPr>
      <w:r w:rsidRPr="0025210A">
        <w:lastRenderedPageBreak/>
        <w:t>SIL</w:t>
      </w:r>
    </w:p>
    <w:p w14:paraId="3BEF9313" w14:textId="7E1A3013" w:rsidR="00EF236F" w:rsidRPr="00F249F2" w:rsidRDefault="00CF3101" w:rsidP="00F17A5F">
      <w:pPr>
        <w:rPr>
          <w:highlight w:val="yellow"/>
        </w:rPr>
      </w:pPr>
      <w:r w:rsidRPr="00C0057A">
        <w:t>Over three years, th</w:t>
      </w:r>
      <w:r w:rsidR="005F1945">
        <w:t>e</w:t>
      </w:r>
      <w:r w:rsidRPr="00C0057A">
        <w:t xml:space="preserve"> average </w:t>
      </w:r>
      <w:r w:rsidR="005F1945">
        <w:t xml:space="preserve">SIL payment in the 6-months to June of each year </w:t>
      </w:r>
      <w:r w:rsidRPr="00C0057A">
        <w:t xml:space="preserve">increased by </w:t>
      </w:r>
      <w:r w:rsidR="005F1945">
        <w:t>8.8</w:t>
      </w:r>
      <w:r w:rsidRPr="00C0057A">
        <w:t xml:space="preserve">% per annum. </w:t>
      </w:r>
      <w:r w:rsidR="001F7B66">
        <w:t>Over the last 12 months, this increase was 13.2%.</w:t>
      </w:r>
    </w:p>
    <w:p w14:paraId="73B1952E" w14:textId="329C686B" w:rsidR="006A1CEE" w:rsidRPr="00B20D23" w:rsidRDefault="00E92F98" w:rsidP="00F17A5F">
      <w:r w:rsidRPr="00FD3F56">
        <w:t xml:space="preserve">The </w:t>
      </w:r>
      <w:r w:rsidR="003633D7" w:rsidRPr="00FD3F56">
        <w:t>B</w:t>
      </w:r>
      <w:r w:rsidR="000808A8" w:rsidRPr="00FD3F56">
        <w:t xml:space="preserve">aseline </w:t>
      </w:r>
      <w:r w:rsidRPr="00FD3F56">
        <w:t xml:space="preserve">projection assumes </w:t>
      </w:r>
      <w:r w:rsidR="00600174" w:rsidRPr="00FD3F56">
        <w:t>the rate of growth in average payments will slow. A</w:t>
      </w:r>
      <w:r w:rsidRPr="00FD3F56">
        <w:t xml:space="preserve">verage payments </w:t>
      </w:r>
      <w:r w:rsidR="00600174" w:rsidRPr="00FD3F56">
        <w:t xml:space="preserve">are projected to be </w:t>
      </w:r>
      <w:r w:rsidR="00B001BE" w:rsidRPr="00FD3F56">
        <w:t xml:space="preserve">just under 6% higher </w:t>
      </w:r>
      <w:r w:rsidR="0088753D" w:rsidRPr="00FD3F56">
        <w:t xml:space="preserve">than </w:t>
      </w:r>
      <w:r w:rsidR="000808A8" w:rsidRPr="00FD3F56">
        <w:t xml:space="preserve">the most recent 6 months </w:t>
      </w:r>
      <w:r w:rsidR="00725501" w:rsidRPr="00FD3F56">
        <w:t xml:space="preserve">in </w:t>
      </w:r>
      <w:r w:rsidR="009A32F9" w:rsidRPr="00FD3F56">
        <w:t xml:space="preserve">2023-24, </w:t>
      </w:r>
      <w:r w:rsidR="00645BEC" w:rsidRPr="00FD3F56">
        <w:t xml:space="preserve">before increasing </w:t>
      </w:r>
      <w:r w:rsidR="009A32F9" w:rsidRPr="00FD3F56">
        <w:t>by just under 10% in 2024-25</w:t>
      </w:r>
      <w:r w:rsidR="00645BEC" w:rsidRPr="00FD3F56">
        <w:t xml:space="preserve">. Thereafter the rate of increase is assumed to </w:t>
      </w:r>
      <w:r w:rsidR="00984DCC">
        <w:t>reduce</w:t>
      </w:r>
      <w:r w:rsidR="00645BEC" w:rsidRPr="00FD3F56">
        <w:t xml:space="preserve"> </w:t>
      </w:r>
      <w:r w:rsidR="005A0EE1" w:rsidRPr="00FD3F56">
        <w:t xml:space="preserve">to just </w:t>
      </w:r>
      <w:r w:rsidR="0088753D" w:rsidRPr="00FD3F56">
        <w:t xml:space="preserve">under </w:t>
      </w:r>
      <w:r w:rsidR="005A0EE1" w:rsidRPr="00FD3F56">
        <w:t>8% in 2025-26</w:t>
      </w:r>
      <w:r w:rsidR="006B5416" w:rsidRPr="00FD3F56">
        <w:t xml:space="preserve">, before slowing to an annual growth rate of </w:t>
      </w:r>
      <w:r w:rsidR="006030CA" w:rsidRPr="00FD3F56">
        <w:t xml:space="preserve">between </w:t>
      </w:r>
      <w:r w:rsidR="006B5416" w:rsidRPr="00FD3F56">
        <w:t xml:space="preserve">5% </w:t>
      </w:r>
      <w:r w:rsidR="006030CA" w:rsidRPr="00FD3F56">
        <w:t xml:space="preserve">and 6% </w:t>
      </w:r>
      <w:r w:rsidR="006B5416" w:rsidRPr="00FD3F56">
        <w:t>per annum thereafter</w:t>
      </w:r>
      <w:r w:rsidR="005A0EE1" w:rsidRPr="00FD3F56">
        <w:t xml:space="preserve">. </w:t>
      </w:r>
      <w:r w:rsidR="002E0A93" w:rsidRPr="00FD3F56">
        <w:t xml:space="preserve">This </w:t>
      </w:r>
      <w:r w:rsidR="005B5F6D">
        <w:t xml:space="preserve">assumed </w:t>
      </w:r>
      <w:r w:rsidR="00FD3F56" w:rsidRPr="00FD3F56">
        <w:t>long-term</w:t>
      </w:r>
      <w:r w:rsidR="006030CA" w:rsidRPr="00FD3F56">
        <w:t xml:space="preserve"> </w:t>
      </w:r>
      <w:r w:rsidR="00D33879" w:rsidRPr="00FD3F56">
        <w:t xml:space="preserve">rate of growth is lower than </w:t>
      </w:r>
      <w:r w:rsidR="006E3E6A" w:rsidRPr="00FD3F56">
        <w:t xml:space="preserve">observed in </w:t>
      </w:r>
      <w:r w:rsidR="00D33879" w:rsidRPr="00FD3F56">
        <w:t xml:space="preserve">any </w:t>
      </w:r>
      <w:r w:rsidR="00AD4E10">
        <w:t xml:space="preserve">of </w:t>
      </w:r>
      <w:r w:rsidR="00D33879" w:rsidRPr="00FD3F56">
        <w:t>the last five years.</w:t>
      </w:r>
      <w:r w:rsidR="006E3E6A" w:rsidRPr="00FD3F56">
        <w:t xml:space="preserve"> There is therefore a risk that this </w:t>
      </w:r>
      <w:r w:rsidR="00E917D0" w:rsidRPr="00FD3F56">
        <w:t>B</w:t>
      </w:r>
      <w:r w:rsidR="0022147F" w:rsidRPr="00FD3F56">
        <w:t>aseline projection understates the expenditure that may arise.</w:t>
      </w:r>
    </w:p>
    <w:p w14:paraId="52D5AC56" w14:textId="429D85E9" w:rsidR="00A854EA" w:rsidRDefault="00A854EA" w:rsidP="00666758">
      <w:pPr>
        <w:pStyle w:val="Heading2"/>
      </w:pPr>
      <w:r>
        <w:t>Budget Initiatives</w:t>
      </w:r>
    </w:p>
    <w:p w14:paraId="77021433" w14:textId="6BE93096" w:rsidR="00277F99" w:rsidRDefault="75829E34" w:rsidP="00277F99">
      <w:r>
        <w:t xml:space="preserve">Last year, new entrants were 22% higher than expected and exits, for reasons other than death, were 40% lower than expected. The number of participants receiving SIL is </w:t>
      </w:r>
      <w:r w:rsidR="00495F74">
        <w:t xml:space="preserve">now </w:t>
      </w:r>
      <w:r>
        <w:t>12% higher than expected. These significant variations exacerbate</w:t>
      </w:r>
      <w:r w:rsidR="305841EC">
        <w:t>d</w:t>
      </w:r>
      <w:r>
        <w:t xml:space="preserve"> the pressures on the </w:t>
      </w:r>
      <w:r w:rsidR="00B9B2C2">
        <w:t>s</w:t>
      </w:r>
      <w:r>
        <w:t xml:space="preserve">cheme’s financial sustainability that were already present in the 2022 FSR. </w:t>
      </w:r>
      <w:r w:rsidR="00D14563">
        <w:t>In the May 2023 Budget, t</w:t>
      </w:r>
      <w:r w:rsidR="305841EC">
        <w:t xml:space="preserve">he Government </w:t>
      </w:r>
      <w:r w:rsidR="39C04FD1">
        <w:t>com</w:t>
      </w:r>
      <w:r w:rsidR="158E3011">
        <w:t>m</w:t>
      </w:r>
      <w:r w:rsidR="39C04FD1">
        <w:t xml:space="preserve">itted $733.9 million </w:t>
      </w:r>
      <w:r w:rsidR="158E3011">
        <w:t xml:space="preserve">over four years </w:t>
      </w:r>
      <w:r w:rsidR="305841EC">
        <w:t xml:space="preserve">for a range of initiatives </w:t>
      </w:r>
      <w:r w:rsidR="158E3011">
        <w:t xml:space="preserve">to improve the sustainability of the </w:t>
      </w:r>
      <w:r w:rsidR="645DADE5">
        <w:t>s</w:t>
      </w:r>
      <w:r w:rsidR="158E3011">
        <w:t>cheme.</w:t>
      </w:r>
    </w:p>
    <w:p w14:paraId="22CCA29F" w14:textId="723DDF23" w:rsidR="007928C4" w:rsidRDefault="001C0A92" w:rsidP="001C0A92">
      <w:pPr>
        <w:spacing w:after="320"/>
      </w:pPr>
      <w:r>
        <w:t>These initiatives reduce the Baseline projection by $15bn over 2023-27, with lower costs continuing over the 10-year projection</w:t>
      </w:r>
      <w:r w:rsidR="003C2717">
        <w:t xml:space="preserve"> (refer </w:t>
      </w:r>
      <w:r w:rsidR="00714958">
        <w:t xml:space="preserve">June 2023 projection </w:t>
      </w:r>
      <w:r w:rsidR="003C2717">
        <w:t xml:space="preserve">in </w:t>
      </w:r>
      <w:r w:rsidR="003C2717">
        <w:fldChar w:fldCharType="begin"/>
      </w:r>
      <w:r w:rsidR="003C2717">
        <w:instrText xml:space="preserve"> REF _Ref111716433 \h </w:instrText>
      </w:r>
      <w:r w:rsidR="003C2717">
        <w:fldChar w:fldCharType="separate"/>
      </w:r>
      <w:r w:rsidR="003C2717">
        <w:t xml:space="preserve">Figure </w:t>
      </w:r>
      <w:r w:rsidR="003C2717">
        <w:rPr>
          <w:noProof/>
        </w:rPr>
        <w:t>5</w:t>
      </w:r>
      <w:r w:rsidR="003C2717">
        <w:fldChar w:fldCharType="end"/>
      </w:r>
      <w:r w:rsidR="003C2717">
        <w:t>)</w:t>
      </w:r>
      <w:r>
        <w:t xml:space="preserve">. </w:t>
      </w:r>
      <w:r w:rsidR="00C0367D">
        <w:t xml:space="preserve">There is </w:t>
      </w:r>
      <w:r w:rsidR="007928C4">
        <w:t xml:space="preserve">additional uncertainty in the </w:t>
      </w:r>
      <w:r w:rsidR="00714958">
        <w:t>June 2023 projection</w:t>
      </w:r>
      <w:r w:rsidR="007928C4">
        <w:t>. Areas of uncertainty include:</w:t>
      </w:r>
    </w:p>
    <w:p w14:paraId="09511F9A" w14:textId="72FAC991" w:rsidR="00244384" w:rsidRDefault="007928C4" w:rsidP="00C52FC8">
      <w:pPr>
        <w:pStyle w:val="OutlineNumbered1"/>
        <w:numPr>
          <w:ilvl w:val="0"/>
          <w:numId w:val="33"/>
        </w:numPr>
        <w:ind w:left="471" w:hanging="471"/>
        <w:contextualSpacing/>
      </w:pPr>
      <w:r>
        <w:t>T</w:t>
      </w:r>
      <w:r w:rsidR="001C0A92">
        <w:t>hese initiatives are subject to a co-design process</w:t>
      </w:r>
      <w:r w:rsidR="001D6318">
        <w:t xml:space="preserve"> that is not yet complete</w:t>
      </w:r>
      <w:r w:rsidR="001C0A92">
        <w:t xml:space="preserve">. </w:t>
      </w:r>
    </w:p>
    <w:p w14:paraId="341C2F27" w14:textId="30C7E346" w:rsidR="00244384" w:rsidRDefault="00244384" w:rsidP="00C52FC8">
      <w:pPr>
        <w:pStyle w:val="OutlineNumbered1"/>
        <w:numPr>
          <w:ilvl w:val="0"/>
          <w:numId w:val="33"/>
        </w:numPr>
        <w:ind w:left="471" w:hanging="471"/>
        <w:contextualSpacing/>
      </w:pPr>
      <w:r>
        <w:t>The funding for the initiatives lasts four years, whilst the initiatives are expected to result in lower expenditure in perpetuity. The Board should satisfy itself that the benefits of these projects will endure beyond the funding window.</w:t>
      </w:r>
    </w:p>
    <w:p w14:paraId="2F78073C" w14:textId="2ABA4C75" w:rsidR="007C3ABB" w:rsidRDefault="007C3ABB" w:rsidP="00C52FC8">
      <w:pPr>
        <w:pStyle w:val="OutlineNumbered1"/>
        <w:numPr>
          <w:ilvl w:val="0"/>
          <w:numId w:val="33"/>
        </w:numPr>
        <w:ind w:left="471" w:hanging="471"/>
        <w:contextualSpacing/>
      </w:pPr>
      <w:r>
        <w:t>As the Baseline forecast is used as a base for assessing potential changes, consideration needs to be given to the moderation of experience already incorporated into the Baseline projection. The Board needs to be confident this moderation will occur before the impact of further actions are assessed.</w:t>
      </w:r>
    </w:p>
    <w:p w14:paraId="72FFEBD0" w14:textId="5B5C92DD" w:rsidR="001C0A92" w:rsidRDefault="001C0A92" w:rsidP="007C3ABB">
      <w:r>
        <w:t>Given this</w:t>
      </w:r>
      <w:r w:rsidR="00C52FC8">
        <w:t xml:space="preserve"> uncertainty</w:t>
      </w:r>
      <w:r>
        <w:t>, I concur with the Scheme Actuary’s recommendation to establish a governance structure for implementing, and monitoring the effectiveness of, these initiatives.</w:t>
      </w:r>
    </w:p>
    <w:p w14:paraId="7DEFE0A5" w14:textId="29AC4D00" w:rsidR="007D455B" w:rsidRDefault="004C367C" w:rsidP="00666758">
      <w:pPr>
        <w:pStyle w:val="Heading2"/>
      </w:pPr>
      <w:r>
        <w:t>Operating</w:t>
      </w:r>
      <w:r w:rsidR="007D455B">
        <w:t xml:space="preserve"> Expenses</w:t>
      </w:r>
    </w:p>
    <w:p w14:paraId="249B7903" w14:textId="1112C7CC" w:rsidR="00301EC8" w:rsidRDefault="007D455B" w:rsidP="00301EC8">
      <w:pPr>
        <w:spacing w:after="320"/>
      </w:pPr>
      <w:r>
        <w:t xml:space="preserve">The projections </w:t>
      </w:r>
      <w:r w:rsidR="00A246B3">
        <w:t>include</w:t>
      </w:r>
      <w:r>
        <w:t xml:space="preserve"> an allowance for </w:t>
      </w:r>
      <w:r w:rsidR="004C367C">
        <w:t xml:space="preserve">operational </w:t>
      </w:r>
      <w:r>
        <w:t>expenses.</w:t>
      </w:r>
      <w:r w:rsidR="00301EC8">
        <w:t xml:space="preserve"> </w:t>
      </w:r>
      <w:r w:rsidR="007A33EF">
        <w:t xml:space="preserve">Table 5.36 of the FSR shows projected </w:t>
      </w:r>
      <w:r w:rsidR="00904E57">
        <w:t xml:space="preserve">operational </w:t>
      </w:r>
      <w:r w:rsidR="00301EC8">
        <w:t xml:space="preserve">expenses which are </w:t>
      </w:r>
      <w:r w:rsidR="007C6292">
        <w:t>37</w:t>
      </w:r>
      <w:r w:rsidR="00301EC8">
        <w:t xml:space="preserve">% higher than budgeted expenses in </w:t>
      </w:r>
      <w:r w:rsidR="007A33EF">
        <w:t>2026-</w:t>
      </w:r>
      <w:r w:rsidR="00301EC8">
        <w:t>27. To the extent that forecast outcomes are dependent on agency resourcing in the medium term, these differences will need to be reconciled.</w:t>
      </w:r>
    </w:p>
    <w:p w14:paraId="0569B6FA" w14:textId="42D84585" w:rsidR="00666758" w:rsidRPr="0025210A" w:rsidRDefault="00BC665D" w:rsidP="00666758">
      <w:pPr>
        <w:pStyle w:val="Heading2"/>
      </w:pPr>
      <w:r w:rsidRPr="0025210A">
        <w:lastRenderedPageBreak/>
        <w:t>Overall r</w:t>
      </w:r>
      <w:r w:rsidR="00666758" w:rsidRPr="0025210A">
        <w:t>esults</w:t>
      </w:r>
    </w:p>
    <w:p w14:paraId="0D36AE38" w14:textId="436B6A07" w:rsidR="0073495E" w:rsidRPr="00944908" w:rsidRDefault="0073495E" w:rsidP="00666758">
      <w:pPr>
        <w:spacing w:after="320"/>
      </w:pPr>
      <w:r w:rsidRPr="00944908">
        <w:fldChar w:fldCharType="begin"/>
      </w:r>
      <w:r w:rsidRPr="00944908">
        <w:instrText xml:space="preserve"> REF _Ref111716433 \h </w:instrText>
      </w:r>
      <w:r w:rsidR="00F249F2" w:rsidRPr="00944908">
        <w:instrText xml:space="preserve"> \* MERGEFORMAT </w:instrText>
      </w:r>
      <w:r w:rsidRPr="00944908">
        <w:fldChar w:fldCharType="separate"/>
      </w:r>
      <w:r w:rsidR="00D85365">
        <w:t xml:space="preserve">Figure </w:t>
      </w:r>
      <w:r w:rsidR="00D85365">
        <w:rPr>
          <w:noProof/>
        </w:rPr>
        <w:t>5</w:t>
      </w:r>
      <w:r w:rsidRPr="00944908">
        <w:fldChar w:fldCharType="end"/>
      </w:r>
      <w:r w:rsidRPr="00944908">
        <w:t xml:space="preserve"> shows that the resulting </w:t>
      </w:r>
      <w:r w:rsidR="00E917D0" w:rsidRPr="00944908">
        <w:t>B</w:t>
      </w:r>
      <w:r w:rsidR="00C7233E" w:rsidRPr="00944908">
        <w:t xml:space="preserve">aseline </w:t>
      </w:r>
      <w:r w:rsidR="00C90C4B" w:rsidRPr="00944908">
        <w:t xml:space="preserve">projection </w:t>
      </w:r>
      <w:r w:rsidR="00EC7581" w:rsidRPr="00944908">
        <w:t xml:space="preserve">(solid blue line) </w:t>
      </w:r>
      <w:r w:rsidR="00C90C4B" w:rsidRPr="00944908">
        <w:t xml:space="preserve">is </w:t>
      </w:r>
      <w:r w:rsidR="00CD7B99" w:rsidRPr="00944908">
        <w:t xml:space="preserve">higher than the projections in all earlier </w:t>
      </w:r>
      <w:r w:rsidRPr="00944908">
        <w:t>FSR</w:t>
      </w:r>
      <w:r w:rsidR="00CD7B99" w:rsidRPr="00944908">
        <w:t>s</w:t>
      </w:r>
      <w:r w:rsidR="000B5B96" w:rsidRPr="00944908">
        <w:t xml:space="preserve"> (represented by the dotted lines)</w:t>
      </w:r>
      <w:r w:rsidR="00CD7B99" w:rsidRPr="00944908">
        <w:t xml:space="preserve">. </w:t>
      </w:r>
      <w:r w:rsidRPr="00944908">
        <w:t>This increase is primarily attributable to the combined effect of:</w:t>
      </w:r>
    </w:p>
    <w:p w14:paraId="3F5937DA" w14:textId="0A94B14C" w:rsidR="00F411C0" w:rsidRPr="00944908" w:rsidRDefault="0073495E" w:rsidP="0073495E">
      <w:pPr>
        <w:pStyle w:val="Bullet"/>
        <w:contextualSpacing/>
      </w:pPr>
      <w:r w:rsidRPr="00944908">
        <w:t xml:space="preserve">The </w:t>
      </w:r>
      <w:r w:rsidR="00222C17" w:rsidRPr="00944908">
        <w:t xml:space="preserve">higher initial </w:t>
      </w:r>
      <w:r w:rsidRPr="00944908">
        <w:t>population projection,</w:t>
      </w:r>
      <w:r w:rsidR="00222C17" w:rsidRPr="00944908">
        <w:t xml:space="preserve"> </w:t>
      </w:r>
    </w:p>
    <w:p w14:paraId="61E46B9A" w14:textId="411D03D9" w:rsidR="00666758" w:rsidRPr="00944908" w:rsidRDefault="00F411C0" w:rsidP="0073495E">
      <w:pPr>
        <w:pStyle w:val="Bullet"/>
        <w:contextualSpacing/>
      </w:pPr>
      <w:r w:rsidRPr="00944908">
        <w:t xml:space="preserve">The initial population having larger plans than previously </w:t>
      </w:r>
      <w:r w:rsidR="00936C08" w:rsidRPr="00944908">
        <w:t xml:space="preserve">expected, </w:t>
      </w:r>
      <w:r w:rsidR="0073495E" w:rsidRPr="00944908">
        <w:t>and</w:t>
      </w:r>
    </w:p>
    <w:p w14:paraId="73971AD2" w14:textId="35B26403" w:rsidR="0073495E" w:rsidRDefault="0073495E" w:rsidP="0073495E">
      <w:pPr>
        <w:pStyle w:val="Bullet"/>
      </w:pPr>
      <w:r>
        <w:t xml:space="preserve">The </w:t>
      </w:r>
      <w:r w:rsidR="003D22A2">
        <w:t xml:space="preserve">total amount spent </w:t>
      </w:r>
      <w:r>
        <w:t xml:space="preserve">by that larger population growing at a </w:t>
      </w:r>
      <w:r w:rsidR="008163A9">
        <w:t xml:space="preserve">compounding </w:t>
      </w:r>
      <w:r>
        <w:t xml:space="preserve">rate that </w:t>
      </w:r>
      <w:r w:rsidR="00FD1323">
        <w:t xml:space="preserve">is </w:t>
      </w:r>
      <w:r w:rsidR="008163A9">
        <w:t>higher than previously envisaged.</w:t>
      </w:r>
    </w:p>
    <w:p w14:paraId="66C68325" w14:textId="27EDB848" w:rsidR="00C738BB" w:rsidRPr="00C564A4" w:rsidRDefault="1CD26EE6" w:rsidP="00947B4F">
      <w:pPr>
        <w:pStyle w:val="Bullet"/>
        <w:numPr>
          <w:ilvl w:val="0"/>
          <w:numId w:val="0"/>
        </w:numPr>
      </w:pPr>
      <w:r>
        <w:t xml:space="preserve">This is only </w:t>
      </w:r>
      <w:r w:rsidR="4B593C91">
        <w:t>p</w:t>
      </w:r>
      <w:r w:rsidR="00C738BB">
        <w:t>artially offset in the medium term by the population growing at a slower rate than previously envisaged</w:t>
      </w:r>
      <w:r w:rsidR="00013299">
        <w:t>.</w:t>
      </w:r>
    </w:p>
    <w:p w14:paraId="5C0AF5AF" w14:textId="2A16882B" w:rsidR="00092DAB" w:rsidRDefault="00092DAB" w:rsidP="00092DAB">
      <w:r>
        <w:t xml:space="preserve">The projected growth in the </w:t>
      </w:r>
      <w:r w:rsidR="002D3D59">
        <w:t>Baseline projection</w:t>
      </w:r>
      <w:r w:rsidR="004668CC">
        <w:t xml:space="preserve"> would </w:t>
      </w:r>
      <w:r w:rsidR="00EE20E4">
        <w:t xml:space="preserve">result in the </w:t>
      </w:r>
      <w:r w:rsidR="5843C69F">
        <w:t>s</w:t>
      </w:r>
      <w:r w:rsidR="00EE20E4">
        <w:t xml:space="preserve">cheme being a higher </w:t>
      </w:r>
      <w:r>
        <w:t>percentage of GDP</w:t>
      </w:r>
      <w:r w:rsidR="00EE20E4">
        <w:t xml:space="preserve"> than presented in </w:t>
      </w:r>
      <w:r w:rsidR="004668CC">
        <w:t xml:space="preserve">all </w:t>
      </w:r>
      <w:r w:rsidR="00EE20E4">
        <w:t xml:space="preserve">previous FSRs. </w:t>
      </w:r>
    </w:p>
    <w:p w14:paraId="021F313C" w14:textId="457CA8E9" w:rsidR="0073495E" w:rsidRPr="009E63CF" w:rsidRDefault="0073495E" w:rsidP="0073495E">
      <w:pPr>
        <w:pStyle w:val="Caption"/>
      </w:pPr>
      <w:bookmarkStart w:id="7" w:name="_Ref111716433"/>
      <w:r>
        <w:t xml:space="preserve">Figure </w:t>
      </w:r>
      <w:r>
        <w:fldChar w:fldCharType="begin"/>
      </w:r>
      <w:r>
        <w:instrText>SEQ Figure \* ARABIC</w:instrText>
      </w:r>
      <w:r>
        <w:fldChar w:fldCharType="separate"/>
      </w:r>
      <w:r w:rsidR="00D85365">
        <w:rPr>
          <w:noProof/>
        </w:rPr>
        <w:t>5</w:t>
      </w:r>
      <w:r>
        <w:fldChar w:fldCharType="end"/>
      </w:r>
      <w:bookmarkEnd w:id="7"/>
      <w:r>
        <w:t xml:space="preserve">: Actual &amp; projected total </w:t>
      </w:r>
      <w:r w:rsidR="003D22A2">
        <w:t xml:space="preserve">participant spend and agency </w:t>
      </w:r>
      <w:r w:rsidR="002A683E">
        <w:t>expenses.</w:t>
      </w:r>
    </w:p>
    <w:p w14:paraId="0B11A039" w14:textId="0765380D" w:rsidR="00C90C4B" w:rsidRPr="009E63CF" w:rsidRDefault="00DC2092" w:rsidP="00666758">
      <w:pPr>
        <w:spacing w:after="320"/>
      </w:pPr>
      <w:r>
        <w:rPr>
          <w:noProof/>
        </w:rPr>
        <w:drawing>
          <wp:inline distT="0" distB="0" distL="0" distR="0" wp14:anchorId="69E9668D" wp14:editId="6B43140D">
            <wp:extent cx="5661660" cy="3093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1660" cy="3093720"/>
                    </a:xfrm>
                    <a:prstGeom prst="rect">
                      <a:avLst/>
                    </a:prstGeom>
                    <a:noFill/>
                  </pic:spPr>
                </pic:pic>
              </a:graphicData>
            </a:graphic>
          </wp:inline>
        </w:drawing>
      </w:r>
    </w:p>
    <w:p w14:paraId="4E92BB1B" w14:textId="053437F3" w:rsidR="00B7664B" w:rsidRPr="00EC7581" w:rsidRDefault="00B7664B" w:rsidP="00B7664B">
      <w:r>
        <w:t xml:space="preserve">The purple line shows that </w:t>
      </w:r>
      <w:r w:rsidR="009536C2">
        <w:t xml:space="preserve">the </w:t>
      </w:r>
      <w:r>
        <w:t xml:space="preserve">trajectory of the scheme is expected to be lower </w:t>
      </w:r>
      <w:r w:rsidR="0081379A">
        <w:t xml:space="preserve">in the medium term, </w:t>
      </w:r>
      <w:r w:rsidR="00006393">
        <w:t xml:space="preserve">due to </w:t>
      </w:r>
      <w:r>
        <w:t xml:space="preserve">a range of initiatives announced in the 2023 Commonwealth Budget. </w:t>
      </w:r>
      <w:r w:rsidR="00006393">
        <w:t>This does not incorporate any further recommendations from the NDIS Review.</w:t>
      </w:r>
    </w:p>
    <w:p w14:paraId="1300D8A0" w14:textId="728EB9B0" w:rsidR="00666758" w:rsidRPr="0025210A" w:rsidRDefault="00666758" w:rsidP="00666758">
      <w:pPr>
        <w:pStyle w:val="Heading2"/>
      </w:pPr>
      <w:r w:rsidRPr="0025210A">
        <w:t>Uncertainty</w:t>
      </w:r>
    </w:p>
    <w:p w14:paraId="73ADEC1D" w14:textId="5A2C42A3" w:rsidR="00FC238D" w:rsidRPr="002E1CED" w:rsidRDefault="00FC238D" w:rsidP="00666758">
      <w:pPr>
        <w:spacing w:after="320"/>
      </w:pPr>
      <w:r w:rsidRPr="002E1CED">
        <w:t>Uncertainty is a feature of any projection.</w:t>
      </w:r>
      <w:r w:rsidR="00BE1FCD">
        <w:t xml:space="preserve"> The R-model and sensitivity tests illustrate uncertainty. </w:t>
      </w:r>
      <w:r w:rsidR="00292B5E">
        <w:t xml:space="preserve">I have </w:t>
      </w:r>
      <w:r w:rsidR="00BE1FCD">
        <w:t>not reviewed the R-model</w:t>
      </w:r>
      <w:r w:rsidR="008B10A3">
        <w:t>.</w:t>
      </w:r>
    </w:p>
    <w:p w14:paraId="493CBA78" w14:textId="475B15BA" w:rsidR="00991127" w:rsidRDefault="005A3B8C" w:rsidP="00666758">
      <w:pPr>
        <w:spacing w:after="320"/>
      </w:pPr>
      <w:r>
        <w:lastRenderedPageBreak/>
        <w:t>Future experience will differ from, and may exceed</w:t>
      </w:r>
      <w:r w:rsidR="000D3FF5">
        <w:t>,</w:t>
      </w:r>
      <w:r>
        <w:t xml:space="preserve"> that which has been projected. Key areas of </w:t>
      </w:r>
      <w:r w:rsidR="00C95761">
        <w:t xml:space="preserve">risk </w:t>
      </w:r>
      <w:r w:rsidR="000D3FF5">
        <w:t xml:space="preserve">in the baseline projection </w:t>
      </w:r>
      <w:r w:rsidR="00C95761">
        <w:t>include reducing rates of additional growth</w:t>
      </w:r>
      <w:r w:rsidR="007E57B7">
        <w:t xml:space="preserve">, new entrants and transitions to SIL, coupled with increased rates of </w:t>
      </w:r>
      <w:r w:rsidR="00BA04F1">
        <w:t xml:space="preserve">exit. </w:t>
      </w:r>
      <w:r w:rsidR="00567374">
        <w:t xml:space="preserve">There is further uncertainty in the </w:t>
      </w:r>
      <w:r w:rsidR="00BA04F1">
        <w:t xml:space="preserve">assumptions relating to </w:t>
      </w:r>
      <w:r w:rsidR="000C4304">
        <w:t xml:space="preserve">budget </w:t>
      </w:r>
      <w:r w:rsidR="00BA04F1">
        <w:t>initiatives</w:t>
      </w:r>
      <w:r w:rsidR="000C4304">
        <w:t xml:space="preserve">. I concur with the Scheme Actuary’s recommendation to </w:t>
      </w:r>
      <w:r w:rsidR="007521BF">
        <w:t xml:space="preserve">ensure appropriate governance </w:t>
      </w:r>
      <w:r w:rsidR="001629DF">
        <w:t xml:space="preserve">is established </w:t>
      </w:r>
      <w:r w:rsidR="007521BF">
        <w:t>to monitor the implementation of these initiatives.</w:t>
      </w:r>
    </w:p>
    <w:p w14:paraId="7438724D" w14:textId="77777777" w:rsidR="00666758" w:rsidRPr="0025210A" w:rsidRDefault="00666758" w:rsidP="00666758">
      <w:pPr>
        <w:pStyle w:val="Heading2"/>
      </w:pPr>
      <w:bookmarkStart w:id="8" w:name="_Hlk103324731"/>
      <w:r>
        <w:t>Sustainability</w:t>
      </w:r>
    </w:p>
    <w:p w14:paraId="236B47D4" w14:textId="5C72CBA0" w:rsidR="00666758" w:rsidRPr="007819E9" w:rsidRDefault="00666758" w:rsidP="00331409">
      <w:pPr>
        <w:spacing w:after="320"/>
      </w:pPr>
      <w:r>
        <w:t xml:space="preserve">Sustainability is defined by the </w:t>
      </w:r>
      <w:r w:rsidR="02688EA7">
        <w:t>s</w:t>
      </w:r>
      <w:r>
        <w:t xml:space="preserve">cheme. It is achieved when </w:t>
      </w:r>
      <w:r w:rsidR="00331409">
        <w:t xml:space="preserve">the </w:t>
      </w:r>
      <w:r w:rsidR="38CADCAD">
        <w:t>s</w:t>
      </w:r>
      <w:r w:rsidR="00331409">
        <w:t xml:space="preserve">cheme is </w:t>
      </w:r>
      <w:r>
        <w:t>meeting participants’ needs by achieving positive outcomes, and</w:t>
      </w:r>
      <w:r w:rsidR="00331409">
        <w:t xml:space="preserve"> </w:t>
      </w:r>
      <w:r>
        <w:t xml:space="preserve">is </w:t>
      </w:r>
      <w:r w:rsidR="00331409">
        <w:t xml:space="preserve">doing so </w:t>
      </w:r>
      <w:r>
        <w:t xml:space="preserve">at a level that is, and is expected to remain, affordable. </w:t>
      </w:r>
      <w:r w:rsidR="00F0094D">
        <w:t>P</w:t>
      </w:r>
      <w:r>
        <w:t>articipant outcomes and affordability</w:t>
      </w:r>
      <w:r w:rsidR="00EE16FB">
        <w:t xml:space="preserve"> </w:t>
      </w:r>
      <w:r w:rsidR="00026062">
        <w:t xml:space="preserve">need to </w:t>
      </w:r>
      <w:r w:rsidR="007819E9">
        <w:t>complement</w:t>
      </w:r>
      <w:r w:rsidR="00026062">
        <w:t xml:space="preserve"> each other</w:t>
      </w:r>
      <w:r>
        <w:t xml:space="preserve">. </w:t>
      </w:r>
    </w:p>
    <w:p w14:paraId="65AF5373" w14:textId="501988F5" w:rsidR="00666758" w:rsidRPr="007819E9" w:rsidRDefault="00666758" w:rsidP="00666758">
      <w:pPr>
        <w:spacing w:after="320"/>
      </w:pPr>
      <w:r>
        <w:t xml:space="preserve">The </w:t>
      </w:r>
      <w:r w:rsidRPr="5F7A6AE4">
        <w:rPr>
          <w:i/>
          <w:iCs/>
        </w:rPr>
        <w:t xml:space="preserve">NDIS Quarterly Report to </w:t>
      </w:r>
      <w:r w:rsidR="39DEC67E" w:rsidRPr="5F7A6AE4">
        <w:rPr>
          <w:i/>
          <w:iCs/>
        </w:rPr>
        <w:t>D</w:t>
      </w:r>
      <w:r w:rsidRPr="5F7A6AE4">
        <w:rPr>
          <w:i/>
          <w:iCs/>
        </w:rPr>
        <w:t xml:space="preserve">isability </w:t>
      </w:r>
      <w:r w:rsidR="66206EC4" w:rsidRPr="5F7A6AE4">
        <w:rPr>
          <w:i/>
          <w:iCs/>
        </w:rPr>
        <w:t>M</w:t>
      </w:r>
      <w:r w:rsidRPr="5F7A6AE4">
        <w:rPr>
          <w:i/>
          <w:iCs/>
        </w:rPr>
        <w:t>inisters</w:t>
      </w:r>
      <w:r>
        <w:t xml:space="preserve"> sets out a range of participant outcomes, including participation in community</w:t>
      </w:r>
      <w:r w:rsidR="00EE16FB">
        <w:t xml:space="preserve">, </w:t>
      </w:r>
      <w:r>
        <w:t>employment</w:t>
      </w:r>
      <w:r w:rsidR="00EE16FB">
        <w:t xml:space="preserve">, and </w:t>
      </w:r>
      <w:r>
        <w:t>participants</w:t>
      </w:r>
      <w:r w:rsidR="00B423F3">
        <w:t>’</w:t>
      </w:r>
      <w:r>
        <w:t xml:space="preserve"> satisfaction with elements of the scheme. There are mechanisms in place </w:t>
      </w:r>
      <w:r w:rsidR="000A7421">
        <w:t>that</w:t>
      </w:r>
      <w:r w:rsidR="00B423F3">
        <w:t xml:space="preserve"> </w:t>
      </w:r>
      <w:r>
        <w:t xml:space="preserve">measure </w:t>
      </w:r>
      <w:r w:rsidR="007819E9">
        <w:t xml:space="preserve">this </w:t>
      </w:r>
      <w:r>
        <w:t>first component of sustainability.</w:t>
      </w:r>
      <w:r w:rsidR="007819E9">
        <w:t xml:space="preserve"> This letter does not </w:t>
      </w:r>
      <w:r w:rsidR="00667B9F">
        <w:t xml:space="preserve">review </w:t>
      </w:r>
      <w:r w:rsidR="007819E9">
        <w:t>these measures.</w:t>
      </w:r>
    </w:p>
    <w:p w14:paraId="735B1500" w14:textId="57D031F1" w:rsidR="001D75EA" w:rsidRDefault="7CADE09F" w:rsidP="287DEEBF">
      <w:pPr>
        <w:spacing w:after="320"/>
      </w:pPr>
      <w:r>
        <w:t xml:space="preserve">It is also necessary to consider </w:t>
      </w:r>
      <w:r w:rsidR="4FEDB567">
        <w:t xml:space="preserve">whether the scheme </w:t>
      </w:r>
      <w:r>
        <w:t xml:space="preserve">is likely to </w:t>
      </w:r>
      <w:r w:rsidR="4FEDB567">
        <w:t>remain affordable</w:t>
      </w:r>
      <w:r w:rsidR="25091CDB">
        <w:t>, or financially sustainable</w:t>
      </w:r>
      <w:r w:rsidR="4FEDB567">
        <w:t>.</w:t>
      </w:r>
      <w:r w:rsidR="7B3E8924">
        <w:t xml:space="preserve"> T</w:t>
      </w:r>
      <w:r w:rsidR="17B1D2EF">
        <w:t xml:space="preserve">he Government </w:t>
      </w:r>
      <w:r w:rsidR="7B3E8924">
        <w:t>defined financial sustainab</w:t>
      </w:r>
      <w:r w:rsidR="00A45191">
        <w:t>ility</w:t>
      </w:r>
      <w:r w:rsidR="7B3E8924">
        <w:t xml:space="preserve"> in the short term </w:t>
      </w:r>
      <w:r w:rsidR="17B1D2EF">
        <w:t xml:space="preserve">in the 2023 Budget. </w:t>
      </w:r>
      <w:r w:rsidR="6C3A2575">
        <w:t>For the medium term</w:t>
      </w:r>
      <w:r w:rsidR="17B1D2EF">
        <w:t xml:space="preserve">, </w:t>
      </w:r>
      <w:r w:rsidR="69902F21">
        <w:t xml:space="preserve">National Cabinet committed to </w:t>
      </w:r>
      <w:r w:rsidR="4F7E253A">
        <w:t>a</w:t>
      </w:r>
      <w:r w:rsidR="69902F21">
        <w:t xml:space="preserve"> NDIS Financial Sustainability Framework</w:t>
      </w:r>
      <w:r w:rsidR="17B1D2EF">
        <w:t xml:space="preserve"> </w:t>
      </w:r>
      <w:r w:rsidR="69902F21">
        <w:t>in April 2023</w:t>
      </w:r>
      <w:r w:rsidR="17B1D2EF">
        <w:t xml:space="preserve">. </w:t>
      </w:r>
      <w:r w:rsidR="4C542F69">
        <w:t xml:space="preserve">The Framework provides an annual growth target for NDIS participant expenses of no more than 8 per cent by 1 July 2026, with further moderation of growth as the </w:t>
      </w:r>
      <w:r w:rsidR="4FF2508E">
        <w:t>scheme</w:t>
      </w:r>
      <w:r w:rsidR="4C542F69">
        <w:t xml:space="preserve"> matures</w:t>
      </w:r>
      <w:r w:rsidR="0C7172F4">
        <w:t xml:space="preserve">. </w:t>
      </w:r>
      <w:r w:rsidR="23ABCB4C">
        <w:t xml:space="preserve">This letter discusses financial sustainability </w:t>
      </w:r>
      <w:r w:rsidR="69F9546A">
        <w:t xml:space="preserve">against </w:t>
      </w:r>
      <w:r w:rsidR="68356CA4">
        <w:t xml:space="preserve">this </w:t>
      </w:r>
      <w:r w:rsidR="4856C0CD">
        <w:t>target</w:t>
      </w:r>
      <w:r w:rsidR="00922D09">
        <w:t xml:space="preserve">. </w:t>
      </w:r>
      <w:r w:rsidR="460C9084">
        <w:t>I have assumed the rate of growth reduces beyond 2026 by 0.1% per annum (</w:t>
      </w:r>
      <w:r w:rsidR="6B3AAB76">
        <w:t>i.e. growth is assumed to be 7.9% in 2027, 7.8% in 2028, etc)</w:t>
      </w:r>
      <w:r w:rsidR="69F9546A">
        <w:t>.</w:t>
      </w:r>
      <w:r w:rsidR="3ED17A40">
        <w:t xml:space="preserve"> </w:t>
      </w:r>
      <w:r w:rsidR="007819E9">
        <w:fldChar w:fldCharType="begin"/>
      </w:r>
      <w:r w:rsidR="007819E9">
        <w:instrText xml:space="preserve"> REF _Ref143857159 \h </w:instrText>
      </w:r>
      <w:r w:rsidR="007819E9">
        <w:fldChar w:fldCharType="separate"/>
      </w:r>
      <w:r w:rsidR="00D85365">
        <w:t xml:space="preserve">Figure </w:t>
      </w:r>
      <w:r w:rsidR="00D85365">
        <w:rPr>
          <w:noProof/>
        </w:rPr>
        <w:t>6</w:t>
      </w:r>
      <w:r w:rsidR="007819E9">
        <w:fldChar w:fldCharType="end"/>
      </w:r>
      <w:r w:rsidR="35DC100B">
        <w:t xml:space="preserve"> compares the </w:t>
      </w:r>
      <w:r w:rsidR="46C63700">
        <w:t>Baseline</w:t>
      </w:r>
      <w:r w:rsidR="35DC100B">
        <w:t xml:space="preserve"> and </w:t>
      </w:r>
      <w:r w:rsidR="00393E23">
        <w:t xml:space="preserve">June 2023 projections </w:t>
      </w:r>
      <w:r w:rsidR="35DC100B">
        <w:t>with th</w:t>
      </w:r>
      <w:r w:rsidR="44420309">
        <w:t>is</w:t>
      </w:r>
      <w:r w:rsidR="35DC100B">
        <w:t xml:space="preserve"> target</w:t>
      </w:r>
      <w:r w:rsidR="7C637659">
        <w:t>.</w:t>
      </w:r>
    </w:p>
    <w:p w14:paraId="22CF12AB" w14:textId="703D8F76" w:rsidR="00BA2501" w:rsidRPr="00726EB4" w:rsidRDefault="00BA2501" w:rsidP="00BA2501">
      <w:r w:rsidRPr="00F62A70">
        <w:t xml:space="preserve">The Baseline projection exceeds the target. </w:t>
      </w:r>
      <w:r>
        <w:t>O</w:t>
      </w:r>
      <w:r w:rsidRPr="00F62A70">
        <w:t>ver the last three years the average spend</w:t>
      </w:r>
      <w:r>
        <w:t>-</w:t>
      </w:r>
      <w:r w:rsidRPr="00F62A70">
        <w:t>per</w:t>
      </w:r>
      <w:r>
        <w:t>-</w:t>
      </w:r>
      <w:r w:rsidRPr="00F62A70">
        <w:t>plan increased by more than</w:t>
      </w:r>
      <w:r>
        <w:t xml:space="preserve"> 8% per annum for all categories of disability except one. The number of participants also grew by more than 8% per annum. It is therefore not surprising that the Baseline projection exceeds the target in </w:t>
      </w:r>
      <w:r>
        <w:fldChar w:fldCharType="begin"/>
      </w:r>
      <w:r>
        <w:instrText xml:space="preserve"> REF _Ref143857159 \h </w:instrText>
      </w:r>
      <w:r>
        <w:fldChar w:fldCharType="separate"/>
      </w:r>
      <w:r w:rsidR="00D85365">
        <w:t xml:space="preserve">Figure </w:t>
      </w:r>
      <w:r w:rsidR="00D85365">
        <w:rPr>
          <w:noProof/>
        </w:rPr>
        <w:t>6</w:t>
      </w:r>
      <w:r>
        <w:fldChar w:fldCharType="end"/>
      </w:r>
      <w:r>
        <w:t xml:space="preserve">. </w:t>
      </w:r>
      <w:r w:rsidR="002B4E6B">
        <w:t>Continuation of r</w:t>
      </w:r>
      <w:r>
        <w:t>ecent scheme experience will create sustainability pressures.</w:t>
      </w:r>
    </w:p>
    <w:p w14:paraId="7D0BF9D7" w14:textId="01D226E4" w:rsidR="00BA2501" w:rsidRDefault="66BC2984" w:rsidP="00BA2501">
      <w:r>
        <w:t xml:space="preserve">The </w:t>
      </w:r>
      <w:r w:rsidR="00393E23">
        <w:t xml:space="preserve">June 2023 projection </w:t>
      </w:r>
      <w:r>
        <w:t>incorporates an estimate of the impact of a range of initiatives that are expected to moderate the rate of growth in expenditure over time</w:t>
      </w:r>
      <w:r w:rsidR="131E4557">
        <w:t xml:space="preserve">.  Figure 6 shows this </w:t>
      </w:r>
      <w:r w:rsidR="00393E23">
        <w:t xml:space="preserve">June 2023 projection </w:t>
      </w:r>
      <w:r w:rsidR="005875AF">
        <w:t xml:space="preserve">is </w:t>
      </w:r>
      <w:r w:rsidR="4150FBB8">
        <w:t xml:space="preserve">also </w:t>
      </w:r>
      <w:r w:rsidR="005875AF">
        <w:t xml:space="preserve">above </w:t>
      </w:r>
      <w:r>
        <w:t>the target in the medium term</w:t>
      </w:r>
      <w:r w:rsidR="6B0D1C06">
        <w:t xml:space="preserve"> i</w:t>
      </w:r>
      <w:r>
        <w:t>.</w:t>
      </w:r>
      <w:r w:rsidR="6B0D1C06">
        <w:t xml:space="preserve">e. the Budget initiatives in themselves are not sufficient to reach the </w:t>
      </w:r>
      <w:r w:rsidR="29B20138">
        <w:t xml:space="preserve">growth moderation </w:t>
      </w:r>
      <w:r w:rsidR="6B0D1C06">
        <w:t>target.</w:t>
      </w:r>
      <w:r>
        <w:t xml:space="preserve"> </w:t>
      </w:r>
      <w:r w:rsidR="28452E3E">
        <w:t xml:space="preserve">Note that the </w:t>
      </w:r>
      <w:r w:rsidR="00393E23">
        <w:t xml:space="preserve">June 2023 projection </w:t>
      </w:r>
      <w:r>
        <w:t xml:space="preserve">does not incorporate any </w:t>
      </w:r>
      <w:r w:rsidR="55C5067B">
        <w:t xml:space="preserve">further </w:t>
      </w:r>
      <w:r>
        <w:t>recommend</w:t>
      </w:r>
      <w:r w:rsidR="55C5067B">
        <w:t xml:space="preserve">ations that may arise from </w:t>
      </w:r>
      <w:r>
        <w:t>the NDIS Review</w:t>
      </w:r>
      <w:r w:rsidR="3DA74358">
        <w:t xml:space="preserve"> that is currently underway</w:t>
      </w:r>
      <w:r>
        <w:t>.</w:t>
      </w:r>
    </w:p>
    <w:p w14:paraId="3BAD8F04" w14:textId="2986CD5E" w:rsidR="007E38D5" w:rsidRDefault="007E38D5" w:rsidP="007E38D5">
      <w:pPr>
        <w:pStyle w:val="Caption"/>
      </w:pPr>
      <w:bookmarkStart w:id="9" w:name="_Ref143857159"/>
      <w:r>
        <w:lastRenderedPageBreak/>
        <w:t xml:space="preserve">Figure </w:t>
      </w:r>
      <w:r>
        <w:fldChar w:fldCharType="begin"/>
      </w:r>
      <w:r>
        <w:instrText>SEQ Figure \* ARABIC</w:instrText>
      </w:r>
      <w:r>
        <w:fldChar w:fldCharType="separate"/>
      </w:r>
      <w:r w:rsidR="00D85365">
        <w:rPr>
          <w:noProof/>
        </w:rPr>
        <w:t>6</w:t>
      </w:r>
      <w:r>
        <w:fldChar w:fldCharType="end"/>
      </w:r>
      <w:bookmarkEnd w:id="9"/>
      <w:r>
        <w:t xml:space="preserve">: Comparison of projected costs with </w:t>
      </w:r>
      <w:r w:rsidR="00BE4DEB">
        <w:t>target.</w:t>
      </w:r>
    </w:p>
    <w:p w14:paraId="648FB76D" w14:textId="505FCE4F" w:rsidR="00BE4DEB" w:rsidRPr="00BE4DEB" w:rsidRDefault="00FF554A" w:rsidP="00BE4DEB">
      <w:r>
        <w:rPr>
          <w:noProof/>
        </w:rPr>
        <w:drawing>
          <wp:inline distT="0" distB="0" distL="0" distR="0" wp14:anchorId="129C6A89" wp14:editId="1AB94384">
            <wp:extent cx="5669280" cy="29337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280" cy="2933700"/>
                    </a:xfrm>
                    <a:prstGeom prst="rect">
                      <a:avLst/>
                    </a:prstGeom>
                    <a:noFill/>
                  </pic:spPr>
                </pic:pic>
              </a:graphicData>
            </a:graphic>
          </wp:inline>
        </w:drawing>
      </w:r>
    </w:p>
    <w:p w14:paraId="28CA2FD5" w14:textId="22958E70" w:rsidR="00043996" w:rsidRDefault="31C1AB43" w:rsidP="00043996">
      <w:r>
        <w:t xml:space="preserve">The difference between the </w:t>
      </w:r>
      <w:r w:rsidR="5B844D9D">
        <w:t xml:space="preserve">Scheme Actuary’s projections and the target </w:t>
      </w:r>
      <w:r w:rsidR="792F4453">
        <w:t>illustrates</w:t>
      </w:r>
      <w:r>
        <w:t xml:space="preserve"> the financial sustainability challenges facing the scheme</w:t>
      </w:r>
      <w:r w:rsidR="32D7DE08">
        <w:t xml:space="preserve"> in the medium term</w:t>
      </w:r>
      <w:r>
        <w:t xml:space="preserve">. </w:t>
      </w:r>
    </w:p>
    <w:p w14:paraId="2582B743" w14:textId="34A4172D" w:rsidR="00DB2B0F" w:rsidRDefault="00DB2B0F" w:rsidP="003D3220">
      <w:pPr>
        <w:widowControl w:val="0"/>
      </w:pPr>
      <w:r w:rsidRPr="00C45827">
        <w:t xml:space="preserve">In my review of the 2022 FSR I discussed financial sustainability against the benchmark of scheme expenditure being a constant percentage of GDP. As noted in the </w:t>
      </w:r>
      <w:r w:rsidR="00440BBD" w:rsidRPr="00C45827">
        <w:rPr>
          <w:i/>
          <w:iCs/>
        </w:rPr>
        <w:t xml:space="preserve">Intergenerational Report 2023 </w:t>
      </w:r>
      <w:r w:rsidR="00440BBD" w:rsidRPr="00C45827">
        <w:t>(IGR)</w:t>
      </w:r>
      <w:r w:rsidRPr="00C45827">
        <w:t>, this continues to be a relevant benchmark in the longer term.</w:t>
      </w:r>
      <w:r w:rsidR="005764B6">
        <w:t xml:space="preserve"> </w:t>
      </w:r>
    </w:p>
    <w:bookmarkEnd w:id="8"/>
    <w:p w14:paraId="4D903A76" w14:textId="77777777" w:rsidR="00666758" w:rsidRPr="0025210A" w:rsidRDefault="00666758" w:rsidP="00666758">
      <w:pPr>
        <w:pStyle w:val="Heading2"/>
      </w:pPr>
      <w:r w:rsidRPr="0025210A">
        <w:t>Conclusion</w:t>
      </w:r>
    </w:p>
    <w:p w14:paraId="311FA1D3" w14:textId="71AB892B" w:rsidR="00666758" w:rsidRPr="00A2739D" w:rsidRDefault="5FB2CA36" w:rsidP="00666758">
      <w:pPr>
        <w:spacing w:after="320"/>
      </w:pPr>
      <w:r>
        <w:t xml:space="preserve">The FSR incorporates a </w:t>
      </w:r>
      <w:r w:rsidR="441FDB3D">
        <w:t>B</w:t>
      </w:r>
      <w:r>
        <w:t xml:space="preserve">aseline </w:t>
      </w:r>
      <w:r w:rsidR="4FEDB567">
        <w:t>projection</w:t>
      </w:r>
      <w:r>
        <w:t>, which</w:t>
      </w:r>
      <w:r w:rsidR="4FEDB567">
        <w:t xml:space="preserve"> </w:t>
      </w:r>
      <w:r>
        <w:t xml:space="preserve">broadly assumes that </w:t>
      </w:r>
      <w:r w:rsidR="4FEDB567">
        <w:t>emerging scheme experience</w:t>
      </w:r>
      <w:r>
        <w:t xml:space="preserve"> </w:t>
      </w:r>
      <w:r w:rsidR="673A8945">
        <w:t>moderates over time</w:t>
      </w:r>
      <w:r w:rsidR="4FEDB567">
        <w:t xml:space="preserve">. </w:t>
      </w:r>
      <w:r>
        <w:t xml:space="preserve">The </w:t>
      </w:r>
      <w:r w:rsidR="7CA13AA7">
        <w:t>B</w:t>
      </w:r>
      <w:r>
        <w:t xml:space="preserve">aseline projection is then </w:t>
      </w:r>
      <w:r w:rsidR="5A50EBD0">
        <w:t xml:space="preserve">further </w:t>
      </w:r>
      <w:r>
        <w:t xml:space="preserve">reduced to allow for </w:t>
      </w:r>
      <w:r w:rsidR="5A50EBD0">
        <w:t xml:space="preserve">various </w:t>
      </w:r>
      <w:r w:rsidR="260478FA">
        <w:t>B</w:t>
      </w:r>
      <w:r w:rsidR="5A50EBD0">
        <w:t>udget initiatives</w:t>
      </w:r>
      <w:r>
        <w:t xml:space="preserve">. </w:t>
      </w:r>
    </w:p>
    <w:p w14:paraId="44B2339F" w14:textId="3703BE6F" w:rsidR="000A1AC4" w:rsidRDefault="001551D9" w:rsidP="00EE2887">
      <w:pPr>
        <w:spacing w:after="320"/>
      </w:pPr>
      <w:r>
        <w:t>R</w:t>
      </w:r>
      <w:r w:rsidR="00B577E6">
        <w:t xml:space="preserve">ecent </w:t>
      </w:r>
      <w:r w:rsidR="00CC3000">
        <w:t xml:space="preserve">Financial Sustainability Reports </w:t>
      </w:r>
      <w:r>
        <w:t xml:space="preserve">have consistently assumed </w:t>
      </w:r>
      <w:r w:rsidR="00CC3000">
        <w:t xml:space="preserve">that scheme </w:t>
      </w:r>
      <w:r w:rsidR="00EE2887">
        <w:t>experience would moderate</w:t>
      </w:r>
      <w:r w:rsidR="00CC3000">
        <w:t xml:space="preserve"> in the short term</w:t>
      </w:r>
      <w:r w:rsidR="00EE2887">
        <w:t xml:space="preserve">. </w:t>
      </w:r>
      <w:r w:rsidR="002A0528">
        <w:t>T</w:t>
      </w:r>
      <w:r w:rsidR="00EE2887">
        <w:t xml:space="preserve">his </w:t>
      </w:r>
      <w:r w:rsidR="00CC3000">
        <w:t xml:space="preserve">moderation has </w:t>
      </w:r>
      <w:r w:rsidR="75F3BECB">
        <w:t xml:space="preserve">so far </w:t>
      </w:r>
      <w:r w:rsidR="00EE2887">
        <w:t>failed to materialise</w:t>
      </w:r>
      <w:r w:rsidR="006F5ED6">
        <w:t>,</w:t>
      </w:r>
      <w:r w:rsidR="00B577E6">
        <w:t xml:space="preserve"> and the projections have been increased</w:t>
      </w:r>
      <w:r w:rsidR="00D2734B">
        <w:t xml:space="preserve"> each year since 2019 (</w:t>
      </w:r>
      <w:r w:rsidR="00B577E6">
        <w:fldChar w:fldCharType="begin"/>
      </w:r>
      <w:r w:rsidR="00B577E6">
        <w:instrText xml:space="preserve"> REF _Ref111716433 \h </w:instrText>
      </w:r>
      <w:r w:rsidR="00B577E6">
        <w:fldChar w:fldCharType="separate"/>
      </w:r>
      <w:r w:rsidR="00D85365">
        <w:t xml:space="preserve">Figure </w:t>
      </w:r>
      <w:r w:rsidR="00D85365">
        <w:rPr>
          <w:noProof/>
        </w:rPr>
        <w:t>5</w:t>
      </w:r>
      <w:r w:rsidR="00B577E6">
        <w:fldChar w:fldCharType="end"/>
      </w:r>
      <w:r w:rsidR="00D2734B">
        <w:t>)</w:t>
      </w:r>
      <w:r w:rsidR="00EE2887">
        <w:t xml:space="preserve">. </w:t>
      </w:r>
    </w:p>
    <w:p w14:paraId="69463938" w14:textId="57E59906" w:rsidR="00EE2887" w:rsidRDefault="009F1C53" w:rsidP="00EE2887">
      <w:pPr>
        <w:spacing w:after="320"/>
      </w:pPr>
      <w:r>
        <w:t>T</w:t>
      </w:r>
      <w:r w:rsidR="2473C5C3">
        <w:t xml:space="preserve">he Baseline projection </w:t>
      </w:r>
      <w:r w:rsidR="3A752032">
        <w:t>assume</w:t>
      </w:r>
      <w:r w:rsidR="422485DC">
        <w:t>s</w:t>
      </w:r>
      <w:r w:rsidR="45DC5DB7">
        <w:t xml:space="preserve"> that</w:t>
      </w:r>
      <w:r w:rsidR="3A752032">
        <w:t xml:space="preserve"> </w:t>
      </w:r>
      <w:r>
        <w:t>t</w:t>
      </w:r>
      <w:r w:rsidR="3A752032">
        <w:t xml:space="preserve">he number of new entrants, transitions to SIL and additional </w:t>
      </w:r>
      <w:r w:rsidR="003A3AA1">
        <w:t>growth</w:t>
      </w:r>
      <w:r w:rsidR="5248CF3A">
        <w:t xml:space="preserve"> </w:t>
      </w:r>
      <w:r w:rsidR="00C12F4E">
        <w:t xml:space="preserve">all </w:t>
      </w:r>
      <w:r w:rsidR="5248CF3A">
        <w:t>reduce</w:t>
      </w:r>
      <w:r w:rsidR="0ACE0EAD">
        <w:t xml:space="preserve"> from recent </w:t>
      </w:r>
      <w:r w:rsidR="3E7987D0">
        <w:t>(high</w:t>
      </w:r>
      <w:r w:rsidR="00E45002">
        <w:t>er</w:t>
      </w:r>
      <w:r w:rsidR="3E7987D0">
        <w:t xml:space="preserve">) </w:t>
      </w:r>
      <w:r w:rsidR="0ACE0EAD">
        <w:t>levels</w:t>
      </w:r>
      <w:r w:rsidR="3A752032">
        <w:t xml:space="preserve">. It is also assumed that the rate of </w:t>
      </w:r>
      <w:r w:rsidR="32DFFFED">
        <w:t xml:space="preserve">non-mortality </w:t>
      </w:r>
      <w:r w:rsidR="3A752032">
        <w:t xml:space="preserve">exits will quickly increase. </w:t>
      </w:r>
      <w:r w:rsidR="56C2A493">
        <w:t>T</w:t>
      </w:r>
      <w:r w:rsidR="3A752032">
        <w:t xml:space="preserve">hese assumed changes in experience all act to slow the rate of growth in </w:t>
      </w:r>
      <w:r w:rsidR="37200B73">
        <w:t xml:space="preserve">projected </w:t>
      </w:r>
      <w:r w:rsidR="3A752032">
        <w:t>scheme costs over time</w:t>
      </w:r>
      <w:r w:rsidR="56C2A493">
        <w:t xml:space="preserve">. </w:t>
      </w:r>
      <w:r w:rsidR="6FB2BEFC">
        <w:t>T</w:t>
      </w:r>
      <w:r w:rsidR="65533831">
        <w:t>he Scheme Actuary</w:t>
      </w:r>
      <w:r w:rsidR="6FB2BEFC">
        <w:t xml:space="preserve">’s </w:t>
      </w:r>
      <w:r w:rsidR="65533831">
        <w:t xml:space="preserve">rationale for the </w:t>
      </w:r>
      <w:r w:rsidR="6FB2BEFC">
        <w:t xml:space="preserve">moderating experience over time </w:t>
      </w:r>
      <w:r w:rsidR="4E860124">
        <w:t>provides support to the view that the Baseline projection is within the range of reasonably likely outcomes</w:t>
      </w:r>
      <w:r w:rsidR="7535686B">
        <w:t>. However</w:t>
      </w:r>
      <w:r w:rsidR="3A752032">
        <w:t xml:space="preserve">, </w:t>
      </w:r>
      <w:r w:rsidR="009D6964">
        <w:t xml:space="preserve">I believe that </w:t>
      </w:r>
      <w:r w:rsidR="039CB07F">
        <w:t xml:space="preserve">this projection faces </w:t>
      </w:r>
      <w:r w:rsidR="4A7254DD">
        <w:t xml:space="preserve">a similar </w:t>
      </w:r>
      <w:r w:rsidR="039CB07F">
        <w:t xml:space="preserve">risk </w:t>
      </w:r>
      <w:r w:rsidR="28B06C36">
        <w:t xml:space="preserve">as </w:t>
      </w:r>
      <w:r w:rsidR="039CB07F">
        <w:t xml:space="preserve">all projections </w:t>
      </w:r>
      <w:r w:rsidR="11E285F2">
        <w:t>since 2019</w:t>
      </w:r>
      <w:r w:rsidR="2CC5813E">
        <w:t xml:space="preserve">, </w:t>
      </w:r>
      <w:r w:rsidR="779EA09B">
        <w:t>t</w:t>
      </w:r>
      <w:r w:rsidR="11E285F2">
        <w:t>hat is</w:t>
      </w:r>
      <w:r w:rsidR="2BC9CB40">
        <w:t>,</w:t>
      </w:r>
      <w:r w:rsidR="11E285F2">
        <w:t xml:space="preserve"> that the assumed moderation does not materialise</w:t>
      </w:r>
      <w:r w:rsidR="3A752032">
        <w:t xml:space="preserve">. </w:t>
      </w:r>
      <w:r w:rsidR="2BBE093A">
        <w:t xml:space="preserve">Until </w:t>
      </w:r>
      <w:r w:rsidR="6EE56307">
        <w:t xml:space="preserve">the assumed moderating experience shows a greater presence in the data, </w:t>
      </w:r>
      <w:r w:rsidR="00B74F4A">
        <w:t xml:space="preserve">there remains a risk that the Baseline projection understates what might occur, in the absence of </w:t>
      </w:r>
      <w:r w:rsidR="68DB188B">
        <w:t>B</w:t>
      </w:r>
      <w:r w:rsidR="00B74F4A">
        <w:t>udget initiatives</w:t>
      </w:r>
      <w:r w:rsidR="2BBE093A">
        <w:t xml:space="preserve">. </w:t>
      </w:r>
    </w:p>
    <w:p w14:paraId="7468FE11" w14:textId="2711F504" w:rsidR="00F559EB" w:rsidRPr="002539D7" w:rsidRDefault="00E15F5F" w:rsidP="00EE2887">
      <w:pPr>
        <w:spacing w:after="320"/>
      </w:pPr>
      <w:r>
        <w:lastRenderedPageBreak/>
        <w:t xml:space="preserve">The Baseline projection is then adjusted for a range of initiatives funded in the </w:t>
      </w:r>
      <w:r w:rsidR="0CBFDC6F">
        <w:t>B</w:t>
      </w:r>
      <w:r>
        <w:t xml:space="preserve">udget. </w:t>
      </w:r>
      <w:r w:rsidR="002B2068">
        <w:t xml:space="preserve">I understand that the </w:t>
      </w:r>
      <w:r w:rsidR="00E5103E">
        <w:t xml:space="preserve">assumptions underpinning </w:t>
      </w:r>
      <w:r>
        <w:t>these initiatives</w:t>
      </w:r>
      <w:r w:rsidR="002B2068">
        <w:t xml:space="preserve"> were </w:t>
      </w:r>
      <w:r w:rsidR="00B07E97">
        <w:t xml:space="preserve">set after discussions between Agency management and the Scheme Actuary. </w:t>
      </w:r>
      <w:r w:rsidR="00665954">
        <w:t xml:space="preserve">Whilst </w:t>
      </w:r>
      <w:r w:rsidR="002B2068">
        <w:t>I have re</w:t>
      </w:r>
      <w:r w:rsidR="00665954">
        <w:t xml:space="preserve">viewed calculations underpinning the adjustments, I have not reviewed the specific assumptions </w:t>
      </w:r>
      <w:r w:rsidR="00F14F40">
        <w:t xml:space="preserve">underpinning the adjustments. </w:t>
      </w:r>
      <w:r w:rsidR="00EB2897">
        <w:t xml:space="preserve">Funding for the initiatives was provided in the </w:t>
      </w:r>
      <w:r w:rsidR="3A4A7D4F">
        <w:t>B</w:t>
      </w:r>
      <w:r w:rsidR="00EB2897">
        <w:t xml:space="preserve">udget over the next four years. </w:t>
      </w:r>
      <w:r w:rsidR="005876F6">
        <w:t xml:space="preserve">The </w:t>
      </w:r>
      <w:r w:rsidR="009E5DC6">
        <w:t xml:space="preserve">initiatives are projected to provide an enduring </w:t>
      </w:r>
      <w:r w:rsidR="005E1FC5">
        <w:t xml:space="preserve">reduction in </w:t>
      </w:r>
      <w:r w:rsidR="103B5778">
        <w:t>s</w:t>
      </w:r>
      <w:r w:rsidR="005E1FC5">
        <w:t xml:space="preserve">cheme experience. The Agency should satisfy itself that </w:t>
      </w:r>
      <w:r w:rsidR="004C2A8D">
        <w:t>these initiatives will create an enduring change, after funding has ceased.</w:t>
      </w:r>
    </w:p>
    <w:p w14:paraId="627510C2" w14:textId="75BDFC16" w:rsidR="00187A2E" w:rsidRDefault="00187A2E" w:rsidP="1B17616D">
      <w:pPr>
        <w:keepLines/>
      </w:pPr>
      <w:r>
        <w:t xml:space="preserve">To the extent that these projections are used as a starting point for considering progress against the </w:t>
      </w:r>
      <w:r w:rsidR="00A95938">
        <w:t>NDIS Financial Sustainability Framework, care needs to be take</w:t>
      </w:r>
      <w:r w:rsidR="005655C2">
        <w:t xml:space="preserve">n to consider the areas where </w:t>
      </w:r>
      <w:r w:rsidR="0B566778">
        <w:t>s</w:t>
      </w:r>
      <w:r w:rsidR="005655C2">
        <w:t>cheme experience</w:t>
      </w:r>
      <w:r w:rsidR="00A95938">
        <w:t xml:space="preserve"> </w:t>
      </w:r>
      <w:r w:rsidR="005655C2">
        <w:t>is assumed to moderate</w:t>
      </w:r>
      <w:r w:rsidR="003B1504">
        <w:t xml:space="preserve">. </w:t>
      </w:r>
      <w:r w:rsidR="009F333C">
        <w:t>T</w:t>
      </w:r>
      <w:r w:rsidR="003B1504">
        <w:t>he extent to which assumed moderation does not materialise</w:t>
      </w:r>
      <w:r w:rsidR="009F333C">
        <w:t xml:space="preserve"> </w:t>
      </w:r>
      <w:r w:rsidR="003B1504">
        <w:t>widen</w:t>
      </w:r>
      <w:r w:rsidR="009F333C">
        <w:t>s</w:t>
      </w:r>
      <w:r w:rsidR="003B1504">
        <w:t xml:space="preserve"> the gap between actual </w:t>
      </w:r>
      <w:r w:rsidR="00970B97">
        <w:t xml:space="preserve">future </w:t>
      </w:r>
      <w:r w:rsidR="003B1504">
        <w:t>expenditure and the target.</w:t>
      </w:r>
    </w:p>
    <w:p w14:paraId="5EAF1BBE" w14:textId="3DAE6D10" w:rsidR="00666758" w:rsidRDefault="00666758" w:rsidP="005875AF">
      <w:pPr>
        <w:keepNext/>
        <w:keepLines/>
        <w:spacing w:after="0"/>
      </w:pPr>
      <w:r w:rsidRPr="006B7D41">
        <w:t>Yours sincerely</w:t>
      </w:r>
      <w:bookmarkEnd w:id="0"/>
    </w:p>
    <w:p w14:paraId="5E47817E" w14:textId="77777777" w:rsidR="005C0EAC" w:rsidRPr="006B7D41" w:rsidRDefault="005C0EAC" w:rsidP="005875AF">
      <w:pPr>
        <w:keepNext/>
        <w:keepLines/>
        <w:spacing w:after="0"/>
      </w:pPr>
    </w:p>
    <w:p w14:paraId="75708DAF" w14:textId="3335962C" w:rsidR="00BC032B" w:rsidRPr="006B7D41" w:rsidRDefault="005C0EAC" w:rsidP="005875AF">
      <w:pPr>
        <w:keepNext/>
        <w:keepLines/>
        <w:spacing w:after="0"/>
      </w:pPr>
      <w:r>
        <w:rPr>
          <w:noProof/>
        </w:rPr>
        <w:drawing>
          <wp:inline distT="0" distB="0" distL="0" distR="0" wp14:anchorId="29CED53A" wp14:editId="4EAA8AE3">
            <wp:extent cx="2407920" cy="64312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7920" cy="643128"/>
                    </a:xfrm>
                    <a:prstGeom prst="rect">
                      <a:avLst/>
                    </a:prstGeom>
                  </pic:spPr>
                </pic:pic>
              </a:graphicData>
            </a:graphic>
          </wp:inline>
        </w:drawing>
      </w:r>
    </w:p>
    <w:p w14:paraId="5FB96218" w14:textId="12388281" w:rsidR="00666758" w:rsidRPr="006B7D41" w:rsidRDefault="00666758" w:rsidP="005875AF">
      <w:pPr>
        <w:keepNext/>
        <w:keepLines/>
        <w:spacing w:after="0"/>
      </w:pPr>
    </w:p>
    <w:p w14:paraId="034120D6" w14:textId="65F50B5B" w:rsidR="00C4469F" w:rsidRPr="006B7D41" w:rsidRDefault="00666758" w:rsidP="00666758">
      <w:pPr>
        <w:pStyle w:val="AddressBlock"/>
      </w:pPr>
      <w:r w:rsidRPr="006B7D41">
        <w:t>Guy Thorburn</w:t>
      </w:r>
    </w:p>
    <w:p w14:paraId="512E5C23" w14:textId="143EC2BC" w:rsidR="005E44F9" w:rsidRPr="006B7D41" w:rsidRDefault="00666758" w:rsidP="00971ADE">
      <w:pPr>
        <w:pStyle w:val="AddressBlock"/>
      </w:pPr>
      <w:r>
        <w:t>Australian Government Actuary</w:t>
      </w:r>
    </w:p>
    <w:p w14:paraId="435012ED" w14:textId="155E2E9E" w:rsidR="07B0E002" w:rsidRDefault="07B0E002">
      <w:r>
        <w:br w:type="page"/>
      </w:r>
    </w:p>
    <w:p w14:paraId="3C072837" w14:textId="6DD35A09" w:rsidR="005E44F9" w:rsidRPr="006B7D41" w:rsidRDefault="778F6372" w:rsidP="005E44F9">
      <w:pPr>
        <w:pStyle w:val="Heading1"/>
      </w:pPr>
      <w:bookmarkStart w:id="10" w:name="_Ref143784172"/>
      <w:r>
        <w:lastRenderedPageBreak/>
        <w:t>Attachment A: Distribution of new entrants</w:t>
      </w:r>
      <w:bookmarkEnd w:id="10"/>
      <w:r w:rsidR="7FD0CD9A">
        <w:t xml:space="preserve"> in the </w:t>
      </w:r>
      <w:r w:rsidR="002F2DB0">
        <w:t>B</w:t>
      </w:r>
      <w:r w:rsidR="7FD0CD9A">
        <w:t>aseline projection</w:t>
      </w:r>
    </w:p>
    <w:p w14:paraId="599F67D5" w14:textId="535F2A4C" w:rsidR="005E44F9" w:rsidRPr="006B7D41" w:rsidRDefault="005E44F9" w:rsidP="005E44F9">
      <w:pPr>
        <w:pStyle w:val="Heading2"/>
      </w:pPr>
      <w:r w:rsidRPr="006B7D41">
        <w:t>Distribution by age</w:t>
      </w:r>
    </w:p>
    <w:p w14:paraId="31548275" w14:textId="15ADE30E" w:rsidR="00FF26BD" w:rsidRDefault="00FF26BD" w:rsidP="00A75E6A">
      <w:pPr>
        <w:pStyle w:val="Heading3"/>
      </w:pPr>
      <w:r>
        <w:t>Actual and expected experience</w:t>
      </w:r>
      <w:r w:rsidR="00A75E6A">
        <w:t>.</w:t>
      </w:r>
    </w:p>
    <w:p w14:paraId="05065B02" w14:textId="1B61AE31" w:rsidR="0061455A" w:rsidRPr="009A3E76" w:rsidRDefault="00EE212F" w:rsidP="005E44F9">
      <w:pPr>
        <w:spacing w:after="320"/>
      </w:pPr>
      <w:r>
        <w:t>T</w:t>
      </w:r>
      <w:r w:rsidR="00E45BF6" w:rsidRPr="009A3E76">
        <w:t xml:space="preserve">he number of new entrants </w:t>
      </w:r>
      <w:r w:rsidR="005B3D8D">
        <w:t xml:space="preserve">in 2022-23 </w:t>
      </w:r>
      <w:r w:rsidR="00E45BF6" w:rsidRPr="009A3E76">
        <w:t xml:space="preserve">exceeded that which was expected by </w:t>
      </w:r>
      <w:r w:rsidR="00FB6EEF">
        <w:t xml:space="preserve">almost </w:t>
      </w:r>
      <w:r w:rsidR="00A864CB" w:rsidRPr="009A3E76">
        <w:t xml:space="preserve">16,000 </w:t>
      </w:r>
      <w:r>
        <w:t>p</w:t>
      </w:r>
      <w:r w:rsidR="00A864CB" w:rsidRPr="009A3E76">
        <w:t xml:space="preserve">articipants. </w:t>
      </w:r>
      <w:r w:rsidR="00E75A3E" w:rsidRPr="009A3E76">
        <w:fldChar w:fldCharType="begin"/>
      </w:r>
      <w:r w:rsidR="00E75A3E" w:rsidRPr="009A3E76">
        <w:instrText xml:space="preserve"> REF _Ref140579735 \h </w:instrText>
      </w:r>
      <w:r w:rsidR="009A3E76">
        <w:instrText xml:space="preserve"> \* MERGEFORMAT </w:instrText>
      </w:r>
      <w:r w:rsidR="00E75A3E" w:rsidRPr="009A3E76">
        <w:fldChar w:fldCharType="separate"/>
      </w:r>
      <w:r w:rsidR="00D85365">
        <w:t xml:space="preserve">Figure </w:t>
      </w:r>
      <w:r w:rsidR="00D85365">
        <w:rPr>
          <w:noProof/>
        </w:rPr>
        <w:t>7</w:t>
      </w:r>
      <w:r w:rsidR="00E75A3E" w:rsidRPr="009A3E76">
        <w:fldChar w:fldCharType="end"/>
      </w:r>
      <w:r w:rsidR="00E75A3E" w:rsidRPr="009A3E76">
        <w:t xml:space="preserve"> shows that </w:t>
      </w:r>
      <w:r w:rsidRPr="009A3E76">
        <w:t>most of</w:t>
      </w:r>
      <w:r w:rsidR="00E75A3E" w:rsidRPr="009A3E76">
        <w:t xml:space="preserve"> these additional new </w:t>
      </w:r>
      <w:r w:rsidR="009A3E76" w:rsidRPr="009A3E76">
        <w:t xml:space="preserve">participants were under the </w:t>
      </w:r>
      <w:r w:rsidRPr="009A3E76">
        <w:t>age</w:t>
      </w:r>
      <w:r w:rsidR="009A3E76" w:rsidRPr="009A3E76">
        <w:t xml:space="preserve"> of 14. </w:t>
      </w:r>
    </w:p>
    <w:p w14:paraId="15497A98" w14:textId="2D863BA8" w:rsidR="00CE1FA8" w:rsidRPr="00BD4D24" w:rsidRDefault="00CE1FA8" w:rsidP="00CE1FA8">
      <w:pPr>
        <w:pStyle w:val="Caption"/>
      </w:pPr>
      <w:bookmarkStart w:id="11" w:name="_Ref140579735"/>
      <w:r>
        <w:t xml:space="preserve">Figure </w:t>
      </w:r>
      <w:r>
        <w:fldChar w:fldCharType="begin"/>
      </w:r>
      <w:r>
        <w:instrText>SEQ Figure \* ARABIC</w:instrText>
      </w:r>
      <w:r>
        <w:fldChar w:fldCharType="separate"/>
      </w:r>
      <w:r w:rsidR="00D85365">
        <w:rPr>
          <w:noProof/>
        </w:rPr>
        <w:t>7</w:t>
      </w:r>
      <w:r>
        <w:fldChar w:fldCharType="end"/>
      </w:r>
      <w:bookmarkEnd w:id="11"/>
      <w:r>
        <w:t xml:space="preserve">: Actual and </w:t>
      </w:r>
      <w:r w:rsidRPr="00BD4D24">
        <w:t>expected new entrants by age</w:t>
      </w:r>
      <w:r w:rsidR="00FB6EEF">
        <w:t>.</w:t>
      </w:r>
    </w:p>
    <w:p w14:paraId="0E009581" w14:textId="4E5CE192" w:rsidR="00CE1FA8" w:rsidRPr="00B00340" w:rsidRDefault="00861C0B" w:rsidP="00CE1FA8">
      <w:r>
        <w:rPr>
          <w:noProof/>
        </w:rPr>
        <w:drawing>
          <wp:inline distT="0" distB="0" distL="0" distR="0" wp14:anchorId="74CDF066" wp14:editId="1F9C6860">
            <wp:extent cx="5651500" cy="27559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1500" cy="2755900"/>
                    </a:xfrm>
                    <a:prstGeom prst="rect">
                      <a:avLst/>
                    </a:prstGeom>
                    <a:noFill/>
                  </pic:spPr>
                </pic:pic>
              </a:graphicData>
            </a:graphic>
          </wp:inline>
        </w:drawing>
      </w:r>
    </w:p>
    <w:p w14:paraId="6C8C0631" w14:textId="535663B1" w:rsidR="00B45FC0" w:rsidRDefault="0061455A" w:rsidP="005E44F9">
      <w:pPr>
        <w:spacing w:after="320"/>
      </w:pPr>
      <w:r>
        <w:fldChar w:fldCharType="begin"/>
      </w:r>
      <w:r>
        <w:instrText xml:space="preserve"> REF _Ref110501668 \h  \* MERGEFORMAT </w:instrText>
      </w:r>
      <w:r>
        <w:fldChar w:fldCharType="separate"/>
      </w:r>
      <w:r w:rsidR="00D85365">
        <w:t xml:space="preserve">Figure </w:t>
      </w:r>
      <w:r w:rsidR="00D85365">
        <w:rPr>
          <w:noProof/>
        </w:rPr>
        <w:t>8</w:t>
      </w:r>
      <w:r>
        <w:fldChar w:fldCharType="end"/>
      </w:r>
      <w:r>
        <w:t xml:space="preserve"> </w:t>
      </w:r>
      <w:r w:rsidR="000042DD">
        <w:t>sets out the trend</w:t>
      </w:r>
      <w:r w:rsidR="00A92B6A">
        <w:t>s</w:t>
      </w:r>
      <w:r w:rsidR="000042DD">
        <w:t xml:space="preserve"> in </w:t>
      </w:r>
      <w:r>
        <w:t xml:space="preserve">actual and projected numbers of new entrants </w:t>
      </w:r>
      <w:r w:rsidR="004A5AA3">
        <w:t xml:space="preserve">by age, </w:t>
      </w:r>
      <w:r>
        <w:t>for this</w:t>
      </w:r>
      <w:r w:rsidR="00185584">
        <w:t xml:space="preserve"> </w:t>
      </w:r>
      <w:r w:rsidR="000822A2">
        <w:t>projection and</w:t>
      </w:r>
      <w:r w:rsidR="002626DE">
        <w:t xml:space="preserve"> </w:t>
      </w:r>
      <w:r w:rsidR="0088180F">
        <w:t xml:space="preserve">as projected in </w:t>
      </w:r>
      <w:r w:rsidR="002626DE">
        <w:t xml:space="preserve">the prior </w:t>
      </w:r>
      <w:r>
        <w:t xml:space="preserve">FSR. </w:t>
      </w:r>
    </w:p>
    <w:p w14:paraId="7D9C95DA" w14:textId="2C5909AB" w:rsidR="00F35BC2" w:rsidRDefault="00154409" w:rsidP="005E44F9">
      <w:pPr>
        <w:spacing w:after="320"/>
      </w:pPr>
      <w:r>
        <w:t xml:space="preserve">New entrant projections are framed by the hypothesis that there </w:t>
      </w:r>
      <w:r w:rsidR="00C215A0">
        <w:t xml:space="preserve">is </w:t>
      </w:r>
      <w:r>
        <w:t xml:space="preserve">a small number </w:t>
      </w:r>
      <w:r w:rsidR="00C215A0">
        <w:t xml:space="preserve">of </w:t>
      </w:r>
      <w:r w:rsidR="00420DF1">
        <w:t xml:space="preserve">people </w:t>
      </w:r>
      <w:r w:rsidR="0043373F">
        <w:t xml:space="preserve">in the wider community with </w:t>
      </w:r>
      <w:r w:rsidR="00420DF1">
        <w:t xml:space="preserve">a </w:t>
      </w:r>
      <w:r w:rsidR="009F1CE7">
        <w:t>previously unmet need</w:t>
      </w:r>
      <w:r w:rsidR="00970B97">
        <w:t xml:space="preserve"> (</w:t>
      </w:r>
      <w:r w:rsidR="3B987A01">
        <w:t>PUN</w:t>
      </w:r>
      <w:r w:rsidR="009F1CE7">
        <w:t>)</w:t>
      </w:r>
      <w:r w:rsidR="00F2467E">
        <w:t xml:space="preserve">. </w:t>
      </w:r>
      <w:r w:rsidR="00690205">
        <w:t xml:space="preserve">Broadly, a </w:t>
      </w:r>
      <w:r w:rsidR="00F2467E">
        <w:t xml:space="preserve">new participant is considered to have a PUN if they have not approached the scheme within 12-months </w:t>
      </w:r>
      <w:r w:rsidR="00854796">
        <w:t xml:space="preserve">of a recent event that </w:t>
      </w:r>
      <w:r w:rsidR="00793158">
        <w:t>contribute</w:t>
      </w:r>
      <w:r w:rsidR="001B1472">
        <w:t>s</w:t>
      </w:r>
      <w:r w:rsidR="00793158">
        <w:t xml:space="preserve"> to their </w:t>
      </w:r>
      <w:r w:rsidR="00854796">
        <w:t>eligib</w:t>
      </w:r>
      <w:r w:rsidR="00793158">
        <w:t>ility</w:t>
      </w:r>
      <w:r w:rsidR="00854796">
        <w:t xml:space="preserve">. </w:t>
      </w:r>
      <w:r w:rsidR="00690205">
        <w:t xml:space="preserve">In other words, this group are slower to approach the scheme after a change in circumstances than others. </w:t>
      </w:r>
      <w:r w:rsidR="00F2467E">
        <w:t xml:space="preserve">It is assumed that all people in this category </w:t>
      </w:r>
      <w:r w:rsidR="0043373F">
        <w:t xml:space="preserve">will join over the next three years. </w:t>
      </w:r>
    </w:p>
    <w:p w14:paraId="672FBE50" w14:textId="3E8F9B38" w:rsidR="007D175A" w:rsidRDefault="0043373F" w:rsidP="005E44F9">
      <w:pPr>
        <w:spacing w:after="320"/>
      </w:pPr>
      <w:r>
        <w:t xml:space="preserve">After </w:t>
      </w:r>
      <w:r w:rsidR="00C3383C">
        <w:t>three years</w:t>
      </w:r>
      <w:r w:rsidR="00C215A0">
        <w:t xml:space="preserve">, new entrant numbers will be lower, reflecting </w:t>
      </w:r>
      <w:r w:rsidR="00530464">
        <w:t xml:space="preserve">the incidence rate currently observed </w:t>
      </w:r>
      <w:r w:rsidR="00F35BC2">
        <w:t xml:space="preserve">of people who are joining the scheme within 12 months of the most recent event </w:t>
      </w:r>
      <w:r w:rsidR="007D175A">
        <w:t>contributing to their eligibility</w:t>
      </w:r>
      <w:r w:rsidR="00C215A0">
        <w:t>.</w:t>
      </w:r>
      <w:r w:rsidR="00D45142">
        <w:t xml:space="preserve"> </w:t>
      </w:r>
    </w:p>
    <w:p w14:paraId="3C6F79FF" w14:textId="7CEE90A3" w:rsidR="005E44F9" w:rsidRDefault="003B1FC9" w:rsidP="005E44F9">
      <w:pPr>
        <w:spacing w:after="320"/>
      </w:pPr>
      <w:r>
        <w:t>In reviewing the model, i</w:t>
      </w:r>
      <w:r w:rsidR="00D45142">
        <w:t xml:space="preserve">t is important to consider </w:t>
      </w:r>
      <w:r w:rsidR="00C97D8F">
        <w:t xml:space="preserve">how </w:t>
      </w:r>
      <w:r>
        <w:t xml:space="preserve">both </w:t>
      </w:r>
      <w:r w:rsidR="00D45142">
        <w:t xml:space="preserve">the assumptions adopted and </w:t>
      </w:r>
      <w:r w:rsidR="00C97D8F">
        <w:t xml:space="preserve">the underlying </w:t>
      </w:r>
      <w:r w:rsidR="00D45142">
        <w:t>hypothesis is supported</w:t>
      </w:r>
      <w:r w:rsidR="00C97D8F">
        <w:t>.</w:t>
      </w:r>
    </w:p>
    <w:p w14:paraId="1BA7ECE7" w14:textId="085BDB15" w:rsidR="005E44F9" w:rsidRPr="00B00340" w:rsidRDefault="005E44F9" w:rsidP="005E44F9">
      <w:pPr>
        <w:pStyle w:val="Caption"/>
      </w:pPr>
      <w:bookmarkStart w:id="12" w:name="_Ref110501668"/>
      <w:r>
        <w:lastRenderedPageBreak/>
        <w:t xml:space="preserve">Figure </w:t>
      </w:r>
      <w:r>
        <w:fldChar w:fldCharType="begin"/>
      </w:r>
      <w:r>
        <w:instrText>SEQ Figure \* ARABIC</w:instrText>
      </w:r>
      <w:r>
        <w:fldChar w:fldCharType="separate"/>
      </w:r>
      <w:r w:rsidR="00D85365">
        <w:rPr>
          <w:noProof/>
        </w:rPr>
        <w:t>8</w:t>
      </w:r>
      <w:r>
        <w:fldChar w:fldCharType="end"/>
      </w:r>
      <w:bookmarkEnd w:id="12"/>
      <w:r>
        <w:t>: Actual and projected new entrants by age</w:t>
      </w:r>
      <w:r w:rsidR="00BB4900">
        <w:t>.</w:t>
      </w:r>
    </w:p>
    <w:p w14:paraId="1438156A" w14:textId="645880CB" w:rsidR="005E44F9" w:rsidRPr="00B00340" w:rsidRDefault="00712547" w:rsidP="005E44F9">
      <w:pPr>
        <w:spacing w:after="320"/>
      </w:pPr>
      <w:r>
        <w:rPr>
          <w:noProof/>
        </w:rPr>
        <w:drawing>
          <wp:inline distT="0" distB="0" distL="0" distR="0" wp14:anchorId="2D51530A" wp14:editId="780148F3">
            <wp:extent cx="5669915" cy="3902075"/>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9915" cy="3902075"/>
                    </a:xfrm>
                    <a:prstGeom prst="rect">
                      <a:avLst/>
                    </a:prstGeom>
                    <a:noFill/>
                  </pic:spPr>
                </pic:pic>
              </a:graphicData>
            </a:graphic>
          </wp:inline>
        </w:drawing>
      </w:r>
    </w:p>
    <w:p w14:paraId="22ABB39B" w14:textId="77777777" w:rsidR="00A2164D" w:rsidRDefault="00A2164D" w:rsidP="00A2164D">
      <w:pPr>
        <w:pStyle w:val="Heading3"/>
      </w:pPr>
      <w:r>
        <w:t>New entrants, age 0-6.</w:t>
      </w:r>
    </w:p>
    <w:p w14:paraId="3FAB4D83" w14:textId="113FF573" w:rsidR="00A2164D" w:rsidRDefault="00163D04" w:rsidP="00A2164D">
      <w:pPr>
        <w:spacing w:after="320"/>
      </w:pPr>
      <w:r>
        <w:t>N</w:t>
      </w:r>
      <w:r w:rsidR="00A2164D">
        <w:t>ew entrants aged 0-6 have grown substantially over the last three years and were significantly above that which was expected in last year’s FSR (50%)</w:t>
      </w:r>
      <w:r w:rsidR="1C55664F">
        <w:t>.</w:t>
      </w:r>
      <w:r w:rsidR="00A2164D">
        <w:t xml:space="preserve"> </w:t>
      </w:r>
      <w:r w:rsidR="507CCEB3">
        <w:t>T</w:t>
      </w:r>
      <w:r w:rsidR="00A2164D">
        <w:t xml:space="preserve">he projected number of new entrants aged 0-6 has been increased from the numbers included in the previous FSR. However, </w:t>
      </w:r>
      <w:r w:rsidR="00773610">
        <w:t>no further growth is assumed</w:t>
      </w:r>
      <w:r w:rsidR="00A2164D">
        <w:t>.</w:t>
      </w:r>
      <w:r w:rsidR="004E5833">
        <w:t xml:space="preserve"> </w:t>
      </w:r>
      <w:r w:rsidR="00934BFF">
        <w:t xml:space="preserve">This has been attributed </w:t>
      </w:r>
      <w:r w:rsidR="003D2F06">
        <w:t xml:space="preserve">to improvements in early childhood intervention. </w:t>
      </w:r>
      <w:r w:rsidR="00095C41">
        <w:t>Nevertheless, a</w:t>
      </w:r>
      <w:r w:rsidR="004E5833">
        <w:t xml:space="preserve">s </w:t>
      </w:r>
      <w:r w:rsidR="00A2164D">
        <w:t>new entrant numbers aged 0-6 are yet to stabilise</w:t>
      </w:r>
      <w:r w:rsidR="0064174A">
        <w:t>, t</w:t>
      </w:r>
      <w:r w:rsidR="00A2164D">
        <w:t xml:space="preserve">here is a risk that this projection will understate the actual numbers of future new entrants aged 0-6. </w:t>
      </w:r>
    </w:p>
    <w:p w14:paraId="29C9837E" w14:textId="294D6479" w:rsidR="00A2164D" w:rsidRDefault="00A2164D" w:rsidP="00A2164D">
      <w:pPr>
        <w:spacing w:after="320"/>
      </w:pPr>
      <w:r>
        <w:t xml:space="preserve">It is recommended the Scheme Actuary consider if </w:t>
      </w:r>
      <w:r w:rsidR="00D7742A">
        <w:t xml:space="preserve">further </w:t>
      </w:r>
      <w:r>
        <w:t xml:space="preserve">data </w:t>
      </w:r>
      <w:r w:rsidR="00D7742A">
        <w:t xml:space="preserve">could </w:t>
      </w:r>
      <w:r w:rsidR="000171DD">
        <w:t xml:space="preserve">be </w:t>
      </w:r>
      <w:r w:rsidR="000361E0">
        <w:t xml:space="preserve">obtained </w:t>
      </w:r>
      <w:r w:rsidR="00095C41">
        <w:t xml:space="preserve">to better </w:t>
      </w:r>
      <w:r w:rsidR="00D7742A">
        <w:t xml:space="preserve">inform </w:t>
      </w:r>
      <w:r w:rsidR="00AF238F">
        <w:t xml:space="preserve">the expected maturity of incidence rates at young ages. </w:t>
      </w:r>
    </w:p>
    <w:p w14:paraId="0822CC58" w14:textId="72808A18" w:rsidR="009E024A" w:rsidRDefault="009E024A" w:rsidP="009E024A">
      <w:pPr>
        <w:pStyle w:val="Heading3"/>
      </w:pPr>
      <w:r>
        <w:t>New entrants, age 7-14.</w:t>
      </w:r>
    </w:p>
    <w:p w14:paraId="32371627" w14:textId="542B5CA6" w:rsidR="00F5062C" w:rsidRDefault="152F40A8" w:rsidP="00382574">
      <w:pPr>
        <w:spacing w:after="320"/>
      </w:pPr>
      <w:r>
        <w:t>T</w:t>
      </w:r>
      <w:r w:rsidR="00382574">
        <w:t xml:space="preserve">he numbers of new entrants </w:t>
      </w:r>
      <w:proofErr w:type="gramStart"/>
      <w:r w:rsidR="00382574">
        <w:t>age</w:t>
      </w:r>
      <w:proofErr w:type="gramEnd"/>
      <w:r w:rsidR="00382574">
        <w:t xml:space="preserve"> 7-14 </w:t>
      </w:r>
      <w:r w:rsidR="6EAD11C2">
        <w:t xml:space="preserve">have been </w:t>
      </w:r>
      <w:r w:rsidR="002F207B">
        <w:t>relatively</w:t>
      </w:r>
      <w:r w:rsidR="6EAD11C2">
        <w:t xml:space="preserve"> stable over the last three years at around 15,000 per year</w:t>
      </w:r>
      <w:r w:rsidR="00382574">
        <w:t xml:space="preserve">. New entrants in this age group are assumed to </w:t>
      </w:r>
      <w:r w:rsidR="33B604E8">
        <w:t xml:space="preserve">continue at </w:t>
      </w:r>
      <w:r w:rsidR="00B056A6">
        <w:t xml:space="preserve">a similar </w:t>
      </w:r>
      <w:r w:rsidR="33B604E8">
        <w:t xml:space="preserve">level </w:t>
      </w:r>
      <w:r w:rsidR="001D486B">
        <w:t xml:space="preserve">to 2022-23 </w:t>
      </w:r>
      <w:r w:rsidR="33B604E8">
        <w:t>for the next two years</w:t>
      </w:r>
      <w:r w:rsidR="00382574">
        <w:t>, before tapering towards a lower longer term new incidence rate.</w:t>
      </w:r>
      <w:r w:rsidR="00280BF8">
        <w:t xml:space="preserve"> For this age group, long term new incidence rates are </w:t>
      </w:r>
      <w:proofErr w:type="gramStart"/>
      <w:r w:rsidR="00280BF8">
        <w:t>similar to</w:t>
      </w:r>
      <w:proofErr w:type="gramEnd"/>
      <w:r w:rsidR="00280BF8">
        <w:t xml:space="preserve"> those used in the</w:t>
      </w:r>
      <w:r w:rsidR="00F5062C">
        <w:t xml:space="preserve"> 2022 FSR.</w:t>
      </w:r>
      <w:r w:rsidR="00382574">
        <w:t xml:space="preserve"> </w:t>
      </w:r>
    </w:p>
    <w:p w14:paraId="0CEE5C31" w14:textId="03D668E4" w:rsidR="00382574" w:rsidRPr="00656EC2" w:rsidRDefault="001433FD" w:rsidP="0017483D">
      <w:pPr>
        <w:spacing w:after="320"/>
        <w:rPr>
          <w:i/>
          <w:iCs/>
        </w:rPr>
      </w:pPr>
      <w:r w:rsidRPr="001433FD">
        <w:t xml:space="preserve">The Baseline projection assumes around </w:t>
      </w:r>
      <w:r>
        <w:t>17</w:t>
      </w:r>
      <w:r w:rsidRPr="001433FD">
        <w:t>% of new participants in this aged group will have a PUN in 2023-24.</w:t>
      </w:r>
      <w:r>
        <w:t xml:space="preserve"> </w:t>
      </w:r>
      <w:r w:rsidR="0097745B">
        <w:t xml:space="preserve">This cohort of PUN new entrants is now assumed to taper to nil after three years. </w:t>
      </w:r>
      <w:r w:rsidR="00393089">
        <w:t xml:space="preserve">This is </w:t>
      </w:r>
      <w:r w:rsidR="00393089">
        <w:lastRenderedPageBreak/>
        <w:t>an increase on</w:t>
      </w:r>
      <w:r w:rsidR="007A5C57">
        <w:t xml:space="preserve"> the 2022 FSR, which assumed no further new entrants from this cohort from 2023-24 onwards. </w:t>
      </w:r>
      <w:r w:rsidR="00C00407">
        <w:t xml:space="preserve">The hypothesis that this </w:t>
      </w:r>
      <w:r w:rsidR="0097745B">
        <w:t xml:space="preserve">group </w:t>
      </w:r>
      <w:r w:rsidR="00C00407">
        <w:t xml:space="preserve">will reduce to zero after three </w:t>
      </w:r>
      <w:r w:rsidR="003415C9">
        <w:t>y</w:t>
      </w:r>
      <w:r w:rsidR="00C00407">
        <w:t xml:space="preserve">ears is </w:t>
      </w:r>
      <w:r w:rsidR="004872AC">
        <w:t>a matter of judgement</w:t>
      </w:r>
      <w:r w:rsidR="003415C9">
        <w:t>.</w:t>
      </w:r>
      <w:r w:rsidR="005E38B3">
        <w:t xml:space="preserve"> </w:t>
      </w:r>
      <w:r w:rsidR="00382574" w:rsidRPr="00A71234">
        <w:t xml:space="preserve">As this </w:t>
      </w:r>
      <w:r w:rsidR="008C1139">
        <w:t xml:space="preserve">reduction </w:t>
      </w:r>
      <w:r w:rsidR="00382574" w:rsidRPr="00A71234">
        <w:t xml:space="preserve">is </w:t>
      </w:r>
      <w:r w:rsidR="0028336D">
        <w:t>based solely on judgement</w:t>
      </w:r>
      <w:r w:rsidR="00382574" w:rsidRPr="00A71234">
        <w:t>, there is a risk this projection will understate the actual numbers of future new entrants</w:t>
      </w:r>
      <w:r w:rsidR="00A71234" w:rsidRPr="00A71234">
        <w:t xml:space="preserve"> in this age group</w:t>
      </w:r>
      <w:r w:rsidR="00382574" w:rsidRPr="00A71234">
        <w:t xml:space="preserve">. </w:t>
      </w:r>
    </w:p>
    <w:p w14:paraId="20954503" w14:textId="25420EE8" w:rsidR="00890BB7" w:rsidRDefault="00890BB7" w:rsidP="00890BB7">
      <w:pPr>
        <w:pStyle w:val="Heading3"/>
      </w:pPr>
      <w:r>
        <w:t>New entrants, age 15-64.</w:t>
      </w:r>
    </w:p>
    <w:p w14:paraId="4E22E949" w14:textId="77777777" w:rsidR="00347171" w:rsidRDefault="00FF26BD" w:rsidP="00C90483">
      <w:pPr>
        <w:spacing w:after="320"/>
      </w:pPr>
      <w:r>
        <w:t xml:space="preserve">New entrants aged 15-64 have been adjusted in the short term to reflect recent </w:t>
      </w:r>
      <w:r w:rsidR="002B1075">
        <w:t xml:space="preserve">higher </w:t>
      </w:r>
      <w:r>
        <w:t xml:space="preserve">experience, whilst tapering to lower longer term incidence rates </w:t>
      </w:r>
      <w:r w:rsidR="003B1A7D">
        <w:t>after three years</w:t>
      </w:r>
      <w:r>
        <w:t xml:space="preserve">. </w:t>
      </w:r>
    </w:p>
    <w:p w14:paraId="42A6BCA0" w14:textId="60320540" w:rsidR="001F137C" w:rsidRDefault="565DA3E9" w:rsidP="00C90483">
      <w:pPr>
        <w:spacing w:after="320"/>
      </w:pPr>
      <w:r>
        <w:t xml:space="preserve">Lower long term new incidence rates </w:t>
      </w:r>
      <w:r w:rsidR="41F18C50">
        <w:t xml:space="preserve">reduce the number of new entrants by around 5,000 per annum </w:t>
      </w:r>
      <w:r w:rsidR="3A0BDDC4">
        <w:t xml:space="preserve">compared with the previous FSR </w:t>
      </w:r>
      <w:r w:rsidR="41F18C50">
        <w:t xml:space="preserve">and </w:t>
      </w:r>
      <w:r>
        <w:t xml:space="preserve">act to lower the </w:t>
      </w:r>
      <w:r w:rsidR="69D545F7">
        <w:t>B</w:t>
      </w:r>
      <w:r>
        <w:t xml:space="preserve">aseline projection in the medium term. </w:t>
      </w:r>
    </w:p>
    <w:p w14:paraId="1F60C680" w14:textId="0A0FA06F" w:rsidR="001F137C" w:rsidRDefault="002F664E" w:rsidP="00C90483">
      <w:pPr>
        <w:spacing w:after="320"/>
      </w:pPr>
      <w:r>
        <w:t>The Scheme Actuary bases this reduction on the observation that (excluding participants with autism</w:t>
      </w:r>
      <w:r w:rsidR="5B860417">
        <w:t xml:space="preserve"> and developmental delay</w:t>
      </w:r>
      <w:r w:rsidR="00521C7D">
        <w:t>)</w:t>
      </w:r>
      <w:r>
        <w:t xml:space="preserve"> the number of new entrants age</w:t>
      </w:r>
      <w:r w:rsidR="3AD876B0">
        <w:t>d</w:t>
      </w:r>
      <w:r>
        <w:t xml:space="preserve"> 15-64 </w:t>
      </w:r>
      <w:r w:rsidR="00E1296C">
        <w:t xml:space="preserve">reduced by </w:t>
      </w:r>
      <w:r w:rsidR="0087140A">
        <w:t xml:space="preserve">around </w:t>
      </w:r>
      <w:r w:rsidR="00E62E2A">
        <w:t>18% per annum</w:t>
      </w:r>
      <w:r w:rsidR="00E1296C">
        <w:t xml:space="preserve"> in each of the last two years. </w:t>
      </w:r>
      <w:r w:rsidR="0011728F">
        <w:t>T</w:t>
      </w:r>
      <w:r w:rsidR="00E1296C">
        <w:t xml:space="preserve">his reduction </w:t>
      </w:r>
      <w:r w:rsidR="0011728F">
        <w:t xml:space="preserve">largely </w:t>
      </w:r>
      <w:r w:rsidR="00E1296C">
        <w:t xml:space="preserve">occurred </w:t>
      </w:r>
      <w:r w:rsidR="001F137C">
        <w:t>amongst</w:t>
      </w:r>
      <w:r w:rsidR="0011728F">
        <w:t xml:space="preserve"> </w:t>
      </w:r>
      <w:r w:rsidR="00E1296C">
        <w:t xml:space="preserve">participants with psychosocial disabilities. </w:t>
      </w:r>
    </w:p>
    <w:p w14:paraId="3836BA8B" w14:textId="7DE25237" w:rsidR="00383026" w:rsidRDefault="394D2CAB" w:rsidP="00C90483">
      <w:pPr>
        <w:spacing w:after="320"/>
      </w:pPr>
      <w:r>
        <w:t xml:space="preserve">The projected number of new entrants in these categories was reduced </w:t>
      </w:r>
      <w:r w:rsidR="544532E8">
        <w:t xml:space="preserve">by 18% </w:t>
      </w:r>
      <w:r w:rsidR="66B17E04">
        <w:t xml:space="preserve">for the </w:t>
      </w:r>
      <w:r>
        <w:t>2023-24</w:t>
      </w:r>
      <w:r w:rsidR="1C0E2AC7">
        <w:t xml:space="preserve"> projection year</w:t>
      </w:r>
      <w:r>
        <w:t xml:space="preserve">. The reduction </w:t>
      </w:r>
      <w:r w:rsidR="46D692EF">
        <w:t xml:space="preserve">for the </w:t>
      </w:r>
      <w:r>
        <w:t xml:space="preserve">2033-34 </w:t>
      </w:r>
      <w:r w:rsidR="4F2B9D6D">
        <w:t xml:space="preserve">projection year </w:t>
      </w:r>
      <w:r>
        <w:t xml:space="preserve">was 22%. </w:t>
      </w:r>
      <w:r w:rsidR="5463F645">
        <w:t>This has been spread across all disabilities (excluding autism</w:t>
      </w:r>
      <w:r w:rsidR="7C48AB74">
        <w:t xml:space="preserve"> and delay</w:t>
      </w:r>
      <w:r w:rsidR="5463F645">
        <w:t xml:space="preserve">). </w:t>
      </w:r>
      <w:r>
        <w:t xml:space="preserve">Whilst </w:t>
      </w:r>
      <w:r w:rsidR="3BE4B070">
        <w:t xml:space="preserve">there has been a </w:t>
      </w:r>
      <w:r w:rsidR="35AFF1D1">
        <w:t xml:space="preserve">material reduction in the number of new entrants over the last two years, the degree to which this will continue and </w:t>
      </w:r>
      <w:r>
        <w:t>how this might moderate is a matter of judgement</w:t>
      </w:r>
      <w:r w:rsidR="3E8CE432">
        <w:t>.</w:t>
      </w:r>
      <w:r w:rsidR="614A1505">
        <w:t xml:space="preserve"> </w:t>
      </w:r>
      <w:r w:rsidR="525D4347">
        <w:t xml:space="preserve">Further, </w:t>
      </w:r>
      <w:r w:rsidR="45033274">
        <w:t xml:space="preserve">reducing the projected number of new entrants across all disabilities, when the most significant reduction occurred </w:t>
      </w:r>
      <w:r w:rsidR="58A4D271">
        <w:t>in psychosocial disability</w:t>
      </w:r>
      <w:r w:rsidR="2AD113FA">
        <w:t>,</w:t>
      </w:r>
      <w:r w:rsidR="58A4D271">
        <w:t xml:space="preserve"> </w:t>
      </w:r>
      <w:r w:rsidR="5EFFA26A">
        <w:t>risks</w:t>
      </w:r>
      <w:r w:rsidR="2E0E5037">
        <w:t xml:space="preserve"> understat</w:t>
      </w:r>
      <w:r w:rsidR="5EFFA26A">
        <w:t>ing</w:t>
      </w:r>
      <w:r w:rsidR="2E0E5037">
        <w:t xml:space="preserve"> new entrants in </w:t>
      </w:r>
      <w:r w:rsidR="5EFFA26A">
        <w:t>some disabilities</w:t>
      </w:r>
      <w:r w:rsidR="18057282">
        <w:t xml:space="preserve">. </w:t>
      </w:r>
    </w:p>
    <w:p w14:paraId="5DD4D76D" w14:textId="6DEEF9C4" w:rsidR="00FF26BD" w:rsidRDefault="00FF26BD" w:rsidP="00205FEB">
      <w:r>
        <w:t xml:space="preserve">This year, the Scheme Actuary has </w:t>
      </w:r>
      <w:r w:rsidR="008D0353">
        <w:t xml:space="preserve">also </w:t>
      </w:r>
      <w:r>
        <w:t xml:space="preserve">formed a view that the current new entrant numbers at these ages include a significantly higher proportion of individuals with a PUN. </w:t>
      </w:r>
      <w:r w:rsidR="00205FEB">
        <w:t>T</w:t>
      </w:r>
      <w:r>
        <w:t xml:space="preserve">he assumption is then made that the number of participants with a PUN in the population is finite and such new entrants will reduce to nil </w:t>
      </w:r>
      <w:r w:rsidR="00EC0262">
        <w:t>after three years</w:t>
      </w:r>
      <w:r>
        <w:t xml:space="preserve">. The model provides for 19,915 new entrants with a PUN over the next three years. </w:t>
      </w:r>
    </w:p>
    <w:p w14:paraId="5E0974B3" w14:textId="7B23CCF2" w:rsidR="006D635D" w:rsidRDefault="00205CCC" w:rsidP="30278F55">
      <w:r>
        <w:t xml:space="preserve">There is a significant level of judgement </w:t>
      </w:r>
      <w:r w:rsidR="00F72985">
        <w:t>behind the hypothesis that the</w:t>
      </w:r>
      <w:r w:rsidR="00E1671F">
        <w:t>re</w:t>
      </w:r>
      <w:r w:rsidR="00F72985">
        <w:t xml:space="preserve"> </w:t>
      </w:r>
      <w:r w:rsidR="00E1671F">
        <w:t xml:space="preserve">will be no </w:t>
      </w:r>
      <w:r w:rsidR="00F72985">
        <w:t xml:space="preserve">new entrants </w:t>
      </w:r>
      <w:r w:rsidR="18393CB0">
        <w:t>with a</w:t>
      </w:r>
      <w:r w:rsidR="00F72985">
        <w:t xml:space="preserve"> PUN </w:t>
      </w:r>
      <w:r w:rsidR="00E1671F">
        <w:t xml:space="preserve">after three years. </w:t>
      </w:r>
      <w:r w:rsidR="000348AA">
        <w:t xml:space="preserve">I have not received </w:t>
      </w:r>
      <w:r w:rsidR="00970251">
        <w:t xml:space="preserve">any </w:t>
      </w:r>
      <w:r w:rsidR="000348AA">
        <w:t xml:space="preserve">analysis </w:t>
      </w:r>
      <w:r w:rsidR="00385199">
        <w:t>to support th</w:t>
      </w:r>
      <w:r w:rsidR="20B32005">
        <w:t>is</w:t>
      </w:r>
      <w:r w:rsidR="00385199">
        <w:t xml:space="preserve"> assumption</w:t>
      </w:r>
      <w:r w:rsidR="000058BB">
        <w:t xml:space="preserve">. </w:t>
      </w:r>
      <w:r w:rsidR="0071175D">
        <w:t xml:space="preserve">Defence Superannuation schemes </w:t>
      </w:r>
      <w:r w:rsidR="004426EE">
        <w:t xml:space="preserve">have a similar cohort of claimants. </w:t>
      </w:r>
      <w:r w:rsidR="005B4B2C">
        <w:t xml:space="preserve">The analogous cohort in these schemes submit retrospective invalidity claims. </w:t>
      </w:r>
      <w:r w:rsidR="0097795B">
        <w:t xml:space="preserve">The past decade has seen the number of such claims increase steadily, with some claims being made many decades after the incidence of the disability. </w:t>
      </w:r>
      <w:r w:rsidR="00C4688E">
        <w:t>P</w:t>
      </w:r>
      <w:r w:rsidR="001C5EB3">
        <w:t xml:space="preserve">revious assumptions </w:t>
      </w:r>
      <w:r w:rsidR="00C4688E">
        <w:t>that the numbers would reduce in the short term have consistently proven to be wrong.</w:t>
      </w:r>
      <w:r w:rsidR="00284F13">
        <w:t xml:space="preserve"> </w:t>
      </w:r>
      <w:r w:rsidR="004C4FB0">
        <w:t xml:space="preserve">If </w:t>
      </w:r>
      <w:r w:rsidR="00CF4FE4">
        <w:t>t</w:t>
      </w:r>
      <w:r w:rsidR="000F1182">
        <w:t xml:space="preserve">here can be significant delays between a disability occurring and the date a person </w:t>
      </w:r>
      <w:r w:rsidR="008619A3">
        <w:t>present</w:t>
      </w:r>
      <w:r w:rsidR="00D34004">
        <w:t>s</w:t>
      </w:r>
      <w:r w:rsidR="008619A3">
        <w:t xml:space="preserve"> to </w:t>
      </w:r>
      <w:r w:rsidR="000F1182">
        <w:t>the scheme</w:t>
      </w:r>
      <w:r w:rsidR="56DE21E1">
        <w:t>,</w:t>
      </w:r>
      <w:r w:rsidR="00936D8F">
        <w:t xml:space="preserve"> then it is possible the new entrants, currently considered as PUN, will persist </w:t>
      </w:r>
      <w:r w:rsidR="00B474D8">
        <w:t>beyond three years</w:t>
      </w:r>
      <w:r w:rsidR="00E857B6">
        <w:t>.</w:t>
      </w:r>
      <w:r w:rsidR="009005B5">
        <w:t xml:space="preserve"> </w:t>
      </w:r>
    </w:p>
    <w:p w14:paraId="25EBB86F" w14:textId="73CBB657" w:rsidR="0019124F" w:rsidRPr="00C4688E" w:rsidRDefault="006D635D" w:rsidP="30278F55">
      <w:r>
        <w:t xml:space="preserve">It is recommended </w:t>
      </w:r>
      <w:r w:rsidR="00F91EF3">
        <w:t xml:space="preserve">that the Scheme Actuary consider whether analysis of delay patterns </w:t>
      </w:r>
      <w:r w:rsidR="00B474D8">
        <w:t xml:space="preserve">is possible to help </w:t>
      </w:r>
      <w:r w:rsidR="00F91EF3">
        <w:t xml:space="preserve">inform </w:t>
      </w:r>
      <w:r w:rsidR="00514B41">
        <w:t>new entrant rates over time</w:t>
      </w:r>
      <w:r w:rsidR="00C470D8">
        <w:t>.</w:t>
      </w:r>
    </w:p>
    <w:p w14:paraId="3A885C78" w14:textId="5511B47C" w:rsidR="0061455A" w:rsidRPr="009E6093" w:rsidRDefault="0061455A" w:rsidP="0061455A">
      <w:pPr>
        <w:pStyle w:val="Heading2"/>
      </w:pPr>
      <w:r w:rsidRPr="00B00340">
        <w:lastRenderedPageBreak/>
        <w:t>Distribution by disability</w:t>
      </w:r>
    </w:p>
    <w:p w14:paraId="3961CC10" w14:textId="3228662C" w:rsidR="00A92B6A" w:rsidRDefault="00A92B6A" w:rsidP="6835A54F">
      <w:pPr>
        <w:spacing w:after="320"/>
      </w:pPr>
      <w:r>
        <w:fldChar w:fldCharType="begin"/>
      </w:r>
      <w:r>
        <w:instrText xml:space="preserve"> REF _Ref140580021 \h </w:instrText>
      </w:r>
      <w:r>
        <w:fldChar w:fldCharType="separate"/>
      </w:r>
      <w:r w:rsidR="00D85365">
        <w:t xml:space="preserve">Figure </w:t>
      </w:r>
      <w:r w:rsidR="00D85365">
        <w:rPr>
          <w:noProof/>
        </w:rPr>
        <w:t>9</w:t>
      </w:r>
      <w:r>
        <w:fldChar w:fldCharType="end"/>
      </w:r>
      <w:r>
        <w:t xml:space="preserve"> shows </w:t>
      </w:r>
      <w:r w:rsidR="4E2EE2F3">
        <w:t>t</w:t>
      </w:r>
      <w:r w:rsidR="00190D75">
        <w:t xml:space="preserve">he disability </w:t>
      </w:r>
      <w:r w:rsidR="001C336E">
        <w:t xml:space="preserve">types </w:t>
      </w:r>
      <w:r w:rsidR="00840A78">
        <w:t xml:space="preserve">experiencing </w:t>
      </w:r>
      <w:r w:rsidR="00190D75">
        <w:t>the highest numbers of new entrants are autism</w:t>
      </w:r>
      <w:r w:rsidR="007E61BF">
        <w:t xml:space="preserve"> and</w:t>
      </w:r>
      <w:r w:rsidR="00190D75">
        <w:t xml:space="preserve"> developmental delay, </w:t>
      </w:r>
      <w:r w:rsidR="007E61BF">
        <w:t xml:space="preserve">followed by </w:t>
      </w:r>
      <w:r w:rsidR="00190D75">
        <w:t>intellectual disability, and psychosocial disability</w:t>
      </w:r>
      <w:r w:rsidR="40AB1504">
        <w:t>.  M</w:t>
      </w:r>
      <w:r w:rsidR="7B7AE5D8">
        <w:t xml:space="preserve">ost of the </w:t>
      </w:r>
      <w:r w:rsidR="15D710AD">
        <w:t xml:space="preserve">higher-than-expected </w:t>
      </w:r>
      <w:r w:rsidR="7B7AE5D8">
        <w:t>new entrants were participants with autism or developmental delay</w:t>
      </w:r>
      <w:r w:rsidR="00190D75">
        <w:t>.</w:t>
      </w:r>
    </w:p>
    <w:p w14:paraId="5AA07665" w14:textId="4B33D83A" w:rsidR="009E6093" w:rsidRPr="00C2361C" w:rsidRDefault="009E6093" w:rsidP="009E6093">
      <w:pPr>
        <w:pStyle w:val="Caption"/>
      </w:pPr>
      <w:bookmarkStart w:id="13" w:name="_Ref140580021"/>
      <w:r>
        <w:t xml:space="preserve">Figure </w:t>
      </w:r>
      <w:r>
        <w:fldChar w:fldCharType="begin"/>
      </w:r>
      <w:r>
        <w:instrText>SEQ Figure \* ARABIC</w:instrText>
      </w:r>
      <w:r>
        <w:fldChar w:fldCharType="separate"/>
      </w:r>
      <w:r w:rsidR="00D85365">
        <w:rPr>
          <w:noProof/>
        </w:rPr>
        <w:t>9</w:t>
      </w:r>
      <w:r>
        <w:fldChar w:fldCharType="end"/>
      </w:r>
      <w:bookmarkEnd w:id="13"/>
      <w:r>
        <w:t xml:space="preserve">: Actual and expected new </w:t>
      </w:r>
      <w:r w:rsidRPr="00C2361C">
        <w:t xml:space="preserve">entrants by </w:t>
      </w:r>
      <w:r w:rsidR="0049557A" w:rsidRPr="00C2361C">
        <w:t>disability.</w:t>
      </w:r>
    </w:p>
    <w:p w14:paraId="58EAF1E8" w14:textId="44063359" w:rsidR="009E6093" w:rsidRPr="00C2361C" w:rsidRDefault="737133F5" w:rsidP="009E6093">
      <w:r>
        <w:rPr>
          <w:noProof/>
        </w:rPr>
        <w:drawing>
          <wp:inline distT="0" distB="0" distL="0" distR="0" wp14:anchorId="70E3C685" wp14:editId="007228C6">
            <wp:extent cx="5651500" cy="2755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5651500" cy="2755900"/>
                    </a:xfrm>
                    <a:prstGeom prst="rect">
                      <a:avLst/>
                    </a:prstGeom>
                  </pic:spPr>
                </pic:pic>
              </a:graphicData>
            </a:graphic>
          </wp:inline>
        </w:drawing>
      </w:r>
    </w:p>
    <w:p w14:paraId="632A78A1" w14:textId="20EC3570" w:rsidR="0061455A" w:rsidRDefault="00A07515" w:rsidP="0061455A">
      <w:r w:rsidRPr="001418BF">
        <w:fldChar w:fldCharType="begin"/>
      </w:r>
      <w:r w:rsidRPr="001418BF">
        <w:instrText xml:space="preserve"> REF _Ref110509940 \h </w:instrText>
      </w:r>
      <w:r w:rsidR="00F249F2" w:rsidRPr="001418BF">
        <w:instrText xml:space="preserve"> \* MERGEFORMAT </w:instrText>
      </w:r>
      <w:r w:rsidRPr="001418BF">
        <w:fldChar w:fldCharType="separate"/>
      </w:r>
      <w:r w:rsidR="00D85365" w:rsidRPr="001418BF">
        <w:t xml:space="preserve">Figure </w:t>
      </w:r>
      <w:r w:rsidR="00D85365">
        <w:rPr>
          <w:noProof/>
        </w:rPr>
        <w:t>10</w:t>
      </w:r>
      <w:r w:rsidRPr="001418BF">
        <w:fldChar w:fldCharType="end"/>
      </w:r>
      <w:r w:rsidRPr="001418BF">
        <w:t xml:space="preserve"> </w:t>
      </w:r>
      <w:r w:rsidR="00321999" w:rsidRPr="00B00340">
        <w:t xml:space="preserve">sets out the trends in actual and projected numbers of new entrants </w:t>
      </w:r>
      <w:r w:rsidR="00321999">
        <w:t xml:space="preserve">by disability, </w:t>
      </w:r>
      <w:r w:rsidR="00321999" w:rsidRPr="00B00340">
        <w:t xml:space="preserve">for this projection and </w:t>
      </w:r>
      <w:r w:rsidR="00321999">
        <w:t xml:space="preserve">as projected in </w:t>
      </w:r>
      <w:r w:rsidR="00321999" w:rsidRPr="00B00340">
        <w:t>the prior FSR.</w:t>
      </w:r>
    </w:p>
    <w:p w14:paraId="35BF06E0" w14:textId="41C62031" w:rsidR="00F83B5B" w:rsidRDefault="00F83B5B" w:rsidP="00F83B5B">
      <w:r>
        <w:t>Higher numbers of new participants with autism and developmental delay presented to the scheme than were expected in the prior FSR. Consequently, the projected number of new entrants have been increased for these categories. There is a high level of uncertainty in establishing a long-term new entrant rate for these groups as number</w:t>
      </w:r>
      <w:r w:rsidR="03F883A7">
        <w:t>s</w:t>
      </w:r>
      <w:r>
        <w:t xml:space="preserve"> have persistently exceeded expectations and both categories have seen increasing new entrants in recent years.</w:t>
      </w:r>
    </w:p>
    <w:p w14:paraId="14AAB43B" w14:textId="541FC58E" w:rsidR="00F83B5B" w:rsidRDefault="00F83B5B" w:rsidP="00F83B5B">
      <w:pPr>
        <w:spacing w:after="320"/>
      </w:pPr>
      <w:r>
        <w:t>The cohort of participants with acquired brain injury also experienced a higher number of new entrants than expected. Although the numbers are more modest than the disabilities listed above, assumptions have been increased for this category since the 2022 FSR to allow for (roughly) an additional 500 new entrants per annum</w:t>
      </w:r>
      <w:r w:rsidR="00293EDC">
        <w:t xml:space="preserve"> in 2023-24, reducing to </w:t>
      </w:r>
      <w:r w:rsidR="001C4D3F">
        <w:t xml:space="preserve">(roughly) </w:t>
      </w:r>
      <w:r w:rsidR="00293EDC">
        <w:t xml:space="preserve">an additional </w:t>
      </w:r>
      <w:r w:rsidR="001C4D3F">
        <w:t xml:space="preserve">190 </w:t>
      </w:r>
      <w:r w:rsidR="00293EDC">
        <w:t>per annum in the medium term</w:t>
      </w:r>
      <w:r>
        <w:t>.</w:t>
      </w:r>
    </w:p>
    <w:p w14:paraId="5186DF2A" w14:textId="0C19812D" w:rsidR="002D3AFD" w:rsidRDefault="002D3AFD" w:rsidP="002D3AFD">
      <w:pPr>
        <w:spacing w:after="320"/>
      </w:pPr>
      <w:r>
        <w:fldChar w:fldCharType="begin"/>
      </w:r>
      <w:r>
        <w:instrText xml:space="preserve"> REF _Ref110509940 \h </w:instrText>
      </w:r>
      <w:r>
        <w:fldChar w:fldCharType="separate"/>
      </w:r>
      <w:r w:rsidR="00D85365" w:rsidRPr="001418BF">
        <w:t xml:space="preserve">Figure </w:t>
      </w:r>
      <w:r w:rsidR="00D85365">
        <w:rPr>
          <w:noProof/>
        </w:rPr>
        <w:t>10</w:t>
      </w:r>
      <w:r>
        <w:fldChar w:fldCharType="end"/>
      </w:r>
      <w:r>
        <w:t xml:space="preserve"> shows that the number of new entrants with psychosocial disabilities may be tapering faster than expected. The number of new entrants expected in the next two years has been reduced accordingly.</w:t>
      </w:r>
    </w:p>
    <w:p w14:paraId="73D0FC3E" w14:textId="654D1EC5" w:rsidR="00F83B5B" w:rsidRPr="00852212" w:rsidRDefault="00F83B5B" w:rsidP="00F83B5B">
      <w:r>
        <w:fldChar w:fldCharType="begin"/>
      </w:r>
      <w:r>
        <w:instrText xml:space="preserve"> REF _Ref110509940 \h  \* MERGEFORMAT </w:instrText>
      </w:r>
      <w:r>
        <w:fldChar w:fldCharType="separate"/>
      </w:r>
      <w:r w:rsidR="00D85365" w:rsidRPr="001418BF">
        <w:t xml:space="preserve">Figure </w:t>
      </w:r>
      <w:r w:rsidR="00D85365">
        <w:rPr>
          <w:noProof/>
        </w:rPr>
        <w:t>10</w:t>
      </w:r>
      <w:r>
        <w:fldChar w:fldCharType="end"/>
      </w:r>
      <w:r w:rsidR="42272865">
        <w:t xml:space="preserve"> illustrates that the number of new entrants appears to be tapering towards a long-term new entrant rate </w:t>
      </w:r>
      <w:r w:rsidR="55FDA625">
        <w:t xml:space="preserve">that is </w:t>
      </w:r>
      <w:proofErr w:type="gramStart"/>
      <w:r w:rsidR="55FDA625">
        <w:t>similar to</w:t>
      </w:r>
      <w:proofErr w:type="gramEnd"/>
      <w:r w:rsidR="55FDA625">
        <w:t xml:space="preserve"> what was expected </w:t>
      </w:r>
      <w:r w:rsidR="42272865">
        <w:t xml:space="preserve">for most other disability types. </w:t>
      </w:r>
      <w:r w:rsidR="5BA64B9D">
        <w:t xml:space="preserve">Despite this, the </w:t>
      </w:r>
      <w:r w:rsidR="5BA64B9D">
        <w:lastRenderedPageBreak/>
        <w:t>expected long term incidence rate for these disabilities has been reduced</w:t>
      </w:r>
      <w:r w:rsidR="57591C65">
        <w:t xml:space="preserve">. This appears to be an outworking of the analysis </w:t>
      </w:r>
      <w:r w:rsidR="07D4BD48">
        <w:t xml:space="preserve">of new entrants aged 15-64 </w:t>
      </w:r>
      <w:r w:rsidR="20613798">
        <w:t xml:space="preserve">that resulted in a </w:t>
      </w:r>
      <w:r w:rsidR="07D4BD48">
        <w:t xml:space="preserve">reduction in new incidence rates applied to all disabilities </w:t>
      </w:r>
      <w:r w:rsidR="5D1FF6FA">
        <w:t xml:space="preserve">(other than autism and delay) </w:t>
      </w:r>
      <w:r w:rsidR="07D4BD48">
        <w:t>in the 2023 Baseline projection.</w:t>
      </w:r>
    </w:p>
    <w:p w14:paraId="282519D1" w14:textId="6595F58F" w:rsidR="00EE710B" w:rsidRPr="001418BF" w:rsidRDefault="00EE710B" w:rsidP="00EE710B">
      <w:pPr>
        <w:pStyle w:val="Caption"/>
      </w:pPr>
      <w:bookmarkStart w:id="14" w:name="_Ref110509940"/>
      <w:r w:rsidRPr="001418BF">
        <w:t xml:space="preserve">Figure </w:t>
      </w:r>
      <w:r>
        <w:fldChar w:fldCharType="begin"/>
      </w:r>
      <w:r>
        <w:instrText>SEQ Figure \* ARABIC</w:instrText>
      </w:r>
      <w:r>
        <w:fldChar w:fldCharType="separate"/>
      </w:r>
      <w:r w:rsidR="00D85365">
        <w:rPr>
          <w:noProof/>
        </w:rPr>
        <w:t>10</w:t>
      </w:r>
      <w:r>
        <w:fldChar w:fldCharType="end"/>
      </w:r>
      <w:bookmarkEnd w:id="14"/>
      <w:r w:rsidRPr="001418BF">
        <w:t>: Actual and projected number of new entrants for major disability types</w:t>
      </w:r>
      <w:r w:rsidR="00BB4900" w:rsidRPr="001418BF">
        <w:t>.</w:t>
      </w:r>
    </w:p>
    <w:p w14:paraId="135C485C" w14:textId="2D466B9B" w:rsidR="00EE710B" w:rsidRPr="001418BF" w:rsidRDefault="006C4513" w:rsidP="0061455A">
      <w:r>
        <w:rPr>
          <w:noProof/>
        </w:rPr>
        <w:drawing>
          <wp:inline distT="0" distB="0" distL="0" distR="0" wp14:anchorId="179F85E0" wp14:editId="08512D60">
            <wp:extent cx="5114925" cy="4048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14925" cy="4048125"/>
                    </a:xfrm>
                    <a:prstGeom prst="rect">
                      <a:avLst/>
                    </a:prstGeom>
                    <a:noFill/>
                  </pic:spPr>
                </pic:pic>
              </a:graphicData>
            </a:graphic>
          </wp:inline>
        </w:drawing>
      </w:r>
    </w:p>
    <w:p w14:paraId="71F4AAE7" w14:textId="77777777" w:rsidR="006234B9" w:rsidRPr="00F249F2" w:rsidRDefault="006234B9">
      <w:pPr>
        <w:spacing w:after="0" w:line="240" w:lineRule="auto"/>
        <w:rPr>
          <w:highlight w:val="yellow"/>
        </w:rPr>
      </w:pPr>
      <w:r w:rsidRPr="00F249F2">
        <w:rPr>
          <w:highlight w:val="yellow"/>
        </w:rPr>
        <w:br w:type="page"/>
      </w:r>
    </w:p>
    <w:p w14:paraId="524D4A77" w14:textId="6F175F03" w:rsidR="006234B9" w:rsidRPr="003D7449" w:rsidRDefault="006234B9" w:rsidP="006234B9">
      <w:pPr>
        <w:pStyle w:val="Heading1"/>
      </w:pPr>
      <w:r w:rsidRPr="003D7449">
        <w:lastRenderedPageBreak/>
        <w:t xml:space="preserve">Attachment B: </w:t>
      </w:r>
      <w:r w:rsidR="00F769FF" w:rsidRPr="003D7449">
        <w:t>Mode of departure</w:t>
      </w:r>
    </w:p>
    <w:p w14:paraId="5E74EDE8" w14:textId="4CC684EA" w:rsidR="00E02EDC" w:rsidRPr="003D7449" w:rsidRDefault="00F769FF" w:rsidP="00E02EDC">
      <w:pPr>
        <w:pStyle w:val="Heading2"/>
      </w:pPr>
      <w:r w:rsidRPr="003D7449">
        <w:t>Leaving the scheme</w:t>
      </w:r>
    </w:p>
    <w:p w14:paraId="21EE627E" w14:textId="5E967F8A" w:rsidR="00CC6592" w:rsidRPr="003D7449" w:rsidRDefault="457B57FE" w:rsidP="00E02EDC">
      <w:r>
        <w:t>In 2022-23</w:t>
      </w:r>
      <w:r w:rsidR="7F37F8F4">
        <w:t>,</w:t>
      </w:r>
      <w:r>
        <w:t xml:space="preserve"> 4,994 participants left the scheme </w:t>
      </w:r>
      <w:r w:rsidR="673619A1">
        <w:t>for reasons other than mortality</w:t>
      </w:r>
      <w:r>
        <w:t xml:space="preserve">, </w:t>
      </w:r>
      <w:r w:rsidR="36D8FA10">
        <w:t xml:space="preserve">around 3,200 </w:t>
      </w:r>
      <w:r w:rsidR="287E1080">
        <w:t xml:space="preserve">(39%) </w:t>
      </w:r>
      <w:r w:rsidR="36D8FA10">
        <w:t>fewer than projected.</w:t>
      </w:r>
      <w:r w:rsidR="7CCBA1A2">
        <w:t xml:space="preserve"> </w:t>
      </w:r>
      <w:r w:rsidR="207970DF">
        <w:t xml:space="preserve">This occurred across </w:t>
      </w:r>
      <w:r w:rsidR="7CCBA1A2">
        <w:t xml:space="preserve">all disability </w:t>
      </w:r>
      <w:r w:rsidR="1FEE0FCF">
        <w:t>types</w:t>
      </w:r>
      <w:r w:rsidR="5ED437C4">
        <w:t xml:space="preserve">. </w:t>
      </w:r>
      <w:r w:rsidR="00B618BF" w:rsidRPr="00B618BF">
        <w:t>2</w:t>
      </w:r>
      <w:r w:rsidR="00B618BF">
        <w:t>6</w:t>
      </w:r>
      <w:r w:rsidR="00B618BF" w:rsidRPr="00B618BF">
        <w:t>% fewer people left in 2022-23 compared to the prior year</w:t>
      </w:r>
      <w:r w:rsidR="38799305">
        <w:t xml:space="preserve">, despite the </w:t>
      </w:r>
      <w:r w:rsidR="00A921ED">
        <w:t xml:space="preserve">larger </w:t>
      </w:r>
      <w:r w:rsidR="38799305">
        <w:t>participant population.</w:t>
      </w:r>
    </w:p>
    <w:p w14:paraId="51F574B8" w14:textId="0143FE65" w:rsidR="00230281" w:rsidRPr="003D7449" w:rsidRDefault="001B6AAE" w:rsidP="001B6AAE">
      <w:pPr>
        <w:pStyle w:val="Caption"/>
      </w:pPr>
      <w:r w:rsidRPr="003D7449">
        <w:t xml:space="preserve">Figure </w:t>
      </w:r>
      <w:r>
        <w:fldChar w:fldCharType="begin"/>
      </w:r>
      <w:r>
        <w:instrText>SEQ Figure \* ARABIC</w:instrText>
      </w:r>
      <w:r>
        <w:fldChar w:fldCharType="separate"/>
      </w:r>
      <w:r w:rsidR="00D85365">
        <w:rPr>
          <w:noProof/>
        </w:rPr>
        <w:t>11</w:t>
      </w:r>
      <w:r>
        <w:fldChar w:fldCharType="end"/>
      </w:r>
      <w:r w:rsidRPr="003D7449">
        <w:t>: Actual and expected number of exits</w:t>
      </w:r>
      <w:r w:rsidR="00F4367A">
        <w:t>.</w:t>
      </w:r>
    </w:p>
    <w:p w14:paraId="1C45D444" w14:textId="34207773" w:rsidR="001B6AAE" w:rsidRPr="003D7449" w:rsidRDefault="00C011A3" w:rsidP="001B6AAE">
      <w:r>
        <w:rPr>
          <w:noProof/>
        </w:rPr>
        <w:drawing>
          <wp:inline distT="0" distB="0" distL="0" distR="0" wp14:anchorId="0865A1AC" wp14:editId="6D0356A9">
            <wp:extent cx="5669915" cy="2755900"/>
            <wp:effectExtent l="0" t="0" r="698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9915" cy="2755900"/>
                    </a:xfrm>
                    <a:prstGeom prst="rect">
                      <a:avLst/>
                    </a:prstGeom>
                    <a:noFill/>
                  </pic:spPr>
                </pic:pic>
              </a:graphicData>
            </a:graphic>
          </wp:inline>
        </w:drawing>
      </w:r>
    </w:p>
    <w:p w14:paraId="2973BC0B" w14:textId="1FA2B811" w:rsidR="00E02EDC" w:rsidRPr="003D7449" w:rsidRDefault="791E5AE0" w:rsidP="00E02EDC">
      <w:r>
        <w:t xml:space="preserve">The </w:t>
      </w:r>
      <w:r w:rsidR="5D97CB65">
        <w:t>d</w:t>
      </w:r>
      <w:r w:rsidR="65E65181">
        <w:t>ifference</w:t>
      </w:r>
      <w:r w:rsidR="6A9CFC1E">
        <w:t xml:space="preserve"> between actual and expected non-mortality exits was</w:t>
      </w:r>
      <w:r w:rsidR="65E65181">
        <w:t xml:space="preserve"> greatest for participants with developmental delay</w:t>
      </w:r>
      <w:r w:rsidR="09B52C66">
        <w:t xml:space="preserve">. As this </w:t>
      </w:r>
      <w:r w:rsidR="65E65181">
        <w:t xml:space="preserve">is </w:t>
      </w:r>
      <w:r w:rsidR="2D37AE4A">
        <w:t xml:space="preserve">a </w:t>
      </w:r>
      <w:r w:rsidR="65E65181">
        <w:t xml:space="preserve">large category of </w:t>
      </w:r>
      <w:r w:rsidR="0FD3AD96">
        <w:t>participants</w:t>
      </w:r>
      <w:r w:rsidR="09B52C66">
        <w:t>, exit experience of this group drives the overall exit rate of the scheme</w:t>
      </w:r>
      <w:r w:rsidR="65E65181">
        <w:t>.</w:t>
      </w:r>
      <w:r w:rsidR="5D1019FB">
        <w:t xml:space="preserve"> </w:t>
      </w:r>
      <w:r w:rsidR="00EB17C3">
        <w:fldChar w:fldCharType="begin"/>
      </w:r>
      <w:r w:rsidR="00EB17C3">
        <w:instrText xml:space="preserve"> REF _Ref111104396 \h  \* MERGEFORMAT </w:instrText>
      </w:r>
      <w:r w:rsidR="00EB17C3">
        <w:fldChar w:fldCharType="separate"/>
      </w:r>
      <w:r w:rsidR="00D85365" w:rsidRPr="003D7449">
        <w:t xml:space="preserve">Figure </w:t>
      </w:r>
      <w:r w:rsidR="00D85365">
        <w:rPr>
          <w:noProof/>
        </w:rPr>
        <w:t>12</w:t>
      </w:r>
      <w:r w:rsidR="00EB17C3">
        <w:fldChar w:fldCharType="end"/>
      </w:r>
      <w:r w:rsidR="6BEA1E25">
        <w:t xml:space="preserve"> compares recent rates </w:t>
      </w:r>
      <w:r w:rsidR="2ECB51FC">
        <w:t xml:space="preserve">of leaving the scheme </w:t>
      </w:r>
      <w:r w:rsidR="6BEA1E25">
        <w:t xml:space="preserve">with recent projections. </w:t>
      </w:r>
      <w:r w:rsidR="640916F8">
        <w:t>The overall rate of leaving</w:t>
      </w:r>
      <w:r w:rsidR="61347238">
        <w:t xml:space="preserve"> was expected to stabilise </w:t>
      </w:r>
      <w:r w:rsidR="634E484C">
        <w:t xml:space="preserve">at </w:t>
      </w:r>
      <w:r w:rsidR="2B27431D">
        <w:t>around</w:t>
      </w:r>
      <w:r w:rsidR="6EACAF53">
        <w:t xml:space="preserve"> 1.5% </w:t>
      </w:r>
      <w:r w:rsidR="61347238">
        <w:t>in 2022-23</w:t>
      </w:r>
      <w:r w:rsidR="178A9E57">
        <w:t>,</w:t>
      </w:r>
      <w:r w:rsidR="61347238">
        <w:t xml:space="preserve"> </w:t>
      </w:r>
      <w:r w:rsidR="178A9E57">
        <w:t>i</w:t>
      </w:r>
      <w:r w:rsidR="61347238">
        <w:t>nstead it</w:t>
      </w:r>
      <w:r w:rsidR="178A9E57">
        <w:t xml:space="preserve"> reduced</w:t>
      </w:r>
      <w:r w:rsidR="3B9A08AE">
        <w:t xml:space="preserve"> to 0.9%</w:t>
      </w:r>
      <w:r w:rsidR="178A9E57">
        <w:t xml:space="preserve">. </w:t>
      </w:r>
    </w:p>
    <w:p w14:paraId="79FECA82" w14:textId="5C3AF4E6" w:rsidR="00E02EDC" w:rsidRPr="003D7449" w:rsidRDefault="00E02EDC" w:rsidP="00E02EDC">
      <w:pPr>
        <w:pStyle w:val="Caption"/>
      </w:pPr>
      <w:bookmarkStart w:id="15" w:name="_Ref111104396"/>
      <w:r w:rsidRPr="003D7449">
        <w:t xml:space="preserve">Figure </w:t>
      </w:r>
      <w:r>
        <w:fldChar w:fldCharType="begin"/>
      </w:r>
      <w:r>
        <w:instrText>SEQ Figure \* ARABIC</w:instrText>
      </w:r>
      <w:r>
        <w:fldChar w:fldCharType="separate"/>
      </w:r>
      <w:r w:rsidR="00D85365">
        <w:rPr>
          <w:noProof/>
        </w:rPr>
        <w:t>12</w:t>
      </w:r>
      <w:r>
        <w:fldChar w:fldCharType="end"/>
      </w:r>
      <w:bookmarkEnd w:id="15"/>
      <w:r w:rsidRPr="003D7449">
        <w:t>: Actual and projected crude rate</w:t>
      </w:r>
      <w:r w:rsidR="00F769FF" w:rsidRPr="003D7449">
        <w:t xml:space="preserve"> of leaving</w:t>
      </w:r>
      <w:r w:rsidR="00C0630F">
        <w:t xml:space="preserve"> (for reasons other than death)</w:t>
      </w:r>
      <w:r w:rsidR="00C35F22">
        <w:t>.</w:t>
      </w:r>
    </w:p>
    <w:p w14:paraId="137AD8EC" w14:textId="1E51915A" w:rsidR="00E02EDC" w:rsidRPr="003D7449" w:rsidRDefault="005E7538" w:rsidP="00E02EDC">
      <w:r>
        <w:rPr>
          <w:noProof/>
        </w:rPr>
        <w:drawing>
          <wp:inline distT="0" distB="0" distL="0" distR="0" wp14:anchorId="53271EDD" wp14:editId="7159D51C">
            <wp:extent cx="5661660" cy="210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1660" cy="2103120"/>
                    </a:xfrm>
                    <a:prstGeom prst="rect">
                      <a:avLst/>
                    </a:prstGeom>
                    <a:noFill/>
                  </pic:spPr>
                </pic:pic>
              </a:graphicData>
            </a:graphic>
          </wp:inline>
        </w:drawing>
      </w:r>
    </w:p>
    <w:p w14:paraId="3A56A0D7" w14:textId="2FE9B050" w:rsidR="00E02EDC" w:rsidRPr="003D7449" w:rsidRDefault="01F4A499" w:rsidP="556B1A7F">
      <w:r>
        <w:lastRenderedPageBreak/>
        <w:t xml:space="preserve">The movement in </w:t>
      </w:r>
      <w:r w:rsidR="048735B1">
        <w:t>the rates participants are expected to leave the scheme</w:t>
      </w:r>
      <w:r w:rsidR="41107908">
        <w:t>,</w:t>
      </w:r>
      <w:r w:rsidR="42E3347F">
        <w:t xml:space="preserve"> for the </w:t>
      </w:r>
      <w:r w:rsidR="3FDEF2BE">
        <w:t xml:space="preserve">four </w:t>
      </w:r>
      <w:r w:rsidR="42E3347F">
        <w:t>largest categories</w:t>
      </w:r>
      <w:r w:rsidR="41107908">
        <w:t xml:space="preserve"> </w:t>
      </w:r>
      <w:r w:rsidR="42E3347F">
        <w:t>of disability</w:t>
      </w:r>
      <w:r w:rsidR="5E73005E">
        <w:t xml:space="preserve"> and overall</w:t>
      </w:r>
      <w:r w:rsidR="349455E3">
        <w:t xml:space="preserve">, </w:t>
      </w:r>
      <w:r>
        <w:t xml:space="preserve">is illustrated in </w:t>
      </w:r>
      <w:r>
        <w:fldChar w:fldCharType="begin"/>
      </w:r>
      <w:r>
        <w:instrText xml:space="preserve"> REF _Ref111125705 \h  \* MERGEFORMAT </w:instrText>
      </w:r>
      <w:r>
        <w:fldChar w:fldCharType="separate"/>
      </w:r>
      <w:r w:rsidR="00D85365">
        <w:t xml:space="preserve">Figure </w:t>
      </w:r>
      <w:r w:rsidR="00D85365">
        <w:rPr>
          <w:noProof/>
        </w:rPr>
        <w:t>13</w:t>
      </w:r>
      <w:r>
        <w:fldChar w:fldCharType="end"/>
      </w:r>
      <w:r w:rsidR="349455E3">
        <w:t xml:space="preserve"> </w:t>
      </w:r>
      <w:r w:rsidR="1C20E36B">
        <w:t xml:space="preserve">(all disabilities and developmental delay) </w:t>
      </w:r>
      <w:r w:rsidR="349455E3">
        <w:t xml:space="preserve">and </w:t>
      </w:r>
      <w:r>
        <w:fldChar w:fldCharType="begin"/>
      </w:r>
      <w:r>
        <w:instrText xml:space="preserve"> REF _Ref140659269 \h  \* MERGEFORMAT </w:instrText>
      </w:r>
      <w:r>
        <w:fldChar w:fldCharType="separate"/>
      </w:r>
      <w:r w:rsidR="00D85365" w:rsidRPr="003D7449">
        <w:t xml:space="preserve">Figure </w:t>
      </w:r>
      <w:r w:rsidR="00D85365">
        <w:rPr>
          <w:noProof/>
        </w:rPr>
        <w:t>14</w:t>
      </w:r>
      <w:r>
        <w:fldChar w:fldCharType="end"/>
      </w:r>
      <w:r w:rsidR="79E8C86A">
        <w:t xml:space="preserve"> (intellectual disability, autism, psychosocial disability).</w:t>
      </w:r>
      <w:r>
        <w:t xml:space="preserve"> </w:t>
      </w:r>
      <w:r w:rsidR="0F8EA06D">
        <w:t>Th</w:t>
      </w:r>
      <w:r w:rsidR="3077CCCE">
        <w:t xml:space="preserve">e four disabilities </w:t>
      </w:r>
      <w:r w:rsidR="003151FC">
        <w:t>shown illustrate</w:t>
      </w:r>
      <w:r w:rsidR="0F8EA06D">
        <w:t xml:space="preserve"> the exit rates for around 75% of the schemes participants.</w:t>
      </w:r>
      <w:r w:rsidR="080A54DF">
        <w:t xml:space="preserve"> Two charts are shown due to the different scale for the rates of exit.</w:t>
      </w:r>
    </w:p>
    <w:p w14:paraId="339301D2" w14:textId="289DB55E" w:rsidR="0003029B" w:rsidRPr="003D7449" w:rsidRDefault="0003029B" w:rsidP="0003029B">
      <w:pPr>
        <w:pStyle w:val="Caption"/>
      </w:pPr>
      <w:bookmarkStart w:id="16" w:name="_Ref111125705"/>
      <w:r>
        <w:t xml:space="preserve">Figure </w:t>
      </w:r>
      <w:r w:rsidRPr="46AFE9FB">
        <w:fldChar w:fldCharType="begin"/>
      </w:r>
      <w:r>
        <w:instrText xml:space="preserve"> SEQ Figure \* ARABIC </w:instrText>
      </w:r>
      <w:r w:rsidRPr="46AFE9FB">
        <w:fldChar w:fldCharType="separate"/>
      </w:r>
      <w:r w:rsidR="00D85365">
        <w:rPr>
          <w:noProof/>
        </w:rPr>
        <w:t>13</w:t>
      </w:r>
      <w:r w:rsidRPr="46AFE9FB">
        <w:rPr>
          <w:noProof/>
        </w:rPr>
        <w:fldChar w:fldCharType="end"/>
      </w:r>
      <w:bookmarkEnd w:id="16"/>
      <w:r>
        <w:t xml:space="preserve">: Actual and projected rates </w:t>
      </w:r>
      <w:r w:rsidR="009D12D1">
        <w:t xml:space="preserve">of leaving </w:t>
      </w:r>
      <w:r>
        <w:t>by disability</w:t>
      </w:r>
      <w:r w:rsidR="004B1852">
        <w:t xml:space="preserve"> </w:t>
      </w:r>
      <w:r w:rsidR="0064020A">
        <w:t>–</w:t>
      </w:r>
      <w:r w:rsidR="004B1852">
        <w:t xml:space="preserve"> </w:t>
      </w:r>
      <w:r w:rsidR="0064020A">
        <w:t xml:space="preserve">Total &amp; </w:t>
      </w:r>
      <w:r w:rsidR="4BD794A6">
        <w:t xml:space="preserve">Developmental </w:t>
      </w:r>
      <w:r w:rsidR="0064020A">
        <w:t>Delay</w:t>
      </w:r>
      <w:r w:rsidR="00F4367A">
        <w:t>.</w:t>
      </w:r>
    </w:p>
    <w:p w14:paraId="4D40A4E9" w14:textId="7D541081" w:rsidR="0003029B" w:rsidRPr="003D7449" w:rsidRDefault="003D1B4C" w:rsidP="0003029B">
      <w:r>
        <w:rPr>
          <w:noProof/>
        </w:rPr>
        <w:drawing>
          <wp:inline distT="0" distB="0" distL="0" distR="0" wp14:anchorId="33783ADB" wp14:editId="76462DB3">
            <wp:extent cx="5657850" cy="296926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7850" cy="2969260"/>
                    </a:xfrm>
                    <a:prstGeom prst="rect">
                      <a:avLst/>
                    </a:prstGeom>
                    <a:noFill/>
                  </pic:spPr>
                </pic:pic>
              </a:graphicData>
            </a:graphic>
          </wp:inline>
        </w:drawing>
      </w:r>
    </w:p>
    <w:p w14:paraId="616C2604" w14:textId="6B0F62EA" w:rsidR="0064020A" w:rsidRPr="003D7449" w:rsidRDefault="0064020A" w:rsidP="0064020A">
      <w:pPr>
        <w:pStyle w:val="Caption"/>
      </w:pPr>
      <w:bookmarkStart w:id="17" w:name="_Ref140659269"/>
      <w:r w:rsidRPr="003D7449">
        <w:t xml:space="preserve">Figure </w:t>
      </w:r>
      <w:r>
        <w:fldChar w:fldCharType="begin"/>
      </w:r>
      <w:r>
        <w:instrText>SEQ Figure \* ARABIC</w:instrText>
      </w:r>
      <w:r>
        <w:fldChar w:fldCharType="separate"/>
      </w:r>
      <w:r w:rsidR="00D85365">
        <w:rPr>
          <w:noProof/>
        </w:rPr>
        <w:t>14</w:t>
      </w:r>
      <w:r>
        <w:fldChar w:fldCharType="end"/>
      </w:r>
      <w:bookmarkEnd w:id="17"/>
      <w:r w:rsidRPr="003D7449">
        <w:t xml:space="preserve">: Actual and projected rates of leaving by disability – </w:t>
      </w:r>
      <w:r w:rsidR="002256A9" w:rsidRPr="003D7449">
        <w:t>Autism, Intellectual and Psychosocial Disability</w:t>
      </w:r>
      <w:r w:rsidR="00F4367A">
        <w:t>.</w:t>
      </w:r>
    </w:p>
    <w:p w14:paraId="00B7B8BA" w14:textId="4F54115A" w:rsidR="002256A9" w:rsidRPr="003D7449" w:rsidRDefault="00860080" w:rsidP="002256A9">
      <w:r>
        <w:rPr>
          <w:noProof/>
        </w:rPr>
        <w:drawing>
          <wp:inline distT="0" distB="0" distL="0" distR="0" wp14:anchorId="54FF208D" wp14:editId="62256301">
            <wp:extent cx="5651500" cy="2962910"/>
            <wp:effectExtent l="0" t="0" r="635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51500" cy="2962910"/>
                    </a:xfrm>
                    <a:prstGeom prst="rect">
                      <a:avLst/>
                    </a:prstGeom>
                    <a:noFill/>
                  </pic:spPr>
                </pic:pic>
              </a:graphicData>
            </a:graphic>
          </wp:inline>
        </w:drawing>
      </w:r>
    </w:p>
    <w:p w14:paraId="045D10AD" w14:textId="49EAB1FA" w:rsidR="00C76F13" w:rsidRPr="003D7449" w:rsidRDefault="00C76F13" w:rsidP="00973E31">
      <w:pPr>
        <w:keepNext/>
      </w:pPr>
      <w:r>
        <w:lastRenderedPageBreak/>
        <w:t>Key observations are:</w:t>
      </w:r>
    </w:p>
    <w:p w14:paraId="272C9560" w14:textId="3A02B1FF" w:rsidR="00ED263C" w:rsidRDefault="00C76F13" w:rsidP="00C76F13">
      <w:pPr>
        <w:pStyle w:val="Bullet"/>
        <w:contextualSpacing/>
      </w:pPr>
      <w:r w:rsidRPr="003D7449">
        <w:t xml:space="preserve">The </w:t>
      </w:r>
      <w:r w:rsidR="00E412E5" w:rsidRPr="003D7449">
        <w:t xml:space="preserve">overall </w:t>
      </w:r>
      <w:r w:rsidR="00D40948" w:rsidRPr="003D7449">
        <w:t>average</w:t>
      </w:r>
      <w:r w:rsidR="00E412E5" w:rsidRPr="003D7449">
        <w:t xml:space="preserve"> </w:t>
      </w:r>
      <w:r w:rsidRPr="003D7449">
        <w:t xml:space="preserve">exit rate </w:t>
      </w:r>
      <w:r w:rsidR="00E412E5" w:rsidRPr="003D7449">
        <w:t xml:space="preserve">is correlated to the exit rate for developmental delay as this group </w:t>
      </w:r>
      <w:r w:rsidR="00592B3E" w:rsidRPr="003D7449">
        <w:t xml:space="preserve">generates </w:t>
      </w:r>
      <w:r w:rsidR="006157E4" w:rsidRPr="003D7449">
        <w:t>around</w:t>
      </w:r>
      <w:r w:rsidR="006157E4" w:rsidRPr="006157E4">
        <w:t xml:space="preserve"> 60% of all exits.</w:t>
      </w:r>
    </w:p>
    <w:p w14:paraId="05B8BE67" w14:textId="52827B71" w:rsidR="00D8229D" w:rsidRDefault="00D8229D" w:rsidP="00C76F13">
      <w:pPr>
        <w:pStyle w:val="Bullet"/>
        <w:contextualSpacing/>
      </w:pPr>
      <w:r>
        <w:t xml:space="preserve">Exit rates for </w:t>
      </w:r>
      <w:r w:rsidR="009E26AC">
        <w:t xml:space="preserve">all </w:t>
      </w:r>
      <w:r>
        <w:t>categories of disability were materially lower than that which was expected in the 2022 FSR.</w:t>
      </w:r>
      <w:r w:rsidR="00C15A1E">
        <w:t xml:space="preserve"> </w:t>
      </w:r>
    </w:p>
    <w:p w14:paraId="006D0B24" w14:textId="79FD15F9" w:rsidR="00E802CE" w:rsidRPr="00701C79" w:rsidRDefault="56E1073F" w:rsidP="00E802CE">
      <w:r>
        <w:t xml:space="preserve">The </w:t>
      </w:r>
      <w:r w:rsidR="00A50FF6">
        <w:t xml:space="preserve">Board Paper of </w:t>
      </w:r>
      <w:r w:rsidR="00085867">
        <w:t xml:space="preserve">15 August </w:t>
      </w:r>
      <w:r>
        <w:t xml:space="preserve">notes that </w:t>
      </w:r>
      <w:r w:rsidR="622953F8">
        <w:t xml:space="preserve">2022-23 </w:t>
      </w:r>
      <w:r>
        <w:t>exit</w:t>
      </w:r>
      <w:r w:rsidR="622953F8">
        <w:t>s</w:t>
      </w:r>
      <w:r>
        <w:t xml:space="preserve"> were lower than expected due to resource constraints. This </w:t>
      </w:r>
      <w:r w:rsidR="622953F8">
        <w:t xml:space="preserve">FSR </w:t>
      </w:r>
      <w:r>
        <w:t xml:space="preserve">assumes those resource constraints </w:t>
      </w:r>
      <w:r w:rsidR="073845CE">
        <w:t xml:space="preserve">have been </w:t>
      </w:r>
      <w:r>
        <w:t xml:space="preserve">addressed and exits </w:t>
      </w:r>
      <w:r w:rsidR="2EBBA0F6">
        <w:t xml:space="preserve">immediately </w:t>
      </w:r>
      <w:r>
        <w:t xml:space="preserve">return to the </w:t>
      </w:r>
      <w:r w:rsidR="65F5F20C">
        <w:t xml:space="preserve">rates assumed </w:t>
      </w:r>
      <w:r w:rsidR="5A04B2B8">
        <w:t>previously. The Board should note this assumption and its connection with agency resource plans.</w:t>
      </w:r>
    </w:p>
    <w:p w14:paraId="6CA47F5A" w14:textId="5E20B0D4" w:rsidR="00F769FF" w:rsidRPr="006B7D41" w:rsidRDefault="00810EC3" w:rsidP="00F769FF">
      <w:pPr>
        <w:pStyle w:val="Heading2"/>
      </w:pPr>
      <w:r w:rsidRPr="00701C79">
        <w:t>Mortality</w:t>
      </w:r>
    </w:p>
    <w:p w14:paraId="5BA64917" w14:textId="6B9A399A" w:rsidR="005F399C" w:rsidRDefault="00810EC3" w:rsidP="00F769FF">
      <w:r w:rsidRPr="006B7D41">
        <w:t xml:space="preserve">Participants may also cease to participate in the scheme due to their death. </w:t>
      </w:r>
      <w:r w:rsidR="005F399C">
        <w:t xml:space="preserve">In 2022-23 there were </w:t>
      </w:r>
      <w:r w:rsidR="00575965">
        <w:t>6,123 deaths. This was 1,246 (</w:t>
      </w:r>
      <w:r w:rsidR="0098154D">
        <w:t xml:space="preserve">26%) </w:t>
      </w:r>
      <w:r w:rsidR="00575965">
        <w:t xml:space="preserve">higher than expected. </w:t>
      </w:r>
    </w:p>
    <w:p w14:paraId="66D2AA58" w14:textId="28EB11CA" w:rsidR="008E6478" w:rsidRDefault="00F769FF" w:rsidP="008E6478">
      <w:r>
        <w:fldChar w:fldCharType="begin"/>
      </w:r>
      <w:r>
        <w:instrText xml:space="preserve"> REF _Ref111103932 \h  \* MERGEFORMAT </w:instrText>
      </w:r>
      <w:r>
        <w:fldChar w:fldCharType="separate"/>
      </w:r>
      <w:r w:rsidR="00D85365">
        <w:t xml:space="preserve">Figure </w:t>
      </w:r>
      <w:r w:rsidR="00D85365">
        <w:rPr>
          <w:noProof/>
        </w:rPr>
        <w:t>15</w:t>
      </w:r>
      <w:r>
        <w:fldChar w:fldCharType="end"/>
      </w:r>
      <w:r w:rsidR="2ECB51FC">
        <w:t xml:space="preserve"> compares the recent crude mortality rate for the scheme </w:t>
      </w:r>
      <w:r w:rsidR="60A89A9B">
        <w:t xml:space="preserve">to </w:t>
      </w:r>
      <w:r w:rsidR="2ECB51FC">
        <w:t xml:space="preserve">recent projections. Historical experience </w:t>
      </w:r>
      <w:r w:rsidR="28B26EB8">
        <w:t xml:space="preserve">will </w:t>
      </w:r>
      <w:r w:rsidR="2ECB51FC">
        <w:t>exhibit significant volatility in a population of this size.</w:t>
      </w:r>
      <w:r w:rsidR="60A89A9B">
        <w:t xml:space="preserve"> </w:t>
      </w:r>
      <w:r w:rsidR="091072EB">
        <w:t>The variation in the actual mortality rates from year</w:t>
      </w:r>
      <w:r w:rsidR="75569EFD">
        <w:t>-</w:t>
      </w:r>
      <w:r w:rsidR="091072EB">
        <w:t>to</w:t>
      </w:r>
      <w:r w:rsidR="3C32364F">
        <w:t>-</w:t>
      </w:r>
      <w:r w:rsidR="091072EB">
        <w:t>year illustrates the challenges in setting th</w:t>
      </w:r>
      <w:r w:rsidR="6F9991C4">
        <w:t>ese</w:t>
      </w:r>
      <w:r w:rsidR="091072EB">
        <w:t xml:space="preserve"> assumption</w:t>
      </w:r>
      <w:r w:rsidR="328B22C5">
        <w:t>s</w:t>
      </w:r>
      <w:r w:rsidR="091072EB">
        <w:t xml:space="preserve">. This </w:t>
      </w:r>
      <w:r w:rsidR="54E46C72">
        <w:t xml:space="preserve">challenge </w:t>
      </w:r>
      <w:r w:rsidR="72D67CDD">
        <w:t xml:space="preserve">is </w:t>
      </w:r>
      <w:r w:rsidR="091072EB">
        <w:t>further compounded by the fact that Australia has experience</w:t>
      </w:r>
      <w:r w:rsidR="38005446">
        <w:t>d</w:t>
      </w:r>
      <w:r w:rsidR="091072EB">
        <w:t xml:space="preserve"> higher than average levels of mortality over the past year, </w:t>
      </w:r>
      <w:r w:rsidR="5EE68B63">
        <w:t xml:space="preserve">largely </w:t>
      </w:r>
      <w:r w:rsidR="091072EB">
        <w:t>attributable to COVID</w:t>
      </w:r>
      <w:r w:rsidR="0F9103A5">
        <w:t xml:space="preserve"> and the indirect impacts of the pandemic</w:t>
      </w:r>
      <w:r w:rsidR="091072EB">
        <w:t xml:space="preserve">. </w:t>
      </w:r>
    </w:p>
    <w:p w14:paraId="192E3178" w14:textId="42549881" w:rsidR="00F769FF" w:rsidRPr="00701C79" w:rsidRDefault="2ECB51FC" w:rsidP="00F769FF">
      <w:pPr>
        <w:pStyle w:val="Caption"/>
      </w:pPr>
      <w:bookmarkStart w:id="18" w:name="_Ref111103932"/>
      <w:r>
        <w:t xml:space="preserve">Figure </w:t>
      </w:r>
      <w:r w:rsidR="00F769FF" w:rsidRPr="4AE7D573">
        <w:fldChar w:fldCharType="begin"/>
      </w:r>
      <w:r w:rsidR="00F769FF">
        <w:instrText xml:space="preserve"> SEQ Figure \* ARABIC </w:instrText>
      </w:r>
      <w:r w:rsidR="00F769FF" w:rsidRPr="4AE7D573">
        <w:fldChar w:fldCharType="separate"/>
      </w:r>
      <w:r w:rsidR="00D85365">
        <w:rPr>
          <w:noProof/>
        </w:rPr>
        <w:t>15</w:t>
      </w:r>
      <w:r w:rsidR="00F769FF" w:rsidRPr="4AE7D573">
        <w:rPr>
          <w:noProof/>
        </w:rPr>
        <w:fldChar w:fldCharType="end"/>
      </w:r>
      <w:bookmarkEnd w:id="18"/>
      <w:r>
        <w:t>: Actual and projected crude mortality exit rate</w:t>
      </w:r>
      <w:r w:rsidR="7AB50596">
        <w:t>.</w:t>
      </w:r>
    </w:p>
    <w:p w14:paraId="1C2C8F2E" w14:textId="01FAF9EB" w:rsidR="00F769FF" w:rsidRPr="00701C79" w:rsidRDefault="00374C96" w:rsidP="00F769FF">
      <w:r>
        <w:rPr>
          <w:noProof/>
        </w:rPr>
        <w:drawing>
          <wp:inline distT="0" distB="0" distL="0" distR="0" wp14:anchorId="5BFF2D1E" wp14:editId="5F2DFACA">
            <wp:extent cx="5661660" cy="2141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61660" cy="2141220"/>
                    </a:xfrm>
                    <a:prstGeom prst="rect">
                      <a:avLst/>
                    </a:prstGeom>
                    <a:noFill/>
                  </pic:spPr>
                </pic:pic>
              </a:graphicData>
            </a:graphic>
          </wp:inline>
        </w:drawing>
      </w:r>
    </w:p>
    <w:p w14:paraId="25F893EA" w14:textId="64A97228" w:rsidR="00CF56DA" w:rsidRDefault="313C89EA" w:rsidP="4AE7D573">
      <w:r>
        <w:t xml:space="preserve">Mortality assumptions have been reviewed for this projection, based on five years of scheme experience to February 2023. This addresses a recommendation made in my </w:t>
      </w:r>
      <w:r w:rsidR="7DCE3ECE">
        <w:t xml:space="preserve">review </w:t>
      </w:r>
      <w:r>
        <w:t xml:space="preserve">letter dated September 2022. Overall, the expected mortality rates </w:t>
      </w:r>
      <w:r w:rsidR="73477D9A">
        <w:t xml:space="preserve">at individual ages </w:t>
      </w:r>
      <w:r>
        <w:t xml:space="preserve">have been increased for this FSR, relative to the prior FSR. </w:t>
      </w:r>
      <w:r w:rsidR="00567315">
        <w:t>T</w:t>
      </w:r>
      <w:r w:rsidR="7C561081">
        <w:t>he crude mortality rate shown in Figure 15 reduces over time, reflecting the high</w:t>
      </w:r>
      <w:r w:rsidR="620F197E">
        <w:t>er</w:t>
      </w:r>
      <w:r w:rsidR="7C561081">
        <w:t xml:space="preserve"> number of younger new entrants to the scheme (that have lower morta</w:t>
      </w:r>
      <w:r w:rsidR="325B2B76">
        <w:t>lity rates)</w:t>
      </w:r>
      <w:r w:rsidR="7C561081">
        <w:t xml:space="preserve">. </w:t>
      </w:r>
      <w:r>
        <w:t xml:space="preserve">The projected rate </w:t>
      </w:r>
      <w:r w:rsidR="33DAC84A">
        <w:t xml:space="preserve">for 2023-24 </w:t>
      </w:r>
      <w:r>
        <w:t xml:space="preserve">remains below last years’ experience, </w:t>
      </w:r>
      <w:r w:rsidR="0BCB39CD">
        <w:t xml:space="preserve">and </w:t>
      </w:r>
      <w:r>
        <w:t>assum</w:t>
      </w:r>
      <w:r w:rsidR="5096E09F">
        <w:t>es</w:t>
      </w:r>
      <w:r>
        <w:t xml:space="preserve"> the excess mortality experienced in 2022-23 will subside. </w:t>
      </w:r>
    </w:p>
    <w:p w14:paraId="7301D858" w14:textId="56934352" w:rsidR="00496857" w:rsidRDefault="00496857" w:rsidP="0003029B">
      <w:r>
        <w:lastRenderedPageBreak/>
        <w:t xml:space="preserve">The Department of Health reports </w:t>
      </w:r>
      <w:r w:rsidR="00B72C6F">
        <w:t xml:space="preserve">the number of deaths from </w:t>
      </w:r>
      <w:r>
        <w:t>COVID</w:t>
      </w:r>
      <w:r w:rsidR="00B72C6F">
        <w:t xml:space="preserve"> and deaths with COVID amongst NDIS recipients</w:t>
      </w:r>
      <w:r w:rsidR="00146A63">
        <w:rPr>
          <w:rStyle w:val="FootnoteReference"/>
        </w:rPr>
        <w:footnoteReference w:id="2"/>
      </w:r>
      <w:r w:rsidR="00146A63">
        <w:t xml:space="preserve">. </w:t>
      </w:r>
      <w:r w:rsidR="0043279D">
        <w:t>Th</w:t>
      </w:r>
      <w:r w:rsidR="00F301AB">
        <w:t>is</w:t>
      </w:r>
      <w:r w:rsidR="0043279D">
        <w:t xml:space="preserve"> identified 439 deaths </w:t>
      </w:r>
      <w:r w:rsidR="00FF192C">
        <w:t xml:space="preserve">related to COVID </w:t>
      </w:r>
      <w:r w:rsidR="0043279D">
        <w:t xml:space="preserve">between </w:t>
      </w:r>
      <w:r w:rsidR="00980F5F">
        <w:t>March 2020 and July 2023. Whilst s</w:t>
      </w:r>
      <w:r w:rsidR="00524969">
        <w:t>ome care must be taken with this report as the data will not be mature</w:t>
      </w:r>
      <w:r w:rsidR="00980F5F">
        <w:t xml:space="preserve">, this might suggest that </w:t>
      </w:r>
      <w:r w:rsidR="0054181D">
        <w:t xml:space="preserve">less than </w:t>
      </w:r>
      <w:r w:rsidR="00980F5F">
        <w:t xml:space="preserve">5% of </w:t>
      </w:r>
      <w:r w:rsidR="0054181D">
        <w:t xml:space="preserve">scheme </w:t>
      </w:r>
      <w:r w:rsidR="00980F5F">
        <w:t xml:space="preserve">deaths </w:t>
      </w:r>
      <w:r w:rsidR="0054181D">
        <w:t>are related to COVID</w:t>
      </w:r>
      <w:r w:rsidR="00524969">
        <w:t>.</w:t>
      </w:r>
      <w:r w:rsidR="0043279D">
        <w:t xml:space="preserve"> </w:t>
      </w:r>
      <w:r w:rsidR="00EA429B">
        <w:t>T</w:t>
      </w:r>
      <w:r w:rsidR="00E53871">
        <w:t xml:space="preserve">he difference </w:t>
      </w:r>
      <w:r w:rsidR="00EA429B">
        <w:t xml:space="preserve">between </w:t>
      </w:r>
      <w:r w:rsidR="00E53871">
        <w:t xml:space="preserve">the actual crude mortality rate and the projected crude </w:t>
      </w:r>
      <w:r w:rsidR="00CB2418">
        <w:t xml:space="preserve">mortality rate may not be fully explained by excess COVID </w:t>
      </w:r>
      <w:r w:rsidR="00715800">
        <w:t>deaths</w:t>
      </w:r>
      <w:r w:rsidR="00741145">
        <w:t xml:space="preserve">. This </w:t>
      </w:r>
      <w:r w:rsidR="4F801398">
        <w:t xml:space="preserve">suggests </w:t>
      </w:r>
      <w:r w:rsidR="00A31595">
        <w:t xml:space="preserve">that mortality should continue to be </w:t>
      </w:r>
      <w:r w:rsidR="499DAF56">
        <w:t xml:space="preserve">closely </w:t>
      </w:r>
      <w:r w:rsidR="00A31595">
        <w:t>monitored.</w:t>
      </w:r>
    </w:p>
    <w:p w14:paraId="6E6E085D" w14:textId="4E615F29" w:rsidR="00596FDC" w:rsidRDefault="02C2C7D7" w:rsidP="0003029B">
      <w:r>
        <w:t xml:space="preserve">Mortality </w:t>
      </w:r>
      <w:r w:rsidR="230EF9FA">
        <w:t>a</w:t>
      </w:r>
      <w:r w:rsidR="3C2D728A">
        <w:t xml:space="preserve">ssumptions are set by age, disability type, level of function and SIL status. </w:t>
      </w:r>
      <w:r w:rsidR="1C958A88">
        <w:t xml:space="preserve">The aggregate result illustrated in </w:t>
      </w:r>
      <w:r w:rsidR="00E004A2">
        <w:fldChar w:fldCharType="begin"/>
      </w:r>
      <w:r w:rsidR="00E004A2">
        <w:instrText xml:space="preserve"> REF _Ref111103932 \h  \* MERGEFORMAT </w:instrText>
      </w:r>
      <w:r w:rsidR="00E004A2">
        <w:fldChar w:fldCharType="separate"/>
      </w:r>
      <w:r w:rsidR="00D85365">
        <w:t xml:space="preserve">Figure </w:t>
      </w:r>
      <w:r w:rsidR="00D85365">
        <w:rPr>
          <w:noProof/>
        </w:rPr>
        <w:t>15</w:t>
      </w:r>
      <w:r w:rsidR="00E004A2">
        <w:fldChar w:fldCharType="end"/>
      </w:r>
      <w:r w:rsidR="1C958A88">
        <w:t xml:space="preserve"> masks variations within individual cohorts. </w:t>
      </w:r>
      <w:r w:rsidR="55FC4CA3">
        <w:t xml:space="preserve">Whilst </w:t>
      </w:r>
      <w:r w:rsidR="2ECB51FC">
        <w:t xml:space="preserve">the total number of deaths </w:t>
      </w:r>
      <w:r w:rsidR="55FC4CA3">
        <w:t xml:space="preserve">in the scheme </w:t>
      </w:r>
      <w:r w:rsidR="2ECB51FC">
        <w:t>is relatively small</w:t>
      </w:r>
      <w:r w:rsidR="13DF0481">
        <w:t xml:space="preserve">, the distribution of deaths can be important. For example, </w:t>
      </w:r>
      <w:r w:rsidR="0DC1DE33">
        <w:t xml:space="preserve">very </w:t>
      </w:r>
      <w:r w:rsidR="13DF0481">
        <w:t xml:space="preserve">few participants receiving SIL leave for reasons other than mortality. As a result, </w:t>
      </w:r>
      <w:r w:rsidR="0DC1DE33">
        <w:t xml:space="preserve">the assumed </w:t>
      </w:r>
      <w:r w:rsidR="13DF0481">
        <w:t xml:space="preserve">mortality experience </w:t>
      </w:r>
      <w:r w:rsidR="0DC1DE33">
        <w:t xml:space="preserve">of </w:t>
      </w:r>
      <w:r w:rsidR="13DF0481">
        <w:t xml:space="preserve">participants receiving SIL has a material impact on </w:t>
      </w:r>
      <w:r w:rsidR="10E0726E">
        <w:t>SIL</w:t>
      </w:r>
      <w:r w:rsidR="13DF0481">
        <w:t xml:space="preserve"> projected costs</w:t>
      </w:r>
      <w:r w:rsidR="55FC4CA3">
        <w:t xml:space="preserve">. </w:t>
      </w:r>
    </w:p>
    <w:p w14:paraId="0B8D256C" w14:textId="44517E7F" w:rsidR="00C278FC" w:rsidRDefault="00C278FC" w:rsidP="00C278FC">
      <w:pPr>
        <w:pStyle w:val="Caption"/>
      </w:pPr>
      <w:bookmarkStart w:id="19" w:name="_Ref143266351"/>
      <w:r>
        <w:t xml:space="preserve">Figure </w:t>
      </w:r>
      <w:r>
        <w:fldChar w:fldCharType="begin"/>
      </w:r>
      <w:r>
        <w:instrText>SEQ Figure \* ARABIC</w:instrText>
      </w:r>
      <w:r>
        <w:fldChar w:fldCharType="separate"/>
      </w:r>
      <w:r w:rsidR="00D85365">
        <w:rPr>
          <w:noProof/>
        </w:rPr>
        <w:t>16</w:t>
      </w:r>
      <w:r>
        <w:fldChar w:fldCharType="end"/>
      </w:r>
      <w:bookmarkEnd w:id="19"/>
      <w:r>
        <w:t xml:space="preserve">: Actual and </w:t>
      </w:r>
      <w:r w:rsidR="00297E83">
        <w:t>projected crude mortality rate for SIL participants.</w:t>
      </w:r>
    </w:p>
    <w:p w14:paraId="11AA402A" w14:textId="075DA942" w:rsidR="00297E83" w:rsidRDefault="001930CC" w:rsidP="00297E83">
      <w:r>
        <w:rPr>
          <w:noProof/>
        </w:rPr>
        <w:drawing>
          <wp:inline distT="0" distB="0" distL="0" distR="0" wp14:anchorId="22F19FAB" wp14:editId="63C13D68">
            <wp:extent cx="5654040" cy="214122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4040" cy="2141220"/>
                    </a:xfrm>
                    <a:prstGeom prst="rect">
                      <a:avLst/>
                    </a:prstGeom>
                    <a:noFill/>
                  </pic:spPr>
                </pic:pic>
              </a:graphicData>
            </a:graphic>
          </wp:inline>
        </w:drawing>
      </w:r>
    </w:p>
    <w:p w14:paraId="172888BC" w14:textId="44B1798F" w:rsidR="006F459C" w:rsidRDefault="006F459C" w:rsidP="006F459C">
      <w:r>
        <w:fldChar w:fldCharType="begin"/>
      </w:r>
      <w:r>
        <w:instrText xml:space="preserve"> REF _Ref143266351 \h </w:instrText>
      </w:r>
      <w:r>
        <w:fldChar w:fldCharType="separate"/>
      </w:r>
      <w:r w:rsidR="00D85365">
        <w:t xml:space="preserve">Figure </w:t>
      </w:r>
      <w:r w:rsidR="00D85365">
        <w:rPr>
          <w:noProof/>
        </w:rPr>
        <w:t>16</w:t>
      </w:r>
      <w:r>
        <w:fldChar w:fldCharType="end"/>
      </w:r>
      <w:r>
        <w:t xml:space="preserve"> shows that the expected mortality rates for SIL are more closely aligned to recent experience.</w:t>
      </w:r>
    </w:p>
    <w:p w14:paraId="1906B0EA" w14:textId="77777777" w:rsidR="00297E83" w:rsidRPr="00297E83" w:rsidRDefault="00297E83" w:rsidP="00297E83"/>
    <w:sectPr w:rsidR="00297E83" w:rsidRPr="00297E83" w:rsidSect="00EC689A">
      <w:headerReference w:type="default" r:id="rId29"/>
      <w:footerReference w:type="default" r:id="rId30"/>
      <w:headerReference w:type="first" r:id="rId31"/>
      <w:footerReference w:type="first" r:id="rId32"/>
      <w:pgSz w:w="11907" w:h="16840" w:code="9"/>
      <w:pgMar w:top="1440" w:right="1440" w:bottom="1440" w:left="1440" w:header="1416" w:footer="3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8429" w14:textId="77777777" w:rsidR="00F5263F" w:rsidRDefault="00F5263F">
      <w:pPr>
        <w:spacing w:after="0" w:line="240" w:lineRule="auto"/>
      </w:pPr>
      <w:r>
        <w:separator/>
      </w:r>
    </w:p>
    <w:p w14:paraId="577CDCB4" w14:textId="77777777" w:rsidR="00F5263F" w:rsidRDefault="00F5263F"/>
  </w:endnote>
  <w:endnote w:type="continuationSeparator" w:id="0">
    <w:p w14:paraId="678A52A0" w14:textId="77777777" w:rsidR="00F5263F" w:rsidRDefault="00F5263F">
      <w:pPr>
        <w:spacing w:after="0" w:line="240" w:lineRule="auto"/>
      </w:pPr>
      <w:r>
        <w:continuationSeparator/>
      </w:r>
    </w:p>
    <w:p w14:paraId="4090BDBC" w14:textId="77777777" w:rsidR="00F5263F" w:rsidRDefault="00F5263F"/>
  </w:endnote>
  <w:endnote w:type="continuationNotice" w:id="1">
    <w:p w14:paraId="1EE85073" w14:textId="77777777" w:rsidR="00F5263F" w:rsidRDefault="00F52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6CC1" w14:textId="0F2FC591" w:rsidR="007A2354" w:rsidRDefault="005C0EAC" w:rsidP="00EC689A">
    <w:pPr>
      <w:pStyle w:val="Footer"/>
    </w:pPr>
    <w:r>
      <w:fldChar w:fldCharType="begin"/>
    </w:r>
    <w:r>
      <w:instrText>FILENAME \p  \* MERGEFORMAT</w:instrText>
    </w:r>
    <w:r>
      <w:fldChar w:fldCharType="separate"/>
    </w:r>
    <w:r w:rsidR="005E7538">
      <w:rPr>
        <w:noProof/>
      </w:rPr>
      <w:t>https://austreasury.sharepoint.com/sites/ap-function/ndis/FInancial Sustainability Report/NDIS FSR Peer Review Summary FINAL03.docx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5456" w14:textId="404B396C" w:rsidR="00B65DA4" w:rsidRPr="00EC689A" w:rsidRDefault="0081102E" w:rsidP="00EC689A">
    <w:pPr>
      <w:pStyle w:val="Footer"/>
      <w:ind w:left="0"/>
    </w:pPr>
    <w:r w:rsidRPr="00B65DA4">
      <w:rPr>
        <w:noProof/>
        <w:lang w:eastAsia="en-AU"/>
      </w:rPr>
      <w:drawing>
        <wp:anchor distT="0" distB="0" distL="114300" distR="114300" simplePos="0" relativeHeight="251656704" behindDoc="1" locked="0" layoutInCell="1" allowOverlap="1" wp14:anchorId="5253F5D6" wp14:editId="572BBAE4">
          <wp:simplePos x="0" y="0"/>
          <wp:positionH relativeFrom="page">
            <wp:posOffset>3146425</wp:posOffset>
          </wp:positionH>
          <wp:positionV relativeFrom="paragraph">
            <wp:posOffset>-556895</wp:posOffset>
          </wp:positionV>
          <wp:extent cx="5104965" cy="2480310"/>
          <wp:effectExtent l="0" t="0" r="635" b="0"/>
          <wp:wrapNone/>
          <wp:docPr id="106" name="Picture 1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A letter footer.png"/>
                  <pic:cNvPicPr/>
                </pic:nvPicPr>
                <pic:blipFill>
                  <a:blip r:embed="rId1">
                    <a:extLst>
                      <a:ext uri="{28A0092B-C50C-407E-A947-70E740481C1C}">
                        <a14:useLocalDpi xmlns:a14="http://schemas.microsoft.com/office/drawing/2010/main" val="0"/>
                      </a:ext>
                    </a:extLst>
                  </a:blip>
                  <a:stretch>
                    <a:fillRect/>
                  </a:stretch>
                </pic:blipFill>
                <pic:spPr>
                  <a:xfrm>
                    <a:off x="0" y="0"/>
                    <a:ext cx="5104965" cy="2480310"/>
                  </a:xfrm>
                  <a:prstGeom prst="rect">
                    <a:avLst/>
                  </a:prstGeom>
                </pic:spPr>
              </pic:pic>
            </a:graphicData>
          </a:graphic>
          <wp14:sizeRelH relativeFrom="margin">
            <wp14:pctWidth>0</wp14:pctWidth>
          </wp14:sizeRelH>
          <wp14:sizeRelV relativeFrom="margin">
            <wp14:pctHeight>0</wp14:pctHeight>
          </wp14:sizeRelV>
        </wp:anchor>
      </w:drawing>
    </w:r>
    <w:r w:rsidR="00B65DA4" w:rsidRPr="00B65DA4">
      <w:t xml:space="preserve">The </w:t>
    </w:r>
    <w:r w:rsidR="00B65DA4" w:rsidRPr="00EC689A">
      <w:t>Treasury, Langton Crescent, Parkes ACT 2600</w:t>
    </w:r>
  </w:p>
  <w:p w14:paraId="260AD045" w14:textId="20E6C44B" w:rsidR="00B65DA4" w:rsidRPr="00B65DA4" w:rsidRDefault="00B65DA4" w:rsidP="00EC689A">
    <w:pPr>
      <w:pStyle w:val="Footer"/>
      <w:ind w:left="0"/>
      <w:rPr>
        <w:rFonts w:ascii="Calibri" w:hAnsi="Calibri"/>
      </w:rPr>
    </w:pPr>
    <w:r w:rsidRPr="00B65DA4">
      <w:t>02 6263 2137</w:t>
    </w:r>
  </w:p>
  <w:p w14:paraId="1AE8F54B" w14:textId="500545D7" w:rsidR="00B65DA4" w:rsidRPr="00B65DA4" w:rsidRDefault="005C0EAC" w:rsidP="00EC689A">
    <w:pPr>
      <w:pStyle w:val="Footer"/>
      <w:ind w:left="0"/>
    </w:pPr>
    <w:hyperlink r:id="rId2" w:history="1">
      <w:r w:rsidR="00B65DA4" w:rsidRPr="00B65DA4">
        <w:rPr>
          <w:rStyle w:val="Hyperlink"/>
        </w:rPr>
        <w:t>aga@aga.gov.au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A36B" w14:textId="77777777" w:rsidR="00F5263F" w:rsidRDefault="00F5263F">
      <w:pPr>
        <w:spacing w:after="0" w:line="240" w:lineRule="auto"/>
      </w:pPr>
      <w:r>
        <w:separator/>
      </w:r>
    </w:p>
    <w:p w14:paraId="223D25C7" w14:textId="77777777" w:rsidR="00F5263F" w:rsidRDefault="00F5263F"/>
  </w:footnote>
  <w:footnote w:type="continuationSeparator" w:id="0">
    <w:p w14:paraId="6ADBB32B" w14:textId="77777777" w:rsidR="00F5263F" w:rsidRDefault="00F5263F">
      <w:pPr>
        <w:spacing w:after="0" w:line="240" w:lineRule="auto"/>
      </w:pPr>
      <w:r>
        <w:continuationSeparator/>
      </w:r>
    </w:p>
    <w:p w14:paraId="09755CCE" w14:textId="77777777" w:rsidR="00F5263F" w:rsidRDefault="00F5263F"/>
  </w:footnote>
  <w:footnote w:type="continuationNotice" w:id="1">
    <w:p w14:paraId="26D55E4E" w14:textId="77777777" w:rsidR="00F5263F" w:rsidRDefault="00F5263F">
      <w:pPr>
        <w:spacing w:after="0" w:line="240" w:lineRule="auto"/>
      </w:pPr>
    </w:p>
  </w:footnote>
  <w:footnote w:id="2">
    <w:p w14:paraId="428548C9" w14:textId="1D726094" w:rsidR="00146A63" w:rsidRDefault="00146A63">
      <w:pPr>
        <w:pStyle w:val="FootnoteText"/>
      </w:pPr>
      <w:r>
        <w:rPr>
          <w:rStyle w:val="FootnoteReference"/>
        </w:rPr>
        <w:footnoteRef/>
      </w:r>
      <w:r>
        <w:t xml:space="preserve"> </w:t>
      </w:r>
      <w:hyperlink r:id="rId1" w:anchor="covid19-deaths-among-people-on-ndis-and-disability-support-pension" w:history="1">
        <w:r w:rsidRPr="00146A63">
          <w:rPr>
            <w:rStyle w:val="Hyperlink"/>
            <w:sz w:val="14"/>
            <w:szCs w:val="14"/>
          </w:rPr>
          <w:t>Weekly COVID-19 repo...~https://www.health.gov.au/health-alerts/covid-19/weekly-reporting#covid19-deaths-among-people-on-ndis-and-disability-support-pension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E563" w14:textId="36E40470" w:rsidR="007A2354" w:rsidRDefault="00F43421" w:rsidP="00926209">
    <w:pPr>
      <w:spacing w:after="160"/>
      <w:jc w:val="center"/>
      <w:rPr>
        <w:b/>
      </w:rPr>
    </w:pPr>
    <w:r>
      <w:fldChar w:fldCharType="begin"/>
    </w:r>
    <w:r w:rsidR="00E44E95">
      <w:instrText xml:space="preserve"> PAGE </w:instrText>
    </w:r>
    <w:r>
      <w:fldChar w:fldCharType="separate"/>
    </w:r>
    <w:r w:rsidR="0024661D">
      <w:rPr>
        <w:noProof/>
      </w:rPr>
      <w:t>9</w:t>
    </w:r>
    <w:r>
      <w:rPr>
        <w:noProof/>
      </w:rPr>
      <w:fldChar w:fldCharType="end"/>
    </w:r>
  </w:p>
  <w:p w14:paraId="4F4D5DF7" w14:textId="77777777" w:rsidR="000C6EB0" w:rsidRDefault="000C6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E54C" w14:textId="7DE7D445" w:rsidR="0081102E" w:rsidRDefault="0081102E" w:rsidP="0081102E">
    <w:pPr>
      <w:tabs>
        <w:tab w:val="left" w:pos="4656"/>
      </w:tabs>
    </w:pPr>
    <w:r w:rsidRPr="00F876E1">
      <w:rPr>
        <w:noProof/>
        <w:lang w:eastAsia="en-AU"/>
      </w:rPr>
      <w:drawing>
        <wp:anchor distT="0" distB="0" distL="114300" distR="114300" simplePos="0" relativeHeight="251657728" behindDoc="1" locked="0" layoutInCell="1" allowOverlap="1" wp14:anchorId="4D33191F" wp14:editId="0D57E4F3">
          <wp:simplePos x="0" y="0"/>
          <wp:positionH relativeFrom="column">
            <wp:posOffset>-517525</wp:posOffset>
          </wp:positionH>
          <wp:positionV relativeFrom="paragraph">
            <wp:posOffset>-580390</wp:posOffset>
          </wp:positionV>
          <wp:extent cx="2438400" cy="496186"/>
          <wp:effectExtent l="0" t="0" r="0" b="0"/>
          <wp:wrapNone/>
          <wp:docPr id="105" name="Picture 105" descr="Austrlian%20Governmnet%20Actuary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lian%20Governmnet%20Actuary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9618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70A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ECD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9AF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889A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AC5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ACAE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027F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A2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32C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A2B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9380C"/>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1" w15:restartNumberingAfterBreak="0">
    <w:nsid w:val="09150CE8"/>
    <w:multiLevelType w:val="multilevel"/>
    <w:tmpl w:val="C4BAA8F0"/>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15:restartNumberingAfterBreak="0">
    <w:nsid w:val="11E3531F"/>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15:restartNumberingAfterBreak="0">
    <w:nsid w:val="1AC77948"/>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15:restartNumberingAfterBreak="0">
    <w:nsid w:val="1F164E4E"/>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5" w15:restartNumberingAfterBreak="0">
    <w:nsid w:val="26C4388A"/>
    <w:multiLevelType w:val="hybridMultilevel"/>
    <w:tmpl w:val="FFFFFFFF"/>
    <w:lvl w:ilvl="0" w:tplc="A6081CE8">
      <w:start w:val="1"/>
      <w:numFmt w:val="decimal"/>
      <w:lvlText w:val="%1."/>
      <w:lvlJc w:val="left"/>
      <w:pPr>
        <w:ind w:left="472" w:hanging="360"/>
      </w:pPr>
    </w:lvl>
    <w:lvl w:ilvl="1" w:tplc="76DEB09C">
      <w:start w:val="1"/>
      <w:numFmt w:val="lowerLetter"/>
      <w:lvlText w:val="%2."/>
      <w:lvlJc w:val="left"/>
      <w:pPr>
        <w:ind w:left="944" w:hanging="360"/>
      </w:pPr>
    </w:lvl>
    <w:lvl w:ilvl="2" w:tplc="FE42DD3E">
      <w:start w:val="1"/>
      <w:numFmt w:val="lowerRoman"/>
      <w:lvlText w:val="%3."/>
      <w:lvlJc w:val="right"/>
      <w:pPr>
        <w:ind w:left="1416" w:hanging="180"/>
      </w:pPr>
    </w:lvl>
    <w:lvl w:ilvl="3" w:tplc="2D58CE54">
      <w:start w:val="1"/>
      <w:numFmt w:val="decimal"/>
      <w:lvlText w:val="%4."/>
      <w:lvlJc w:val="left"/>
      <w:pPr>
        <w:ind w:left="1440" w:hanging="360"/>
      </w:pPr>
    </w:lvl>
    <w:lvl w:ilvl="4" w:tplc="FC0879EA">
      <w:start w:val="1"/>
      <w:numFmt w:val="lowerLetter"/>
      <w:lvlText w:val="%5."/>
      <w:lvlJc w:val="left"/>
      <w:pPr>
        <w:ind w:left="1800" w:hanging="360"/>
      </w:pPr>
    </w:lvl>
    <w:lvl w:ilvl="5" w:tplc="9A981DC2">
      <w:start w:val="1"/>
      <w:numFmt w:val="lowerRoman"/>
      <w:lvlText w:val="%6."/>
      <w:lvlJc w:val="right"/>
      <w:pPr>
        <w:ind w:left="2160" w:hanging="180"/>
      </w:pPr>
    </w:lvl>
    <w:lvl w:ilvl="6" w:tplc="01FA1048">
      <w:start w:val="1"/>
      <w:numFmt w:val="decimal"/>
      <w:lvlText w:val="%7."/>
      <w:lvlJc w:val="left"/>
      <w:pPr>
        <w:ind w:left="2520" w:hanging="360"/>
      </w:pPr>
    </w:lvl>
    <w:lvl w:ilvl="7" w:tplc="17824018">
      <w:start w:val="1"/>
      <w:numFmt w:val="lowerLetter"/>
      <w:lvlText w:val="%8."/>
      <w:lvlJc w:val="left"/>
      <w:pPr>
        <w:ind w:left="2880" w:hanging="360"/>
      </w:pPr>
    </w:lvl>
    <w:lvl w:ilvl="8" w:tplc="68446F7E">
      <w:start w:val="1"/>
      <w:numFmt w:val="lowerRoman"/>
      <w:lvlText w:val="%9."/>
      <w:lvlJc w:val="right"/>
      <w:pPr>
        <w:ind w:left="3240" w:hanging="180"/>
      </w:pPr>
    </w:lvl>
  </w:abstractNum>
  <w:abstractNum w:abstractNumId="16" w15:restartNumberingAfterBreak="0">
    <w:nsid w:val="2ACD366A"/>
    <w:multiLevelType w:val="multilevel"/>
    <w:tmpl w:val="5218D840"/>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A83350"/>
    <w:multiLevelType w:val="multilevel"/>
    <w:tmpl w:val="8A321880"/>
    <w:name w:val="AGALettter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hint="default"/>
      </w:rPr>
    </w:lvl>
    <w:lvl w:ilvl="2">
      <w:start w:val="1"/>
      <w:numFmt w:val="bullet"/>
      <w:pStyle w:val="DoubleDo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D578E1"/>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9" w15:restartNumberingAfterBreak="0">
    <w:nsid w:val="54FC0DD2"/>
    <w:multiLevelType w:val="multilevel"/>
    <w:tmpl w:val="7C8C7BD2"/>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0" w15:restartNumberingAfterBreak="0">
    <w:nsid w:val="59874E06"/>
    <w:multiLevelType w:val="multilevel"/>
    <w:tmpl w:val="D9B45820"/>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09226C"/>
    <w:multiLevelType w:val="hybridMultilevel"/>
    <w:tmpl w:val="FFFFFFFF"/>
    <w:lvl w:ilvl="0" w:tplc="8750AFBE">
      <w:start w:val="1"/>
      <w:numFmt w:val="decimal"/>
      <w:lvlText w:val="%1."/>
      <w:lvlJc w:val="left"/>
      <w:pPr>
        <w:ind w:left="472" w:hanging="360"/>
      </w:pPr>
    </w:lvl>
    <w:lvl w:ilvl="1" w:tplc="B89E15D2">
      <w:start w:val="1"/>
      <w:numFmt w:val="lowerLetter"/>
      <w:lvlText w:val="%2."/>
      <w:lvlJc w:val="left"/>
      <w:pPr>
        <w:ind w:left="944" w:hanging="360"/>
      </w:pPr>
    </w:lvl>
    <w:lvl w:ilvl="2" w:tplc="8B9C8ADC">
      <w:start w:val="1"/>
      <w:numFmt w:val="lowerRoman"/>
      <w:lvlText w:val="%3."/>
      <w:lvlJc w:val="right"/>
      <w:pPr>
        <w:ind w:left="1416" w:hanging="180"/>
      </w:pPr>
    </w:lvl>
    <w:lvl w:ilvl="3" w:tplc="A6DCE8C4">
      <w:start w:val="1"/>
      <w:numFmt w:val="decimal"/>
      <w:lvlText w:val="%4."/>
      <w:lvlJc w:val="left"/>
      <w:pPr>
        <w:ind w:left="1440" w:hanging="360"/>
      </w:pPr>
    </w:lvl>
    <w:lvl w:ilvl="4" w:tplc="5854FB94">
      <w:start w:val="1"/>
      <w:numFmt w:val="lowerLetter"/>
      <w:lvlText w:val="%5."/>
      <w:lvlJc w:val="left"/>
      <w:pPr>
        <w:ind w:left="1800" w:hanging="360"/>
      </w:pPr>
    </w:lvl>
    <w:lvl w:ilvl="5" w:tplc="1968174C">
      <w:start w:val="1"/>
      <w:numFmt w:val="lowerRoman"/>
      <w:lvlText w:val="%6."/>
      <w:lvlJc w:val="right"/>
      <w:pPr>
        <w:ind w:left="2160" w:hanging="180"/>
      </w:pPr>
    </w:lvl>
    <w:lvl w:ilvl="6" w:tplc="0024D86A">
      <w:start w:val="1"/>
      <w:numFmt w:val="decimal"/>
      <w:lvlText w:val="%7."/>
      <w:lvlJc w:val="left"/>
      <w:pPr>
        <w:ind w:left="2520" w:hanging="360"/>
      </w:pPr>
    </w:lvl>
    <w:lvl w:ilvl="7" w:tplc="154209E8">
      <w:start w:val="1"/>
      <w:numFmt w:val="lowerLetter"/>
      <w:lvlText w:val="%8."/>
      <w:lvlJc w:val="left"/>
      <w:pPr>
        <w:ind w:left="2880" w:hanging="360"/>
      </w:pPr>
    </w:lvl>
    <w:lvl w:ilvl="8" w:tplc="6CF2F302">
      <w:start w:val="1"/>
      <w:numFmt w:val="lowerRoman"/>
      <w:lvlText w:val="%9."/>
      <w:lvlJc w:val="right"/>
      <w:pPr>
        <w:ind w:left="3240" w:hanging="180"/>
      </w:pPr>
    </w:lvl>
  </w:abstractNum>
  <w:abstractNum w:abstractNumId="22" w15:restartNumberingAfterBreak="0">
    <w:nsid w:val="64874D88"/>
    <w:multiLevelType w:val="multilevel"/>
    <w:tmpl w:val="FCF05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800"/>
        </w:tabs>
        <w:ind w:left="1008" w:hanging="1008"/>
      </w:pPr>
      <w:rPr>
        <w:rFonts w:hint="default"/>
      </w:rPr>
    </w:lvl>
    <w:lvl w:ilvl="5">
      <w:start w:val="1"/>
      <w:numFmt w:val="decimal"/>
      <w:lvlText w:val="%1.%2.%3.%4.%5.%6"/>
      <w:lvlJc w:val="left"/>
      <w:pPr>
        <w:tabs>
          <w:tab w:val="num" w:pos="2160"/>
        </w:tabs>
        <w:ind w:left="1152" w:hanging="1152"/>
      </w:pPr>
      <w:rPr>
        <w:rFonts w:hint="default"/>
      </w:rPr>
    </w:lvl>
    <w:lvl w:ilvl="6">
      <w:start w:val="1"/>
      <w:numFmt w:val="decimal"/>
      <w:lvlText w:val="%1.%2.%3.%4.%5.%6.%7"/>
      <w:lvlJc w:val="left"/>
      <w:pPr>
        <w:tabs>
          <w:tab w:val="num" w:pos="2520"/>
        </w:tabs>
        <w:ind w:left="1296" w:hanging="1296"/>
      </w:pPr>
      <w:rPr>
        <w:rFonts w:hint="default"/>
      </w:rPr>
    </w:lvl>
    <w:lvl w:ilvl="7">
      <w:start w:val="1"/>
      <w:numFmt w:val="decimal"/>
      <w:lvlText w:val="%1.%2.%3.%4.%5.%6.%7.%8"/>
      <w:lvlJc w:val="left"/>
      <w:pPr>
        <w:tabs>
          <w:tab w:val="num" w:pos="2880"/>
        </w:tabs>
        <w:ind w:left="1440" w:hanging="1440"/>
      </w:pPr>
      <w:rPr>
        <w:rFonts w:hint="default"/>
      </w:rPr>
    </w:lvl>
    <w:lvl w:ilvl="8">
      <w:start w:val="1"/>
      <w:numFmt w:val="decimal"/>
      <w:lvlRestart w:val="0"/>
      <w:lvlText w:val="%1.%2.%3.%4.%5.%6.%7.%8.%9"/>
      <w:lvlJc w:val="left"/>
      <w:pPr>
        <w:tabs>
          <w:tab w:val="num" w:pos="3240"/>
        </w:tabs>
        <w:ind w:left="1584" w:hanging="1584"/>
      </w:pPr>
      <w:rPr>
        <w:rFonts w:hint="default"/>
      </w:rPr>
    </w:lvl>
  </w:abstractNum>
  <w:abstractNum w:abstractNumId="23" w15:restartNumberingAfterBreak="0">
    <w:nsid w:val="68E58C00"/>
    <w:multiLevelType w:val="hybridMultilevel"/>
    <w:tmpl w:val="FFFFFFFF"/>
    <w:lvl w:ilvl="0" w:tplc="2DC8D526">
      <w:start w:val="1"/>
      <w:numFmt w:val="decimal"/>
      <w:lvlText w:val="%1."/>
      <w:lvlJc w:val="left"/>
      <w:pPr>
        <w:ind w:left="472" w:hanging="360"/>
      </w:pPr>
    </w:lvl>
    <w:lvl w:ilvl="1" w:tplc="A2BEC338">
      <w:start w:val="1"/>
      <w:numFmt w:val="lowerLetter"/>
      <w:lvlText w:val="%2."/>
      <w:lvlJc w:val="left"/>
      <w:pPr>
        <w:ind w:left="944" w:hanging="360"/>
      </w:pPr>
    </w:lvl>
    <w:lvl w:ilvl="2" w:tplc="C4BE2552">
      <w:start w:val="1"/>
      <w:numFmt w:val="lowerRoman"/>
      <w:lvlText w:val="%3."/>
      <w:lvlJc w:val="right"/>
      <w:pPr>
        <w:ind w:left="1416" w:hanging="180"/>
      </w:pPr>
    </w:lvl>
    <w:lvl w:ilvl="3" w:tplc="08CE03F6">
      <w:start w:val="1"/>
      <w:numFmt w:val="decimal"/>
      <w:lvlText w:val="%4."/>
      <w:lvlJc w:val="left"/>
      <w:pPr>
        <w:ind w:left="1440" w:hanging="360"/>
      </w:pPr>
    </w:lvl>
    <w:lvl w:ilvl="4" w:tplc="5EE031B0">
      <w:start w:val="1"/>
      <w:numFmt w:val="lowerLetter"/>
      <w:lvlText w:val="%5."/>
      <w:lvlJc w:val="left"/>
      <w:pPr>
        <w:ind w:left="1800" w:hanging="360"/>
      </w:pPr>
    </w:lvl>
    <w:lvl w:ilvl="5" w:tplc="7E064670">
      <w:start w:val="1"/>
      <w:numFmt w:val="lowerRoman"/>
      <w:lvlText w:val="%6."/>
      <w:lvlJc w:val="right"/>
      <w:pPr>
        <w:ind w:left="2160" w:hanging="180"/>
      </w:pPr>
    </w:lvl>
    <w:lvl w:ilvl="6" w:tplc="8B3C1FAE">
      <w:start w:val="1"/>
      <w:numFmt w:val="decimal"/>
      <w:lvlText w:val="%7."/>
      <w:lvlJc w:val="left"/>
      <w:pPr>
        <w:ind w:left="2520" w:hanging="360"/>
      </w:pPr>
    </w:lvl>
    <w:lvl w:ilvl="7" w:tplc="A62A0AA0">
      <w:start w:val="1"/>
      <w:numFmt w:val="lowerLetter"/>
      <w:lvlText w:val="%8."/>
      <w:lvlJc w:val="left"/>
      <w:pPr>
        <w:ind w:left="2880" w:hanging="360"/>
      </w:pPr>
    </w:lvl>
    <w:lvl w:ilvl="8" w:tplc="D8D4D7E6">
      <w:start w:val="1"/>
      <w:numFmt w:val="lowerRoman"/>
      <w:lvlText w:val="%9."/>
      <w:lvlJc w:val="right"/>
      <w:pPr>
        <w:ind w:left="3240" w:hanging="180"/>
      </w:pPr>
    </w:lvl>
  </w:abstractNum>
  <w:abstractNum w:abstractNumId="24" w15:restartNumberingAfterBreak="0">
    <w:nsid w:val="7809294D"/>
    <w:multiLevelType w:val="hybridMultilevel"/>
    <w:tmpl w:val="59881490"/>
    <w:lvl w:ilvl="0" w:tplc="42CAD5E2">
      <w:start w:val="1"/>
      <w:numFmt w:val="decimal"/>
      <w:lvlText w:val="%1."/>
      <w:lvlJc w:val="left"/>
      <w:pPr>
        <w:ind w:left="720" w:hanging="360"/>
      </w:pPr>
    </w:lvl>
    <w:lvl w:ilvl="1" w:tplc="C1A8F9DA">
      <w:start w:val="1"/>
      <w:numFmt w:val="lowerLetter"/>
      <w:lvlText w:val="%2."/>
      <w:lvlJc w:val="left"/>
      <w:pPr>
        <w:ind w:left="1440" w:hanging="360"/>
      </w:pPr>
    </w:lvl>
    <w:lvl w:ilvl="2" w:tplc="D59A0A54">
      <w:start w:val="1"/>
      <w:numFmt w:val="lowerRoman"/>
      <w:lvlText w:val="%3."/>
      <w:lvlJc w:val="right"/>
      <w:pPr>
        <w:ind w:left="2160" w:hanging="180"/>
      </w:pPr>
    </w:lvl>
    <w:lvl w:ilvl="3" w:tplc="95127D6A">
      <w:start w:val="1"/>
      <w:numFmt w:val="decimal"/>
      <w:lvlText w:val="%4."/>
      <w:lvlJc w:val="left"/>
      <w:pPr>
        <w:ind w:left="2880" w:hanging="360"/>
      </w:pPr>
    </w:lvl>
    <w:lvl w:ilvl="4" w:tplc="DA8E0CB2">
      <w:start w:val="1"/>
      <w:numFmt w:val="lowerLetter"/>
      <w:lvlText w:val="%5."/>
      <w:lvlJc w:val="left"/>
      <w:pPr>
        <w:ind w:left="3600" w:hanging="360"/>
      </w:pPr>
    </w:lvl>
    <w:lvl w:ilvl="5" w:tplc="56D81D22">
      <w:start w:val="1"/>
      <w:numFmt w:val="lowerRoman"/>
      <w:lvlText w:val="%6."/>
      <w:lvlJc w:val="right"/>
      <w:pPr>
        <w:ind w:left="4320" w:hanging="180"/>
      </w:pPr>
    </w:lvl>
    <w:lvl w:ilvl="6" w:tplc="F782E866">
      <w:start w:val="1"/>
      <w:numFmt w:val="decimal"/>
      <w:lvlText w:val="%7."/>
      <w:lvlJc w:val="left"/>
      <w:pPr>
        <w:ind w:left="5040" w:hanging="360"/>
      </w:pPr>
    </w:lvl>
    <w:lvl w:ilvl="7" w:tplc="523E63BE">
      <w:start w:val="1"/>
      <w:numFmt w:val="lowerLetter"/>
      <w:lvlText w:val="%8."/>
      <w:lvlJc w:val="left"/>
      <w:pPr>
        <w:ind w:left="5760" w:hanging="360"/>
      </w:pPr>
    </w:lvl>
    <w:lvl w:ilvl="8" w:tplc="D840B18A">
      <w:start w:val="1"/>
      <w:numFmt w:val="lowerRoman"/>
      <w:lvlText w:val="%9."/>
      <w:lvlJc w:val="right"/>
      <w:pPr>
        <w:ind w:left="6480" w:hanging="180"/>
      </w:pPr>
    </w:lvl>
  </w:abstractNum>
  <w:abstractNum w:abstractNumId="25" w15:restartNumberingAfterBreak="0">
    <w:nsid w:val="7C4704FB"/>
    <w:multiLevelType w:val="multilevel"/>
    <w:tmpl w:val="8126FB58"/>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16cid:durableId="1988896988">
    <w:abstractNumId w:val="24"/>
  </w:num>
  <w:num w:numId="2" w16cid:durableId="327682763">
    <w:abstractNumId w:val="25"/>
  </w:num>
  <w:num w:numId="3" w16cid:durableId="837773311">
    <w:abstractNumId w:val="11"/>
  </w:num>
  <w:num w:numId="4" w16cid:durableId="2002584143">
    <w:abstractNumId w:val="13"/>
  </w:num>
  <w:num w:numId="5" w16cid:durableId="324093555">
    <w:abstractNumId w:val="10"/>
  </w:num>
  <w:num w:numId="6" w16cid:durableId="537208326">
    <w:abstractNumId w:val="18"/>
  </w:num>
  <w:num w:numId="7" w16cid:durableId="1468008534">
    <w:abstractNumId w:val="12"/>
  </w:num>
  <w:num w:numId="8" w16cid:durableId="1474981922">
    <w:abstractNumId w:val="14"/>
  </w:num>
  <w:num w:numId="9" w16cid:durableId="1753315641">
    <w:abstractNumId w:val="19"/>
  </w:num>
  <w:num w:numId="10" w16cid:durableId="1632588457">
    <w:abstractNumId w:val="22"/>
  </w:num>
  <w:num w:numId="11" w16cid:durableId="890843126">
    <w:abstractNumId w:val="9"/>
  </w:num>
  <w:num w:numId="12" w16cid:durableId="736782015">
    <w:abstractNumId w:val="7"/>
  </w:num>
  <w:num w:numId="13" w16cid:durableId="924459346">
    <w:abstractNumId w:val="6"/>
  </w:num>
  <w:num w:numId="14" w16cid:durableId="1590849084">
    <w:abstractNumId w:val="5"/>
  </w:num>
  <w:num w:numId="15" w16cid:durableId="1597132939">
    <w:abstractNumId w:val="4"/>
  </w:num>
  <w:num w:numId="16" w16cid:durableId="601844614">
    <w:abstractNumId w:val="8"/>
  </w:num>
  <w:num w:numId="17" w16cid:durableId="297345617">
    <w:abstractNumId w:val="3"/>
  </w:num>
  <w:num w:numId="18" w16cid:durableId="1858805397">
    <w:abstractNumId w:val="2"/>
  </w:num>
  <w:num w:numId="19" w16cid:durableId="356395687">
    <w:abstractNumId w:val="1"/>
  </w:num>
  <w:num w:numId="20" w16cid:durableId="1794399149">
    <w:abstractNumId w:val="0"/>
  </w:num>
  <w:num w:numId="21" w16cid:durableId="359235324">
    <w:abstractNumId w:val="17"/>
  </w:num>
  <w:num w:numId="22" w16cid:durableId="2059472970">
    <w:abstractNumId w:val="16"/>
  </w:num>
  <w:num w:numId="23" w16cid:durableId="1567760898">
    <w:abstractNumId w:val="20"/>
  </w:num>
  <w:num w:numId="24" w16cid:durableId="1973512544">
    <w:abstractNumId w:val="20"/>
  </w:num>
  <w:num w:numId="25" w16cid:durableId="403376669">
    <w:abstractNumId w:val="20"/>
  </w:num>
  <w:num w:numId="26" w16cid:durableId="1401639102">
    <w:abstractNumId w:val="20"/>
  </w:num>
  <w:num w:numId="27" w16cid:durableId="1549344512">
    <w:abstractNumId w:val="20"/>
  </w:num>
  <w:num w:numId="28" w16cid:durableId="960723503">
    <w:abstractNumId w:val="20"/>
  </w:num>
  <w:num w:numId="29" w16cid:durableId="112098743">
    <w:abstractNumId w:val="15"/>
  </w:num>
  <w:num w:numId="30" w16cid:durableId="1023900162">
    <w:abstractNumId w:val="21"/>
  </w:num>
  <w:num w:numId="31" w16cid:durableId="1810782514">
    <w:abstractNumId w:val="23"/>
  </w:num>
  <w:num w:numId="32" w16cid:durableId="214125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2602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C8"/>
    <w:rsid w:val="00000081"/>
    <w:rsid w:val="000001EF"/>
    <w:rsid w:val="00001715"/>
    <w:rsid w:val="00002537"/>
    <w:rsid w:val="000025A0"/>
    <w:rsid w:val="00002F02"/>
    <w:rsid w:val="000036FA"/>
    <w:rsid w:val="00004020"/>
    <w:rsid w:val="00004215"/>
    <w:rsid w:val="000042DD"/>
    <w:rsid w:val="00004652"/>
    <w:rsid w:val="00004B84"/>
    <w:rsid w:val="000058BB"/>
    <w:rsid w:val="00005C51"/>
    <w:rsid w:val="00006393"/>
    <w:rsid w:val="000071E8"/>
    <w:rsid w:val="00010DD6"/>
    <w:rsid w:val="00012F9B"/>
    <w:rsid w:val="0001311D"/>
    <w:rsid w:val="00013299"/>
    <w:rsid w:val="000137B1"/>
    <w:rsid w:val="000162D4"/>
    <w:rsid w:val="00016E28"/>
    <w:rsid w:val="00017106"/>
    <w:rsid w:val="000171DD"/>
    <w:rsid w:val="00020AD3"/>
    <w:rsid w:val="00021A31"/>
    <w:rsid w:val="0002366A"/>
    <w:rsid w:val="00023828"/>
    <w:rsid w:val="0002564C"/>
    <w:rsid w:val="00026062"/>
    <w:rsid w:val="000260A3"/>
    <w:rsid w:val="00026AC2"/>
    <w:rsid w:val="00026BEF"/>
    <w:rsid w:val="0002720A"/>
    <w:rsid w:val="00027DD0"/>
    <w:rsid w:val="0003029B"/>
    <w:rsid w:val="0003200C"/>
    <w:rsid w:val="00032020"/>
    <w:rsid w:val="00032634"/>
    <w:rsid w:val="0003353F"/>
    <w:rsid w:val="00033A5B"/>
    <w:rsid w:val="00034162"/>
    <w:rsid w:val="00034718"/>
    <w:rsid w:val="000348AA"/>
    <w:rsid w:val="000350F6"/>
    <w:rsid w:val="000361E0"/>
    <w:rsid w:val="00037346"/>
    <w:rsid w:val="00042564"/>
    <w:rsid w:val="00043996"/>
    <w:rsid w:val="000444EF"/>
    <w:rsid w:val="0004528E"/>
    <w:rsid w:val="00045687"/>
    <w:rsid w:val="00045BC0"/>
    <w:rsid w:val="00045D77"/>
    <w:rsid w:val="00050AE8"/>
    <w:rsid w:val="00050D9F"/>
    <w:rsid w:val="000513F7"/>
    <w:rsid w:val="000515CF"/>
    <w:rsid w:val="00053AE3"/>
    <w:rsid w:val="00054162"/>
    <w:rsid w:val="00054909"/>
    <w:rsid w:val="0005504E"/>
    <w:rsid w:val="00056D09"/>
    <w:rsid w:val="00060407"/>
    <w:rsid w:val="00062B55"/>
    <w:rsid w:val="00064884"/>
    <w:rsid w:val="0006546A"/>
    <w:rsid w:val="000658B3"/>
    <w:rsid w:val="00065A79"/>
    <w:rsid w:val="00066359"/>
    <w:rsid w:val="00066EDE"/>
    <w:rsid w:val="00067A97"/>
    <w:rsid w:val="00070035"/>
    <w:rsid w:val="00071C87"/>
    <w:rsid w:val="00072598"/>
    <w:rsid w:val="00072D32"/>
    <w:rsid w:val="000732E3"/>
    <w:rsid w:val="00073CB2"/>
    <w:rsid w:val="00073FF9"/>
    <w:rsid w:val="000741F9"/>
    <w:rsid w:val="00074721"/>
    <w:rsid w:val="00075738"/>
    <w:rsid w:val="00075C4E"/>
    <w:rsid w:val="000775E6"/>
    <w:rsid w:val="00080304"/>
    <w:rsid w:val="000808A8"/>
    <w:rsid w:val="0008106E"/>
    <w:rsid w:val="000820EA"/>
    <w:rsid w:val="000822A2"/>
    <w:rsid w:val="00082458"/>
    <w:rsid w:val="000829D6"/>
    <w:rsid w:val="00083421"/>
    <w:rsid w:val="000845F2"/>
    <w:rsid w:val="000848F6"/>
    <w:rsid w:val="00085397"/>
    <w:rsid w:val="00085867"/>
    <w:rsid w:val="000858F6"/>
    <w:rsid w:val="000864E4"/>
    <w:rsid w:val="00091BFE"/>
    <w:rsid w:val="0009297B"/>
    <w:rsid w:val="00092DAB"/>
    <w:rsid w:val="00093C38"/>
    <w:rsid w:val="00093E53"/>
    <w:rsid w:val="00093ED4"/>
    <w:rsid w:val="00094A70"/>
    <w:rsid w:val="00095A27"/>
    <w:rsid w:val="00095C41"/>
    <w:rsid w:val="000961F0"/>
    <w:rsid w:val="00096466"/>
    <w:rsid w:val="00096B1F"/>
    <w:rsid w:val="00097A15"/>
    <w:rsid w:val="00097BA1"/>
    <w:rsid w:val="00097EF4"/>
    <w:rsid w:val="000A02ED"/>
    <w:rsid w:val="000A0A86"/>
    <w:rsid w:val="000A1315"/>
    <w:rsid w:val="000A1AC4"/>
    <w:rsid w:val="000A1DD2"/>
    <w:rsid w:val="000A23FB"/>
    <w:rsid w:val="000A25DD"/>
    <w:rsid w:val="000A4C3E"/>
    <w:rsid w:val="000A50FC"/>
    <w:rsid w:val="000A57A8"/>
    <w:rsid w:val="000A5D4E"/>
    <w:rsid w:val="000A6556"/>
    <w:rsid w:val="000A6DF4"/>
    <w:rsid w:val="000A73F6"/>
    <w:rsid w:val="000A7421"/>
    <w:rsid w:val="000B059B"/>
    <w:rsid w:val="000B1641"/>
    <w:rsid w:val="000B3A2E"/>
    <w:rsid w:val="000B438A"/>
    <w:rsid w:val="000B4AE1"/>
    <w:rsid w:val="000B59D6"/>
    <w:rsid w:val="000B5B96"/>
    <w:rsid w:val="000B6389"/>
    <w:rsid w:val="000B65D8"/>
    <w:rsid w:val="000B6BBE"/>
    <w:rsid w:val="000B7D34"/>
    <w:rsid w:val="000C139C"/>
    <w:rsid w:val="000C342A"/>
    <w:rsid w:val="000C3DEA"/>
    <w:rsid w:val="000C4304"/>
    <w:rsid w:val="000C4C2C"/>
    <w:rsid w:val="000C5C85"/>
    <w:rsid w:val="000C6EB0"/>
    <w:rsid w:val="000D003C"/>
    <w:rsid w:val="000D01DE"/>
    <w:rsid w:val="000D2948"/>
    <w:rsid w:val="000D2D00"/>
    <w:rsid w:val="000D2FEE"/>
    <w:rsid w:val="000D3FF5"/>
    <w:rsid w:val="000D479F"/>
    <w:rsid w:val="000D5196"/>
    <w:rsid w:val="000D5F5B"/>
    <w:rsid w:val="000E214F"/>
    <w:rsid w:val="000E2849"/>
    <w:rsid w:val="000E28FD"/>
    <w:rsid w:val="000E2DA1"/>
    <w:rsid w:val="000E54C8"/>
    <w:rsid w:val="000E6586"/>
    <w:rsid w:val="000E6D05"/>
    <w:rsid w:val="000E7070"/>
    <w:rsid w:val="000E7192"/>
    <w:rsid w:val="000F0073"/>
    <w:rsid w:val="000F106A"/>
    <w:rsid w:val="000F1182"/>
    <w:rsid w:val="000F1A17"/>
    <w:rsid w:val="000F3299"/>
    <w:rsid w:val="000F47F4"/>
    <w:rsid w:val="000F5148"/>
    <w:rsid w:val="000F5D49"/>
    <w:rsid w:val="000F5D70"/>
    <w:rsid w:val="000F6851"/>
    <w:rsid w:val="00101893"/>
    <w:rsid w:val="00102E18"/>
    <w:rsid w:val="0010355D"/>
    <w:rsid w:val="00104B63"/>
    <w:rsid w:val="0010520C"/>
    <w:rsid w:val="001056EC"/>
    <w:rsid w:val="00106A99"/>
    <w:rsid w:val="00107D43"/>
    <w:rsid w:val="00107EA8"/>
    <w:rsid w:val="00113007"/>
    <w:rsid w:val="00113648"/>
    <w:rsid w:val="001136A5"/>
    <w:rsid w:val="0011452E"/>
    <w:rsid w:val="00114DB8"/>
    <w:rsid w:val="00115B85"/>
    <w:rsid w:val="0011728F"/>
    <w:rsid w:val="00121F97"/>
    <w:rsid w:val="00122C8F"/>
    <w:rsid w:val="00122F6F"/>
    <w:rsid w:val="0012342A"/>
    <w:rsid w:val="00124632"/>
    <w:rsid w:val="00124663"/>
    <w:rsid w:val="001263B9"/>
    <w:rsid w:val="00126597"/>
    <w:rsid w:val="00130A43"/>
    <w:rsid w:val="00131157"/>
    <w:rsid w:val="00132802"/>
    <w:rsid w:val="001328CC"/>
    <w:rsid w:val="00132F65"/>
    <w:rsid w:val="0013307E"/>
    <w:rsid w:val="00133412"/>
    <w:rsid w:val="001339E0"/>
    <w:rsid w:val="00133B2D"/>
    <w:rsid w:val="00133C65"/>
    <w:rsid w:val="00133D7A"/>
    <w:rsid w:val="00133E0E"/>
    <w:rsid w:val="00134225"/>
    <w:rsid w:val="00134B46"/>
    <w:rsid w:val="00135CA1"/>
    <w:rsid w:val="00137854"/>
    <w:rsid w:val="001379F2"/>
    <w:rsid w:val="00137A5B"/>
    <w:rsid w:val="00140548"/>
    <w:rsid w:val="00140AC1"/>
    <w:rsid w:val="001411FE"/>
    <w:rsid w:val="001418BF"/>
    <w:rsid w:val="00141B07"/>
    <w:rsid w:val="00142491"/>
    <w:rsid w:val="0014265D"/>
    <w:rsid w:val="001428DF"/>
    <w:rsid w:val="001433FD"/>
    <w:rsid w:val="00143C80"/>
    <w:rsid w:val="0014414A"/>
    <w:rsid w:val="0014564B"/>
    <w:rsid w:val="00145EDC"/>
    <w:rsid w:val="00146258"/>
    <w:rsid w:val="00146A63"/>
    <w:rsid w:val="001505EC"/>
    <w:rsid w:val="00150C14"/>
    <w:rsid w:val="001516B0"/>
    <w:rsid w:val="00151F98"/>
    <w:rsid w:val="0015348C"/>
    <w:rsid w:val="00154409"/>
    <w:rsid w:val="001551D9"/>
    <w:rsid w:val="00156462"/>
    <w:rsid w:val="001629DF"/>
    <w:rsid w:val="00162AA7"/>
    <w:rsid w:val="0016323C"/>
    <w:rsid w:val="00163D04"/>
    <w:rsid w:val="00163F1C"/>
    <w:rsid w:val="001649A6"/>
    <w:rsid w:val="00165056"/>
    <w:rsid w:val="001650D6"/>
    <w:rsid w:val="001651AA"/>
    <w:rsid w:val="00165673"/>
    <w:rsid w:val="00165ACE"/>
    <w:rsid w:val="0016744E"/>
    <w:rsid w:val="00167CCB"/>
    <w:rsid w:val="0017008B"/>
    <w:rsid w:val="001707FB"/>
    <w:rsid w:val="0017098F"/>
    <w:rsid w:val="00170B65"/>
    <w:rsid w:val="00170B79"/>
    <w:rsid w:val="00171A54"/>
    <w:rsid w:val="001735E3"/>
    <w:rsid w:val="0017467B"/>
    <w:rsid w:val="0017483D"/>
    <w:rsid w:val="00175566"/>
    <w:rsid w:val="00176B73"/>
    <w:rsid w:val="001804AF"/>
    <w:rsid w:val="0018114B"/>
    <w:rsid w:val="0018218A"/>
    <w:rsid w:val="00182F6B"/>
    <w:rsid w:val="00183E0D"/>
    <w:rsid w:val="0018543A"/>
    <w:rsid w:val="00185584"/>
    <w:rsid w:val="00186003"/>
    <w:rsid w:val="0018725D"/>
    <w:rsid w:val="00187A2E"/>
    <w:rsid w:val="00190D75"/>
    <w:rsid w:val="001911B2"/>
    <w:rsid w:val="0019124F"/>
    <w:rsid w:val="0019190D"/>
    <w:rsid w:val="00192614"/>
    <w:rsid w:val="00192AE0"/>
    <w:rsid w:val="00192D57"/>
    <w:rsid w:val="00192DCE"/>
    <w:rsid w:val="00192E0E"/>
    <w:rsid w:val="001930CC"/>
    <w:rsid w:val="00193F9A"/>
    <w:rsid w:val="00194991"/>
    <w:rsid w:val="00194F18"/>
    <w:rsid w:val="00196963"/>
    <w:rsid w:val="00197C14"/>
    <w:rsid w:val="00197FA3"/>
    <w:rsid w:val="001A0FE3"/>
    <w:rsid w:val="001A1701"/>
    <w:rsid w:val="001A32B7"/>
    <w:rsid w:val="001A3350"/>
    <w:rsid w:val="001A375D"/>
    <w:rsid w:val="001A4A33"/>
    <w:rsid w:val="001A55C1"/>
    <w:rsid w:val="001A5D06"/>
    <w:rsid w:val="001A6046"/>
    <w:rsid w:val="001A619A"/>
    <w:rsid w:val="001A6493"/>
    <w:rsid w:val="001A685C"/>
    <w:rsid w:val="001A76ED"/>
    <w:rsid w:val="001B0577"/>
    <w:rsid w:val="001B1472"/>
    <w:rsid w:val="001B1BF9"/>
    <w:rsid w:val="001B1DC7"/>
    <w:rsid w:val="001B227E"/>
    <w:rsid w:val="001B2A04"/>
    <w:rsid w:val="001B3802"/>
    <w:rsid w:val="001B3FC8"/>
    <w:rsid w:val="001B42A0"/>
    <w:rsid w:val="001B4799"/>
    <w:rsid w:val="001B4FB0"/>
    <w:rsid w:val="001B5FC7"/>
    <w:rsid w:val="001B6AAE"/>
    <w:rsid w:val="001C0A92"/>
    <w:rsid w:val="001C119A"/>
    <w:rsid w:val="001C26E5"/>
    <w:rsid w:val="001C336E"/>
    <w:rsid w:val="001C3E9C"/>
    <w:rsid w:val="001C4CD4"/>
    <w:rsid w:val="001C4D3F"/>
    <w:rsid w:val="001C5EB3"/>
    <w:rsid w:val="001C6EA5"/>
    <w:rsid w:val="001D0201"/>
    <w:rsid w:val="001D0F32"/>
    <w:rsid w:val="001D1A99"/>
    <w:rsid w:val="001D1C0B"/>
    <w:rsid w:val="001D1D1C"/>
    <w:rsid w:val="001D1D7F"/>
    <w:rsid w:val="001D2857"/>
    <w:rsid w:val="001D2A08"/>
    <w:rsid w:val="001D40C4"/>
    <w:rsid w:val="001D486B"/>
    <w:rsid w:val="001D5776"/>
    <w:rsid w:val="001D5C77"/>
    <w:rsid w:val="001D5D21"/>
    <w:rsid w:val="001D6318"/>
    <w:rsid w:val="001D75EA"/>
    <w:rsid w:val="001D7907"/>
    <w:rsid w:val="001E1149"/>
    <w:rsid w:val="001E12D3"/>
    <w:rsid w:val="001E2EB7"/>
    <w:rsid w:val="001E3EE4"/>
    <w:rsid w:val="001E407E"/>
    <w:rsid w:val="001E45C7"/>
    <w:rsid w:val="001E5A97"/>
    <w:rsid w:val="001E77CF"/>
    <w:rsid w:val="001E7CDF"/>
    <w:rsid w:val="001F00FC"/>
    <w:rsid w:val="001F1090"/>
    <w:rsid w:val="001F137C"/>
    <w:rsid w:val="001F1484"/>
    <w:rsid w:val="001F154B"/>
    <w:rsid w:val="001F2253"/>
    <w:rsid w:val="001F28CB"/>
    <w:rsid w:val="001F2C0A"/>
    <w:rsid w:val="001F6F55"/>
    <w:rsid w:val="001F7A18"/>
    <w:rsid w:val="001F7B66"/>
    <w:rsid w:val="00202545"/>
    <w:rsid w:val="00202DAF"/>
    <w:rsid w:val="002040E4"/>
    <w:rsid w:val="002042F8"/>
    <w:rsid w:val="00205251"/>
    <w:rsid w:val="00205CCC"/>
    <w:rsid w:val="00205FEB"/>
    <w:rsid w:val="0020749D"/>
    <w:rsid w:val="002116A4"/>
    <w:rsid w:val="0021224A"/>
    <w:rsid w:val="00212401"/>
    <w:rsid w:val="00213811"/>
    <w:rsid w:val="002157F8"/>
    <w:rsid w:val="00215B26"/>
    <w:rsid w:val="00216607"/>
    <w:rsid w:val="00217063"/>
    <w:rsid w:val="0021708F"/>
    <w:rsid w:val="00220190"/>
    <w:rsid w:val="00220DB6"/>
    <w:rsid w:val="0022147F"/>
    <w:rsid w:val="0022250E"/>
    <w:rsid w:val="00222C17"/>
    <w:rsid w:val="00223331"/>
    <w:rsid w:val="002256A9"/>
    <w:rsid w:val="0022601A"/>
    <w:rsid w:val="00226281"/>
    <w:rsid w:val="00226337"/>
    <w:rsid w:val="00226FBA"/>
    <w:rsid w:val="0023017B"/>
    <w:rsid w:val="00230281"/>
    <w:rsid w:val="002311EC"/>
    <w:rsid w:val="00235EE9"/>
    <w:rsid w:val="0024092A"/>
    <w:rsid w:val="00240BEA"/>
    <w:rsid w:val="002441D6"/>
    <w:rsid w:val="00244384"/>
    <w:rsid w:val="002451A9"/>
    <w:rsid w:val="00246301"/>
    <w:rsid w:val="0024661D"/>
    <w:rsid w:val="00246DA7"/>
    <w:rsid w:val="002476D0"/>
    <w:rsid w:val="00251619"/>
    <w:rsid w:val="0025210A"/>
    <w:rsid w:val="00252B81"/>
    <w:rsid w:val="00253042"/>
    <w:rsid w:val="002535E5"/>
    <w:rsid w:val="002539D7"/>
    <w:rsid w:val="00254871"/>
    <w:rsid w:val="002558C5"/>
    <w:rsid w:val="002563E9"/>
    <w:rsid w:val="00256D55"/>
    <w:rsid w:val="002574CD"/>
    <w:rsid w:val="0026021A"/>
    <w:rsid w:val="00260C3E"/>
    <w:rsid w:val="00260D23"/>
    <w:rsid w:val="00260FC6"/>
    <w:rsid w:val="0026160A"/>
    <w:rsid w:val="00262101"/>
    <w:rsid w:val="00262361"/>
    <w:rsid w:val="00262624"/>
    <w:rsid w:val="002626DE"/>
    <w:rsid w:val="00262E76"/>
    <w:rsid w:val="00263013"/>
    <w:rsid w:val="00263BA6"/>
    <w:rsid w:val="00263C3C"/>
    <w:rsid w:val="00264B66"/>
    <w:rsid w:val="00264C96"/>
    <w:rsid w:val="0026543A"/>
    <w:rsid w:val="00265B8F"/>
    <w:rsid w:val="00266A91"/>
    <w:rsid w:val="00267132"/>
    <w:rsid w:val="00267D95"/>
    <w:rsid w:val="0026F7A3"/>
    <w:rsid w:val="0027049D"/>
    <w:rsid w:val="002714E2"/>
    <w:rsid w:val="00271BBF"/>
    <w:rsid w:val="002723C7"/>
    <w:rsid w:val="00275E44"/>
    <w:rsid w:val="00275FBD"/>
    <w:rsid w:val="0027759B"/>
    <w:rsid w:val="00277F99"/>
    <w:rsid w:val="00280BE2"/>
    <w:rsid w:val="00280BF8"/>
    <w:rsid w:val="00280CDE"/>
    <w:rsid w:val="00280DCF"/>
    <w:rsid w:val="00281F63"/>
    <w:rsid w:val="00282654"/>
    <w:rsid w:val="00282868"/>
    <w:rsid w:val="0028336D"/>
    <w:rsid w:val="00283BBD"/>
    <w:rsid w:val="00284165"/>
    <w:rsid w:val="00284888"/>
    <w:rsid w:val="00284D58"/>
    <w:rsid w:val="00284F13"/>
    <w:rsid w:val="002859B2"/>
    <w:rsid w:val="002875E0"/>
    <w:rsid w:val="00291805"/>
    <w:rsid w:val="00292B5E"/>
    <w:rsid w:val="00292C1E"/>
    <w:rsid w:val="00293EDC"/>
    <w:rsid w:val="002941C6"/>
    <w:rsid w:val="00294999"/>
    <w:rsid w:val="002951B1"/>
    <w:rsid w:val="002960E2"/>
    <w:rsid w:val="00297566"/>
    <w:rsid w:val="00297E83"/>
    <w:rsid w:val="002A0528"/>
    <w:rsid w:val="002A0E51"/>
    <w:rsid w:val="002A10BC"/>
    <w:rsid w:val="002A1CF6"/>
    <w:rsid w:val="002A22D2"/>
    <w:rsid w:val="002A4ED9"/>
    <w:rsid w:val="002A621D"/>
    <w:rsid w:val="002A659D"/>
    <w:rsid w:val="002A683E"/>
    <w:rsid w:val="002B03CD"/>
    <w:rsid w:val="002B054A"/>
    <w:rsid w:val="002B0B70"/>
    <w:rsid w:val="002B1075"/>
    <w:rsid w:val="002B151D"/>
    <w:rsid w:val="002B2068"/>
    <w:rsid w:val="002B230B"/>
    <w:rsid w:val="002B4E6B"/>
    <w:rsid w:val="002B757B"/>
    <w:rsid w:val="002B7AD7"/>
    <w:rsid w:val="002B7C73"/>
    <w:rsid w:val="002C07F3"/>
    <w:rsid w:val="002C1692"/>
    <w:rsid w:val="002C172A"/>
    <w:rsid w:val="002C19FA"/>
    <w:rsid w:val="002C1D99"/>
    <w:rsid w:val="002C3F4B"/>
    <w:rsid w:val="002C5377"/>
    <w:rsid w:val="002C5568"/>
    <w:rsid w:val="002C6C12"/>
    <w:rsid w:val="002D0B15"/>
    <w:rsid w:val="002D1566"/>
    <w:rsid w:val="002D3AFD"/>
    <w:rsid w:val="002D3D59"/>
    <w:rsid w:val="002D4497"/>
    <w:rsid w:val="002D4B68"/>
    <w:rsid w:val="002D4E77"/>
    <w:rsid w:val="002D4F4D"/>
    <w:rsid w:val="002D59CD"/>
    <w:rsid w:val="002E0A93"/>
    <w:rsid w:val="002E11A7"/>
    <w:rsid w:val="002E16B9"/>
    <w:rsid w:val="002E185E"/>
    <w:rsid w:val="002E1CED"/>
    <w:rsid w:val="002E1E3C"/>
    <w:rsid w:val="002E3B67"/>
    <w:rsid w:val="002E3E35"/>
    <w:rsid w:val="002E4C3A"/>
    <w:rsid w:val="002E5C91"/>
    <w:rsid w:val="002E7531"/>
    <w:rsid w:val="002F0B27"/>
    <w:rsid w:val="002F0D5A"/>
    <w:rsid w:val="002F1180"/>
    <w:rsid w:val="002F207B"/>
    <w:rsid w:val="002F276E"/>
    <w:rsid w:val="002F2A0E"/>
    <w:rsid w:val="002F2DB0"/>
    <w:rsid w:val="002F3266"/>
    <w:rsid w:val="002F3F68"/>
    <w:rsid w:val="002F4A46"/>
    <w:rsid w:val="002F4CA4"/>
    <w:rsid w:val="002F4DC5"/>
    <w:rsid w:val="002F58C6"/>
    <w:rsid w:val="002F5C25"/>
    <w:rsid w:val="002F664E"/>
    <w:rsid w:val="002F7C93"/>
    <w:rsid w:val="00301010"/>
    <w:rsid w:val="00301617"/>
    <w:rsid w:val="00301EC8"/>
    <w:rsid w:val="003033A6"/>
    <w:rsid w:val="003043C8"/>
    <w:rsid w:val="00304DA3"/>
    <w:rsid w:val="003059D5"/>
    <w:rsid w:val="00305AFE"/>
    <w:rsid w:val="00305DB8"/>
    <w:rsid w:val="00307D2B"/>
    <w:rsid w:val="00310917"/>
    <w:rsid w:val="003109D9"/>
    <w:rsid w:val="00312CA8"/>
    <w:rsid w:val="0031320D"/>
    <w:rsid w:val="0031345F"/>
    <w:rsid w:val="003151FC"/>
    <w:rsid w:val="00316149"/>
    <w:rsid w:val="003166EF"/>
    <w:rsid w:val="00316719"/>
    <w:rsid w:val="00316E55"/>
    <w:rsid w:val="0031712F"/>
    <w:rsid w:val="00317480"/>
    <w:rsid w:val="00317492"/>
    <w:rsid w:val="00317A71"/>
    <w:rsid w:val="00320BB3"/>
    <w:rsid w:val="00321999"/>
    <w:rsid w:val="00321B39"/>
    <w:rsid w:val="003233F1"/>
    <w:rsid w:val="003239C0"/>
    <w:rsid w:val="00324221"/>
    <w:rsid w:val="00330958"/>
    <w:rsid w:val="00330B55"/>
    <w:rsid w:val="00331409"/>
    <w:rsid w:val="0033226C"/>
    <w:rsid w:val="00332316"/>
    <w:rsid w:val="003328FC"/>
    <w:rsid w:val="00333FD5"/>
    <w:rsid w:val="003342AA"/>
    <w:rsid w:val="00334329"/>
    <w:rsid w:val="00334EEA"/>
    <w:rsid w:val="00334EF7"/>
    <w:rsid w:val="00335248"/>
    <w:rsid w:val="00335391"/>
    <w:rsid w:val="0033581B"/>
    <w:rsid w:val="00335AEF"/>
    <w:rsid w:val="003366A6"/>
    <w:rsid w:val="0033692D"/>
    <w:rsid w:val="0033797A"/>
    <w:rsid w:val="0034066A"/>
    <w:rsid w:val="00340CD0"/>
    <w:rsid w:val="00340D06"/>
    <w:rsid w:val="00340DC9"/>
    <w:rsid w:val="00341102"/>
    <w:rsid w:val="003415C9"/>
    <w:rsid w:val="003427EA"/>
    <w:rsid w:val="00342A49"/>
    <w:rsid w:val="00342FC8"/>
    <w:rsid w:val="003431E1"/>
    <w:rsid w:val="00344033"/>
    <w:rsid w:val="00344BA4"/>
    <w:rsid w:val="00345F6C"/>
    <w:rsid w:val="00347171"/>
    <w:rsid w:val="00347208"/>
    <w:rsid w:val="00347A0F"/>
    <w:rsid w:val="00350A07"/>
    <w:rsid w:val="00351631"/>
    <w:rsid w:val="00351D00"/>
    <w:rsid w:val="003520C2"/>
    <w:rsid w:val="00352A5C"/>
    <w:rsid w:val="00352F85"/>
    <w:rsid w:val="00353253"/>
    <w:rsid w:val="0035348B"/>
    <w:rsid w:val="00355D8F"/>
    <w:rsid w:val="00356915"/>
    <w:rsid w:val="003574CF"/>
    <w:rsid w:val="003579E6"/>
    <w:rsid w:val="003605E7"/>
    <w:rsid w:val="00360C40"/>
    <w:rsid w:val="0036113E"/>
    <w:rsid w:val="00361ABC"/>
    <w:rsid w:val="003627CE"/>
    <w:rsid w:val="003633D7"/>
    <w:rsid w:val="00366399"/>
    <w:rsid w:val="00370F1C"/>
    <w:rsid w:val="00372410"/>
    <w:rsid w:val="003731D2"/>
    <w:rsid w:val="0037417F"/>
    <w:rsid w:val="00374570"/>
    <w:rsid w:val="00374804"/>
    <w:rsid w:val="00374C96"/>
    <w:rsid w:val="00377088"/>
    <w:rsid w:val="00377411"/>
    <w:rsid w:val="003778A4"/>
    <w:rsid w:val="003806F2"/>
    <w:rsid w:val="00381284"/>
    <w:rsid w:val="00381975"/>
    <w:rsid w:val="00381A5C"/>
    <w:rsid w:val="003821DA"/>
    <w:rsid w:val="00382574"/>
    <w:rsid w:val="00382AF7"/>
    <w:rsid w:val="00383026"/>
    <w:rsid w:val="00383556"/>
    <w:rsid w:val="00385199"/>
    <w:rsid w:val="00385CAB"/>
    <w:rsid w:val="00391EA9"/>
    <w:rsid w:val="0039204C"/>
    <w:rsid w:val="0039235A"/>
    <w:rsid w:val="00392DE3"/>
    <w:rsid w:val="00392FCC"/>
    <w:rsid w:val="00393089"/>
    <w:rsid w:val="00393E23"/>
    <w:rsid w:val="00393E77"/>
    <w:rsid w:val="003940FD"/>
    <w:rsid w:val="00394465"/>
    <w:rsid w:val="003945E4"/>
    <w:rsid w:val="003947D2"/>
    <w:rsid w:val="0039596C"/>
    <w:rsid w:val="003A0ADF"/>
    <w:rsid w:val="003A0D4B"/>
    <w:rsid w:val="003A1912"/>
    <w:rsid w:val="003A1B84"/>
    <w:rsid w:val="003A2045"/>
    <w:rsid w:val="003A355D"/>
    <w:rsid w:val="003A3AA1"/>
    <w:rsid w:val="003A517B"/>
    <w:rsid w:val="003B023E"/>
    <w:rsid w:val="003B1504"/>
    <w:rsid w:val="003B19B6"/>
    <w:rsid w:val="003B1A7D"/>
    <w:rsid w:val="003B1FC9"/>
    <w:rsid w:val="003B2618"/>
    <w:rsid w:val="003B27D9"/>
    <w:rsid w:val="003B2EA5"/>
    <w:rsid w:val="003B3DF3"/>
    <w:rsid w:val="003B3E9C"/>
    <w:rsid w:val="003B4BB1"/>
    <w:rsid w:val="003B4E8D"/>
    <w:rsid w:val="003B53F9"/>
    <w:rsid w:val="003B54B4"/>
    <w:rsid w:val="003B5F5A"/>
    <w:rsid w:val="003B6EB7"/>
    <w:rsid w:val="003C1AEB"/>
    <w:rsid w:val="003C26B9"/>
    <w:rsid w:val="003C2717"/>
    <w:rsid w:val="003C3FBB"/>
    <w:rsid w:val="003C5193"/>
    <w:rsid w:val="003C5DB4"/>
    <w:rsid w:val="003C70E2"/>
    <w:rsid w:val="003D1B4C"/>
    <w:rsid w:val="003D22A2"/>
    <w:rsid w:val="003D23F3"/>
    <w:rsid w:val="003D276D"/>
    <w:rsid w:val="003D2BE4"/>
    <w:rsid w:val="003D2F06"/>
    <w:rsid w:val="003D3220"/>
    <w:rsid w:val="003D37D9"/>
    <w:rsid w:val="003D4F34"/>
    <w:rsid w:val="003D65F7"/>
    <w:rsid w:val="003D7449"/>
    <w:rsid w:val="003E08FC"/>
    <w:rsid w:val="003E1466"/>
    <w:rsid w:val="003E24F7"/>
    <w:rsid w:val="003E257C"/>
    <w:rsid w:val="003E2721"/>
    <w:rsid w:val="003E2C8F"/>
    <w:rsid w:val="003E37D9"/>
    <w:rsid w:val="003E3CB2"/>
    <w:rsid w:val="003E583D"/>
    <w:rsid w:val="003E5926"/>
    <w:rsid w:val="003E6A89"/>
    <w:rsid w:val="003F0ADC"/>
    <w:rsid w:val="003F0AE5"/>
    <w:rsid w:val="003F0F73"/>
    <w:rsid w:val="003F1A95"/>
    <w:rsid w:val="003F49A8"/>
    <w:rsid w:val="003F56C3"/>
    <w:rsid w:val="003F5774"/>
    <w:rsid w:val="003F5ABA"/>
    <w:rsid w:val="003F5E7E"/>
    <w:rsid w:val="003F61A9"/>
    <w:rsid w:val="003F67D7"/>
    <w:rsid w:val="003F742F"/>
    <w:rsid w:val="003F77F1"/>
    <w:rsid w:val="00400356"/>
    <w:rsid w:val="004013C8"/>
    <w:rsid w:val="00401C0D"/>
    <w:rsid w:val="004026FC"/>
    <w:rsid w:val="004033BA"/>
    <w:rsid w:val="00403F2E"/>
    <w:rsid w:val="00405929"/>
    <w:rsid w:val="00406415"/>
    <w:rsid w:val="004068CE"/>
    <w:rsid w:val="004078C9"/>
    <w:rsid w:val="00412001"/>
    <w:rsid w:val="00413967"/>
    <w:rsid w:val="00414210"/>
    <w:rsid w:val="00414A56"/>
    <w:rsid w:val="00414BE5"/>
    <w:rsid w:val="00414C2F"/>
    <w:rsid w:val="004162CA"/>
    <w:rsid w:val="00416407"/>
    <w:rsid w:val="00417E68"/>
    <w:rsid w:val="00417F1B"/>
    <w:rsid w:val="00420840"/>
    <w:rsid w:val="004209B4"/>
    <w:rsid w:val="00420DF1"/>
    <w:rsid w:val="00421057"/>
    <w:rsid w:val="00421583"/>
    <w:rsid w:val="0042183C"/>
    <w:rsid w:val="004236F3"/>
    <w:rsid w:val="004243BC"/>
    <w:rsid w:val="004249A3"/>
    <w:rsid w:val="004255FF"/>
    <w:rsid w:val="004260C4"/>
    <w:rsid w:val="00426A06"/>
    <w:rsid w:val="00430012"/>
    <w:rsid w:val="00430440"/>
    <w:rsid w:val="00430CD0"/>
    <w:rsid w:val="00431F46"/>
    <w:rsid w:val="004321C1"/>
    <w:rsid w:val="0043279D"/>
    <w:rsid w:val="0043373F"/>
    <w:rsid w:val="00440BBD"/>
    <w:rsid w:val="00440F99"/>
    <w:rsid w:val="00441166"/>
    <w:rsid w:val="00441B20"/>
    <w:rsid w:val="004426EE"/>
    <w:rsid w:val="004432D5"/>
    <w:rsid w:val="0044336B"/>
    <w:rsid w:val="00443A8A"/>
    <w:rsid w:val="0044422C"/>
    <w:rsid w:val="00444AC1"/>
    <w:rsid w:val="00444AC2"/>
    <w:rsid w:val="004455A5"/>
    <w:rsid w:val="00445D4A"/>
    <w:rsid w:val="004475F1"/>
    <w:rsid w:val="00447A6F"/>
    <w:rsid w:val="00447DE4"/>
    <w:rsid w:val="0045081F"/>
    <w:rsid w:val="00450B44"/>
    <w:rsid w:val="00450E73"/>
    <w:rsid w:val="004515AB"/>
    <w:rsid w:val="0045187D"/>
    <w:rsid w:val="004539BF"/>
    <w:rsid w:val="00456525"/>
    <w:rsid w:val="0045771D"/>
    <w:rsid w:val="00457F46"/>
    <w:rsid w:val="0046301E"/>
    <w:rsid w:val="004636BC"/>
    <w:rsid w:val="00463B1B"/>
    <w:rsid w:val="004656D7"/>
    <w:rsid w:val="0046590E"/>
    <w:rsid w:val="004668CC"/>
    <w:rsid w:val="00470010"/>
    <w:rsid w:val="00471498"/>
    <w:rsid w:val="004726EF"/>
    <w:rsid w:val="00472963"/>
    <w:rsid w:val="004735E8"/>
    <w:rsid w:val="00475132"/>
    <w:rsid w:val="00476A6B"/>
    <w:rsid w:val="0047766F"/>
    <w:rsid w:val="00477E0C"/>
    <w:rsid w:val="00477E7E"/>
    <w:rsid w:val="00480A9A"/>
    <w:rsid w:val="00481032"/>
    <w:rsid w:val="00481B4D"/>
    <w:rsid w:val="00482CB7"/>
    <w:rsid w:val="00483AE7"/>
    <w:rsid w:val="0048458C"/>
    <w:rsid w:val="00484BE1"/>
    <w:rsid w:val="00484F42"/>
    <w:rsid w:val="004850B9"/>
    <w:rsid w:val="004855A0"/>
    <w:rsid w:val="00485A01"/>
    <w:rsid w:val="00485B7A"/>
    <w:rsid w:val="00485B88"/>
    <w:rsid w:val="0048669D"/>
    <w:rsid w:val="00486CDF"/>
    <w:rsid w:val="004870BC"/>
    <w:rsid w:val="004872AC"/>
    <w:rsid w:val="00490848"/>
    <w:rsid w:val="00491292"/>
    <w:rsid w:val="004913DB"/>
    <w:rsid w:val="00491797"/>
    <w:rsid w:val="00491FCE"/>
    <w:rsid w:val="004926A9"/>
    <w:rsid w:val="004927B5"/>
    <w:rsid w:val="00493C40"/>
    <w:rsid w:val="0049557A"/>
    <w:rsid w:val="00495F74"/>
    <w:rsid w:val="0049614E"/>
    <w:rsid w:val="00496857"/>
    <w:rsid w:val="0049689F"/>
    <w:rsid w:val="00496FE1"/>
    <w:rsid w:val="0049779E"/>
    <w:rsid w:val="00497C5F"/>
    <w:rsid w:val="00497E8A"/>
    <w:rsid w:val="004A1D70"/>
    <w:rsid w:val="004A2A7F"/>
    <w:rsid w:val="004A31EE"/>
    <w:rsid w:val="004A3B3F"/>
    <w:rsid w:val="004A3CD2"/>
    <w:rsid w:val="004A4468"/>
    <w:rsid w:val="004A4544"/>
    <w:rsid w:val="004A51E1"/>
    <w:rsid w:val="004A5211"/>
    <w:rsid w:val="004A53A3"/>
    <w:rsid w:val="004A5AA3"/>
    <w:rsid w:val="004A5FAC"/>
    <w:rsid w:val="004A5FEB"/>
    <w:rsid w:val="004A7A9F"/>
    <w:rsid w:val="004A7FB3"/>
    <w:rsid w:val="004B0144"/>
    <w:rsid w:val="004B03C8"/>
    <w:rsid w:val="004B1852"/>
    <w:rsid w:val="004B25C8"/>
    <w:rsid w:val="004B5C83"/>
    <w:rsid w:val="004B6834"/>
    <w:rsid w:val="004C0AAE"/>
    <w:rsid w:val="004C1BE8"/>
    <w:rsid w:val="004C1E80"/>
    <w:rsid w:val="004C2A8D"/>
    <w:rsid w:val="004C367C"/>
    <w:rsid w:val="004C4FB0"/>
    <w:rsid w:val="004C5C05"/>
    <w:rsid w:val="004D039C"/>
    <w:rsid w:val="004D0DB4"/>
    <w:rsid w:val="004D0E8E"/>
    <w:rsid w:val="004D1C62"/>
    <w:rsid w:val="004D4754"/>
    <w:rsid w:val="004D5BFF"/>
    <w:rsid w:val="004D6626"/>
    <w:rsid w:val="004D66C7"/>
    <w:rsid w:val="004D7BA0"/>
    <w:rsid w:val="004E098D"/>
    <w:rsid w:val="004E09AF"/>
    <w:rsid w:val="004E1ADA"/>
    <w:rsid w:val="004E1E30"/>
    <w:rsid w:val="004E2669"/>
    <w:rsid w:val="004E5126"/>
    <w:rsid w:val="004E56FE"/>
    <w:rsid w:val="004E5833"/>
    <w:rsid w:val="004E5854"/>
    <w:rsid w:val="004E6C03"/>
    <w:rsid w:val="004F019F"/>
    <w:rsid w:val="004F0725"/>
    <w:rsid w:val="004F195B"/>
    <w:rsid w:val="004F2FF4"/>
    <w:rsid w:val="004F3906"/>
    <w:rsid w:val="004F4653"/>
    <w:rsid w:val="004F4BBF"/>
    <w:rsid w:val="004F523F"/>
    <w:rsid w:val="004F54ED"/>
    <w:rsid w:val="004F5BC6"/>
    <w:rsid w:val="004F606B"/>
    <w:rsid w:val="004F6B43"/>
    <w:rsid w:val="004F6F9B"/>
    <w:rsid w:val="004F758C"/>
    <w:rsid w:val="004F75F7"/>
    <w:rsid w:val="0050096F"/>
    <w:rsid w:val="00501489"/>
    <w:rsid w:val="0050172E"/>
    <w:rsid w:val="00501E35"/>
    <w:rsid w:val="005029B6"/>
    <w:rsid w:val="00503DC8"/>
    <w:rsid w:val="00506D42"/>
    <w:rsid w:val="00507779"/>
    <w:rsid w:val="00507B35"/>
    <w:rsid w:val="00507FA7"/>
    <w:rsid w:val="005105F7"/>
    <w:rsid w:val="00511987"/>
    <w:rsid w:val="005129A4"/>
    <w:rsid w:val="00512D1E"/>
    <w:rsid w:val="00513BE6"/>
    <w:rsid w:val="005141D6"/>
    <w:rsid w:val="00514B41"/>
    <w:rsid w:val="00514CD7"/>
    <w:rsid w:val="00516ED4"/>
    <w:rsid w:val="00517CBF"/>
    <w:rsid w:val="00517D64"/>
    <w:rsid w:val="005206A1"/>
    <w:rsid w:val="00520B81"/>
    <w:rsid w:val="00521C7D"/>
    <w:rsid w:val="00523077"/>
    <w:rsid w:val="00524969"/>
    <w:rsid w:val="00525D94"/>
    <w:rsid w:val="00525F0D"/>
    <w:rsid w:val="00526A4F"/>
    <w:rsid w:val="00526A86"/>
    <w:rsid w:val="00527CF8"/>
    <w:rsid w:val="005302FD"/>
    <w:rsid w:val="00530464"/>
    <w:rsid w:val="0053190C"/>
    <w:rsid w:val="0053200D"/>
    <w:rsid w:val="005334B8"/>
    <w:rsid w:val="00536CCA"/>
    <w:rsid w:val="005401A4"/>
    <w:rsid w:val="005405B9"/>
    <w:rsid w:val="005415E7"/>
    <w:rsid w:val="0054181D"/>
    <w:rsid w:val="00541A85"/>
    <w:rsid w:val="00541ADF"/>
    <w:rsid w:val="00542A75"/>
    <w:rsid w:val="00542B45"/>
    <w:rsid w:val="00542C0B"/>
    <w:rsid w:val="0054345D"/>
    <w:rsid w:val="005448F5"/>
    <w:rsid w:val="005453C6"/>
    <w:rsid w:val="00545917"/>
    <w:rsid w:val="00546086"/>
    <w:rsid w:val="00546AA7"/>
    <w:rsid w:val="00550C12"/>
    <w:rsid w:val="00550C13"/>
    <w:rsid w:val="00551CD5"/>
    <w:rsid w:val="00552BA0"/>
    <w:rsid w:val="005546A4"/>
    <w:rsid w:val="005546B9"/>
    <w:rsid w:val="005568D4"/>
    <w:rsid w:val="00556940"/>
    <w:rsid w:val="00556CE2"/>
    <w:rsid w:val="005578BE"/>
    <w:rsid w:val="005619D5"/>
    <w:rsid w:val="00562D4E"/>
    <w:rsid w:val="0056356F"/>
    <w:rsid w:val="005652F4"/>
    <w:rsid w:val="005653BA"/>
    <w:rsid w:val="005655C2"/>
    <w:rsid w:val="005658C2"/>
    <w:rsid w:val="005658F8"/>
    <w:rsid w:val="00565AEB"/>
    <w:rsid w:val="00565BDC"/>
    <w:rsid w:val="005666C8"/>
    <w:rsid w:val="00567315"/>
    <w:rsid w:val="00567374"/>
    <w:rsid w:val="00571028"/>
    <w:rsid w:val="0057141D"/>
    <w:rsid w:val="00572544"/>
    <w:rsid w:val="00572570"/>
    <w:rsid w:val="00574B8D"/>
    <w:rsid w:val="00574ED6"/>
    <w:rsid w:val="00575714"/>
    <w:rsid w:val="00575965"/>
    <w:rsid w:val="005764B6"/>
    <w:rsid w:val="00576D43"/>
    <w:rsid w:val="00577FB9"/>
    <w:rsid w:val="00581CE0"/>
    <w:rsid w:val="0058206D"/>
    <w:rsid w:val="0058263F"/>
    <w:rsid w:val="00583B29"/>
    <w:rsid w:val="00584E4B"/>
    <w:rsid w:val="0058544F"/>
    <w:rsid w:val="005857FD"/>
    <w:rsid w:val="00585F75"/>
    <w:rsid w:val="00586230"/>
    <w:rsid w:val="0058750F"/>
    <w:rsid w:val="005875AF"/>
    <w:rsid w:val="005876F6"/>
    <w:rsid w:val="00590C4D"/>
    <w:rsid w:val="00591EAA"/>
    <w:rsid w:val="00592577"/>
    <w:rsid w:val="00592B3E"/>
    <w:rsid w:val="00593375"/>
    <w:rsid w:val="00593983"/>
    <w:rsid w:val="00594D03"/>
    <w:rsid w:val="00595096"/>
    <w:rsid w:val="005968B9"/>
    <w:rsid w:val="00596FDC"/>
    <w:rsid w:val="00597886"/>
    <w:rsid w:val="00597D9B"/>
    <w:rsid w:val="005A0EE1"/>
    <w:rsid w:val="005A1264"/>
    <w:rsid w:val="005A1484"/>
    <w:rsid w:val="005A1898"/>
    <w:rsid w:val="005A198B"/>
    <w:rsid w:val="005A21E0"/>
    <w:rsid w:val="005A257E"/>
    <w:rsid w:val="005A2B86"/>
    <w:rsid w:val="005A2CCF"/>
    <w:rsid w:val="005A2E51"/>
    <w:rsid w:val="005A3018"/>
    <w:rsid w:val="005A35E1"/>
    <w:rsid w:val="005A3B8C"/>
    <w:rsid w:val="005A45FA"/>
    <w:rsid w:val="005A4FBB"/>
    <w:rsid w:val="005A5CA9"/>
    <w:rsid w:val="005A62C8"/>
    <w:rsid w:val="005A7EB6"/>
    <w:rsid w:val="005B0154"/>
    <w:rsid w:val="005B242F"/>
    <w:rsid w:val="005B2B4B"/>
    <w:rsid w:val="005B2F93"/>
    <w:rsid w:val="005B3201"/>
    <w:rsid w:val="005B32A1"/>
    <w:rsid w:val="005B3D8D"/>
    <w:rsid w:val="005B47FC"/>
    <w:rsid w:val="005B4B2C"/>
    <w:rsid w:val="005B514D"/>
    <w:rsid w:val="005B5552"/>
    <w:rsid w:val="005B5F6D"/>
    <w:rsid w:val="005B668A"/>
    <w:rsid w:val="005B714E"/>
    <w:rsid w:val="005B73AF"/>
    <w:rsid w:val="005C0EAC"/>
    <w:rsid w:val="005C192F"/>
    <w:rsid w:val="005C3928"/>
    <w:rsid w:val="005C3EBC"/>
    <w:rsid w:val="005C40CC"/>
    <w:rsid w:val="005C685A"/>
    <w:rsid w:val="005D01D0"/>
    <w:rsid w:val="005D0BB0"/>
    <w:rsid w:val="005D0C05"/>
    <w:rsid w:val="005D0FB0"/>
    <w:rsid w:val="005D0FF3"/>
    <w:rsid w:val="005D1276"/>
    <w:rsid w:val="005D186B"/>
    <w:rsid w:val="005D2BF2"/>
    <w:rsid w:val="005D3341"/>
    <w:rsid w:val="005D5E8C"/>
    <w:rsid w:val="005D632C"/>
    <w:rsid w:val="005D77F6"/>
    <w:rsid w:val="005E0604"/>
    <w:rsid w:val="005E0872"/>
    <w:rsid w:val="005E10EC"/>
    <w:rsid w:val="005E1D2C"/>
    <w:rsid w:val="005E1FC5"/>
    <w:rsid w:val="005E3127"/>
    <w:rsid w:val="005E38B3"/>
    <w:rsid w:val="005E44F9"/>
    <w:rsid w:val="005E7538"/>
    <w:rsid w:val="005F13AE"/>
    <w:rsid w:val="005F186B"/>
    <w:rsid w:val="005F1945"/>
    <w:rsid w:val="005F23E0"/>
    <w:rsid w:val="005F2F84"/>
    <w:rsid w:val="005F399C"/>
    <w:rsid w:val="005F3C75"/>
    <w:rsid w:val="005F3F3B"/>
    <w:rsid w:val="005F52D1"/>
    <w:rsid w:val="005F6204"/>
    <w:rsid w:val="005F65EF"/>
    <w:rsid w:val="005F66AF"/>
    <w:rsid w:val="005F7050"/>
    <w:rsid w:val="005F79FC"/>
    <w:rsid w:val="00600174"/>
    <w:rsid w:val="006004A5"/>
    <w:rsid w:val="00600852"/>
    <w:rsid w:val="00600E61"/>
    <w:rsid w:val="00602A15"/>
    <w:rsid w:val="006030CA"/>
    <w:rsid w:val="00603ECD"/>
    <w:rsid w:val="006053F5"/>
    <w:rsid w:val="00605743"/>
    <w:rsid w:val="006062BA"/>
    <w:rsid w:val="00606999"/>
    <w:rsid w:val="006076CD"/>
    <w:rsid w:val="006100CC"/>
    <w:rsid w:val="006106F8"/>
    <w:rsid w:val="0061161F"/>
    <w:rsid w:val="006119ED"/>
    <w:rsid w:val="006126C5"/>
    <w:rsid w:val="00612D30"/>
    <w:rsid w:val="00613430"/>
    <w:rsid w:val="0061455A"/>
    <w:rsid w:val="00615264"/>
    <w:rsid w:val="006157E4"/>
    <w:rsid w:val="00615B90"/>
    <w:rsid w:val="00616079"/>
    <w:rsid w:val="00617A31"/>
    <w:rsid w:val="00617B6B"/>
    <w:rsid w:val="006219BB"/>
    <w:rsid w:val="00622D98"/>
    <w:rsid w:val="006234B9"/>
    <w:rsid w:val="00623A05"/>
    <w:rsid w:val="00624857"/>
    <w:rsid w:val="00625C3A"/>
    <w:rsid w:val="00625DDE"/>
    <w:rsid w:val="006262AA"/>
    <w:rsid w:val="0062739B"/>
    <w:rsid w:val="006310C8"/>
    <w:rsid w:val="00632122"/>
    <w:rsid w:val="0063263C"/>
    <w:rsid w:val="0063346A"/>
    <w:rsid w:val="00635102"/>
    <w:rsid w:val="006351A0"/>
    <w:rsid w:val="0064020A"/>
    <w:rsid w:val="006410FD"/>
    <w:rsid w:val="0064174A"/>
    <w:rsid w:val="0064191B"/>
    <w:rsid w:val="00641F5C"/>
    <w:rsid w:val="006446FB"/>
    <w:rsid w:val="00645BEC"/>
    <w:rsid w:val="00646ADF"/>
    <w:rsid w:val="00647A19"/>
    <w:rsid w:val="00647CA3"/>
    <w:rsid w:val="006500A7"/>
    <w:rsid w:val="00650302"/>
    <w:rsid w:val="006503B2"/>
    <w:rsid w:val="00650D1C"/>
    <w:rsid w:val="0065100F"/>
    <w:rsid w:val="00651547"/>
    <w:rsid w:val="00651AA1"/>
    <w:rsid w:val="00652454"/>
    <w:rsid w:val="00652EF4"/>
    <w:rsid w:val="0065324E"/>
    <w:rsid w:val="0065397A"/>
    <w:rsid w:val="00654C53"/>
    <w:rsid w:val="006557AF"/>
    <w:rsid w:val="0065634D"/>
    <w:rsid w:val="00656EC2"/>
    <w:rsid w:val="00657582"/>
    <w:rsid w:val="006611D3"/>
    <w:rsid w:val="00661CF2"/>
    <w:rsid w:val="00663ADF"/>
    <w:rsid w:val="00664263"/>
    <w:rsid w:val="00664EB7"/>
    <w:rsid w:val="00665553"/>
    <w:rsid w:val="00665954"/>
    <w:rsid w:val="00666344"/>
    <w:rsid w:val="00666758"/>
    <w:rsid w:val="00666A1E"/>
    <w:rsid w:val="00667286"/>
    <w:rsid w:val="006675E8"/>
    <w:rsid w:val="00667B9F"/>
    <w:rsid w:val="00667F3C"/>
    <w:rsid w:val="006703FF"/>
    <w:rsid w:val="006711B1"/>
    <w:rsid w:val="00671A90"/>
    <w:rsid w:val="0067262C"/>
    <w:rsid w:val="00672D6E"/>
    <w:rsid w:val="00672F4D"/>
    <w:rsid w:val="00673162"/>
    <w:rsid w:val="006739FE"/>
    <w:rsid w:val="00673C58"/>
    <w:rsid w:val="00676956"/>
    <w:rsid w:val="0067748D"/>
    <w:rsid w:val="00681586"/>
    <w:rsid w:val="00681D38"/>
    <w:rsid w:val="00682755"/>
    <w:rsid w:val="006832EF"/>
    <w:rsid w:val="00686E75"/>
    <w:rsid w:val="00690205"/>
    <w:rsid w:val="0069123F"/>
    <w:rsid w:val="00691F4C"/>
    <w:rsid w:val="00692A0F"/>
    <w:rsid w:val="00694319"/>
    <w:rsid w:val="0069501E"/>
    <w:rsid w:val="00695156"/>
    <w:rsid w:val="00695815"/>
    <w:rsid w:val="0069601E"/>
    <w:rsid w:val="0069676C"/>
    <w:rsid w:val="00696D11"/>
    <w:rsid w:val="006971A7"/>
    <w:rsid w:val="00697A4C"/>
    <w:rsid w:val="00697F60"/>
    <w:rsid w:val="006A0C53"/>
    <w:rsid w:val="006A1CEE"/>
    <w:rsid w:val="006A2310"/>
    <w:rsid w:val="006A3D5E"/>
    <w:rsid w:val="006B0377"/>
    <w:rsid w:val="006B085F"/>
    <w:rsid w:val="006B1B5C"/>
    <w:rsid w:val="006B1E2C"/>
    <w:rsid w:val="006B20FB"/>
    <w:rsid w:val="006B31CA"/>
    <w:rsid w:val="006B331B"/>
    <w:rsid w:val="006B3CB4"/>
    <w:rsid w:val="006B448B"/>
    <w:rsid w:val="006B46C0"/>
    <w:rsid w:val="006B512C"/>
    <w:rsid w:val="006B53C2"/>
    <w:rsid w:val="006B53FC"/>
    <w:rsid w:val="006B5416"/>
    <w:rsid w:val="006B5486"/>
    <w:rsid w:val="006B6EA3"/>
    <w:rsid w:val="006B6F73"/>
    <w:rsid w:val="006B74AE"/>
    <w:rsid w:val="006B7741"/>
    <w:rsid w:val="006B7D41"/>
    <w:rsid w:val="006C1540"/>
    <w:rsid w:val="006C1AF3"/>
    <w:rsid w:val="006C1D83"/>
    <w:rsid w:val="006C4513"/>
    <w:rsid w:val="006C47B6"/>
    <w:rsid w:val="006C47DE"/>
    <w:rsid w:val="006C5014"/>
    <w:rsid w:val="006C54FB"/>
    <w:rsid w:val="006C598A"/>
    <w:rsid w:val="006D099A"/>
    <w:rsid w:val="006D336C"/>
    <w:rsid w:val="006D3672"/>
    <w:rsid w:val="006D36EA"/>
    <w:rsid w:val="006D3815"/>
    <w:rsid w:val="006D5607"/>
    <w:rsid w:val="006D6199"/>
    <w:rsid w:val="006D635D"/>
    <w:rsid w:val="006D6CC1"/>
    <w:rsid w:val="006E1479"/>
    <w:rsid w:val="006E1B39"/>
    <w:rsid w:val="006E24A5"/>
    <w:rsid w:val="006E3E6A"/>
    <w:rsid w:val="006E418A"/>
    <w:rsid w:val="006E4EC6"/>
    <w:rsid w:val="006E5193"/>
    <w:rsid w:val="006E5541"/>
    <w:rsid w:val="006E5F94"/>
    <w:rsid w:val="006E6823"/>
    <w:rsid w:val="006E69F0"/>
    <w:rsid w:val="006F0416"/>
    <w:rsid w:val="006F05DE"/>
    <w:rsid w:val="006F09FE"/>
    <w:rsid w:val="006F1D92"/>
    <w:rsid w:val="006F2367"/>
    <w:rsid w:val="006F286D"/>
    <w:rsid w:val="006F3F7E"/>
    <w:rsid w:val="006F43C7"/>
    <w:rsid w:val="006F447D"/>
    <w:rsid w:val="006F459C"/>
    <w:rsid w:val="006F4A5F"/>
    <w:rsid w:val="006F5B4C"/>
    <w:rsid w:val="006F5ED6"/>
    <w:rsid w:val="006F60AC"/>
    <w:rsid w:val="006F71A6"/>
    <w:rsid w:val="006F747C"/>
    <w:rsid w:val="006F7667"/>
    <w:rsid w:val="0070171A"/>
    <w:rsid w:val="00701C79"/>
    <w:rsid w:val="00701DD0"/>
    <w:rsid w:val="00701FD6"/>
    <w:rsid w:val="00702E1A"/>
    <w:rsid w:val="00705576"/>
    <w:rsid w:val="00705B34"/>
    <w:rsid w:val="00705F14"/>
    <w:rsid w:val="00710E3B"/>
    <w:rsid w:val="0071175D"/>
    <w:rsid w:val="00712547"/>
    <w:rsid w:val="0071338F"/>
    <w:rsid w:val="007139F1"/>
    <w:rsid w:val="00714958"/>
    <w:rsid w:val="00715800"/>
    <w:rsid w:val="007168A9"/>
    <w:rsid w:val="00716AD2"/>
    <w:rsid w:val="00716EA2"/>
    <w:rsid w:val="00721AF8"/>
    <w:rsid w:val="007225EB"/>
    <w:rsid w:val="00724411"/>
    <w:rsid w:val="00725501"/>
    <w:rsid w:val="00726EB4"/>
    <w:rsid w:val="00730297"/>
    <w:rsid w:val="00730C60"/>
    <w:rsid w:val="00731348"/>
    <w:rsid w:val="0073296C"/>
    <w:rsid w:val="0073495E"/>
    <w:rsid w:val="00734BD6"/>
    <w:rsid w:val="00735501"/>
    <w:rsid w:val="0073755B"/>
    <w:rsid w:val="00737E9D"/>
    <w:rsid w:val="00741145"/>
    <w:rsid w:val="0074146C"/>
    <w:rsid w:val="0074175D"/>
    <w:rsid w:val="00741931"/>
    <w:rsid w:val="007423D3"/>
    <w:rsid w:val="00742845"/>
    <w:rsid w:val="0074327A"/>
    <w:rsid w:val="0074372B"/>
    <w:rsid w:val="0074491B"/>
    <w:rsid w:val="00745C8F"/>
    <w:rsid w:val="00746C0A"/>
    <w:rsid w:val="00746F5B"/>
    <w:rsid w:val="00750308"/>
    <w:rsid w:val="00751E76"/>
    <w:rsid w:val="007521BF"/>
    <w:rsid w:val="00753DC6"/>
    <w:rsid w:val="00754702"/>
    <w:rsid w:val="00754B4D"/>
    <w:rsid w:val="007561FD"/>
    <w:rsid w:val="00757782"/>
    <w:rsid w:val="007601DC"/>
    <w:rsid w:val="007607F2"/>
    <w:rsid w:val="00761708"/>
    <w:rsid w:val="00761A0E"/>
    <w:rsid w:val="00761F70"/>
    <w:rsid w:val="00762EF7"/>
    <w:rsid w:val="00763A32"/>
    <w:rsid w:val="00764654"/>
    <w:rsid w:val="00764CFC"/>
    <w:rsid w:val="007652CF"/>
    <w:rsid w:val="00765D63"/>
    <w:rsid w:val="00766901"/>
    <w:rsid w:val="007669CE"/>
    <w:rsid w:val="00766A09"/>
    <w:rsid w:val="0076721D"/>
    <w:rsid w:val="00770920"/>
    <w:rsid w:val="00770E54"/>
    <w:rsid w:val="00771DA8"/>
    <w:rsid w:val="007724CC"/>
    <w:rsid w:val="00773177"/>
    <w:rsid w:val="00773610"/>
    <w:rsid w:val="007736A0"/>
    <w:rsid w:val="00774F4C"/>
    <w:rsid w:val="007755D9"/>
    <w:rsid w:val="007774CF"/>
    <w:rsid w:val="00777D4A"/>
    <w:rsid w:val="00781434"/>
    <w:rsid w:val="007819E9"/>
    <w:rsid w:val="00782203"/>
    <w:rsid w:val="007833FC"/>
    <w:rsid w:val="0078355D"/>
    <w:rsid w:val="00783596"/>
    <w:rsid w:val="007859CD"/>
    <w:rsid w:val="0078641A"/>
    <w:rsid w:val="00787645"/>
    <w:rsid w:val="00787E81"/>
    <w:rsid w:val="00790252"/>
    <w:rsid w:val="00790703"/>
    <w:rsid w:val="00790BA8"/>
    <w:rsid w:val="007918C5"/>
    <w:rsid w:val="007919A6"/>
    <w:rsid w:val="007926A3"/>
    <w:rsid w:val="007928C4"/>
    <w:rsid w:val="00793158"/>
    <w:rsid w:val="0079336F"/>
    <w:rsid w:val="0079484B"/>
    <w:rsid w:val="007961D6"/>
    <w:rsid w:val="007964ED"/>
    <w:rsid w:val="007967CD"/>
    <w:rsid w:val="00796F86"/>
    <w:rsid w:val="00797236"/>
    <w:rsid w:val="007A0969"/>
    <w:rsid w:val="007A2354"/>
    <w:rsid w:val="007A3083"/>
    <w:rsid w:val="007A33EF"/>
    <w:rsid w:val="007A45F7"/>
    <w:rsid w:val="007A4604"/>
    <w:rsid w:val="007A464E"/>
    <w:rsid w:val="007A5C57"/>
    <w:rsid w:val="007A5DA3"/>
    <w:rsid w:val="007A6342"/>
    <w:rsid w:val="007A6EAA"/>
    <w:rsid w:val="007A790C"/>
    <w:rsid w:val="007A7C36"/>
    <w:rsid w:val="007B0462"/>
    <w:rsid w:val="007B0ECC"/>
    <w:rsid w:val="007B2522"/>
    <w:rsid w:val="007B275F"/>
    <w:rsid w:val="007B34CE"/>
    <w:rsid w:val="007B39D7"/>
    <w:rsid w:val="007B3B4F"/>
    <w:rsid w:val="007B46A9"/>
    <w:rsid w:val="007B47A2"/>
    <w:rsid w:val="007B48F3"/>
    <w:rsid w:val="007B6106"/>
    <w:rsid w:val="007C0068"/>
    <w:rsid w:val="007C090F"/>
    <w:rsid w:val="007C1BC5"/>
    <w:rsid w:val="007C2D5D"/>
    <w:rsid w:val="007C332D"/>
    <w:rsid w:val="007C3714"/>
    <w:rsid w:val="007C3ABB"/>
    <w:rsid w:val="007C4418"/>
    <w:rsid w:val="007C4FFF"/>
    <w:rsid w:val="007C512E"/>
    <w:rsid w:val="007C5709"/>
    <w:rsid w:val="007C5908"/>
    <w:rsid w:val="007C5E94"/>
    <w:rsid w:val="007C6292"/>
    <w:rsid w:val="007C663C"/>
    <w:rsid w:val="007C7E24"/>
    <w:rsid w:val="007D00B4"/>
    <w:rsid w:val="007D0D12"/>
    <w:rsid w:val="007D120F"/>
    <w:rsid w:val="007D175A"/>
    <w:rsid w:val="007D1D20"/>
    <w:rsid w:val="007D2DA5"/>
    <w:rsid w:val="007D2FF7"/>
    <w:rsid w:val="007D3894"/>
    <w:rsid w:val="007D3898"/>
    <w:rsid w:val="007D455B"/>
    <w:rsid w:val="007D5C68"/>
    <w:rsid w:val="007D5F32"/>
    <w:rsid w:val="007D6098"/>
    <w:rsid w:val="007D73FA"/>
    <w:rsid w:val="007D77A3"/>
    <w:rsid w:val="007E04DB"/>
    <w:rsid w:val="007E10A5"/>
    <w:rsid w:val="007E1628"/>
    <w:rsid w:val="007E22DE"/>
    <w:rsid w:val="007E2C19"/>
    <w:rsid w:val="007E38D5"/>
    <w:rsid w:val="007E4B36"/>
    <w:rsid w:val="007E57B7"/>
    <w:rsid w:val="007E61BF"/>
    <w:rsid w:val="007F10A7"/>
    <w:rsid w:val="007F1292"/>
    <w:rsid w:val="007F1763"/>
    <w:rsid w:val="007F278E"/>
    <w:rsid w:val="007F2CFF"/>
    <w:rsid w:val="007F3E73"/>
    <w:rsid w:val="007F48CE"/>
    <w:rsid w:val="007F5E4D"/>
    <w:rsid w:val="007F69F7"/>
    <w:rsid w:val="007F7118"/>
    <w:rsid w:val="00800597"/>
    <w:rsid w:val="00800811"/>
    <w:rsid w:val="0080108E"/>
    <w:rsid w:val="00802458"/>
    <w:rsid w:val="00802607"/>
    <w:rsid w:val="008027EC"/>
    <w:rsid w:val="00802A64"/>
    <w:rsid w:val="008044B3"/>
    <w:rsid w:val="00804D46"/>
    <w:rsid w:val="00804DE4"/>
    <w:rsid w:val="00805996"/>
    <w:rsid w:val="008064E5"/>
    <w:rsid w:val="008109C0"/>
    <w:rsid w:val="00810C69"/>
    <w:rsid w:val="00810EC3"/>
    <w:rsid w:val="0081102E"/>
    <w:rsid w:val="00811535"/>
    <w:rsid w:val="00811A17"/>
    <w:rsid w:val="00811E49"/>
    <w:rsid w:val="00811F6A"/>
    <w:rsid w:val="00812A65"/>
    <w:rsid w:val="00812EDE"/>
    <w:rsid w:val="00812F54"/>
    <w:rsid w:val="00813208"/>
    <w:rsid w:val="0081379A"/>
    <w:rsid w:val="00813CF8"/>
    <w:rsid w:val="00815026"/>
    <w:rsid w:val="00815F20"/>
    <w:rsid w:val="008163A9"/>
    <w:rsid w:val="0081682B"/>
    <w:rsid w:val="008172E0"/>
    <w:rsid w:val="008201E3"/>
    <w:rsid w:val="008206D8"/>
    <w:rsid w:val="00821052"/>
    <w:rsid w:val="00822530"/>
    <w:rsid w:val="00822EAF"/>
    <w:rsid w:val="008231AA"/>
    <w:rsid w:val="00823DCF"/>
    <w:rsid w:val="008268B5"/>
    <w:rsid w:val="00830F0E"/>
    <w:rsid w:val="00831573"/>
    <w:rsid w:val="00831A1E"/>
    <w:rsid w:val="00831BAC"/>
    <w:rsid w:val="00831CA3"/>
    <w:rsid w:val="00832447"/>
    <w:rsid w:val="008334CD"/>
    <w:rsid w:val="008356E1"/>
    <w:rsid w:val="008369F4"/>
    <w:rsid w:val="00837BE3"/>
    <w:rsid w:val="00837C46"/>
    <w:rsid w:val="00837CCE"/>
    <w:rsid w:val="00840646"/>
    <w:rsid w:val="0084069B"/>
    <w:rsid w:val="00840A78"/>
    <w:rsid w:val="00841A41"/>
    <w:rsid w:val="00842697"/>
    <w:rsid w:val="00842A83"/>
    <w:rsid w:val="00842EFA"/>
    <w:rsid w:val="0084427E"/>
    <w:rsid w:val="00844C29"/>
    <w:rsid w:val="00844D14"/>
    <w:rsid w:val="008473D3"/>
    <w:rsid w:val="00847495"/>
    <w:rsid w:val="0085090E"/>
    <w:rsid w:val="00850970"/>
    <w:rsid w:val="00851626"/>
    <w:rsid w:val="00851EF2"/>
    <w:rsid w:val="00852212"/>
    <w:rsid w:val="00852F4A"/>
    <w:rsid w:val="00854355"/>
    <w:rsid w:val="00854796"/>
    <w:rsid w:val="008553ED"/>
    <w:rsid w:val="00855C19"/>
    <w:rsid w:val="008571EF"/>
    <w:rsid w:val="00860080"/>
    <w:rsid w:val="008611A7"/>
    <w:rsid w:val="00861407"/>
    <w:rsid w:val="0086145C"/>
    <w:rsid w:val="008619A3"/>
    <w:rsid w:val="00861C0B"/>
    <w:rsid w:val="00861C46"/>
    <w:rsid w:val="00861CF7"/>
    <w:rsid w:val="00864602"/>
    <w:rsid w:val="008658CC"/>
    <w:rsid w:val="008661C0"/>
    <w:rsid w:val="00866800"/>
    <w:rsid w:val="00866ECA"/>
    <w:rsid w:val="008676C2"/>
    <w:rsid w:val="00867CA4"/>
    <w:rsid w:val="00867F66"/>
    <w:rsid w:val="008700FA"/>
    <w:rsid w:val="00870B9E"/>
    <w:rsid w:val="00870D3B"/>
    <w:rsid w:val="008710BB"/>
    <w:rsid w:val="0087140A"/>
    <w:rsid w:val="00872B8B"/>
    <w:rsid w:val="00873B24"/>
    <w:rsid w:val="0087594E"/>
    <w:rsid w:val="00876A20"/>
    <w:rsid w:val="00877CBF"/>
    <w:rsid w:val="00877E75"/>
    <w:rsid w:val="00877EAA"/>
    <w:rsid w:val="0088180F"/>
    <w:rsid w:val="00881935"/>
    <w:rsid w:val="00881A4F"/>
    <w:rsid w:val="00881C50"/>
    <w:rsid w:val="008823EC"/>
    <w:rsid w:val="00882468"/>
    <w:rsid w:val="00884A6F"/>
    <w:rsid w:val="00885321"/>
    <w:rsid w:val="00885C30"/>
    <w:rsid w:val="00886032"/>
    <w:rsid w:val="00886FA3"/>
    <w:rsid w:val="008872C8"/>
    <w:rsid w:val="0088753D"/>
    <w:rsid w:val="00890249"/>
    <w:rsid w:val="0089073A"/>
    <w:rsid w:val="00890BB7"/>
    <w:rsid w:val="00893647"/>
    <w:rsid w:val="0089365B"/>
    <w:rsid w:val="00894545"/>
    <w:rsid w:val="0089471E"/>
    <w:rsid w:val="00895619"/>
    <w:rsid w:val="00896192"/>
    <w:rsid w:val="008961C5"/>
    <w:rsid w:val="00896739"/>
    <w:rsid w:val="00897084"/>
    <w:rsid w:val="008974F4"/>
    <w:rsid w:val="00897910"/>
    <w:rsid w:val="008A0651"/>
    <w:rsid w:val="008A0D77"/>
    <w:rsid w:val="008A0E1B"/>
    <w:rsid w:val="008A1489"/>
    <w:rsid w:val="008A1EFF"/>
    <w:rsid w:val="008A27AA"/>
    <w:rsid w:val="008A3CB5"/>
    <w:rsid w:val="008A41E9"/>
    <w:rsid w:val="008A497D"/>
    <w:rsid w:val="008A6EC6"/>
    <w:rsid w:val="008B0053"/>
    <w:rsid w:val="008B0D61"/>
    <w:rsid w:val="008B0FC8"/>
    <w:rsid w:val="008B107A"/>
    <w:rsid w:val="008B10A3"/>
    <w:rsid w:val="008B2256"/>
    <w:rsid w:val="008B286B"/>
    <w:rsid w:val="008B2CD0"/>
    <w:rsid w:val="008B645E"/>
    <w:rsid w:val="008B6A75"/>
    <w:rsid w:val="008B6F8B"/>
    <w:rsid w:val="008C0304"/>
    <w:rsid w:val="008C1139"/>
    <w:rsid w:val="008C1EC9"/>
    <w:rsid w:val="008C2DB6"/>
    <w:rsid w:val="008C38B3"/>
    <w:rsid w:val="008C41F9"/>
    <w:rsid w:val="008C5681"/>
    <w:rsid w:val="008C5F36"/>
    <w:rsid w:val="008C68AA"/>
    <w:rsid w:val="008C72A3"/>
    <w:rsid w:val="008C7334"/>
    <w:rsid w:val="008D0353"/>
    <w:rsid w:val="008D0E0E"/>
    <w:rsid w:val="008D1392"/>
    <w:rsid w:val="008D17AF"/>
    <w:rsid w:val="008D2684"/>
    <w:rsid w:val="008D3638"/>
    <w:rsid w:val="008D45F5"/>
    <w:rsid w:val="008D5C57"/>
    <w:rsid w:val="008D5F6E"/>
    <w:rsid w:val="008D6AE6"/>
    <w:rsid w:val="008D6BC0"/>
    <w:rsid w:val="008E01F7"/>
    <w:rsid w:val="008E088F"/>
    <w:rsid w:val="008E209F"/>
    <w:rsid w:val="008E236F"/>
    <w:rsid w:val="008E3237"/>
    <w:rsid w:val="008E3745"/>
    <w:rsid w:val="008E482B"/>
    <w:rsid w:val="008E4E57"/>
    <w:rsid w:val="008E5398"/>
    <w:rsid w:val="008E582B"/>
    <w:rsid w:val="008E5871"/>
    <w:rsid w:val="008E6478"/>
    <w:rsid w:val="008E6944"/>
    <w:rsid w:val="008E6DBB"/>
    <w:rsid w:val="008F1899"/>
    <w:rsid w:val="008F24B6"/>
    <w:rsid w:val="008F3378"/>
    <w:rsid w:val="008F3F74"/>
    <w:rsid w:val="008F4726"/>
    <w:rsid w:val="008F4A08"/>
    <w:rsid w:val="008F4BE6"/>
    <w:rsid w:val="008F5A6D"/>
    <w:rsid w:val="008F65DA"/>
    <w:rsid w:val="008F6C51"/>
    <w:rsid w:val="008F6D6A"/>
    <w:rsid w:val="00900560"/>
    <w:rsid w:val="009005B5"/>
    <w:rsid w:val="00900C4E"/>
    <w:rsid w:val="0090118C"/>
    <w:rsid w:val="00901D3A"/>
    <w:rsid w:val="00902F31"/>
    <w:rsid w:val="00902FFD"/>
    <w:rsid w:val="0090406C"/>
    <w:rsid w:val="00904E57"/>
    <w:rsid w:val="009073CA"/>
    <w:rsid w:val="0091061B"/>
    <w:rsid w:val="00911174"/>
    <w:rsid w:val="00911FF2"/>
    <w:rsid w:val="00913ADD"/>
    <w:rsid w:val="00916903"/>
    <w:rsid w:val="00916F08"/>
    <w:rsid w:val="00920D0D"/>
    <w:rsid w:val="0092187F"/>
    <w:rsid w:val="00922D09"/>
    <w:rsid w:val="00923E27"/>
    <w:rsid w:val="009240B2"/>
    <w:rsid w:val="00924B3C"/>
    <w:rsid w:val="00926209"/>
    <w:rsid w:val="009270DD"/>
    <w:rsid w:val="00927487"/>
    <w:rsid w:val="009278B0"/>
    <w:rsid w:val="009278ED"/>
    <w:rsid w:val="00927E8D"/>
    <w:rsid w:val="00930847"/>
    <w:rsid w:val="009313F1"/>
    <w:rsid w:val="009321A6"/>
    <w:rsid w:val="00932979"/>
    <w:rsid w:val="00933942"/>
    <w:rsid w:val="00933AD2"/>
    <w:rsid w:val="00934034"/>
    <w:rsid w:val="00934BFF"/>
    <w:rsid w:val="00935937"/>
    <w:rsid w:val="00936C08"/>
    <w:rsid w:val="00936D8F"/>
    <w:rsid w:val="009376BB"/>
    <w:rsid w:val="00937908"/>
    <w:rsid w:val="00937B33"/>
    <w:rsid w:val="00940A36"/>
    <w:rsid w:val="00941109"/>
    <w:rsid w:val="00941A04"/>
    <w:rsid w:val="00941A58"/>
    <w:rsid w:val="00941EB4"/>
    <w:rsid w:val="009423C5"/>
    <w:rsid w:val="00943393"/>
    <w:rsid w:val="0094375A"/>
    <w:rsid w:val="00943807"/>
    <w:rsid w:val="00944908"/>
    <w:rsid w:val="00945C61"/>
    <w:rsid w:val="00946CBE"/>
    <w:rsid w:val="009476CB"/>
    <w:rsid w:val="009477EC"/>
    <w:rsid w:val="00947921"/>
    <w:rsid w:val="00947972"/>
    <w:rsid w:val="00947B4F"/>
    <w:rsid w:val="00951943"/>
    <w:rsid w:val="009536C2"/>
    <w:rsid w:val="00953BE9"/>
    <w:rsid w:val="009546B4"/>
    <w:rsid w:val="00954B7E"/>
    <w:rsid w:val="00954D02"/>
    <w:rsid w:val="00956ED1"/>
    <w:rsid w:val="0095725E"/>
    <w:rsid w:val="00957E86"/>
    <w:rsid w:val="009610C4"/>
    <w:rsid w:val="00961957"/>
    <w:rsid w:val="00962384"/>
    <w:rsid w:val="00963E0A"/>
    <w:rsid w:val="009650E6"/>
    <w:rsid w:val="00966B2C"/>
    <w:rsid w:val="00966D47"/>
    <w:rsid w:val="00966DC2"/>
    <w:rsid w:val="00966FDC"/>
    <w:rsid w:val="00967551"/>
    <w:rsid w:val="00970251"/>
    <w:rsid w:val="00970B97"/>
    <w:rsid w:val="009715EA"/>
    <w:rsid w:val="00971ADE"/>
    <w:rsid w:val="00971DA0"/>
    <w:rsid w:val="00972047"/>
    <w:rsid w:val="00973DE9"/>
    <w:rsid w:val="00973E31"/>
    <w:rsid w:val="00974CAC"/>
    <w:rsid w:val="00975D1F"/>
    <w:rsid w:val="0097745B"/>
    <w:rsid w:val="0097752F"/>
    <w:rsid w:val="009775CD"/>
    <w:rsid w:val="0097795B"/>
    <w:rsid w:val="00980F5F"/>
    <w:rsid w:val="0098154D"/>
    <w:rsid w:val="009815C6"/>
    <w:rsid w:val="00982158"/>
    <w:rsid w:val="009826DF"/>
    <w:rsid w:val="00982BF7"/>
    <w:rsid w:val="009840C4"/>
    <w:rsid w:val="00984DCC"/>
    <w:rsid w:val="00984F42"/>
    <w:rsid w:val="0098569F"/>
    <w:rsid w:val="00987B8E"/>
    <w:rsid w:val="00987C6F"/>
    <w:rsid w:val="00990260"/>
    <w:rsid w:val="00991124"/>
    <w:rsid w:val="00991127"/>
    <w:rsid w:val="009919D0"/>
    <w:rsid w:val="00992458"/>
    <w:rsid w:val="00993EFA"/>
    <w:rsid w:val="00994B7F"/>
    <w:rsid w:val="00995AF6"/>
    <w:rsid w:val="00995F14"/>
    <w:rsid w:val="00996346"/>
    <w:rsid w:val="009A111F"/>
    <w:rsid w:val="009A1145"/>
    <w:rsid w:val="009A1816"/>
    <w:rsid w:val="009A1D6C"/>
    <w:rsid w:val="009A1FBA"/>
    <w:rsid w:val="009A239B"/>
    <w:rsid w:val="009A32F9"/>
    <w:rsid w:val="009A3E76"/>
    <w:rsid w:val="009A45E6"/>
    <w:rsid w:val="009A730F"/>
    <w:rsid w:val="009A758E"/>
    <w:rsid w:val="009A7E65"/>
    <w:rsid w:val="009A7EFF"/>
    <w:rsid w:val="009B26CB"/>
    <w:rsid w:val="009B3106"/>
    <w:rsid w:val="009B40ED"/>
    <w:rsid w:val="009B4657"/>
    <w:rsid w:val="009B6A0F"/>
    <w:rsid w:val="009B7603"/>
    <w:rsid w:val="009B7C77"/>
    <w:rsid w:val="009B7F83"/>
    <w:rsid w:val="009C010D"/>
    <w:rsid w:val="009C0666"/>
    <w:rsid w:val="009C0695"/>
    <w:rsid w:val="009C0A84"/>
    <w:rsid w:val="009C1821"/>
    <w:rsid w:val="009C1BE5"/>
    <w:rsid w:val="009C24A6"/>
    <w:rsid w:val="009C3B62"/>
    <w:rsid w:val="009C3B88"/>
    <w:rsid w:val="009C4B10"/>
    <w:rsid w:val="009C4F1F"/>
    <w:rsid w:val="009C6E6A"/>
    <w:rsid w:val="009C75F0"/>
    <w:rsid w:val="009D0714"/>
    <w:rsid w:val="009D098F"/>
    <w:rsid w:val="009D12D1"/>
    <w:rsid w:val="009D25D7"/>
    <w:rsid w:val="009D2623"/>
    <w:rsid w:val="009D429E"/>
    <w:rsid w:val="009D4536"/>
    <w:rsid w:val="009D4C4E"/>
    <w:rsid w:val="009D5EB1"/>
    <w:rsid w:val="009D61B3"/>
    <w:rsid w:val="009D671E"/>
    <w:rsid w:val="009D674D"/>
    <w:rsid w:val="009D6964"/>
    <w:rsid w:val="009D7106"/>
    <w:rsid w:val="009E024A"/>
    <w:rsid w:val="009E09F5"/>
    <w:rsid w:val="009E0EEE"/>
    <w:rsid w:val="009E115B"/>
    <w:rsid w:val="009E1E3F"/>
    <w:rsid w:val="009E1FA6"/>
    <w:rsid w:val="009E22B5"/>
    <w:rsid w:val="009E24D2"/>
    <w:rsid w:val="009E2574"/>
    <w:rsid w:val="009E26AC"/>
    <w:rsid w:val="009E2800"/>
    <w:rsid w:val="009E30E5"/>
    <w:rsid w:val="009E381F"/>
    <w:rsid w:val="009E4297"/>
    <w:rsid w:val="009E5DC6"/>
    <w:rsid w:val="009E6093"/>
    <w:rsid w:val="009E63CF"/>
    <w:rsid w:val="009E7BF2"/>
    <w:rsid w:val="009F17E1"/>
    <w:rsid w:val="009F1C53"/>
    <w:rsid w:val="009F1CE7"/>
    <w:rsid w:val="009F32E4"/>
    <w:rsid w:val="009F333C"/>
    <w:rsid w:val="009F3342"/>
    <w:rsid w:val="009F3653"/>
    <w:rsid w:val="009F5C25"/>
    <w:rsid w:val="009F69EC"/>
    <w:rsid w:val="009F7506"/>
    <w:rsid w:val="00A00477"/>
    <w:rsid w:val="00A01531"/>
    <w:rsid w:val="00A026D0"/>
    <w:rsid w:val="00A0506A"/>
    <w:rsid w:val="00A05D30"/>
    <w:rsid w:val="00A06356"/>
    <w:rsid w:val="00A07515"/>
    <w:rsid w:val="00A1018A"/>
    <w:rsid w:val="00A10A0B"/>
    <w:rsid w:val="00A113BB"/>
    <w:rsid w:val="00A11AC0"/>
    <w:rsid w:val="00A16517"/>
    <w:rsid w:val="00A1658A"/>
    <w:rsid w:val="00A16F94"/>
    <w:rsid w:val="00A21286"/>
    <w:rsid w:val="00A2164D"/>
    <w:rsid w:val="00A220F9"/>
    <w:rsid w:val="00A23B04"/>
    <w:rsid w:val="00A246B3"/>
    <w:rsid w:val="00A2525C"/>
    <w:rsid w:val="00A254E6"/>
    <w:rsid w:val="00A25599"/>
    <w:rsid w:val="00A25E62"/>
    <w:rsid w:val="00A26791"/>
    <w:rsid w:val="00A26AA1"/>
    <w:rsid w:val="00A2739D"/>
    <w:rsid w:val="00A27784"/>
    <w:rsid w:val="00A27A88"/>
    <w:rsid w:val="00A27CAE"/>
    <w:rsid w:val="00A31595"/>
    <w:rsid w:val="00A33BC3"/>
    <w:rsid w:val="00A33E25"/>
    <w:rsid w:val="00A34E2D"/>
    <w:rsid w:val="00A35B77"/>
    <w:rsid w:val="00A40502"/>
    <w:rsid w:val="00A43335"/>
    <w:rsid w:val="00A43944"/>
    <w:rsid w:val="00A44116"/>
    <w:rsid w:val="00A441DE"/>
    <w:rsid w:val="00A45191"/>
    <w:rsid w:val="00A466B6"/>
    <w:rsid w:val="00A466F2"/>
    <w:rsid w:val="00A46D9F"/>
    <w:rsid w:val="00A50FF6"/>
    <w:rsid w:val="00A511F0"/>
    <w:rsid w:val="00A51261"/>
    <w:rsid w:val="00A530D1"/>
    <w:rsid w:val="00A60AA0"/>
    <w:rsid w:val="00A61652"/>
    <w:rsid w:val="00A6292E"/>
    <w:rsid w:val="00A62B56"/>
    <w:rsid w:val="00A62C2F"/>
    <w:rsid w:val="00A64DA7"/>
    <w:rsid w:val="00A66B4F"/>
    <w:rsid w:val="00A67835"/>
    <w:rsid w:val="00A707EC"/>
    <w:rsid w:val="00A70C21"/>
    <w:rsid w:val="00A71193"/>
    <w:rsid w:val="00A71234"/>
    <w:rsid w:val="00A7237E"/>
    <w:rsid w:val="00A72BF4"/>
    <w:rsid w:val="00A72D4F"/>
    <w:rsid w:val="00A73EC0"/>
    <w:rsid w:val="00A74BF4"/>
    <w:rsid w:val="00A74E5D"/>
    <w:rsid w:val="00A756E4"/>
    <w:rsid w:val="00A75E6A"/>
    <w:rsid w:val="00A75ED7"/>
    <w:rsid w:val="00A76E63"/>
    <w:rsid w:val="00A77639"/>
    <w:rsid w:val="00A80635"/>
    <w:rsid w:val="00A811D5"/>
    <w:rsid w:val="00A81D38"/>
    <w:rsid w:val="00A843D8"/>
    <w:rsid w:val="00A854EA"/>
    <w:rsid w:val="00A86034"/>
    <w:rsid w:val="00A86127"/>
    <w:rsid w:val="00A8620C"/>
    <w:rsid w:val="00A864CB"/>
    <w:rsid w:val="00A86AF9"/>
    <w:rsid w:val="00A874EB"/>
    <w:rsid w:val="00A87D92"/>
    <w:rsid w:val="00A90D19"/>
    <w:rsid w:val="00A911AB"/>
    <w:rsid w:val="00A921ED"/>
    <w:rsid w:val="00A92243"/>
    <w:rsid w:val="00A927FF"/>
    <w:rsid w:val="00A92B6A"/>
    <w:rsid w:val="00A9420B"/>
    <w:rsid w:val="00A94CCD"/>
    <w:rsid w:val="00A94F05"/>
    <w:rsid w:val="00A9583D"/>
    <w:rsid w:val="00A95938"/>
    <w:rsid w:val="00A9709F"/>
    <w:rsid w:val="00A979C0"/>
    <w:rsid w:val="00AA010F"/>
    <w:rsid w:val="00AA098D"/>
    <w:rsid w:val="00AA18A7"/>
    <w:rsid w:val="00AA25F9"/>
    <w:rsid w:val="00AA2E49"/>
    <w:rsid w:val="00AA3101"/>
    <w:rsid w:val="00AA32E6"/>
    <w:rsid w:val="00AA4BE9"/>
    <w:rsid w:val="00AA5521"/>
    <w:rsid w:val="00AA63B6"/>
    <w:rsid w:val="00AA745D"/>
    <w:rsid w:val="00AA75AC"/>
    <w:rsid w:val="00AA7707"/>
    <w:rsid w:val="00AB0162"/>
    <w:rsid w:val="00AB0625"/>
    <w:rsid w:val="00AB0735"/>
    <w:rsid w:val="00AB0F7F"/>
    <w:rsid w:val="00AB31FE"/>
    <w:rsid w:val="00AB400B"/>
    <w:rsid w:val="00AB4012"/>
    <w:rsid w:val="00AB415A"/>
    <w:rsid w:val="00AB447A"/>
    <w:rsid w:val="00AB45C8"/>
    <w:rsid w:val="00AB5413"/>
    <w:rsid w:val="00AB7AC5"/>
    <w:rsid w:val="00AB7F28"/>
    <w:rsid w:val="00AC1773"/>
    <w:rsid w:val="00AC1873"/>
    <w:rsid w:val="00AC2BAC"/>
    <w:rsid w:val="00AC5753"/>
    <w:rsid w:val="00AC6BFF"/>
    <w:rsid w:val="00AC7804"/>
    <w:rsid w:val="00AD0169"/>
    <w:rsid w:val="00AD0781"/>
    <w:rsid w:val="00AD0900"/>
    <w:rsid w:val="00AD10AC"/>
    <w:rsid w:val="00AD11EC"/>
    <w:rsid w:val="00AD128E"/>
    <w:rsid w:val="00AD22BA"/>
    <w:rsid w:val="00AD2876"/>
    <w:rsid w:val="00AD2E24"/>
    <w:rsid w:val="00AD35D6"/>
    <w:rsid w:val="00AD3D4C"/>
    <w:rsid w:val="00AD47C4"/>
    <w:rsid w:val="00AD4DA8"/>
    <w:rsid w:val="00AD4E10"/>
    <w:rsid w:val="00AD4F8A"/>
    <w:rsid w:val="00AD6C0F"/>
    <w:rsid w:val="00AE01EA"/>
    <w:rsid w:val="00AE0DA4"/>
    <w:rsid w:val="00AE1184"/>
    <w:rsid w:val="00AE204D"/>
    <w:rsid w:val="00AE496E"/>
    <w:rsid w:val="00AE5DCB"/>
    <w:rsid w:val="00AE6028"/>
    <w:rsid w:val="00AE6345"/>
    <w:rsid w:val="00AE66C1"/>
    <w:rsid w:val="00AE7374"/>
    <w:rsid w:val="00AF0AC0"/>
    <w:rsid w:val="00AF0D9E"/>
    <w:rsid w:val="00AF1260"/>
    <w:rsid w:val="00AF1A3A"/>
    <w:rsid w:val="00AF238F"/>
    <w:rsid w:val="00AF2F04"/>
    <w:rsid w:val="00AF3C49"/>
    <w:rsid w:val="00AF4833"/>
    <w:rsid w:val="00AF5D4A"/>
    <w:rsid w:val="00AF73FA"/>
    <w:rsid w:val="00AF7B1A"/>
    <w:rsid w:val="00B001BE"/>
    <w:rsid w:val="00B00340"/>
    <w:rsid w:val="00B01450"/>
    <w:rsid w:val="00B033F5"/>
    <w:rsid w:val="00B05671"/>
    <w:rsid w:val="00B056A6"/>
    <w:rsid w:val="00B0572E"/>
    <w:rsid w:val="00B0628D"/>
    <w:rsid w:val="00B070D2"/>
    <w:rsid w:val="00B0762A"/>
    <w:rsid w:val="00B076DA"/>
    <w:rsid w:val="00B07C2B"/>
    <w:rsid w:val="00B07E97"/>
    <w:rsid w:val="00B11341"/>
    <w:rsid w:val="00B1141F"/>
    <w:rsid w:val="00B12187"/>
    <w:rsid w:val="00B136C0"/>
    <w:rsid w:val="00B15414"/>
    <w:rsid w:val="00B1619C"/>
    <w:rsid w:val="00B164B7"/>
    <w:rsid w:val="00B16EAA"/>
    <w:rsid w:val="00B17880"/>
    <w:rsid w:val="00B17E49"/>
    <w:rsid w:val="00B201F4"/>
    <w:rsid w:val="00B20CFE"/>
    <w:rsid w:val="00B20D23"/>
    <w:rsid w:val="00B21802"/>
    <w:rsid w:val="00B21A50"/>
    <w:rsid w:val="00B23B86"/>
    <w:rsid w:val="00B248EB"/>
    <w:rsid w:val="00B25380"/>
    <w:rsid w:val="00B253D5"/>
    <w:rsid w:val="00B25A4E"/>
    <w:rsid w:val="00B25D16"/>
    <w:rsid w:val="00B26DF1"/>
    <w:rsid w:val="00B27614"/>
    <w:rsid w:val="00B30371"/>
    <w:rsid w:val="00B3162F"/>
    <w:rsid w:val="00B3240E"/>
    <w:rsid w:val="00B3568C"/>
    <w:rsid w:val="00B35A8D"/>
    <w:rsid w:val="00B36A29"/>
    <w:rsid w:val="00B403CD"/>
    <w:rsid w:val="00B4040F"/>
    <w:rsid w:val="00B423F3"/>
    <w:rsid w:val="00B4261A"/>
    <w:rsid w:val="00B42B5B"/>
    <w:rsid w:val="00B43BD4"/>
    <w:rsid w:val="00B44BCD"/>
    <w:rsid w:val="00B44EC9"/>
    <w:rsid w:val="00B45D76"/>
    <w:rsid w:val="00B45FC0"/>
    <w:rsid w:val="00B4609E"/>
    <w:rsid w:val="00B46475"/>
    <w:rsid w:val="00B474D8"/>
    <w:rsid w:val="00B5122B"/>
    <w:rsid w:val="00B5124B"/>
    <w:rsid w:val="00B521A5"/>
    <w:rsid w:val="00B5255F"/>
    <w:rsid w:val="00B52781"/>
    <w:rsid w:val="00B541F1"/>
    <w:rsid w:val="00B546A7"/>
    <w:rsid w:val="00B546B2"/>
    <w:rsid w:val="00B5475E"/>
    <w:rsid w:val="00B548DF"/>
    <w:rsid w:val="00B55DCD"/>
    <w:rsid w:val="00B577E6"/>
    <w:rsid w:val="00B6186E"/>
    <w:rsid w:val="00B618BF"/>
    <w:rsid w:val="00B61A4D"/>
    <w:rsid w:val="00B638B9"/>
    <w:rsid w:val="00B64486"/>
    <w:rsid w:val="00B6486D"/>
    <w:rsid w:val="00B649AF"/>
    <w:rsid w:val="00B65B2D"/>
    <w:rsid w:val="00B65C91"/>
    <w:rsid w:val="00B65DA4"/>
    <w:rsid w:val="00B66A99"/>
    <w:rsid w:val="00B66DCF"/>
    <w:rsid w:val="00B67645"/>
    <w:rsid w:val="00B67CD6"/>
    <w:rsid w:val="00B70853"/>
    <w:rsid w:val="00B70CA0"/>
    <w:rsid w:val="00B71FD3"/>
    <w:rsid w:val="00B72663"/>
    <w:rsid w:val="00B72C6F"/>
    <w:rsid w:val="00B732E0"/>
    <w:rsid w:val="00B742A3"/>
    <w:rsid w:val="00B74945"/>
    <w:rsid w:val="00B74F4A"/>
    <w:rsid w:val="00B7664B"/>
    <w:rsid w:val="00B76A8D"/>
    <w:rsid w:val="00B76F65"/>
    <w:rsid w:val="00B811FA"/>
    <w:rsid w:val="00B82CCD"/>
    <w:rsid w:val="00B83EA0"/>
    <w:rsid w:val="00B83F4A"/>
    <w:rsid w:val="00B84FCC"/>
    <w:rsid w:val="00B86480"/>
    <w:rsid w:val="00B901FE"/>
    <w:rsid w:val="00B910D4"/>
    <w:rsid w:val="00B92246"/>
    <w:rsid w:val="00B92AB1"/>
    <w:rsid w:val="00B932FA"/>
    <w:rsid w:val="00B942E1"/>
    <w:rsid w:val="00B94507"/>
    <w:rsid w:val="00B960DE"/>
    <w:rsid w:val="00B971D9"/>
    <w:rsid w:val="00B9720B"/>
    <w:rsid w:val="00B97D4C"/>
    <w:rsid w:val="00B97F53"/>
    <w:rsid w:val="00B9B2C2"/>
    <w:rsid w:val="00BA04F1"/>
    <w:rsid w:val="00BA09FD"/>
    <w:rsid w:val="00BA1955"/>
    <w:rsid w:val="00BA1D16"/>
    <w:rsid w:val="00BA2501"/>
    <w:rsid w:val="00BA421A"/>
    <w:rsid w:val="00BA4F23"/>
    <w:rsid w:val="00BA6592"/>
    <w:rsid w:val="00BA755B"/>
    <w:rsid w:val="00BA7847"/>
    <w:rsid w:val="00BA7E20"/>
    <w:rsid w:val="00BB197A"/>
    <w:rsid w:val="00BB210B"/>
    <w:rsid w:val="00BB3E7D"/>
    <w:rsid w:val="00BB4098"/>
    <w:rsid w:val="00BB4900"/>
    <w:rsid w:val="00BB52C5"/>
    <w:rsid w:val="00BB7306"/>
    <w:rsid w:val="00BB76AB"/>
    <w:rsid w:val="00BC032B"/>
    <w:rsid w:val="00BC03E4"/>
    <w:rsid w:val="00BC052D"/>
    <w:rsid w:val="00BC1922"/>
    <w:rsid w:val="00BC234B"/>
    <w:rsid w:val="00BC2A5A"/>
    <w:rsid w:val="00BC3353"/>
    <w:rsid w:val="00BC384D"/>
    <w:rsid w:val="00BC4C29"/>
    <w:rsid w:val="00BC52D0"/>
    <w:rsid w:val="00BC584A"/>
    <w:rsid w:val="00BC665D"/>
    <w:rsid w:val="00BC7CBF"/>
    <w:rsid w:val="00BD141E"/>
    <w:rsid w:val="00BD1F15"/>
    <w:rsid w:val="00BD3F08"/>
    <w:rsid w:val="00BD4D24"/>
    <w:rsid w:val="00BD547E"/>
    <w:rsid w:val="00BD58BC"/>
    <w:rsid w:val="00BD598F"/>
    <w:rsid w:val="00BD639B"/>
    <w:rsid w:val="00BD69D1"/>
    <w:rsid w:val="00BD6F08"/>
    <w:rsid w:val="00BD7577"/>
    <w:rsid w:val="00BD760D"/>
    <w:rsid w:val="00BD7751"/>
    <w:rsid w:val="00BE037E"/>
    <w:rsid w:val="00BE05E9"/>
    <w:rsid w:val="00BE1083"/>
    <w:rsid w:val="00BE1FCD"/>
    <w:rsid w:val="00BE2215"/>
    <w:rsid w:val="00BE292F"/>
    <w:rsid w:val="00BE347D"/>
    <w:rsid w:val="00BE4DEB"/>
    <w:rsid w:val="00BE505C"/>
    <w:rsid w:val="00BE6812"/>
    <w:rsid w:val="00BE7A32"/>
    <w:rsid w:val="00BF0459"/>
    <w:rsid w:val="00BF07CF"/>
    <w:rsid w:val="00BF0C98"/>
    <w:rsid w:val="00BF2365"/>
    <w:rsid w:val="00BF37DE"/>
    <w:rsid w:val="00BF3D54"/>
    <w:rsid w:val="00BF3D79"/>
    <w:rsid w:val="00BF4165"/>
    <w:rsid w:val="00BF4A6C"/>
    <w:rsid w:val="00BF5471"/>
    <w:rsid w:val="00BF6078"/>
    <w:rsid w:val="00BF6A35"/>
    <w:rsid w:val="00BF7F90"/>
    <w:rsid w:val="00C00407"/>
    <w:rsid w:val="00C0057A"/>
    <w:rsid w:val="00C0080F"/>
    <w:rsid w:val="00C00D30"/>
    <w:rsid w:val="00C011A3"/>
    <w:rsid w:val="00C011D2"/>
    <w:rsid w:val="00C0367D"/>
    <w:rsid w:val="00C04AC8"/>
    <w:rsid w:val="00C04C72"/>
    <w:rsid w:val="00C0630F"/>
    <w:rsid w:val="00C06B07"/>
    <w:rsid w:val="00C074E5"/>
    <w:rsid w:val="00C101B3"/>
    <w:rsid w:val="00C12335"/>
    <w:rsid w:val="00C12F4E"/>
    <w:rsid w:val="00C13A0C"/>
    <w:rsid w:val="00C15A1E"/>
    <w:rsid w:val="00C15A5F"/>
    <w:rsid w:val="00C165DC"/>
    <w:rsid w:val="00C206FB"/>
    <w:rsid w:val="00C20B83"/>
    <w:rsid w:val="00C210E8"/>
    <w:rsid w:val="00C2124F"/>
    <w:rsid w:val="00C215A0"/>
    <w:rsid w:val="00C218BC"/>
    <w:rsid w:val="00C21EB0"/>
    <w:rsid w:val="00C21F60"/>
    <w:rsid w:val="00C22559"/>
    <w:rsid w:val="00C2310D"/>
    <w:rsid w:val="00C2361C"/>
    <w:rsid w:val="00C24198"/>
    <w:rsid w:val="00C2460A"/>
    <w:rsid w:val="00C2489B"/>
    <w:rsid w:val="00C24B7B"/>
    <w:rsid w:val="00C24DF1"/>
    <w:rsid w:val="00C25F69"/>
    <w:rsid w:val="00C2674D"/>
    <w:rsid w:val="00C26C60"/>
    <w:rsid w:val="00C278FC"/>
    <w:rsid w:val="00C30118"/>
    <w:rsid w:val="00C301A3"/>
    <w:rsid w:val="00C307B4"/>
    <w:rsid w:val="00C315A7"/>
    <w:rsid w:val="00C32593"/>
    <w:rsid w:val="00C326E3"/>
    <w:rsid w:val="00C3383C"/>
    <w:rsid w:val="00C346E6"/>
    <w:rsid w:val="00C34A6D"/>
    <w:rsid w:val="00C34B11"/>
    <w:rsid w:val="00C34C89"/>
    <w:rsid w:val="00C354B4"/>
    <w:rsid w:val="00C35F22"/>
    <w:rsid w:val="00C36301"/>
    <w:rsid w:val="00C36AC7"/>
    <w:rsid w:val="00C37B34"/>
    <w:rsid w:val="00C4075E"/>
    <w:rsid w:val="00C41577"/>
    <w:rsid w:val="00C416F1"/>
    <w:rsid w:val="00C421DA"/>
    <w:rsid w:val="00C4469F"/>
    <w:rsid w:val="00C44E62"/>
    <w:rsid w:val="00C45827"/>
    <w:rsid w:val="00C4688E"/>
    <w:rsid w:val="00C46C28"/>
    <w:rsid w:val="00C46D9D"/>
    <w:rsid w:val="00C470D8"/>
    <w:rsid w:val="00C4715F"/>
    <w:rsid w:val="00C50C33"/>
    <w:rsid w:val="00C50DB4"/>
    <w:rsid w:val="00C51EAC"/>
    <w:rsid w:val="00C52F10"/>
    <w:rsid w:val="00C52FC8"/>
    <w:rsid w:val="00C53857"/>
    <w:rsid w:val="00C541A6"/>
    <w:rsid w:val="00C54624"/>
    <w:rsid w:val="00C54CEB"/>
    <w:rsid w:val="00C564A4"/>
    <w:rsid w:val="00C56B97"/>
    <w:rsid w:val="00C6054C"/>
    <w:rsid w:val="00C60659"/>
    <w:rsid w:val="00C6140B"/>
    <w:rsid w:val="00C63AC5"/>
    <w:rsid w:val="00C64DD4"/>
    <w:rsid w:val="00C65D21"/>
    <w:rsid w:val="00C65E2C"/>
    <w:rsid w:val="00C660BC"/>
    <w:rsid w:val="00C6CB6E"/>
    <w:rsid w:val="00C72163"/>
    <w:rsid w:val="00C7233E"/>
    <w:rsid w:val="00C725C6"/>
    <w:rsid w:val="00C72661"/>
    <w:rsid w:val="00C7272A"/>
    <w:rsid w:val="00C738BB"/>
    <w:rsid w:val="00C7421C"/>
    <w:rsid w:val="00C745E0"/>
    <w:rsid w:val="00C75B31"/>
    <w:rsid w:val="00C767DB"/>
    <w:rsid w:val="00C76F13"/>
    <w:rsid w:val="00C77333"/>
    <w:rsid w:val="00C77558"/>
    <w:rsid w:val="00C80548"/>
    <w:rsid w:val="00C809F4"/>
    <w:rsid w:val="00C80D7B"/>
    <w:rsid w:val="00C81530"/>
    <w:rsid w:val="00C81AED"/>
    <w:rsid w:val="00C8295A"/>
    <w:rsid w:val="00C83EB5"/>
    <w:rsid w:val="00C8431E"/>
    <w:rsid w:val="00C8494F"/>
    <w:rsid w:val="00C8618E"/>
    <w:rsid w:val="00C868B2"/>
    <w:rsid w:val="00C87BF9"/>
    <w:rsid w:val="00C87F5C"/>
    <w:rsid w:val="00C90483"/>
    <w:rsid w:val="00C90C4B"/>
    <w:rsid w:val="00C90E88"/>
    <w:rsid w:val="00C9133F"/>
    <w:rsid w:val="00C91CC0"/>
    <w:rsid w:val="00C920C3"/>
    <w:rsid w:val="00C92380"/>
    <w:rsid w:val="00C92A43"/>
    <w:rsid w:val="00C93189"/>
    <w:rsid w:val="00C93464"/>
    <w:rsid w:val="00C934AC"/>
    <w:rsid w:val="00C94ADF"/>
    <w:rsid w:val="00C95761"/>
    <w:rsid w:val="00C96E88"/>
    <w:rsid w:val="00C97599"/>
    <w:rsid w:val="00C97D8F"/>
    <w:rsid w:val="00CA27FB"/>
    <w:rsid w:val="00CA2D6C"/>
    <w:rsid w:val="00CA3875"/>
    <w:rsid w:val="00CA4088"/>
    <w:rsid w:val="00CA4842"/>
    <w:rsid w:val="00CA642B"/>
    <w:rsid w:val="00CA6A7B"/>
    <w:rsid w:val="00CA7987"/>
    <w:rsid w:val="00CB2418"/>
    <w:rsid w:val="00CB52EF"/>
    <w:rsid w:val="00CB662B"/>
    <w:rsid w:val="00CB6BED"/>
    <w:rsid w:val="00CB7B39"/>
    <w:rsid w:val="00CB7ECF"/>
    <w:rsid w:val="00CC0586"/>
    <w:rsid w:val="00CC0A20"/>
    <w:rsid w:val="00CC0EAD"/>
    <w:rsid w:val="00CC1A6A"/>
    <w:rsid w:val="00CC21AD"/>
    <w:rsid w:val="00CC2FB2"/>
    <w:rsid w:val="00CC3000"/>
    <w:rsid w:val="00CC33B5"/>
    <w:rsid w:val="00CC4149"/>
    <w:rsid w:val="00CC6592"/>
    <w:rsid w:val="00CC7743"/>
    <w:rsid w:val="00CC7B37"/>
    <w:rsid w:val="00CD1699"/>
    <w:rsid w:val="00CD1D71"/>
    <w:rsid w:val="00CD2706"/>
    <w:rsid w:val="00CD2C8F"/>
    <w:rsid w:val="00CD2F87"/>
    <w:rsid w:val="00CD3191"/>
    <w:rsid w:val="00CD4814"/>
    <w:rsid w:val="00CD5F14"/>
    <w:rsid w:val="00CD729B"/>
    <w:rsid w:val="00CD7ABD"/>
    <w:rsid w:val="00CD7B99"/>
    <w:rsid w:val="00CD7DB8"/>
    <w:rsid w:val="00CE1D8C"/>
    <w:rsid w:val="00CE1FA8"/>
    <w:rsid w:val="00CE3131"/>
    <w:rsid w:val="00CE3E2F"/>
    <w:rsid w:val="00CE56F9"/>
    <w:rsid w:val="00CE5D25"/>
    <w:rsid w:val="00CE644E"/>
    <w:rsid w:val="00CF1927"/>
    <w:rsid w:val="00CF3101"/>
    <w:rsid w:val="00CF45C3"/>
    <w:rsid w:val="00CF4FA0"/>
    <w:rsid w:val="00CF4FE4"/>
    <w:rsid w:val="00CF56DA"/>
    <w:rsid w:val="00CF59B2"/>
    <w:rsid w:val="00CF739D"/>
    <w:rsid w:val="00CF74B7"/>
    <w:rsid w:val="00CF7C9C"/>
    <w:rsid w:val="00CF7D26"/>
    <w:rsid w:val="00D000DA"/>
    <w:rsid w:val="00D00148"/>
    <w:rsid w:val="00D010DB"/>
    <w:rsid w:val="00D01FE2"/>
    <w:rsid w:val="00D02C9C"/>
    <w:rsid w:val="00D0310B"/>
    <w:rsid w:val="00D03485"/>
    <w:rsid w:val="00D041CE"/>
    <w:rsid w:val="00D04EF1"/>
    <w:rsid w:val="00D0537F"/>
    <w:rsid w:val="00D05DA1"/>
    <w:rsid w:val="00D064C2"/>
    <w:rsid w:val="00D073BB"/>
    <w:rsid w:val="00D07458"/>
    <w:rsid w:val="00D07880"/>
    <w:rsid w:val="00D10A66"/>
    <w:rsid w:val="00D12183"/>
    <w:rsid w:val="00D130D4"/>
    <w:rsid w:val="00D135DA"/>
    <w:rsid w:val="00D13883"/>
    <w:rsid w:val="00D13BCA"/>
    <w:rsid w:val="00D1416F"/>
    <w:rsid w:val="00D14563"/>
    <w:rsid w:val="00D16F8F"/>
    <w:rsid w:val="00D16FBB"/>
    <w:rsid w:val="00D17CFA"/>
    <w:rsid w:val="00D17E23"/>
    <w:rsid w:val="00D21A61"/>
    <w:rsid w:val="00D21EA8"/>
    <w:rsid w:val="00D22124"/>
    <w:rsid w:val="00D22FC5"/>
    <w:rsid w:val="00D2389E"/>
    <w:rsid w:val="00D239ED"/>
    <w:rsid w:val="00D23AF8"/>
    <w:rsid w:val="00D249A3"/>
    <w:rsid w:val="00D24AE7"/>
    <w:rsid w:val="00D24D17"/>
    <w:rsid w:val="00D24E0E"/>
    <w:rsid w:val="00D25C25"/>
    <w:rsid w:val="00D26B39"/>
    <w:rsid w:val="00D26CEF"/>
    <w:rsid w:val="00D2734B"/>
    <w:rsid w:val="00D27F2D"/>
    <w:rsid w:val="00D30019"/>
    <w:rsid w:val="00D3057B"/>
    <w:rsid w:val="00D309BA"/>
    <w:rsid w:val="00D30A48"/>
    <w:rsid w:val="00D30DFD"/>
    <w:rsid w:val="00D30F72"/>
    <w:rsid w:val="00D32BB9"/>
    <w:rsid w:val="00D33879"/>
    <w:rsid w:val="00D34004"/>
    <w:rsid w:val="00D37F4E"/>
    <w:rsid w:val="00D40864"/>
    <w:rsid w:val="00D40948"/>
    <w:rsid w:val="00D42CE3"/>
    <w:rsid w:val="00D433F1"/>
    <w:rsid w:val="00D44331"/>
    <w:rsid w:val="00D44C8C"/>
    <w:rsid w:val="00D45142"/>
    <w:rsid w:val="00D45277"/>
    <w:rsid w:val="00D4563A"/>
    <w:rsid w:val="00D464B3"/>
    <w:rsid w:val="00D464C2"/>
    <w:rsid w:val="00D478DC"/>
    <w:rsid w:val="00D50F7C"/>
    <w:rsid w:val="00D51792"/>
    <w:rsid w:val="00D519BA"/>
    <w:rsid w:val="00D5205E"/>
    <w:rsid w:val="00D528F8"/>
    <w:rsid w:val="00D52BD5"/>
    <w:rsid w:val="00D52F4B"/>
    <w:rsid w:val="00D546D6"/>
    <w:rsid w:val="00D54A9B"/>
    <w:rsid w:val="00D55260"/>
    <w:rsid w:val="00D55876"/>
    <w:rsid w:val="00D57378"/>
    <w:rsid w:val="00D57E7C"/>
    <w:rsid w:val="00D63399"/>
    <w:rsid w:val="00D637C9"/>
    <w:rsid w:val="00D650FA"/>
    <w:rsid w:val="00D65D87"/>
    <w:rsid w:val="00D66987"/>
    <w:rsid w:val="00D67B67"/>
    <w:rsid w:val="00D67CCF"/>
    <w:rsid w:val="00D71523"/>
    <w:rsid w:val="00D71FA4"/>
    <w:rsid w:val="00D7235B"/>
    <w:rsid w:val="00D72740"/>
    <w:rsid w:val="00D72E26"/>
    <w:rsid w:val="00D74E68"/>
    <w:rsid w:val="00D755F7"/>
    <w:rsid w:val="00D75E09"/>
    <w:rsid w:val="00D75F25"/>
    <w:rsid w:val="00D768E3"/>
    <w:rsid w:val="00D76B2B"/>
    <w:rsid w:val="00D7742A"/>
    <w:rsid w:val="00D77E68"/>
    <w:rsid w:val="00D8038C"/>
    <w:rsid w:val="00D80DCC"/>
    <w:rsid w:val="00D81806"/>
    <w:rsid w:val="00D819FA"/>
    <w:rsid w:val="00D8229D"/>
    <w:rsid w:val="00D83455"/>
    <w:rsid w:val="00D836ED"/>
    <w:rsid w:val="00D841EF"/>
    <w:rsid w:val="00D85365"/>
    <w:rsid w:val="00D85F62"/>
    <w:rsid w:val="00D875A3"/>
    <w:rsid w:val="00D87DB5"/>
    <w:rsid w:val="00D9188E"/>
    <w:rsid w:val="00D918CA"/>
    <w:rsid w:val="00D93A80"/>
    <w:rsid w:val="00D95311"/>
    <w:rsid w:val="00D96E85"/>
    <w:rsid w:val="00D97378"/>
    <w:rsid w:val="00D9793F"/>
    <w:rsid w:val="00DA074E"/>
    <w:rsid w:val="00DA1258"/>
    <w:rsid w:val="00DA1276"/>
    <w:rsid w:val="00DA258B"/>
    <w:rsid w:val="00DA2AE3"/>
    <w:rsid w:val="00DA315C"/>
    <w:rsid w:val="00DA366B"/>
    <w:rsid w:val="00DA44DB"/>
    <w:rsid w:val="00DA47C5"/>
    <w:rsid w:val="00DA4C79"/>
    <w:rsid w:val="00DA5AF8"/>
    <w:rsid w:val="00DA63D5"/>
    <w:rsid w:val="00DA70C4"/>
    <w:rsid w:val="00DB0880"/>
    <w:rsid w:val="00DB1E1E"/>
    <w:rsid w:val="00DB2872"/>
    <w:rsid w:val="00DB2B0F"/>
    <w:rsid w:val="00DB4264"/>
    <w:rsid w:val="00DB554A"/>
    <w:rsid w:val="00DB573E"/>
    <w:rsid w:val="00DB5FB2"/>
    <w:rsid w:val="00DB6D75"/>
    <w:rsid w:val="00DB76B4"/>
    <w:rsid w:val="00DC0B64"/>
    <w:rsid w:val="00DC0C34"/>
    <w:rsid w:val="00DC0F4D"/>
    <w:rsid w:val="00DC0FA4"/>
    <w:rsid w:val="00DC2092"/>
    <w:rsid w:val="00DC2199"/>
    <w:rsid w:val="00DC25F7"/>
    <w:rsid w:val="00DC26C4"/>
    <w:rsid w:val="00DC34C5"/>
    <w:rsid w:val="00DC351D"/>
    <w:rsid w:val="00DC4D65"/>
    <w:rsid w:val="00DC5BAB"/>
    <w:rsid w:val="00DC6592"/>
    <w:rsid w:val="00DC6AD9"/>
    <w:rsid w:val="00DC7FB9"/>
    <w:rsid w:val="00DD197F"/>
    <w:rsid w:val="00DD1C3D"/>
    <w:rsid w:val="00DD1CCD"/>
    <w:rsid w:val="00DD2340"/>
    <w:rsid w:val="00DD3BFA"/>
    <w:rsid w:val="00DD5C51"/>
    <w:rsid w:val="00DD7760"/>
    <w:rsid w:val="00DD7AF6"/>
    <w:rsid w:val="00DE0B88"/>
    <w:rsid w:val="00DE0BD6"/>
    <w:rsid w:val="00DE14BB"/>
    <w:rsid w:val="00DE1611"/>
    <w:rsid w:val="00DE4DF4"/>
    <w:rsid w:val="00DE560C"/>
    <w:rsid w:val="00DE5D9E"/>
    <w:rsid w:val="00DE6899"/>
    <w:rsid w:val="00DF0562"/>
    <w:rsid w:val="00DF09FE"/>
    <w:rsid w:val="00DF2442"/>
    <w:rsid w:val="00DF34BA"/>
    <w:rsid w:val="00DF34CD"/>
    <w:rsid w:val="00DF42B7"/>
    <w:rsid w:val="00DF49A8"/>
    <w:rsid w:val="00DF6460"/>
    <w:rsid w:val="00DF6C88"/>
    <w:rsid w:val="00DF7B8F"/>
    <w:rsid w:val="00DF7D58"/>
    <w:rsid w:val="00E004A2"/>
    <w:rsid w:val="00E008AD"/>
    <w:rsid w:val="00E00B80"/>
    <w:rsid w:val="00E0125D"/>
    <w:rsid w:val="00E01949"/>
    <w:rsid w:val="00E01D58"/>
    <w:rsid w:val="00E0283F"/>
    <w:rsid w:val="00E02EDC"/>
    <w:rsid w:val="00E03D05"/>
    <w:rsid w:val="00E04343"/>
    <w:rsid w:val="00E04BB1"/>
    <w:rsid w:val="00E04D12"/>
    <w:rsid w:val="00E04E7A"/>
    <w:rsid w:val="00E06842"/>
    <w:rsid w:val="00E06A2C"/>
    <w:rsid w:val="00E06B87"/>
    <w:rsid w:val="00E06BF5"/>
    <w:rsid w:val="00E123D2"/>
    <w:rsid w:val="00E128FE"/>
    <w:rsid w:val="00E1296C"/>
    <w:rsid w:val="00E133E3"/>
    <w:rsid w:val="00E136A5"/>
    <w:rsid w:val="00E13A6D"/>
    <w:rsid w:val="00E15C43"/>
    <w:rsid w:val="00E15F5F"/>
    <w:rsid w:val="00E16242"/>
    <w:rsid w:val="00E1671F"/>
    <w:rsid w:val="00E16CE9"/>
    <w:rsid w:val="00E178D6"/>
    <w:rsid w:val="00E178E3"/>
    <w:rsid w:val="00E204E7"/>
    <w:rsid w:val="00E20EBE"/>
    <w:rsid w:val="00E22BB8"/>
    <w:rsid w:val="00E247FE"/>
    <w:rsid w:val="00E24FE8"/>
    <w:rsid w:val="00E26190"/>
    <w:rsid w:val="00E272C2"/>
    <w:rsid w:val="00E27946"/>
    <w:rsid w:val="00E27BBA"/>
    <w:rsid w:val="00E30A18"/>
    <w:rsid w:val="00E31495"/>
    <w:rsid w:val="00E31A89"/>
    <w:rsid w:val="00E3223A"/>
    <w:rsid w:val="00E32CE7"/>
    <w:rsid w:val="00E34602"/>
    <w:rsid w:val="00E347C7"/>
    <w:rsid w:val="00E355EA"/>
    <w:rsid w:val="00E361C4"/>
    <w:rsid w:val="00E364FC"/>
    <w:rsid w:val="00E3655A"/>
    <w:rsid w:val="00E36A02"/>
    <w:rsid w:val="00E3786B"/>
    <w:rsid w:val="00E412E5"/>
    <w:rsid w:val="00E41FDB"/>
    <w:rsid w:val="00E42E5D"/>
    <w:rsid w:val="00E44755"/>
    <w:rsid w:val="00E44E95"/>
    <w:rsid w:val="00E45002"/>
    <w:rsid w:val="00E45BF6"/>
    <w:rsid w:val="00E45F3A"/>
    <w:rsid w:val="00E469E6"/>
    <w:rsid w:val="00E50324"/>
    <w:rsid w:val="00E5086B"/>
    <w:rsid w:val="00E50BFD"/>
    <w:rsid w:val="00E50D22"/>
    <w:rsid w:val="00E50F71"/>
    <w:rsid w:val="00E5103E"/>
    <w:rsid w:val="00E52555"/>
    <w:rsid w:val="00E53871"/>
    <w:rsid w:val="00E55C0F"/>
    <w:rsid w:val="00E5650D"/>
    <w:rsid w:val="00E575FB"/>
    <w:rsid w:val="00E617CA"/>
    <w:rsid w:val="00E621F1"/>
    <w:rsid w:val="00E62E2A"/>
    <w:rsid w:val="00E6348F"/>
    <w:rsid w:val="00E63831"/>
    <w:rsid w:val="00E63A6F"/>
    <w:rsid w:val="00E64E9F"/>
    <w:rsid w:val="00E659C8"/>
    <w:rsid w:val="00E662FE"/>
    <w:rsid w:val="00E6641E"/>
    <w:rsid w:val="00E67482"/>
    <w:rsid w:val="00E6775D"/>
    <w:rsid w:val="00E702C8"/>
    <w:rsid w:val="00E73694"/>
    <w:rsid w:val="00E73B51"/>
    <w:rsid w:val="00E74609"/>
    <w:rsid w:val="00E74750"/>
    <w:rsid w:val="00E74E5F"/>
    <w:rsid w:val="00E74F62"/>
    <w:rsid w:val="00E754F2"/>
    <w:rsid w:val="00E75A3E"/>
    <w:rsid w:val="00E75ABE"/>
    <w:rsid w:val="00E77BEA"/>
    <w:rsid w:val="00E802CE"/>
    <w:rsid w:val="00E81AA9"/>
    <w:rsid w:val="00E82C73"/>
    <w:rsid w:val="00E82E78"/>
    <w:rsid w:val="00E83339"/>
    <w:rsid w:val="00E83515"/>
    <w:rsid w:val="00E8429A"/>
    <w:rsid w:val="00E84B7E"/>
    <w:rsid w:val="00E857B6"/>
    <w:rsid w:val="00E866A6"/>
    <w:rsid w:val="00E86841"/>
    <w:rsid w:val="00E87314"/>
    <w:rsid w:val="00E87354"/>
    <w:rsid w:val="00E87422"/>
    <w:rsid w:val="00E87911"/>
    <w:rsid w:val="00E87EF4"/>
    <w:rsid w:val="00E917D0"/>
    <w:rsid w:val="00E917F7"/>
    <w:rsid w:val="00E924AC"/>
    <w:rsid w:val="00E92F98"/>
    <w:rsid w:val="00E93222"/>
    <w:rsid w:val="00E934A6"/>
    <w:rsid w:val="00E93946"/>
    <w:rsid w:val="00E94FA4"/>
    <w:rsid w:val="00E96E91"/>
    <w:rsid w:val="00E97852"/>
    <w:rsid w:val="00E97D3E"/>
    <w:rsid w:val="00EA0960"/>
    <w:rsid w:val="00EA1DC2"/>
    <w:rsid w:val="00EA20FE"/>
    <w:rsid w:val="00EA23D5"/>
    <w:rsid w:val="00EA248E"/>
    <w:rsid w:val="00EA2896"/>
    <w:rsid w:val="00EA2F59"/>
    <w:rsid w:val="00EA3F7F"/>
    <w:rsid w:val="00EA429B"/>
    <w:rsid w:val="00EA4563"/>
    <w:rsid w:val="00EA497C"/>
    <w:rsid w:val="00EA4B0A"/>
    <w:rsid w:val="00EA58BE"/>
    <w:rsid w:val="00EA6248"/>
    <w:rsid w:val="00EA698B"/>
    <w:rsid w:val="00EA6F76"/>
    <w:rsid w:val="00EA7240"/>
    <w:rsid w:val="00EA7451"/>
    <w:rsid w:val="00EA7780"/>
    <w:rsid w:val="00EB118F"/>
    <w:rsid w:val="00EB133E"/>
    <w:rsid w:val="00EB15F2"/>
    <w:rsid w:val="00EB17C3"/>
    <w:rsid w:val="00EB24F4"/>
    <w:rsid w:val="00EB2897"/>
    <w:rsid w:val="00EB3099"/>
    <w:rsid w:val="00EB37ED"/>
    <w:rsid w:val="00EB6420"/>
    <w:rsid w:val="00EB77A6"/>
    <w:rsid w:val="00EB7AF7"/>
    <w:rsid w:val="00EC020D"/>
    <w:rsid w:val="00EC0262"/>
    <w:rsid w:val="00EC038F"/>
    <w:rsid w:val="00EC0699"/>
    <w:rsid w:val="00EC0A48"/>
    <w:rsid w:val="00EC0E5F"/>
    <w:rsid w:val="00EC1643"/>
    <w:rsid w:val="00EC2F18"/>
    <w:rsid w:val="00EC3DEC"/>
    <w:rsid w:val="00EC4CEC"/>
    <w:rsid w:val="00EC53FF"/>
    <w:rsid w:val="00EC5E78"/>
    <w:rsid w:val="00EC689A"/>
    <w:rsid w:val="00EC7002"/>
    <w:rsid w:val="00EC7581"/>
    <w:rsid w:val="00EC7F56"/>
    <w:rsid w:val="00ED06B2"/>
    <w:rsid w:val="00ED0A2D"/>
    <w:rsid w:val="00ED0B8C"/>
    <w:rsid w:val="00ED0F4E"/>
    <w:rsid w:val="00ED19F3"/>
    <w:rsid w:val="00ED263C"/>
    <w:rsid w:val="00ED2AB2"/>
    <w:rsid w:val="00ED2C42"/>
    <w:rsid w:val="00ED3CD0"/>
    <w:rsid w:val="00ED498D"/>
    <w:rsid w:val="00ED4C9B"/>
    <w:rsid w:val="00ED5469"/>
    <w:rsid w:val="00ED6745"/>
    <w:rsid w:val="00ED6A2B"/>
    <w:rsid w:val="00ED761A"/>
    <w:rsid w:val="00EE10C4"/>
    <w:rsid w:val="00EE12D2"/>
    <w:rsid w:val="00EE16C7"/>
    <w:rsid w:val="00EE16FB"/>
    <w:rsid w:val="00EE1787"/>
    <w:rsid w:val="00EE1977"/>
    <w:rsid w:val="00EE1983"/>
    <w:rsid w:val="00EE20E4"/>
    <w:rsid w:val="00EE212F"/>
    <w:rsid w:val="00EE2312"/>
    <w:rsid w:val="00EE24F5"/>
    <w:rsid w:val="00EE2887"/>
    <w:rsid w:val="00EE2B13"/>
    <w:rsid w:val="00EE3028"/>
    <w:rsid w:val="00EE3F3A"/>
    <w:rsid w:val="00EE4510"/>
    <w:rsid w:val="00EE55AF"/>
    <w:rsid w:val="00EE5E3A"/>
    <w:rsid w:val="00EE675D"/>
    <w:rsid w:val="00EE6818"/>
    <w:rsid w:val="00EE710B"/>
    <w:rsid w:val="00EF0319"/>
    <w:rsid w:val="00EF03B6"/>
    <w:rsid w:val="00EF236F"/>
    <w:rsid w:val="00EF29C3"/>
    <w:rsid w:val="00EF2E5C"/>
    <w:rsid w:val="00EF3150"/>
    <w:rsid w:val="00EF3279"/>
    <w:rsid w:val="00EF4D99"/>
    <w:rsid w:val="00EF5E7F"/>
    <w:rsid w:val="00F0094D"/>
    <w:rsid w:val="00F01694"/>
    <w:rsid w:val="00F01D55"/>
    <w:rsid w:val="00F02068"/>
    <w:rsid w:val="00F03B13"/>
    <w:rsid w:val="00F06A64"/>
    <w:rsid w:val="00F076A5"/>
    <w:rsid w:val="00F07C09"/>
    <w:rsid w:val="00F1261D"/>
    <w:rsid w:val="00F1282E"/>
    <w:rsid w:val="00F12AE6"/>
    <w:rsid w:val="00F13302"/>
    <w:rsid w:val="00F14F40"/>
    <w:rsid w:val="00F15FDA"/>
    <w:rsid w:val="00F167A8"/>
    <w:rsid w:val="00F169BD"/>
    <w:rsid w:val="00F16AAC"/>
    <w:rsid w:val="00F179D1"/>
    <w:rsid w:val="00F17A5F"/>
    <w:rsid w:val="00F20790"/>
    <w:rsid w:val="00F20B90"/>
    <w:rsid w:val="00F2159D"/>
    <w:rsid w:val="00F231DB"/>
    <w:rsid w:val="00F234F8"/>
    <w:rsid w:val="00F24058"/>
    <w:rsid w:val="00F2467E"/>
    <w:rsid w:val="00F249F2"/>
    <w:rsid w:val="00F25695"/>
    <w:rsid w:val="00F25952"/>
    <w:rsid w:val="00F26224"/>
    <w:rsid w:val="00F2637B"/>
    <w:rsid w:val="00F26C59"/>
    <w:rsid w:val="00F27A84"/>
    <w:rsid w:val="00F301AB"/>
    <w:rsid w:val="00F30C5D"/>
    <w:rsid w:val="00F30DBA"/>
    <w:rsid w:val="00F31472"/>
    <w:rsid w:val="00F31854"/>
    <w:rsid w:val="00F33085"/>
    <w:rsid w:val="00F33E11"/>
    <w:rsid w:val="00F34563"/>
    <w:rsid w:val="00F35BC2"/>
    <w:rsid w:val="00F35C23"/>
    <w:rsid w:val="00F37C91"/>
    <w:rsid w:val="00F37F75"/>
    <w:rsid w:val="00F4090B"/>
    <w:rsid w:val="00F411C0"/>
    <w:rsid w:val="00F42A8E"/>
    <w:rsid w:val="00F431B2"/>
    <w:rsid w:val="00F43421"/>
    <w:rsid w:val="00F4367A"/>
    <w:rsid w:val="00F43BDC"/>
    <w:rsid w:val="00F44AD7"/>
    <w:rsid w:val="00F4513C"/>
    <w:rsid w:val="00F4619E"/>
    <w:rsid w:val="00F46D68"/>
    <w:rsid w:val="00F5062C"/>
    <w:rsid w:val="00F51065"/>
    <w:rsid w:val="00F51142"/>
    <w:rsid w:val="00F521B4"/>
    <w:rsid w:val="00F5257F"/>
    <w:rsid w:val="00F5263F"/>
    <w:rsid w:val="00F526F4"/>
    <w:rsid w:val="00F53B94"/>
    <w:rsid w:val="00F5510E"/>
    <w:rsid w:val="00F556F5"/>
    <w:rsid w:val="00F559EB"/>
    <w:rsid w:val="00F575DA"/>
    <w:rsid w:val="00F60954"/>
    <w:rsid w:val="00F61303"/>
    <w:rsid w:val="00F619F5"/>
    <w:rsid w:val="00F61B4C"/>
    <w:rsid w:val="00F620BC"/>
    <w:rsid w:val="00F62A70"/>
    <w:rsid w:val="00F631D5"/>
    <w:rsid w:val="00F64176"/>
    <w:rsid w:val="00F6447A"/>
    <w:rsid w:val="00F650DE"/>
    <w:rsid w:val="00F65A73"/>
    <w:rsid w:val="00F66212"/>
    <w:rsid w:val="00F66994"/>
    <w:rsid w:val="00F66D6F"/>
    <w:rsid w:val="00F67C9A"/>
    <w:rsid w:val="00F71E6E"/>
    <w:rsid w:val="00F72985"/>
    <w:rsid w:val="00F731E8"/>
    <w:rsid w:val="00F7367C"/>
    <w:rsid w:val="00F74360"/>
    <w:rsid w:val="00F74636"/>
    <w:rsid w:val="00F7595D"/>
    <w:rsid w:val="00F75EB4"/>
    <w:rsid w:val="00F769FF"/>
    <w:rsid w:val="00F77EC6"/>
    <w:rsid w:val="00F818C9"/>
    <w:rsid w:val="00F81AEB"/>
    <w:rsid w:val="00F82161"/>
    <w:rsid w:val="00F82266"/>
    <w:rsid w:val="00F82FBD"/>
    <w:rsid w:val="00F83AF3"/>
    <w:rsid w:val="00F83B5B"/>
    <w:rsid w:val="00F83E17"/>
    <w:rsid w:val="00F853D3"/>
    <w:rsid w:val="00F85F2C"/>
    <w:rsid w:val="00F86276"/>
    <w:rsid w:val="00F86B79"/>
    <w:rsid w:val="00F8713A"/>
    <w:rsid w:val="00F9044B"/>
    <w:rsid w:val="00F90590"/>
    <w:rsid w:val="00F91763"/>
    <w:rsid w:val="00F91EF3"/>
    <w:rsid w:val="00F92EB5"/>
    <w:rsid w:val="00F95590"/>
    <w:rsid w:val="00F964B6"/>
    <w:rsid w:val="00F96E00"/>
    <w:rsid w:val="00F96E56"/>
    <w:rsid w:val="00FA0CDE"/>
    <w:rsid w:val="00FA169F"/>
    <w:rsid w:val="00FA16B5"/>
    <w:rsid w:val="00FA1737"/>
    <w:rsid w:val="00FA1BDE"/>
    <w:rsid w:val="00FA30C9"/>
    <w:rsid w:val="00FA32C2"/>
    <w:rsid w:val="00FA443F"/>
    <w:rsid w:val="00FA5467"/>
    <w:rsid w:val="00FA674B"/>
    <w:rsid w:val="00FA6B4E"/>
    <w:rsid w:val="00FB1931"/>
    <w:rsid w:val="00FB2033"/>
    <w:rsid w:val="00FB2816"/>
    <w:rsid w:val="00FB33C8"/>
    <w:rsid w:val="00FB4036"/>
    <w:rsid w:val="00FB4B9B"/>
    <w:rsid w:val="00FB6A2A"/>
    <w:rsid w:val="00FB6EEF"/>
    <w:rsid w:val="00FB6F77"/>
    <w:rsid w:val="00FB7A79"/>
    <w:rsid w:val="00FC05F1"/>
    <w:rsid w:val="00FC0B2D"/>
    <w:rsid w:val="00FC0E1F"/>
    <w:rsid w:val="00FC1074"/>
    <w:rsid w:val="00FC16DA"/>
    <w:rsid w:val="00FC1A15"/>
    <w:rsid w:val="00FC238D"/>
    <w:rsid w:val="00FC31CA"/>
    <w:rsid w:val="00FC3640"/>
    <w:rsid w:val="00FC36AD"/>
    <w:rsid w:val="00FC3DBE"/>
    <w:rsid w:val="00FC48E6"/>
    <w:rsid w:val="00FC4A74"/>
    <w:rsid w:val="00FC566A"/>
    <w:rsid w:val="00FC627E"/>
    <w:rsid w:val="00FC6314"/>
    <w:rsid w:val="00FC6821"/>
    <w:rsid w:val="00FC6CEC"/>
    <w:rsid w:val="00FC72EC"/>
    <w:rsid w:val="00FD0121"/>
    <w:rsid w:val="00FD0551"/>
    <w:rsid w:val="00FD1323"/>
    <w:rsid w:val="00FD3557"/>
    <w:rsid w:val="00FD3668"/>
    <w:rsid w:val="00FD36BB"/>
    <w:rsid w:val="00FD3F56"/>
    <w:rsid w:val="00FE2D0E"/>
    <w:rsid w:val="00FE5040"/>
    <w:rsid w:val="00FE5AEC"/>
    <w:rsid w:val="00FE6D80"/>
    <w:rsid w:val="00FF041E"/>
    <w:rsid w:val="00FF0A52"/>
    <w:rsid w:val="00FF126E"/>
    <w:rsid w:val="00FF148B"/>
    <w:rsid w:val="00FF192C"/>
    <w:rsid w:val="00FF26BD"/>
    <w:rsid w:val="00FF2D2F"/>
    <w:rsid w:val="00FF3FEF"/>
    <w:rsid w:val="00FF47D2"/>
    <w:rsid w:val="00FF554A"/>
    <w:rsid w:val="00FF5996"/>
    <w:rsid w:val="00FF5FDC"/>
    <w:rsid w:val="00FF6512"/>
    <w:rsid w:val="00FF6AE6"/>
    <w:rsid w:val="00FF6F4A"/>
    <w:rsid w:val="00FF7FBB"/>
    <w:rsid w:val="012AF367"/>
    <w:rsid w:val="01311C81"/>
    <w:rsid w:val="0131D436"/>
    <w:rsid w:val="01716DDB"/>
    <w:rsid w:val="01D350F9"/>
    <w:rsid w:val="01F4A499"/>
    <w:rsid w:val="0245C18B"/>
    <w:rsid w:val="0257E76E"/>
    <w:rsid w:val="02643015"/>
    <w:rsid w:val="02688EA7"/>
    <w:rsid w:val="02754981"/>
    <w:rsid w:val="02935921"/>
    <w:rsid w:val="029E8D9F"/>
    <w:rsid w:val="02A547AD"/>
    <w:rsid w:val="02BC6698"/>
    <w:rsid w:val="02C2C7D7"/>
    <w:rsid w:val="031155A2"/>
    <w:rsid w:val="03142F1D"/>
    <w:rsid w:val="039CB07F"/>
    <w:rsid w:val="03B8835F"/>
    <w:rsid w:val="03B9EAC4"/>
    <w:rsid w:val="03F883A7"/>
    <w:rsid w:val="041C9C9C"/>
    <w:rsid w:val="042F7BC9"/>
    <w:rsid w:val="04484621"/>
    <w:rsid w:val="0464A33F"/>
    <w:rsid w:val="0479BF1B"/>
    <w:rsid w:val="048735B1"/>
    <w:rsid w:val="04BBE712"/>
    <w:rsid w:val="04C64197"/>
    <w:rsid w:val="05176C44"/>
    <w:rsid w:val="053A845F"/>
    <w:rsid w:val="056D1187"/>
    <w:rsid w:val="05A7E7B6"/>
    <w:rsid w:val="05AF3848"/>
    <w:rsid w:val="05EDD731"/>
    <w:rsid w:val="05FCD008"/>
    <w:rsid w:val="060B7795"/>
    <w:rsid w:val="064FCC5D"/>
    <w:rsid w:val="066F57D7"/>
    <w:rsid w:val="073248FD"/>
    <w:rsid w:val="073845CE"/>
    <w:rsid w:val="07403050"/>
    <w:rsid w:val="07432059"/>
    <w:rsid w:val="076DC3FB"/>
    <w:rsid w:val="0796D66D"/>
    <w:rsid w:val="07989CD5"/>
    <w:rsid w:val="079C4401"/>
    <w:rsid w:val="079FA52B"/>
    <w:rsid w:val="07B0E002"/>
    <w:rsid w:val="07D4BD48"/>
    <w:rsid w:val="08008027"/>
    <w:rsid w:val="080A54DF"/>
    <w:rsid w:val="081726EC"/>
    <w:rsid w:val="083322F4"/>
    <w:rsid w:val="0860D41F"/>
    <w:rsid w:val="08752B8C"/>
    <w:rsid w:val="08C181F4"/>
    <w:rsid w:val="08D65FF8"/>
    <w:rsid w:val="08F3CD06"/>
    <w:rsid w:val="09105441"/>
    <w:rsid w:val="091072EB"/>
    <w:rsid w:val="0937AC73"/>
    <w:rsid w:val="0956761C"/>
    <w:rsid w:val="096DC501"/>
    <w:rsid w:val="09B52C66"/>
    <w:rsid w:val="09C50102"/>
    <w:rsid w:val="09DCAD75"/>
    <w:rsid w:val="09EDAB77"/>
    <w:rsid w:val="0A071ED5"/>
    <w:rsid w:val="0A0CD03B"/>
    <w:rsid w:val="0A1584DC"/>
    <w:rsid w:val="0A5B08E0"/>
    <w:rsid w:val="0A669ACD"/>
    <w:rsid w:val="0A9FF470"/>
    <w:rsid w:val="0AA1A065"/>
    <w:rsid w:val="0AAEAD57"/>
    <w:rsid w:val="0AC4AF0C"/>
    <w:rsid w:val="0ACE0EAD"/>
    <w:rsid w:val="0B566778"/>
    <w:rsid w:val="0B63803C"/>
    <w:rsid w:val="0B885180"/>
    <w:rsid w:val="0BCB39CD"/>
    <w:rsid w:val="0BDBBA2C"/>
    <w:rsid w:val="0BDEB766"/>
    <w:rsid w:val="0BEF8E35"/>
    <w:rsid w:val="0C53D490"/>
    <w:rsid w:val="0C64A2BA"/>
    <w:rsid w:val="0C69C8FD"/>
    <w:rsid w:val="0C7172F4"/>
    <w:rsid w:val="0CAEEAEB"/>
    <w:rsid w:val="0CBFDC6F"/>
    <w:rsid w:val="0CE85C98"/>
    <w:rsid w:val="0D1BE496"/>
    <w:rsid w:val="0D2421E1"/>
    <w:rsid w:val="0D2A7291"/>
    <w:rsid w:val="0D2FE33D"/>
    <w:rsid w:val="0D391632"/>
    <w:rsid w:val="0D55E6C8"/>
    <w:rsid w:val="0D92648E"/>
    <w:rsid w:val="0D9D413E"/>
    <w:rsid w:val="0DBF054C"/>
    <w:rsid w:val="0DC1DE33"/>
    <w:rsid w:val="0DDFF1E8"/>
    <w:rsid w:val="0E2EF8A1"/>
    <w:rsid w:val="0E31838A"/>
    <w:rsid w:val="0E61415F"/>
    <w:rsid w:val="0E81C025"/>
    <w:rsid w:val="0ECB4B60"/>
    <w:rsid w:val="0EDE4C3C"/>
    <w:rsid w:val="0EFA3F8B"/>
    <w:rsid w:val="0F28FF58"/>
    <w:rsid w:val="0F7DD3EF"/>
    <w:rsid w:val="0F8EA06D"/>
    <w:rsid w:val="0F9103A5"/>
    <w:rsid w:val="0FA00C34"/>
    <w:rsid w:val="0FD3AD96"/>
    <w:rsid w:val="10150BB3"/>
    <w:rsid w:val="103B5778"/>
    <w:rsid w:val="10468691"/>
    <w:rsid w:val="107195E7"/>
    <w:rsid w:val="10D9901E"/>
    <w:rsid w:val="10E0726E"/>
    <w:rsid w:val="110B826F"/>
    <w:rsid w:val="113808CD"/>
    <w:rsid w:val="11B60D8E"/>
    <w:rsid w:val="11E285F2"/>
    <w:rsid w:val="11E4B4D2"/>
    <w:rsid w:val="120F512E"/>
    <w:rsid w:val="120FE730"/>
    <w:rsid w:val="1226E9A2"/>
    <w:rsid w:val="126307C4"/>
    <w:rsid w:val="128FB54E"/>
    <w:rsid w:val="12A5CD71"/>
    <w:rsid w:val="12B2FBD1"/>
    <w:rsid w:val="12DF1743"/>
    <w:rsid w:val="131E4557"/>
    <w:rsid w:val="1349D8F6"/>
    <w:rsid w:val="13684529"/>
    <w:rsid w:val="1376249D"/>
    <w:rsid w:val="1394A2CE"/>
    <w:rsid w:val="13C3E53D"/>
    <w:rsid w:val="13DF0481"/>
    <w:rsid w:val="13FDEDED"/>
    <w:rsid w:val="1466279B"/>
    <w:rsid w:val="146D20A2"/>
    <w:rsid w:val="14E02A23"/>
    <w:rsid w:val="14E07A20"/>
    <w:rsid w:val="1507CFE5"/>
    <w:rsid w:val="152A8C0E"/>
    <w:rsid w:val="152F40A8"/>
    <w:rsid w:val="155F0862"/>
    <w:rsid w:val="1575CABB"/>
    <w:rsid w:val="158E3011"/>
    <w:rsid w:val="158F297E"/>
    <w:rsid w:val="158FF75B"/>
    <w:rsid w:val="15A8D328"/>
    <w:rsid w:val="15A96020"/>
    <w:rsid w:val="15D710AD"/>
    <w:rsid w:val="1601F7FC"/>
    <w:rsid w:val="164A65E4"/>
    <w:rsid w:val="16554B5E"/>
    <w:rsid w:val="1658D228"/>
    <w:rsid w:val="16ACAC9A"/>
    <w:rsid w:val="16D6F9A3"/>
    <w:rsid w:val="16DC1CA6"/>
    <w:rsid w:val="16EA4466"/>
    <w:rsid w:val="1706B6C5"/>
    <w:rsid w:val="175B1920"/>
    <w:rsid w:val="175E2E43"/>
    <w:rsid w:val="176D9F2A"/>
    <w:rsid w:val="17795AC5"/>
    <w:rsid w:val="178A9E57"/>
    <w:rsid w:val="17B1D2EF"/>
    <w:rsid w:val="17C8140C"/>
    <w:rsid w:val="18057282"/>
    <w:rsid w:val="180B646B"/>
    <w:rsid w:val="18387A8D"/>
    <w:rsid w:val="18393CB0"/>
    <w:rsid w:val="1891DB1B"/>
    <w:rsid w:val="18E357CD"/>
    <w:rsid w:val="19165B35"/>
    <w:rsid w:val="192B48FB"/>
    <w:rsid w:val="19539650"/>
    <w:rsid w:val="19957C3C"/>
    <w:rsid w:val="1A596814"/>
    <w:rsid w:val="1A5BA51D"/>
    <w:rsid w:val="1A626E4B"/>
    <w:rsid w:val="1A70FDC1"/>
    <w:rsid w:val="1A7DAFA9"/>
    <w:rsid w:val="1A843B6E"/>
    <w:rsid w:val="1AADC40E"/>
    <w:rsid w:val="1AB5B4FD"/>
    <w:rsid w:val="1B15DE95"/>
    <w:rsid w:val="1B17616D"/>
    <w:rsid w:val="1B2326EC"/>
    <w:rsid w:val="1B57390E"/>
    <w:rsid w:val="1B5CC52C"/>
    <w:rsid w:val="1BB89414"/>
    <w:rsid w:val="1BD8B775"/>
    <w:rsid w:val="1C0E2AC7"/>
    <w:rsid w:val="1C20E36B"/>
    <w:rsid w:val="1C55664F"/>
    <w:rsid w:val="1C6566DF"/>
    <w:rsid w:val="1C958A88"/>
    <w:rsid w:val="1CD26EE6"/>
    <w:rsid w:val="1D6AF20F"/>
    <w:rsid w:val="1DC2FDFE"/>
    <w:rsid w:val="1DEF1839"/>
    <w:rsid w:val="1DF75277"/>
    <w:rsid w:val="1E13C2D0"/>
    <w:rsid w:val="1E1B78E8"/>
    <w:rsid w:val="1E500DE1"/>
    <w:rsid w:val="1E6F0F65"/>
    <w:rsid w:val="1E705F18"/>
    <w:rsid w:val="1E942BEF"/>
    <w:rsid w:val="1EA240E9"/>
    <w:rsid w:val="1EDE0392"/>
    <w:rsid w:val="1EFC43E5"/>
    <w:rsid w:val="1F03DA68"/>
    <w:rsid w:val="1F0B761E"/>
    <w:rsid w:val="1F9A889B"/>
    <w:rsid w:val="1FA2288E"/>
    <w:rsid w:val="1FBF6756"/>
    <w:rsid w:val="1FEE0FCF"/>
    <w:rsid w:val="204F1184"/>
    <w:rsid w:val="20613798"/>
    <w:rsid w:val="207970DF"/>
    <w:rsid w:val="20B32005"/>
    <w:rsid w:val="20E911C4"/>
    <w:rsid w:val="20EF9985"/>
    <w:rsid w:val="21225310"/>
    <w:rsid w:val="213C58B5"/>
    <w:rsid w:val="214C1C59"/>
    <w:rsid w:val="219F917C"/>
    <w:rsid w:val="21A0AAC7"/>
    <w:rsid w:val="21D0D373"/>
    <w:rsid w:val="220BF2E7"/>
    <w:rsid w:val="22643F9E"/>
    <w:rsid w:val="22757E6C"/>
    <w:rsid w:val="22B69EFE"/>
    <w:rsid w:val="22DED6AE"/>
    <w:rsid w:val="2307C81D"/>
    <w:rsid w:val="230EF9FA"/>
    <w:rsid w:val="2380C474"/>
    <w:rsid w:val="23A64B43"/>
    <w:rsid w:val="23ABCB4C"/>
    <w:rsid w:val="23EDC99B"/>
    <w:rsid w:val="23F42D43"/>
    <w:rsid w:val="24130B14"/>
    <w:rsid w:val="2437D712"/>
    <w:rsid w:val="2441D547"/>
    <w:rsid w:val="2455C40B"/>
    <w:rsid w:val="2473C5C3"/>
    <w:rsid w:val="24A470D8"/>
    <w:rsid w:val="24B79EDE"/>
    <w:rsid w:val="24FE3B73"/>
    <w:rsid w:val="25091CDB"/>
    <w:rsid w:val="258765F1"/>
    <w:rsid w:val="260478FA"/>
    <w:rsid w:val="261827AD"/>
    <w:rsid w:val="2642374D"/>
    <w:rsid w:val="2690A2D8"/>
    <w:rsid w:val="26A66435"/>
    <w:rsid w:val="26C0F37D"/>
    <w:rsid w:val="2712F137"/>
    <w:rsid w:val="2721CDC3"/>
    <w:rsid w:val="275F321B"/>
    <w:rsid w:val="2768EF46"/>
    <w:rsid w:val="2772335A"/>
    <w:rsid w:val="2792D31E"/>
    <w:rsid w:val="27D3E9CC"/>
    <w:rsid w:val="27E638FE"/>
    <w:rsid w:val="28452E3E"/>
    <w:rsid w:val="285268B4"/>
    <w:rsid w:val="2867B25E"/>
    <w:rsid w:val="287DEEBF"/>
    <w:rsid w:val="287E1080"/>
    <w:rsid w:val="2895079D"/>
    <w:rsid w:val="28B06C36"/>
    <w:rsid w:val="28B26EB8"/>
    <w:rsid w:val="2924B942"/>
    <w:rsid w:val="295670DA"/>
    <w:rsid w:val="2957B8CD"/>
    <w:rsid w:val="29697717"/>
    <w:rsid w:val="296E2B8C"/>
    <w:rsid w:val="297F56A2"/>
    <w:rsid w:val="2993DFE5"/>
    <w:rsid w:val="299711AB"/>
    <w:rsid w:val="29974265"/>
    <w:rsid w:val="29B20138"/>
    <w:rsid w:val="29F6B27B"/>
    <w:rsid w:val="2A218829"/>
    <w:rsid w:val="2A333004"/>
    <w:rsid w:val="2A3D379A"/>
    <w:rsid w:val="2A946A7E"/>
    <w:rsid w:val="2A9AF144"/>
    <w:rsid w:val="2AB3CD31"/>
    <w:rsid w:val="2ABC7DF0"/>
    <w:rsid w:val="2AD06B43"/>
    <w:rsid w:val="2AD113FA"/>
    <w:rsid w:val="2AFA08CA"/>
    <w:rsid w:val="2B27431D"/>
    <w:rsid w:val="2B2D03EA"/>
    <w:rsid w:val="2B4E5CB6"/>
    <w:rsid w:val="2B6D7FF3"/>
    <w:rsid w:val="2B72A781"/>
    <w:rsid w:val="2B982495"/>
    <w:rsid w:val="2BBE093A"/>
    <w:rsid w:val="2BC9CB40"/>
    <w:rsid w:val="2BD54955"/>
    <w:rsid w:val="2BF99E5E"/>
    <w:rsid w:val="2C4D86F6"/>
    <w:rsid w:val="2C658A75"/>
    <w:rsid w:val="2C65D977"/>
    <w:rsid w:val="2C6CEAF7"/>
    <w:rsid w:val="2C947C0C"/>
    <w:rsid w:val="2CAB57AF"/>
    <w:rsid w:val="2CC5813E"/>
    <w:rsid w:val="2D37AE4A"/>
    <w:rsid w:val="2D6A394E"/>
    <w:rsid w:val="2DEB8117"/>
    <w:rsid w:val="2DF202B6"/>
    <w:rsid w:val="2E0E5037"/>
    <w:rsid w:val="2E3815E3"/>
    <w:rsid w:val="2E4F6871"/>
    <w:rsid w:val="2E629446"/>
    <w:rsid w:val="2E707196"/>
    <w:rsid w:val="2E9CFAC6"/>
    <w:rsid w:val="2EB46BF8"/>
    <w:rsid w:val="2EBBA0F6"/>
    <w:rsid w:val="2ECB51FC"/>
    <w:rsid w:val="2ED73095"/>
    <w:rsid w:val="2EF832E9"/>
    <w:rsid w:val="2F1DB65F"/>
    <w:rsid w:val="2F5B9050"/>
    <w:rsid w:val="2F875178"/>
    <w:rsid w:val="2FF61F43"/>
    <w:rsid w:val="2FFDE557"/>
    <w:rsid w:val="30024C88"/>
    <w:rsid w:val="30062AA2"/>
    <w:rsid w:val="30112E97"/>
    <w:rsid w:val="301AA39B"/>
    <w:rsid w:val="30278F55"/>
    <w:rsid w:val="305841EC"/>
    <w:rsid w:val="305D02D5"/>
    <w:rsid w:val="3077CCCE"/>
    <w:rsid w:val="30E47A95"/>
    <w:rsid w:val="30FD3D50"/>
    <w:rsid w:val="313220EB"/>
    <w:rsid w:val="313C89EA"/>
    <w:rsid w:val="31516B45"/>
    <w:rsid w:val="31C1AB43"/>
    <w:rsid w:val="31F8169B"/>
    <w:rsid w:val="320958CA"/>
    <w:rsid w:val="325B2B76"/>
    <w:rsid w:val="327B140D"/>
    <w:rsid w:val="328B22C5"/>
    <w:rsid w:val="32A077A0"/>
    <w:rsid w:val="32BF4205"/>
    <w:rsid w:val="32D7DE08"/>
    <w:rsid w:val="32DFFFED"/>
    <w:rsid w:val="335408EF"/>
    <w:rsid w:val="335F732A"/>
    <w:rsid w:val="336ABF9D"/>
    <w:rsid w:val="33B604E8"/>
    <w:rsid w:val="33DAC84A"/>
    <w:rsid w:val="33E386E5"/>
    <w:rsid w:val="34541875"/>
    <w:rsid w:val="349455E3"/>
    <w:rsid w:val="34CA1A2B"/>
    <w:rsid w:val="34F8FDA2"/>
    <w:rsid w:val="353C9181"/>
    <w:rsid w:val="3581796D"/>
    <w:rsid w:val="35912EFC"/>
    <w:rsid w:val="35AD5DD0"/>
    <w:rsid w:val="35AFF1D1"/>
    <w:rsid w:val="35DC100B"/>
    <w:rsid w:val="3659CB8D"/>
    <w:rsid w:val="368FB2B4"/>
    <w:rsid w:val="36B6B056"/>
    <w:rsid w:val="36D8FA10"/>
    <w:rsid w:val="36E64152"/>
    <w:rsid w:val="37114E65"/>
    <w:rsid w:val="3711E5DD"/>
    <w:rsid w:val="37200B73"/>
    <w:rsid w:val="3762E8CB"/>
    <w:rsid w:val="376A9AAF"/>
    <w:rsid w:val="3772B73C"/>
    <w:rsid w:val="37E74044"/>
    <w:rsid w:val="38005446"/>
    <w:rsid w:val="3856F7A1"/>
    <w:rsid w:val="3867E2AF"/>
    <w:rsid w:val="38799305"/>
    <w:rsid w:val="387DE068"/>
    <w:rsid w:val="388E7DF4"/>
    <w:rsid w:val="38901F93"/>
    <w:rsid w:val="3897AFA3"/>
    <w:rsid w:val="38A9669B"/>
    <w:rsid w:val="38CADCAD"/>
    <w:rsid w:val="38CB1014"/>
    <w:rsid w:val="393E2AC9"/>
    <w:rsid w:val="394D2CAB"/>
    <w:rsid w:val="3976FFD2"/>
    <w:rsid w:val="39AF2BC7"/>
    <w:rsid w:val="39B75E4F"/>
    <w:rsid w:val="39C04FD1"/>
    <w:rsid w:val="39C7D3F1"/>
    <w:rsid w:val="39DEC67E"/>
    <w:rsid w:val="3A0BDDC4"/>
    <w:rsid w:val="3A2F0DD6"/>
    <w:rsid w:val="3A322B25"/>
    <w:rsid w:val="3A4A7D4F"/>
    <w:rsid w:val="3A752032"/>
    <w:rsid w:val="3A8EAB00"/>
    <w:rsid w:val="3AD876B0"/>
    <w:rsid w:val="3AE22619"/>
    <w:rsid w:val="3AF4A3C1"/>
    <w:rsid w:val="3AF94AA5"/>
    <w:rsid w:val="3AFBB6B4"/>
    <w:rsid w:val="3B4E1AAA"/>
    <w:rsid w:val="3B5B15FF"/>
    <w:rsid w:val="3B67C89C"/>
    <w:rsid w:val="3B7EC094"/>
    <w:rsid w:val="3B987A01"/>
    <w:rsid w:val="3B9A08AE"/>
    <w:rsid w:val="3BA3CB23"/>
    <w:rsid w:val="3BDFAFE0"/>
    <w:rsid w:val="3BE4B070"/>
    <w:rsid w:val="3BFED550"/>
    <w:rsid w:val="3BFFEFE7"/>
    <w:rsid w:val="3C0C96AB"/>
    <w:rsid w:val="3C211185"/>
    <w:rsid w:val="3C2D728A"/>
    <w:rsid w:val="3C32364F"/>
    <w:rsid w:val="3C399088"/>
    <w:rsid w:val="3CA94D3A"/>
    <w:rsid w:val="3CA9CE44"/>
    <w:rsid w:val="3CD26469"/>
    <w:rsid w:val="3CF35A1A"/>
    <w:rsid w:val="3D4D1EA1"/>
    <w:rsid w:val="3DA74358"/>
    <w:rsid w:val="3DC4D96F"/>
    <w:rsid w:val="3DD882FF"/>
    <w:rsid w:val="3DF8E6FF"/>
    <w:rsid w:val="3E6C80AD"/>
    <w:rsid w:val="3E7987D0"/>
    <w:rsid w:val="3E8BCCBB"/>
    <w:rsid w:val="3E8CE432"/>
    <w:rsid w:val="3E8EDB79"/>
    <w:rsid w:val="3EB6B91A"/>
    <w:rsid w:val="3ED17A40"/>
    <w:rsid w:val="3F530CA2"/>
    <w:rsid w:val="3F5E6462"/>
    <w:rsid w:val="3F63B001"/>
    <w:rsid w:val="3F709D66"/>
    <w:rsid w:val="3F8F0E05"/>
    <w:rsid w:val="3FBE0E6E"/>
    <w:rsid w:val="3FDEF2BE"/>
    <w:rsid w:val="3FFEDD5B"/>
    <w:rsid w:val="4044DF08"/>
    <w:rsid w:val="4097F71F"/>
    <w:rsid w:val="40AB1504"/>
    <w:rsid w:val="40F421A1"/>
    <w:rsid w:val="41107908"/>
    <w:rsid w:val="412ADE66"/>
    <w:rsid w:val="4131AC7A"/>
    <w:rsid w:val="4150FBB8"/>
    <w:rsid w:val="415AC081"/>
    <w:rsid w:val="415F66AC"/>
    <w:rsid w:val="41779BF1"/>
    <w:rsid w:val="4191EB2B"/>
    <w:rsid w:val="41AFF0E9"/>
    <w:rsid w:val="41C36D7D"/>
    <w:rsid w:val="41E79C41"/>
    <w:rsid w:val="41F18C50"/>
    <w:rsid w:val="422485DC"/>
    <w:rsid w:val="42272865"/>
    <w:rsid w:val="423A0443"/>
    <w:rsid w:val="42580AEB"/>
    <w:rsid w:val="425BBF92"/>
    <w:rsid w:val="42CA55AD"/>
    <w:rsid w:val="42E3347F"/>
    <w:rsid w:val="4305D981"/>
    <w:rsid w:val="430983FF"/>
    <w:rsid w:val="4311CD05"/>
    <w:rsid w:val="437E1648"/>
    <w:rsid w:val="43ACB1F9"/>
    <w:rsid w:val="43E11AF2"/>
    <w:rsid w:val="43F6967E"/>
    <w:rsid w:val="4400627B"/>
    <w:rsid w:val="441FDB3D"/>
    <w:rsid w:val="44420309"/>
    <w:rsid w:val="4489709D"/>
    <w:rsid w:val="45033274"/>
    <w:rsid w:val="45415F1D"/>
    <w:rsid w:val="457B57FE"/>
    <w:rsid w:val="45DC5DB7"/>
    <w:rsid w:val="45E9575B"/>
    <w:rsid w:val="460C9084"/>
    <w:rsid w:val="4683FBDC"/>
    <w:rsid w:val="46AFE9FB"/>
    <w:rsid w:val="46C63700"/>
    <w:rsid w:val="46D692EF"/>
    <w:rsid w:val="4720A395"/>
    <w:rsid w:val="477FE9C2"/>
    <w:rsid w:val="4780B3A9"/>
    <w:rsid w:val="47B1F1C8"/>
    <w:rsid w:val="47B95738"/>
    <w:rsid w:val="47C460C0"/>
    <w:rsid w:val="47DDF3D0"/>
    <w:rsid w:val="4809694E"/>
    <w:rsid w:val="48431864"/>
    <w:rsid w:val="4856C0CD"/>
    <w:rsid w:val="49939882"/>
    <w:rsid w:val="499DAF56"/>
    <w:rsid w:val="49A00418"/>
    <w:rsid w:val="49AF8CBB"/>
    <w:rsid w:val="49E37208"/>
    <w:rsid w:val="49E513BC"/>
    <w:rsid w:val="49EC53B1"/>
    <w:rsid w:val="49ECF01A"/>
    <w:rsid w:val="4A1578B8"/>
    <w:rsid w:val="4A6C959D"/>
    <w:rsid w:val="4A7254DD"/>
    <w:rsid w:val="4A7BD1BB"/>
    <w:rsid w:val="4ADE4CA5"/>
    <w:rsid w:val="4AE7D573"/>
    <w:rsid w:val="4B593C91"/>
    <w:rsid w:val="4BB8DCA3"/>
    <w:rsid w:val="4BD794A6"/>
    <w:rsid w:val="4BF8D6A5"/>
    <w:rsid w:val="4C235795"/>
    <w:rsid w:val="4C542F69"/>
    <w:rsid w:val="4C77E75F"/>
    <w:rsid w:val="4C81A4EA"/>
    <w:rsid w:val="4CDC5E50"/>
    <w:rsid w:val="4CFE329E"/>
    <w:rsid w:val="4D37D77E"/>
    <w:rsid w:val="4D4B3C87"/>
    <w:rsid w:val="4DEA2A9A"/>
    <w:rsid w:val="4E2EE2F3"/>
    <w:rsid w:val="4E5D3028"/>
    <w:rsid w:val="4E860124"/>
    <w:rsid w:val="4EDC7EB8"/>
    <w:rsid w:val="4F1DC7D6"/>
    <w:rsid w:val="4F2B9D6D"/>
    <w:rsid w:val="4F5FAEF8"/>
    <w:rsid w:val="4F7E253A"/>
    <w:rsid w:val="4F801398"/>
    <w:rsid w:val="4FBB902F"/>
    <w:rsid w:val="4FECF72C"/>
    <w:rsid w:val="4FEDB567"/>
    <w:rsid w:val="4FF2508E"/>
    <w:rsid w:val="500885B7"/>
    <w:rsid w:val="502E853B"/>
    <w:rsid w:val="504C5139"/>
    <w:rsid w:val="50637DD2"/>
    <w:rsid w:val="507CCEB3"/>
    <w:rsid w:val="5081FC5A"/>
    <w:rsid w:val="5096E09F"/>
    <w:rsid w:val="5098F4C2"/>
    <w:rsid w:val="50A89229"/>
    <w:rsid w:val="50C00363"/>
    <w:rsid w:val="50D22C97"/>
    <w:rsid w:val="50DF09E2"/>
    <w:rsid w:val="513D5B04"/>
    <w:rsid w:val="51FB0F92"/>
    <w:rsid w:val="52101258"/>
    <w:rsid w:val="5217417C"/>
    <w:rsid w:val="521F69A0"/>
    <w:rsid w:val="5248CF3A"/>
    <w:rsid w:val="525D4347"/>
    <w:rsid w:val="5286DA50"/>
    <w:rsid w:val="52C0C05D"/>
    <w:rsid w:val="52CBEDA5"/>
    <w:rsid w:val="53495687"/>
    <w:rsid w:val="535C394B"/>
    <w:rsid w:val="53D9D311"/>
    <w:rsid w:val="53DA530F"/>
    <w:rsid w:val="53E63C72"/>
    <w:rsid w:val="5419FD2D"/>
    <w:rsid w:val="543FD355"/>
    <w:rsid w:val="544532E8"/>
    <w:rsid w:val="5448301A"/>
    <w:rsid w:val="5463F645"/>
    <w:rsid w:val="54A476F0"/>
    <w:rsid w:val="54D6F70A"/>
    <w:rsid w:val="54E46C72"/>
    <w:rsid w:val="54FDF81D"/>
    <w:rsid w:val="550EBC3F"/>
    <w:rsid w:val="556B1A7F"/>
    <w:rsid w:val="55C5067B"/>
    <w:rsid w:val="55D96E0F"/>
    <w:rsid w:val="55FC4CA3"/>
    <w:rsid w:val="55FDA625"/>
    <w:rsid w:val="55FF0BCD"/>
    <w:rsid w:val="560506ED"/>
    <w:rsid w:val="5622AA19"/>
    <w:rsid w:val="5627F4D0"/>
    <w:rsid w:val="565DA3E9"/>
    <w:rsid w:val="56C2A493"/>
    <w:rsid w:val="56CB81E7"/>
    <w:rsid w:val="56DE21E1"/>
    <w:rsid w:val="56E1073F"/>
    <w:rsid w:val="5721313E"/>
    <w:rsid w:val="572CBBAC"/>
    <w:rsid w:val="57377E02"/>
    <w:rsid w:val="574BEB80"/>
    <w:rsid w:val="57591C65"/>
    <w:rsid w:val="5771F004"/>
    <w:rsid w:val="57765FC6"/>
    <w:rsid w:val="57B20F88"/>
    <w:rsid w:val="580047E1"/>
    <w:rsid w:val="5842A640"/>
    <w:rsid w:val="5843C69F"/>
    <w:rsid w:val="585B87DB"/>
    <w:rsid w:val="5876000F"/>
    <w:rsid w:val="5898600E"/>
    <w:rsid w:val="58A4D271"/>
    <w:rsid w:val="58B0B363"/>
    <w:rsid w:val="58D7DCD5"/>
    <w:rsid w:val="58E1F56A"/>
    <w:rsid w:val="591E5A41"/>
    <w:rsid w:val="59D0331A"/>
    <w:rsid w:val="59DB7E66"/>
    <w:rsid w:val="59E2E180"/>
    <w:rsid w:val="5A04B2B8"/>
    <w:rsid w:val="5A453FC4"/>
    <w:rsid w:val="5A50EBD0"/>
    <w:rsid w:val="5A9F1AF1"/>
    <w:rsid w:val="5ABD6D49"/>
    <w:rsid w:val="5AC17CA2"/>
    <w:rsid w:val="5ACF7F3D"/>
    <w:rsid w:val="5AE47AB3"/>
    <w:rsid w:val="5B33BB12"/>
    <w:rsid w:val="5B844D9D"/>
    <w:rsid w:val="5B860417"/>
    <w:rsid w:val="5BA223AE"/>
    <w:rsid w:val="5BA64B9D"/>
    <w:rsid w:val="5C1BF6E3"/>
    <w:rsid w:val="5C4BAE31"/>
    <w:rsid w:val="5D1019FB"/>
    <w:rsid w:val="5D1FF6FA"/>
    <w:rsid w:val="5D97CB65"/>
    <w:rsid w:val="5DA15E22"/>
    <w:rsid w:val="5DD35AE5"/>
    <w:rsid w:val="5E1316F2"/>
    <w:rsid w:val="5E2AD7F4"/>
    <w:rsid w:val="5E73005E"/>
    <w:rsid w:val="5E811C3D"/>
    <w:rsid w:val="5E89B794"/>
    <w:rsid w:val="5E8EC821"/>
    <w:rsid w:val="5EAFF3E0"/>
    <w:rsid w:val="5EBD9286"/>
    <w:rsid w:val="5ED437C4"/>
    <w:rsid w:val="5EE68B63"/>
    <w:rsid w:val="5EFA1FCE"/>
    <w:rsid w:val="5EFFA26A"/>
    <w:rsid w:val="5F013224"/>
    <w:rsid w:val="5F468135"/>
    <w:rsid w:val="5F7A6AE4"/>
    <w:rsid w:val="5F97C0FF"/>
    <w:rsid w:val="5FB2CA36"/>
    <w:rsid w:val="5FC1F69E"/>
    <w:rsid w:val="5FFBA1C7"/>
    <w:rsid w:val="6021F803"/>
    <w:rsid w:val="6042A9D9"/>
    <w:rsid w:val="605AB915"/>
    <w:rsid w:val="605F5EBA"/>
    <w:rsid w:val="60A89A9B"/>
    <w:rsid w:val="60C1243F"/>
    <w:rsid w:val="610C14CF"/>
    <w:rsid w:val="612398F8"/>
    <w:rsid w:val="61347238"/>
    <w:rsid w:val="614A1505"/>
    <w:rsid w:val="61547472"/>
    <w:rsid w:val="61D5899B"/>
    <w:rsid w:val="61DFA253"/>
    <w:rsid w:val="620F197E"/>
    <w:rsid w:val="622953F8"/>
    <w:rsid w:val="6248B763"/>
    <w:rsid w:val="624C79CF"/>
    <w:rsid w:val="6283E34F"/>
    <w:rsid w:val="6285F4EC"/>
    <w:rsid w:val="628B024A"/>
    <w:rsid w:val="62E23297"/>
    <w:rsid w:val="634E484C"/>
    <w:rsid w:val="637345D9"/>
    <w:rsid w:val="638D7F1B"/>
    <w:rsid w:val="63C27BA4"/>
    <w:rsid w:val="640916F8"/>
    <w:rsid w:val="64285112"/>
    <w:rsid w:val="643053C8"/>
    <w:rsid w:val="64439976"/>
    <w:rsid w:val="645DADE5"/>
    <w:rsid w:val="64888864"/>
    <w:rsid w:val="649496FE"/>
    <w:rsid w:val="650E526F"/>
    <w:rsid w:val="6518C920"/>
    <w:rsid w:val="65533831"/>
    <w:rsid w:val="6569DE54"/>
    <w:rsid w:val="657FB4C6"/>
    <w:rsid w:val="6596CFCF"/>
    <w:rsid w:val="65A3B933"/>
    <w:rsid w:val="65D3313B"/>
    <w:rsid w:val="65E65181"/>
    <w:rsid w:val="65F5F20C"/>
    <w:rsid w:val="6601F069"/>
    <w:rsid w:val="66206EC4"/>
    <w:rsid w:val="663451F7"/>
    <w:rsid w:val="663782C7"/>
    <w:rsid w:val="66412816"/>
    <w:rsid w:val="66621DC9"/>
    <w:rsid w:val="668A976D"/>
    <w:rsid w:val="668B6700"/>
    <w:rsid w:val="6695D88B"/>
    <w:rsid w:val="66992C63"/>
    <w:rsid w:val="66A63BFF"/>
    <w:rsid w:val="66B17E04"/>
    <w:rsid w:val="66BC2984"/>
    <w:rsid w:val="6704BC4D"/>
    <w:rsid w:val="6721C8D9"/>
    <w:rsid w:val="673619A1"/>
    <w:rsid w:val="673A8945"/>
    <w:rsid w:val="68356CA4"/>
    <w:rsid w:val="6835A54F"/>
    <w:rsid w:val="683C9AD3"/>
    <w:rsid w:val="68568BF8"/>
    <w:rsid w:val="686AB600"/>
    <w:rsid w:val="688F2859"/>
    <w:rsid w:val="6892D6AB"/>
    <w:rsid w:val="68CC66D3"/>
    <w:rsid w:val="68DB188B"/>
    <w:rsid w:val="68DB601D"/>
    <w:rsid w:val="69206D8A"/>
    <w:rsid w:val="6923EF7C"/>
    <w:rsid w:val="6946BCFF"/>
    <w:rsid w:val="69902F21"/>
    <w:rsid w:val="69C7190A"/>
    <w:rsid w:val="69D545F7"/>
    <w:rsid w:val="69E19E99"/>
    <w:rsid w:val="69EDA5AE"/>
    <w:rsid w:val="69F9546A"/>
    <w:rsid w:val="6A3D9697"/>
    <w:rsid w:val="6A45B47C"/>
    <w:rsid w:val="6A727345"/>
    <w:rsid w:val="6A9CFC1E"/>
    <w:rsid w:val="6AA6590E"/>
    <w:rsid w:val="6AED1288"/>
    <w:rsid w:val="6B05EC15"/>
    <w:rsid w:val="6B0C3DFB"/>
    <w:rsid w:val="6B0D1C06"/>
    <w:rsid w:val="6B0D8991"/>
    <w:rsid w:val="6B3A52F3"/>
    <w:rsid w:val="6B3AAB76"/>
    <w:rsid w:val="6B952AAB"/>
    <w:rsid w:val="6BD36272"/>
    <w:rsid w:val="6BEA1E25"/>
    <w:rsid w:val="6C3A2575"/>
    <w:rsid w:val="6C408FB1"/>
    <w:rsid w:val="6C4288EA"/>
    <w:rsid w:val="6C5104CE"/>
    <w:rsid w:val="6C61E4CE"/>
    <w:rsid w:val="6C6305F1"/>
    <w:rsid w:val="6C79E639"/>
    <w:rsid w:val="6C832EEB"/>
    <w:rsid w:val="6C933348"/>
    <w:rsid w:val="6C964DFB"/>
    <w:rsid w:val="6CB921F5"/>
    <w:rsid w:val="6CE565ED"/>
    <w:rsid w:val="6CFBC9AB"/>
    <w:rsid w:val="6D1732C7"/>
    <w:rsid w:val="6DB627A1"/>
    <w:rsid w:val="6DDBFD30"/>
    <w:rsid w:val="6DEDC99D"/>
    <w:rsid w:val="6E038CC9"/>
    <w:rsid w:val="6E195700"/>
    <w:rsid w:val="6E2833FB"/>
    <w:rsid w:val="6E47A6AC"/>
    <w:rsid w:val="6E656290"/>
    <w:rsid w:val="6EACAF53"/>
    <w:rsid w:val="6EAD11C2"/>
    <w:rsid w:val="6EE56307"/>
    <w:rsid w:val="6EF0D9C1"/>
    <w:rsid w:val="6F0138B6"/>
    <w:rsid w:val="6F2A0F54"/>
    <w:rsid w:val="6F80F955"/>
    <w:rsid w:val="6F948EE7"/>
    <w:rsid w:val="6F9991C4"/>
    <w:rsid w:val="6FB2BEFC"/>
    <w:rsid w:val="6FD46387"/>
    <w:rsid w:val="6FEF3EE4"/>
    <w:rsid w:val="700C365A"/>
    <w:rsid w:val="703C6B5A"/>
    <w:rsid w:val="70401AE6"/>
    <w:rsid w:val="707F73D5"/>
    <w:rsid w:val="70AE1899"/>
    <w:rsid w:val="70C5C2CC"/>
    <w:rsid w:val="70D367C9"/>
    <w:rsid w:val="70E66FE0"/>
    <w:rsid w:val="712C7470"/>
    <w:rsid w:val="7153201C"/>
    <w:rsid w:val="7162DE74"/>
    <w:rsid w:val="7191414C"/>
    <w:rsid w:val="7191F964"/>
    <w:rsid w:val="719D0352"/>
    <w:rsid w:val="71A7F11C"/>
    <w:rsid w:val="71B81DA3"/>
    <w:rsid w:val="71E20D2B"/>
    <w:rsid w:val="723D1376"/>
    <w:rsid w:val="723D7797"/>
    <w:rsid w:val="726890E0"/>
    <w:rsid w:val="72C51761"/>
    <w:rsid w:val="72D67CDD"/>
    <w:rsid w:val="72ED69B5"/>
    <w:rsid w:val="73477D9A"/>
    <w:rsid w:val="737133F5"/>
    <w:rsid w:val="737F0AA5"/>
    <w:rsid w:val="73A82B43"/>
    <w:rsid w:val="73B40194"/>
    <w:rsid w:val="73C0A834"/>
    <w:rsid w:val="73F8C460"/>
    <w:rsid w:val="7410CC7C"/>
    <w:rsid w:val="741C05A9"/>
    <w:rsid w:val="747E2009"/>
    <w:rsid w:val="749AA8D2"/>
    <w:rsid w:val="74C3CDE4"/>
    <w:rsid w:val="751ADB06"/>
    <w:rsid w:val="7535686B"/>
    <w:rsid w:val="75569EFD"/>
    <w:rsid w:val="75829E34"/>
    <w:rsid w:val="75856AA8"/>
    <w:rsid w:val="758C0463"/>
    <w:rsid w:val="75E85B82"/>
    <w:rsid w:val="75EF893D"/>
    <w:rsid w:val="75F3BECB"/>
    <w:rsid w:val="765A1FB2"/>
    <w:rsid w:val="76B645C5"/>
    <w:rsid w:val="76C4B9E4"/>
    <w:rsid w:val="76F05CDA"/>
    <w:rsid w:val="7710AD59"/>
    <w:rsid w:val="773320FF"/>
    <w:rsid w:val="775548B7"/>
    <w:rsid w:val="775F5363"/>
    <w:rsid w:val="778F6372"/>
    <w:rsid w:val="779EA09B"/>
    <w:rsid w:val="77E49FE7"/>
    <w:rsid w:val="77EE9469"/>
    <w:rsid w:val="77EEA6E7"/>
    <w:rsid w:val="780FB483"/>
    <w:rsid w:val="7872F72E"/>
    <w:rsid w:val="78829B4C"/>
    <w:rsid w:val="78ACB91B"/>
    <w:rsid w:val="78EABFD1"/>
    <w:rsid w:val="791E5AE0"/>
    <w:rsid w:val="792F4453"/>
    <w:rsid w:val="79361682"/>
    <w:rsid w:val="7975FDC9"/>
    <w:rsid w:val="79CE86F4"/>
    <w:rsid w:val="79E8C86A"/>
    <w:rsid w:val="79EDE687"/>
    <w:rsid w:val="7A0C7749"/>
    <w:rsid w:val="7A44A001"/>
    <w:rsid w:val="7A5EBD07"/>
    <w:rsid w:val="7AB50596"/>
    <w:rsid w:val="7AE8FD4B"/>
    <w:rsid w:val="7B11CE2A"/>
    <w:rsid w:val="7B3E8924"/>
    <w:rsid w:val="7B703AE3"/>
    <w:rsid w:val="7B7AE5D8"/>
    <w:rsid w:val="7B9DEC83"/>
    <w:rsid w:val="7BBF1B2A"/>
    <w:rsid w:val="7C281F7E"/>
    <w:rsid w:val="7C48AB74"/>
    <w:rsid w:val="7C561081"/>
    <w:rsid w:val="7C637659"/>
    <w:rsid w:val="7CA13AA7"/>
    <w:rsid w:val="7CADE09F"/>
    <w:rsid w:val="7CCBA1A2"/>
    <w:rsid w:val="7D1DB2C1"/>
    <w:rsid w:val="7D24CBBF"/>
    <w:rsid w:val="7D802A3E"/>
    <w:rsid w:val="7DCE3ECE"/>
    <w:rsid w:val="7DF11EEE"/>
    <w:rsid w:val="7DFF087D"/>
    <w:rsid w:val="7E16A32B"/>
    <w:rsid w:val="7E27E9CA"/>
    <w:rsid w:val="7E7F7825"/>
    <w:rsid w:val="7E84C818"/>
    <w:rsid w:val="7EB5A9E5"/>
    <w:rsid w:val="7EEC5C34"/>
    <w:rsid w:val="7F30126E"/>
    <w:rsid w:val="7F37F8F4"/>
    <w:rsid w:val="7F3EC443"/>
    <w:rsid w:val="7F5134A9"/>
    <w:rsid w:val="7F6A4737"/>
    <w:rsid w:val="7F6B6188"/>
    <w:rsid w:val="7F8F6E6F"/>
    <w:rsid w:val="7FAA81B6"/>
    <w:rsid w:val="7FCCD405"/>
    <w:rsid w:val="7FD0CD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170E"/>
  <w15:docId w15:val="{C9D541FB-3E67-4D24-A350-01EACCD8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CE"/>
    <w:pPr>
      <w:spacing w:after="240" w:line="300" w:lineRule="atLeast"/>
    </w:pPr>
    <w:rPr>
      <w:rFonts w:ascii="Arial" w:hAnsi="Arial"/>
      <w:lang w:eastAsia="en-US"/>
    </w:rPr>
  </w:style>
  <w:style w:type="paragraph" w:styleId="Heading1">
    <w:name w:val="heading 1"/>
    <w:next w:val="Normal"/>
    <w:rsid w:val="00413967"/>
    <w:pPr>
      <w:keepNext/>
      <w:spacing w:after="120"/>
      <w:outlineLvl w:val="0"/>
    </w:pPr>
    <w:rPr>
      <w:rFonts w:ascii="Arial Bold" w:hAnsi="Arial Bold"/>
      <w:b/>
      <w:color w:val="0E4E77"/>
      <w:sz w:val="22"/>
      <w:lang w:eastAsia="en-US"/>
    </w:rPr>
  </w:style>
  <w:style w:type="paragraph" w:styleId="Heading2">
    <w:name w:val="heading 2"/>
    <w:next w:val="Normal"/>
    <w:rsid w:val="004162CA"/>
    <w:pPr>
      <w:keepNext/>
      <w:spacing w:after="120"/>
      <w:outlineLvl w:val="1"/>
    </w:pPr>
    <w:rPr>
      <w:rFonts w:ascii="Arial Bold" w:hAnsi="Arial Bold"/>
      <w:b/>
      <w:color w:val="74000E"/>
      <w:sz w:val="22"/>
      <w:lang w:eastAsia="en-US"/>
    </w:rPr>
  </w:style>
  <w:style w:type="paragraph" w:styleId="Heading3">
    <w:name w:val="heading 3"/>
    <w:basedOn w:val="Normal"/>
    <w:next w:val="Normal"/>
    <w:rsid w:val="00506D42"/>
    <w:pPr>
      <w:keepNext/>
      <w:spacing w:after="120"/>
      <w:outlineLvl w:val="2"/>
    </w:pPr>
    <w:rPr>
      <w:color w:val="74000E"/>
    </w:rPr>
  </w:style>
  <w:style w:type="paragraph" w:styleId="Heading4">
    <w:name w:val="heading 4"/>
    <w:basedOn w:val="Normal"/>
    <w:next w:val="Normal"/>
    <w:rsid w:val="001F00FC"/>
    <w:pPr>
      <w:keepNext/>
      <w:spacing w:after="0"/>
      <w:outlineLvl w:val="3"/>
    </w:pPr>
    <w:rPr>
      <w:i/>
      <w:color w:val="0E4E77"/>
    </w:rPr>
  </w:style>
  <w:style w:type="paragraph" w:styleId="Heading5">
    <w:name w:val="heading 5"/>
    <w:next w:val="Normal"/>
    <w:rsid w:val="00133E0E"/>
    <w:pPr>
      <w:spacing w:before="240"/>
      <w:outlineLvl w:val="4"/>
    </w:pPr>
    <w:rPr>
      <w:rFonts w:ascii="Arial" w:hAnsi="Arial"/>
      <w:b/>
      <w:lang w:eastAsia="en-US"/>
    </w:rPr>
  </w:style>
  <w:style w:type="paragraph" w:styleId="Heading6">
    <w:name w:val="heading 6"/>
    <w:basedOn w:val="Normal"/>
    <w:next w:val="Normal"/>
    <w:rsid w:val="00813208"/>
    <w:pPr>
      <w:spacing w:before="240"/>
      <w:outlineLvl w:val="5"/>
    </w:pPr>
    <w:rPr>
      <w:i/>
    </w:rPr>
  </w:style>
  <w:style w:type="paragraph" w:styleId="Heading7">
    <w:name w:val="heading 7"/>
    <w:next w:val="Normal"/>
    <w:rsid w:val="00133E0E"/>
    <w:pPr>
      <w:keepNext/>
      <w:tabs>
        <w:tab w:val="right" w:pos="2835"/>
        <w:tab w:val="center" w:pos="4820"/>
      </w:tabs>
      <w:outlineLvl w:val="6"/>
    </w:pPr>
    <w:rPr>
      <w:rFonts w:ascii="Arial" w:hAnsi="Arial"/>
      <w:b/>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689A"/>
    <w:pPr>
      <w:tabs>
        <w:tab w:val="center" w:pos="4819"/>
        <w:tab w:val="right" w:pos="9639"/>
      </w:tabs>
      <w:spacing w:after="120" w:line="240" w:lineRule="auto"/>
      <w:ind w:left="-567"/>
    </w:pPr>
    <w:rPr>
      <w:sz w:val="16"/>
      <w:szCs w:val="16"/>
    </w:rPr>
  </w:style>
  <w:style w:type="paragraph" w:styleId="MacroText">
    <w:name w:val="macro"/>
    <w:semiHidden/>
    <w:rsid w:val="00813208"/>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lang w:eastAsia="en-US"/>
    </w:rPr>
  </w:style>
  <w:style w:type="paragraph" w:customStyle="1" w:styleId="SinglePara">
    <w:name w:val="Single Para"/>
    <w:basedOn w:val="Normal"/>
    <w:qFormat/>
    <w:rsid w:val="00672D6E"/>
    <w:pPr>
      <w:spacing w:after="0"/>
    </w:pPr>
  </w:style>
  <w:style w:type="paragraph" w:customStyle="1" w:styleId="Bullet">
    <w:name w:val="Bullet"/>
    <w:basedOn w:val="Normal"/>
    <w:rsid w:val="00FE2D0E"/>
    <w:pPr>
      <w:numPr>
        <w:numId w:val="21"/>
      </w:numPr>
    </w:pPr>
  </w:style>
  <w:style w:type="paragraph" w:customStyle="1" w:styleId="Dash">
    <w:name w:val="Dash"/>
    <w:basedOn w:val="Normal"/>
    <w:rsid w:val="00FE2D0E"/>
    <w:pPr>
      <w:numPr>
        <w:ilvl w:val="1"/>
        <w:numId w:val="21"/>
      </w:numPr>
    </w:pPr>
  </w:style>
  <w:style w:type="paragraph" w:customStyle="1" w:styleId="DoubleDot">
    <w:name w:val="Double Dot"/>
    <w:basedOn w:val="Normal"/>
    <w:rsid w:val="00FE2D0E"/>
    <w:pPr>
      <w:numPr>
        <w:ilvl w:val="2"/>
        <w:numId w:val="21"/>
      </w:numPr>
    </w:pPr>
  </w:style>
  <w:style w:type="character" w:styleId="Hyperlink">
    <w:name w:val="Hyperlink"/>
    <w:basedOn w:val="DefaultParagraphFont"/>
    <w:uiPriority w:val="99"/>
    <w:unhideWhenUsed/>
    <w:rsid w:val="00B65DA4"/>
    <w:rPr>
      <w:color w:val="0000FF"/>
      <w:u w:val="single"/>
    </w:rPr>
  </w:style>
  <w:style w:type="paragraph" w:customStyle="1" w:styleId="AddressBlock">
    <w:name w:val="Address Block"/>
    <w:basedOn w:val="Normal"/>
    <w:qFormat/>
    <w:rsid w:val="00FC0B2D"/>
    <w:pPr>
      <w:spacing w:after="0"/>
    </w:pPr>
  </w:style>
  <w:style w:type="paragraph" w:styleId="Header">
    <w:name w:val="header"/>
    <w:basedOn w:val="Normal"/>
    <w:link w:val="HeaderChar"/>
    <w:uiPriority w:val="99"/>
    <w:unhideWhenUsed/>
    <w:rsid w:val="00440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99"/>
    <w:rPr>
      <w:rFonts w:ascii="Arial" w:hAnsi="Arial"/>
      <w:lang w:eastAsia="en-US"/>
    </w:rPr>
  </w:style>
  <w:style w:type="paragraph" w:styleId="Caption">
    <w:name w:val="caption"/>
    <w:basedOn w:val="Normal"/>
    <w:next w:val="Normal"/>
    <w:uiPriority w:val="35"/>
    <w:rsid w:val="00BE1083"/>
    <w:pPr>
      <w:keepNext/>
      <w:spacing w:after="200"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41931"/>
    <w:rPr>
      <w:color w:val="605E5C"/>
      <w:shd w:val="clear" w:color="auto" w:fill="E1DFDD"/>
    </w:rPr>
  </w:style>
  <w:style w:type="character" w:styleId="FollowedHyperlink">
    <w:name w:val="FollowedHyperlink"/>
    <w:basedOn w:val="DefaultParagraphFont"/>
    <w:uiPriority w:val="99"/>
    <w:semiHidden/>
    <w:unhideWhenUsed/>
    <w:rsid w:val="00741931"/>
    <w:rPr>
      <w:color w:val="800080" w:themeColor="followedHyperlink"/>
      <w:u w:val="single"/>
    </w:rPr>
  </w:style>
  <w:style w:type="paragraph" w:styleId="FootnoteText">
    <w:name w:val="footnote text"/>
    <w:basedOn w:val="Normal"/>
    <w:link w:val="FootnoteTextChar"/>
    <w:uiPriority w:val="99"/>
    <w:semiHidden/>
    <w:unhideWhenUsed/>
    <w:rsid w:val="00E32CE7"/>
    <w:pPr>
      <w:spacing w:after="0" w:line="240" w:lineRule="auto"/>
    </w:pPr>
  </w:style>
  <w:style w:type="character" w:customStyle="1" w:styleId="FootnoteTextChar">
    <w:name w:val="Footnote Text Char"/>
    <w:basedOn w:val="DefaultParagraphFont"/>
    <w:link w:val="FootnoteText"/>
    <w:uiPriority w:val="99"/>
    <w:semiHidden/>
    <w:rsid w:val="00E32CE7"/>
    <w:rPr>
      <w:rFonts w:ascii="Arial" w:hAnsi="Arial"/>
      <w:lang w:eastAsia="en-US"/>
    </w:rPr>
  </w:style>
  <w:style w:type="character" w:styleId="FootnoteReference">
    <w:name w:val="footnote reference"/>
    <w:basedOn w:val="DefaultParagraphFont"/>
    <w:uiPriority w:val="99"/>
    <w:semiHidden/>
    <w:unhideWhenUsed/>
    <w:rsid w:val="00E32CE7"/>
    <w:rPr>
      <w:vertAlign w:val="superscript"/>
    </w:rPr>
  </w:style>
  <w:style w:type="character" w:styleId="CommentReference">
    <w:name w:val="annotation reference"/>
    <w:basedOn w:val="DefaultParagraphFont"/>
    <w:uiPriority w:val="99"/>
    <w:semiHidden/>
    <w:unhideWhenUsed/>
    <w:rsid w:val="003F742F"/>
    <w:rPr>
      <w:sz w:val="16"/>
      <w:szCs w:val="16"/>
    </w:rPr>
  </w:style>
  <w:style w:type="paragraph" w:styleId="CommentText">
    <w:name w:val="annotation text"/>
    <w:basedOn w:val="Normal"/>
    <w:link w:val="CommentTextChar"/>
    <w:uiPriority w:val="99"/>
    <w:unhideWhenUsed/>
    <w:rsid w:val="003F742F"/>
    <w:pPr>
      <w:spacing w:line="240" w:lineRule="auto"/>
    </w:pPr>
  </w:style>
  <w:style w:type="character" w:customStyle="1" w:styleId="CommentTextChar">
    <w:name w:val="Comment Text Char"/>
    <w:basedOn w:val="DefaultParagraphFont"/>
    <w:link w:val="CommentText"/>
    <w:uiPriority w:val="99"/>
    <w:rsid w:val="003F742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F742F"/>
    <w:rPr>
      <w:b/>
      <w:bCs/>
    </w:rPr>
  </w:style>
  <w:style w:type="character" w:customStyle="1" w:styleId="CommentSubjectChar">
    <w:name w:val="Comment Subject Char"/>
    <w:basedOn w:val="CommentTextChar"/>
    <w:link w:val="CommentSubject"/>
    <w:uiPriority w:val="99"/>
    <w:semiHidden/>
    <w:rsid w:val="003F742F"/>
    <w:rPr>
      <w:rFonts w:ascii="Arial" w:hAnsi="Arial"/>
      <w:b/>
      <w:bCs/>
      <w:lang w:eastAsia="en-US"/>
    </w:rPr>
  </w:style>
  <w:style w:type="paragraph" w:styleId="BalloonText">
    <w:name w:val="Balloon Text"/>
    <w:basedOn w:val="Normal"/>
    <w:link w:val="BalloonTextChar"/>
    <w:uiPriority w:val="99"/>
    <w:semiHidden/>
    <w:unhideWhenUsed/>
    <w:rsid w:val="00624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857"/>
    <w:rPr>
      <w:rFonts w:ascii="Segoe UI" w:hAnsi="Segoe UI" w:cs="Segoe UI"/>
      <w:sz w:val="18"/>
      <w:szCs w:val="18"/>
      <w:lang w:eastAsia="en-US"/>
    </w:rPr>
  </w:style>
  <w:style w:type="paragraph" w:customStyle="1" w:styleId="OutlineNumbered1">
    <w:name w:val="Outline Numbered 1"/>
    <w:basedOn w:val="Normal"/>
    <w:link w:val="OutlineNumbered1Char"/>
    <w:rsid w:val="00BC7CBF"/>
    <w:pPr>
      <w:numPr>
        <w:numId w:val="23"/>
      </w:numPr>
      <w:spacing w:after="320"/>
    </w:pPr>
  </w:style>
  <w:style w:type="character" w:customStyle="1" w:styleId="OutlineNumbered1Char">
    <w:name w:val="Outline Numbered 1 Char"/>
    <w:basedOn w:val="DefaultParagraphFont"/>
    <w:link w:val="OutlineNumbered1"/>
    <w:rsid w:val="00BC7CBF"/>
    <w:rPr>
      <w:rFonts w:ascii="Arial" w:hAnsi="Arial"/>
      <w:lang w:eastAsia="en-US"/>
    </w:rPr>
  </w:style>
  <w:style w:type="paragraph" w:customStyle="1" w:styleId="OutlineNumbered2">
    <w:name w:val="Outline Numbered 2"/>
    <w:basedOn w:val="Normal"/>
    <w:link w:val="OutlineNumbered2Char"/>
    <w:rsid w:val="00BC7CBF"/>
    <w:pPr>
      <w:numPr>
        <w:ilvl w:val="1"/>
        <w:numId w:val="23"/>
      </w:numPr>
      <w:spacing w:after="320"/>
    </w:pPr>
  </w:style>
  <w:style w:type="character" w:customStyle="1" w:styleId="OutlineNumbered2Char">
    <w:name w:val="Outline Numbered 2 Char"/>
    <w:basedOn w:val="DefaultParagraphFont"/>
    <w:link w:val="OutlineNumbered2"/>
    <w:rsid w:val="00BC7CBF"/>
    <w:rPr>
      <w:rFonts w:ascii="Arial" w:hAnsi="Arial"/>
      <w:lang w:eastAsia="en-US"/>
    </w:rPr>
  </w:style>
  <w:style w:type="paragraph" w:customStyle="1" w:styleId="OutlineNumbered3">
    <w:name w:val="Outline Numbered 3"/>
    <w:basedOn w:val="Normal"/>
    <w:link w:val="OutlineNumbered3Char"/>
    <w:rsid w:val="00BC7CBF"/>
    <w:pPr>
      <w:numPr>
        <w:ilvl w:val="2"/>
        <w:numId w:val="23"/>
      </w:numPr>
      <w:spacing w:after="320"/>
    </w:pPr>
  </w:style>
  <w:style w:type="character" w:customStyle="1" w:styleId="OutlineNumbered3Char">
    <w:name w:val="Outline Numbered 3 Char"/>
    <w:basedOn w:val="DefaultParagraphFont"/>
    <w:link w:val="OutlineNumbered3"/>
    <w:rsid w:val="00BC7CBF"/>
    <w:rPr>
      <w:rFonts w:ascii="Arial" w:hAnsi="Arial"/>
      <w:lang w:eastAsia="en-US"/>
    </w:rPr>
  </w:style>
  <w:style w:type="table" w:styleId="TableGrid">
    <w:name w:val="Table Grid"/>
    <w:basedOn w:val="TableNormal"/>
    <w:uiPriority w:val="59"/>
    <w:rsid w:val="0025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image" Target="media/image15.png"/><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2.xml"/><Relationship Id="rId30"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jpeg"/></Relationships>
</file>

<file path=word/_rels/footer2.xml.rels><?xml version="1.0" encoding="UTF-8" standalone="yes"?>
<Relationships xmlns="http://schemas.openxmlformats.org/package/2006/relationships"><Relationship Id="rId2" Type="http://schemas.openxmlformats.org/officeDocument/2006/relationships/hyperlink" Target="mailto:aga@aga.gov.au" TargetMode="External"/><Relationship Id="rId1" Type="http://schemas.openxmlformats.org/officeDocument/2006/relationships/image" Target="media/image19.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health-alerts/covid-19/weekly-repor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20G%20A\AGA%20Letter_with%20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Value>21</Value>
      <Value>32</Value>
      <Value>29</Value>
      <Value>1</Value>
      <Value>42</Value>
    </TaxCatchAll>
    <SharedWithUsers xmlns="a2598ba4-4db0-4ba6-86e6-e93586821996">
      <UserInfo>
        <DisplayName>Bruhn, Aaron</DisplayName>
        <AccountId>52</AccountId>
        <AccountType/>
      </UserInfo>
      <UserInfo>
        <DisplayName>Thorburn, Guy</DisplayName>
        <AccountId>26</AccountId>
        <AccountType/>
      </UserInfo>
    </SharedWithUsers>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3540E838817A4FA58DF250A9CC67AF" ma:contentTypeVersion="24" ma:contentTypeDescription="Create a new document." ma:contentTypeScope="" ma:versionID="168d27de54bea58edfc2ade1e3cecf25">
  <xsd:schema xmlns:xsd="http://www.w3.org/2001/XMLSchema" xmlns:xs="http://www.w3.org/2001/XMLSchema" xmlns:p="http://schemas.microsoft.com/office/2006/metadata/properties" xmlns:ns2="0983f657-32d9-4f22-8ae7-8acf3ee01c78" xmlns:ns3="fe39d773-a83d-4623-ae74-f25711a76616" xmlns:ns4="4ce5dd27-2bd2-4af6-8632-1afe40ae38c6" targetNamespace="http://schemas.microsoft.com/office/2006/metadata/properties" ma:root="true" ma:fieldsID="bbc838da57d849e990e9e51906838071" ns2:_="" ns3:_="" ns4:_="">
    <xsd:import namespace="0983f657-32d9-4f22-8ae7-8acf3ee01c78"/>
    <xsd:import namespace="fe39d773-a83d-4623-ae74-f25711a76616"/>
    <xsd:import namespace="4ce5dd27-2bd2-4af6-8632-1afe40ae38c6"/>
    <xsd:element name="properties">
      <xsd:complexType>
        <xsd:sequence>
          <xsd:element name="documentManagement">
            <xsd:complexType>
              <xsd:all>
                <xsd:element ref="ns2:AgencyContact" minOccurs="0"/>
                <xsd:element ref="ns2:Client1" minOccurs="0"/>
                <xsd:element ref="ns2:Clientalias1" minOccurs="0"/>
                <xsd:element ref="ns2:RelatedClient"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3:_dlc_DocIdUrl" minOccurs="0"/>
                <xsd:element ref="ns3:_dlc_DocIdPersistId" minOccurs="0"/>
                <xsd:element ref="ns3:a48f371a4a874164b16a8c4aab488f5c" minOccurs="0"/>
                <xsd:element ref="ns2:kb8f7d2360a748608a3cd5f5aad84fae" minOccurs="0"/>
                <xsd:element ref="ns2:TaxCatchAll" minOccurs="0"/>
                <xsd:element ref="ns3:h5a7b19a9ef14e25883d016176ee3742" minOccurs="0"/>
                <xsd:element ref="ns3:_dlc_DocId" minOccurs="0"/>
                <xsd:element ref="ns4:MediaServiceMetadata" minOccurs="0"/>
                <xsd:element ref="ns4:MediaServiceFastMetadata" minOccurs="0"/>
                <xsd:element ref="ns4: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3f657-32d9-4f22-8ae7-8acf3ee01c78" elementFormDefault="qualified">
    <xsd:import namespace="http://schemas.microsoft.com/office/2006/documentManagement/types"/>
    <xsd:import namespace="http://schemas.microsoft.com/office/infopath/2007/PartnerControls"/>
    <xsd:element name="AgencyContact" ma:index="9" nillable="true" ma:displayName="Agency Contact" ma:internalName="AgencyContact">
      <xsd:simpleType>
        <xsd:restriction base="dms:Note">
          <xsd:maxLength value="255"/>
        </xsd:restriction>
      </xsd:simpleType>
    </xsd:element>
    <xsd:element name="Client1" ma:index="10" nillable="true" ma:displayName="Client" ma:internalName="Client1">
      <xsd:simpleType>
        <xsd:restriction base="dms:Text">
          <xsd:maxLength value="255"/>
        </xsd:restriction>
      </xsd:simpleType>
    </xsd:element>
    <xsd:element name="Clientalias1" ma:index="11" nillable="true" ma:displayName="Client's alias 1" ma:internalName="Clientalias1">
      <xsd:simpleType>
        <xsd:restriction base="dms:Text">
          <xsd:maxLength value="255"/>
        </xsd:restriction>
      </xsd:simpleType>
    </xsd:element>
    <xsd:element name="RelatedClient" ma:index="12" nillable="true" ma:displayName="Related Client" ma:internalName="RelatedClient">
      <xsd:simpleType>
        <xsd:restriction base="dms:Text">
          <xsd:maxLength value="255"/>
        </xsd:restriction>
      </xsd:simpleType>
    </xsd:element>
    <xsd:element name="TaxCatchAllLabel" ma:index="13" nillable="true" ma:displayName="Taxonomy Catch All Column1" ma:hidden="true" ma:list="{714e6db6-4319-4adc-a5af-3f2f1830a4b3}" ma:internalName="TaxCatchAllLabel" ma:readOnly="true" ma:showField="CatchAllDataLabel" ma:web="0983f657-32d9-4f22-8ae7-8acf3ee01c78">
      <xsd:complexType>
        <xsd:complexContent>
          <xsd:extension base="dms:MultiChoiceLookup">
            <xsd:sequence>
              <xsd:element name="Value" type="dms:Lookup" maxOccurs="unbounded" minOccurs="0" nillable="true"/>
            </xsd:sequence>
          </xsd:extension>
        </xsd:complexContent>
      </xsd:complexType>
    </xsd:element>
    <xsd:element name="kb8f7d2360a748608a3cd5f5aad84fae" ma:index="26" nillable="true" ma:taxonomy="true" ma:internalName="kb8f7d2360a748608a3cd5f5aad84fae" ma:taxonomyFieldName="DocStatus" ma:displayName="Doc Status" ma:fieldId="{4b8f7d23-60a7-4860-8a3c-d5f5aad84fae}" ma:sspId="218240cd-c75f-40bd-87f4-262ac964b25b" ma:termSetId="2761d635-6d23-4153-8ed3-bc0df7a288f2"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714e6db6-4319-4adc-a5af-3f2f1830a4b3}" ma:internalName="TaxCatchAll" ma:showField="CatchAllData" ma:web="0983f657-32d9-4f22-8ae7-8acf3ee01c78">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88ea0ba2-e4b5-4db9-a39e-5d157de7eaac"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7148e605-4fc0-4b7a-b5ed-c1186c1349c6"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1a78c8a7-03e6-4010-bb9d-25c332ea32d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a48f371a4a874164b16a8c4aab488f5c" ma:index="25" ma:taxonomy="true" ma:internalName="a48f371a4a874164b16a8c4aab488f5c" ma:taxonomyFieldName="eTheme" ma:displayName="Theme" ma:readOnly="false" ma:default="1;#Actuarial Services|d8223722-c4d4-45c1-82ff-f10a0191d1c5"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h5a7b19a9ef14e25883d016176ee3742" ma:index="29" nillable="true" ma:taxonomy="true" ma:internalName="h5a7b19a9ef14e25883d016176ee3742" ma:taxonomyFieldName="AnnualYear" ma:displayName="Year" ma:readOnly="false" ma:fieldId="{15a7b19a-9ef1-4e25-883d-016176ee3742}" ma:sspId="218240cd-c75f-40bd-87f4-262ac964b25b" ma:termSetId="5d94c903-db6c-4f33-b862-ba46c7f65276" ma:anchorId="00000000-0000-0000-0000-000000000000" ma:open="false" ma:isKeyword="false">
      <xsd:complexType>
        <xsd:sequence>
          <xsd:element ref="pc:Terms" minOccurs="0" maxOccurs="1"/>
        </xsd:sequence>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5dd27-2bd2-4af6-8632-1afe40ae38c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14B-83F1-4D69-9A36-1229B94DACF8}">
  <ds:schemaRefs>
    <ds:schemaRef ds:uri="http://schemas.microsoft.com/sharepoint/v3/contenttype/forms"/>
  </ds:schemaRefs>
</ds:datastoreItem>
</file>

<file path=customXml/itemProps2.xml><?xml version="1.0" encoding="utf-8"?>
<ds:datastoreItem xmlns:ds="http://schemas.openxmlformats.org/officeDocument/2006/customXml" ds:itemID="{9E71DA85-4B66-4232-891C-979E72B492AF}">
  <ds:schemaRefs>
    <ds:schemaRef ds:uri="http://schemas.microsoft.com/office/2006/metadata/properties"/>
    <ds:schemaRef ds:uri="http://purl.org/dc/dcmitype/"/>
    <ds:schemaRef ds:uri="http://purl.org/dc/terms/"/>
    <ds:schemaRef ds:uri="http://purl.org/dc/elements/1.1/"/>
    <ds:schemaRef ds:uri="http://schemas.microsoft.com/office/2006/documentManagement/types"/>
    <ds:schemaRef ds:uri="fe39d773-a83d-4623-ae74-f25711a76616"/>
    <ds:schemaRef ds:uri="0983f657-32d9-4f22-8ae7-8acf3ee01c78"/>
    <ds:schemaRef ds:uri="http://www.w3.org/XML/1998/namespace"/>
    <ds:schemaRef ds:uri="http://schemas.microsoft.com/office/infopath/2007/PartnerControls"/>
    <ds:schemaRef ds:uri="http://schemas.openxmlformats.org/package/2006/metadata/core-properties"/>
    <ds:schemaRef ds:uri="4ce5dd27-2bd2-4af6-8632-1afe40ae38c6"/>
  </ds:schemaRefs>
</ds:datastoreItem>
</file>

<file path=customXml/itemProps3.xml><?xml version="1.0" encoding="utf-8"?>
<ds:datastoreItem xmlns:ds="http://schemas.openxmlformats.org/officeDocument/2006/customXml" ds:itemID="{3D2B95A9-14EC-4716-8C55-64D0F3939554}">
  <ds:schemaRefs>
    <ds:schemaRef ds:uri="http://schemas.openxmlformats.org/officeDocument/2006/bibliography"/>
  </ds:schemaRefs>
</ds:datastoreItem>
</file>

<file path=customXml/itemProps4.xml><?xml version="1.0" encoding="utf-8"?>
<ds:datastoreItem xmlns:ds="http://schemas.openxmlformats.org/officeDocument/2006/customXml" ds:itemID="{3F164869-6C6F-4ECB-BFD5-A85849A1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3f657-32d9-4f22-8ae7-8acf3ee01c78"/>
    <ds:schemaRef ds:uri="fe39d773-a83d-4623-ae74-f25711a76616"/>
    <ds:schemaRef ds:uri="4ce5dd27-2bd2-4af6-8632-1afe40ae3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DD455D-E8C2-4BE2-8ABB-B13B79379B39}"/>
</file>

<file path=docProps/app.xml><?xml version="1.0" encoding="utf-8"?>
<Properties xmlns="http://schemas.openxmlformats.org/officeDocument/2006/extended-properties" xmlns:vt="http://schemas.openxmlformats.org/officeDocument/2006/docPropsVTypes">
  <Template>AGA Letter_with logo.dotm</Template>
  <TotalTime>23</TotalTime>
  <Pages>22</Pages>
  <Words>6542</Words>
  <Characters>35958</Characters>
  <Application>Microsoft Office Word</Application>
  <DocSecurity>0</DocSecurity>
  <Lines>299</Lines>
  <Paragraphs>84</Paragraphs>
  <ScaleCrop>false</ScaleCrop>
  <Company>Microsoft Corporation</Company>
  <LinksUpToDate>false</LinksUpToDate>
  <CharactersWithSpaces>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 FSR</dc:title>
  <dc:subject/>
  <dc:creator>Bean, Samantha</dc:creator>
  <cp:keywords/>
  <cp:lastModifiedBy>Thorburn, Guy</cp:lastModifiedBy>
  <cp:revision>13</cp:revision>
  <cp:lastPrinted>2023-09-14T06:26:00Z</cp:lastPrinted>
  <dcterms:created xsi:type="dcterms:W3CDTF">2023-10-15T23:28:00Z</dcterms:created>
  <dcterms:modified xsi:type="dcterms:W3CDTF">2023-10-16T02:16:00Z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0x0101001E3540E838817A4FA58DF250A9CC67AF</vt:lpwstr>
  </property>
  <property fmtid="{D5CDD505-2E9C-101B-9397-08002B2CF9AE}" pid="3" name="eTheme">
    <vt:lpwstr>1</vt:lpwstr>
  </property>
  <property fmtid="{D5CDD505-2E9C-101B-9397-08002B2CF9AE}" pid="4" name="eActivity">
    <vt:lpwstr>42</vt:lpwstr>
  </property>
  <property fmtid="{D5CDD505-2E9C-101B-9397-08002B2CF9AE}" pid="5" name="_dlc_DocIdItemGuid">
    <vt:lpwstr>fc879bfe-68ed-4fd1-9baf-069e550dc264</vt:lpwstr>
  </property>
  <property fmtid="{D5CDD505-2E9C-101B-9397-08002B2CF9AE}" pid="6" name="TSYStatus">
    <vt:lpwstr/>
  </property>
  <property fmtid="{D5CDD505-2E9C-101B-9397-08002B2CF9AE}" pid="7" name="AnnualYear">
    <vt:lpwstr>21;#2023|973dbe4b-2e7c-4144-9448-d29f2a6b83f9</vt:lpwstr>
  </property>
  <property fmtid="{D5CDD505-2E9C-101B-9397-08002B2CF9AE}" pid="8" name="eDocumentType">
    <vt:lpwstr>29;#Advice|62aa67da-c2d4-4aee-b969-4230b3e6030c</vt:lpwstr>
  </property>
  <property fmtid="{D5CDD505-2E9C-101B-9397-08002B2CF9AE}" pid="9" name="eTopic">
    <vt:lpwstr>32;#Costings|14d06165-7f57-437a-a92e-286407273170</vt:lpwstr>
  </property>
  <property fmtid="{D5CDD505-2E9C-101B-9397-08002B2CF9AE}" pid="10" name="DocStatus">
    <vt:lpwstr/>
  </property>
</Properties>
</file>